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00"/>
        <w:tblW w:w="4926" w:type="pct"/>
        <w:tblLayout w:type="fixed"/>
        <w:tblLook w:val="0000" w:firstRow="0" w:lastRow="0" w:firstColumn="0" w:lastColumn="0" w:noHBand="0" w:noVBand="0"/>
      </w:tblPr>
      <w:tblGrid>
        <w:gridCol w:w="1419"/>
        <w:gridCol w:w="4539"/>
        <w:gridCol w:w="3538"/>
      </w:tblGrid>
      <w:tr w:rsidR="0046598E" w:rsidRPr="00D87C04" w14:paraId="57B8070F" w14:textId="77777777" w:rsidTr="0074774E">
        <w:trPr>
          <w:cantSplit/>
          <w:trHeight w:val="1134"/>
        </w:trPr>
        <w:tc>
          <w:tcPr>
            <w:tcW w:w="747" w:type="pct"/>
          </w:tcPr>
          <w:p w14:paraId="1850BBDC" w14:textId="77777777" w:rsidR="0046598E" w:rsidRPr="005254A7" w:rsidRDefault="0046598E" w:rsidP="003E3D0E">
            <w:pPr>
              <w:tabs>
                <w:tab w:val="clear" w:pos="1134"/>
              </w:tabs>
              <w:rPr>
                <w:b/>
                <w:bCs/>
                <w:szCs w:val="24"/>
                <w:lang w:val="fr-CH"/>
              </w:rPr>
            </w:pPr>
            <w:bookmarkStart w:id="0" w:name="_Hlk209775578"/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61FE87AB" wp14:editId="7CA7919F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pct"/>
            <w:gridSpan w:val="2"/>
          </w:tcPr>
          <w:p w14:paraId="6C43B478" w14:textId="77777777" w:rsidR="0046598E" w:rsidRPr="00BE2C32" w:rsidRDefault="0046598E" w:rsidP="003E3D0E">
            <w:pPr>
              <w:tabs>
                <w:tab w:val="clear" w:pos="1134"/>
              </w:tabs>
              <w:spacing w:before="240" w:line="240" w:lineRule="atLeast"/>
              <w:ind w:left="34"/>
              <w:rPr>
                <w:rFonts w:cstheme="minorHAnsi"/>
                <w:lang w:val="ru-RU"/>
              </w:rPr>
            </w:pPr>
            <w:r w:rsidRPr="00BE2C32">
              <w:rPr>
                <w:b/>
                <w:bCs/>
                <w:noProof/>
                <w:sz w:val="30"/>
                <w:szCs w:val="30"/>
                <w:lang w:val="ru-RU"/>
              </w:rPr>
              <w:drawing>
                <wp:anchor distT="0" distB="0" distL="114300" distR="114300" simplePos="0" relativeHeight="251658240" behindDoc="0" locked="0" layoutInCell="1" allowOverlap="1" wp14:anchorId="438A6D2F" wp14:editId="0D2918E6">
                  <wp:simplePos x="0" y="0"/>
                  <wp:positionH relativeFrom="column">
                    <wp:posOffset>4004945</wp:posOffset>
                  </wp:positionH>
                  <wp:positionV relativeFrom="paragraph">
                    <wp:posOffset>60325</wp:posOffset>
                  </wp:positionV>
                  <wp:extent cx="1079500" cy="97536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795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BE2C32">
              <w:rPr>
                <w:b/>
                <w:bCs/>
                <w:sz w:val="32"/>
                <w:szCs w:val="32"/>
                <w:lang w:val="ru-RU"/>
              </w:rPr>
              <w:t xml:space="preserve">Всемирная конференция по развитию </w:t>
            </w:r>
            <w:r w:rsidRPr="00BE2C32">
              <w:rPr>
                <w:b/>
                <w:bCs/>
                <w:sz w:val="32"/>
                <w:szCs w:val="32"/>
                <w:lang w:val="ru-RU"/>
              </w:rPr>
              <w:br/>
              <w:t>электросвязи</w:t>
            </w:r>
            <w:r w:rsidRPr="00BE2C32">
              <w:rPr>
                <w:lang w:val="ru-RU"/>
              </w:rPr>
              <w:t xml:space="preserve"> </w:t>
            </w:r>
            <w:r w:rsidRPr="00BE2C32">
              <w:rPr>
                <w:b/>
                <w:bCs/>
                <w:sz w:val="32"/>
                <w:szCs w:val="32"/>
                <w:lang w:val="ru-RU"/>
              </w:rPr>
              <w:t>2025 года (ВКРЭ-25)</w:t>
            </w:r>
            <w:r w:rsidRPr="00BE2C32">
              <w:rPr>
                <w:b/>
                <w:bCs/>
                <w:sz w:val="32"/>
                <w:szCs w:val="32"/>
                <w:lang w:val="ru-RU"/>
              </w:rPr>
              <w:br/>
            </w:r>
            <w:r w:rsidRPr="00BE2C32">
              <w:rPr>
                <w:b/>
                <w:bCs/>
                <w:szCs w:val="22"/>
                <w:lang w:val="ru-RU"/>
              </w:rPr>
              <w:t>Баку, Азербайджанская Республика, 17−28 ноября 2025 года</w:t>
            </w:r>
          </w:p>
          <w:p w14:paraId="7C6F5FB8" w14:textId="77777777" w:rsidR="0046598E" w:rsidRPr="00BE2C32" w:rsidRDefault="0046598E" w:rsidP="003E3D0E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lang w:val="ru-RU"/>
              </w:rPr>
            </w:pPr>
          </w:p>
        </w:tc>
      </w:tr>
      <w:tr w:rsidR="00362627" w:rsidRPr="00D87C04" w14:paraId="748ACB2B" w14:textId="77777777" w:rsidTr="0074774E">
        <w:trPr>
          <w:cantSplit/>
        </w:trPr>
        <w:tc>
          <w:tcPr>
            <w:tcW w:w="3137" w:type="pct"/>
            <w:gridSpan w:val="2"/>
            <w:tcBorders>
              <w:top w:val="single" w:sz="12" w:space="0" w:color="auto"/>
            </w:tcBorders>
          </w:tcPr>
          <w:p w14:paraId="49F3B5F9" w14:textId="77777777" w:rsidR="00362627" w:rsidRPr="00D43EED" w:rsidRDefault="00362627" w:rsidP="003E3D0E">
            <w:pPr>
              <w:spacing w:before="0" w:after="48" w:line="240" w:lineRule="atLeast"/>
              <w:rPr>
                <w:rFonts w:cstheme="minorHAnsi"/>
                <w:bCs/>
                <w:smallCaps/>
                <w:sz w:val="20"/>
                <w:lang w:val="ru-RU"/>
              </w:rPr>
            </w:pPr>
          </w:p>
        </w:tc>
        <w:tc>
          <w:tcPr>
            <w:tcW w:w="1863" w:type="pct"/>
            <w:tcBorders>
              <w:top w:val="single" w:sz="12" w:space="0" w:color="auto"/>
            </w:tcBorders>
          </w:tcPr>
          <w:p w14:paraId="2598DE09" w14:textId="77777777" w:rsidR="00362627" w:rsidRPr="00BE2C32" w:rsidRDefault="00362627" w:rsidP="003E3D0E">
            <w:pPr>
              <w:spacing w:before="0" w:line="240" w:lineRule="atLeast"/>
              <w:rPr>
                <w:rFonts w:cstheme="minorHAnsi"/>
                <w:sz w:val="20"/>
                <w:lang w:val="ru-RU"/>
              </w:rPr>
            </w:pPr>
          </w:p>
        </w:tc>
      </w:tr>
      <w:tr w:rsidR="00362627" w:rsidRPr="00E96E41" w14:paraId="7323136E" w14:textId="77777777" w:rsidTr="0074774E">
        <w:trPr>
          <w:cantSplit/>
          <w:trHeight w:val="23"/>
        </w:trPr>
        <w:tc>
          <w:tcPr>
            <w:tcW w:w="3137" w:type="pct"/>
            <w:gridSpan w:val="2"/>
          </w:tcPr>
          <w:p w14:paraId="0BA130E7" w14:textId="77777777" w:rsidR="00362627" w:rsidRPr="00BE2C32" w:rsidRDefault="00362627" w:rsidP="003E3D0E">
            <w:pPr>
              <w:pStyle w:val="Committee"/>
              <w:framePr w:hSpace="0" w:wrap="auto" w:hAnchor="text" w:yAlign="inline"/>
              <w:rPr>
                <w:lang w:val="ru-RU"/>
              </w:rPr>
            </w:pPr>
            <w:r w:rsidRPr="00BE2C32">
              <w:rPr>
                <w:lang w:val="ru-RU"/>
              </w:rPr>
              <w:t>ПЛЕНАРНОЕ ЗАСЕДАНИЕ</w:t>
            </w:r>
          </w:p>
        </w:tc>
        <w:tc>
          <w:tcPr>
            <w:tcW w:w="1863" w:type="pct"/>
          </w:tcPr>
          <w:p w14:paraId="41DDC032" w14:textId="7DBB97BF" w:rsidR="00362627" w:rsidRPr="00BE2C32" w:rsidRDefault="00362627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  <w:r w:rsidRPr="00BE2C32">
              <w:rPr>
                <w:b/>
                <w:bCs/>
                <w:szCs w:val="24"/>
                <w:lang w:val="ru-RU"/>
              </w:rPr>
              <w:t>Документ WTDC-25/</w:t>
            </w:r>
            <w:r w:rsidR="00F66D79">
              <w:rPr>
                <w:b/>
                <w:bCs/>
                <w:szCs w:val="24"/>
                <w:lang w:val="en-US"/>
              </w:rPr>
              <w:t>14</w:t>
            </w:r>
            <w:r w:rsidRPr="00BE2C32">
              <w:rPr>
                <w:b/>
                <w:bCs/>
                <w:szCs w:val="24"/>
                <w:lang w:val="ru-RU"/>
              </w:rPr>
              <w:t>-R</w:t>
            </w:r>
          </w:p>
        </w:tc>
      </w:tr>
      <w:tr w:rsidR="00362627" w:rsidRPr="00C324A8" w14:paraId="0C443F20" w14:textId="77777777" w:rsidTr="0074774E">
        <w:trPr>
          <w:cantSplit/>
          <w:trHeight w:val="23"/>
        </w:trPr>
        <w:tc>
          <w:tcPr>
            <w:tcW w:w="3137" w:type="pct"/>
            <w:gridSpan w:val="2"/>
          </w:tcPr>
          <w:p w14:paraId="23AD57ED" w14:textId="77777777" w:rsidR="00362627" w:rsidRPr="00BE2C32" w:rsidRDefault="00362627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ru-RU"/>
              </w:rPr>
            </w:pPr>
          </w:p>
        </w:tc>
        <w:tc>
          <w:tcPr>
            <w:tcW w:w="1863" w:type="pct"/>
          </w:tcPr>
          <w:p w14:paraId="4C12E767" w14:textId="05F16C92" w:rsidR="00362627" w:rsidRPr="00BE2C32" w:rsidRDefault="00F66D79" w:rsidP="003E3D0E">
            <w:pPr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en-US"/>
              </w:rPr>
              <w:t>1</w:t>
            </w:r>
            <w:r w:rsidR="00362627" w:rsidRPr="00BE2C32">
              <w:rPr>
                <w:b/>
                <w:bCs/>
                <w:szCs w:val="24"/>
                <w:lang w:val="ru-RU"/>
              </w:rPr>
              <w:t>3 октября 2025</w:t>
            </w:r>
            <w:r w:rsidR="00B479CB" w:rsidRPr="00BE2C32">
              <w:rPr>
                <w:b/>
                <w:bCs/>
                <w:szCs w:val="24"/>
                <w:lang w:val="ru-RU"/>
              </w:rPr>
              <w:t xml:space="preserve"> года</w:t>
            </w:r>
          </w:p>
        </w:tc>
      </w:tr>
      <w:tr w:rsidR="00362627" w:rsidRPr="00C324A8" w14:paraId="64F53E4A" w14:textId="77777777" w:rsidTr="0074774E">
        <w:trPr>
          <w:cantSplit/>
          <w:trHeight w:val="23"/>
        </w:trPr>
        <w:tc>
          <w:tcPr>
            <w:tcW w:w="3137" w:type="pct"/>
            <w:gridSpan w:val="2"/>
          </w:tcPr>
          <w:p w14:paraId="313666E6" w14:textId="77777777" w:rsidR="00362627" w:rsidRPr="00BE2C32" w:rsidRDefault="00362627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</w:p>
        </w:tc>
        <w:tc>
          <w:tcPr>
            <w:tcW w:w="1863" w:type="pct"/>
          </w:tcPr>
          <w:p w14:paraId="0F1648D8" w14:textId="77777777" w:rsidR="00362627" w:rsidRPr="00BE2C32" w:rsidRDefault="00362627" w:rsidP="003E3D0E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ru-RU"/>
              </w:rPr>
            </w:pPr>
            <w:r w:rsidRPr="00BE2C32">
              <w:rPr>
                <w:b/>
                <w:bCs/>
                <w:szCs w:val="24"/>
                <w:lang w:val="ru-RU"/>
              </w:rPr>
              <w:t>Оригинал: английский</w:t>
            </w:r>
          </w:p>
        </w:tc>
      </w:tr>
      <w:tr w:rsidR="00362627" w:rsidRPr="00F66D79" w14:paraId="17A8B38B" w14:textId="77777777" w:rsidTr="0074774E">
        <w:trPr>
          <w:cantSplit/>
          <w:trHeight w:val="23"/>
        </w:trPr>
        <w:tc>
          <w:tcPr>
            <w:tcW w:w="5000" w:type="pct"/>
            <w:gridSpan w:val="3"/>
          </w:tcPr>
          <w:p w14:paraId="2F638316" w14:textId="30B973E0" w:rsidR="00362627" w:rsidRPr="00BE2C32" w:rsidRDefault="00F66D79" w:rsidP="003E3D0E">
            <w:pPr>
              <w:pStyle w:val="Source"/>
              <w:spacing w:before="240" w:after="240"/>
              <w:rPr>
                <w:lang w:val="ru-RU"/>
              </w:rPr>
            </w:pPr>
            <w:r w:rsidRPr="004441A5">
              <w:rPr>
                <w:rFonts w:cs="Calibri"/>
                <w:lang w:val="ru-RU"/>
              </w:rPr>
              <w:t>Директор Бюро развития электросвязи</w:t>
            </w:r>
          </w:p>
        </w:tc>
      </w:tr>
      <w:tr w:rsidR="00362627" w:rsidRPr="00D87C04" w14:paraId="1E89C6AC" w14:textId="77777777" w:rsidTr="0074774E">
        <w:trPr>
          <w:cantSplit/>
          <w:trHeight w:val="23"/>
        </w:trPr>
        <w:tc>
          <w:tcPr>
            <w:tcW w:w="5000" w:type="pct"/>
            <w:gridSpan w:val="3"/>
            <w:vAlign w:val="center"/>
          </w:tcPr>
          <w:p w14:paraId="3DFC9916" w14:textId="5FFADC10" w:rsidR="00362627" w:rsidRPr="0074774E" w:rsidRDefault="00F66D79" w:rsidP="003E3D0E">
            <w:pPr>
              <w:pStyle w:val="Title1"/>
              <w:spacing w:before="120" w:after="120"/>
              <w:rPr>
                <w:lang w:val="ru-RU"/>
              </w:rPr>
            </w:pPr>
            <w:r w:rsidRPr="004441A5">
              <w:rPr>
                <w:rFonts w:cs="Calibri"/>
                <w:lang w:val="ru-RU"/>
              </w:rPr>
              <w:t>Отчет о работе БРЭ в отношении Альянса инноваций и предпринимательства для целей цифрового развития</w:t>
            </w:r>
          </w:p>
        </w:tc>
      </w:tr>
      <w:tr w:rsidR="00362627" w:rsidRPr="00D87C04" w14:paraId="1C47D9D7" w14:textId="77777777" w:rsidTr="0074774E">
        <w:trPr>
          <w:cantSplit/>
          <w:trHeight w:val="23"/>
        </w:trPr>
        <w:tc>
          <w:tcPr>
            <w:tcW w:w="5000" w:type="pct"/>
            <w:gridSpan w:val="3"/>
          </w:tcPr>
          <w:p w14:paraId="26977A9E" w14:textId="77777777" w:rsidR="00362627" w:rsidRPr="0074774E" w:rsidRDefault="00362627" w:rsidP="003E3D0E">
            <w:pPr>
              <w:pStyle w:val="Title2"/>
              <w:spacing w:before="240"/>
              <w:rPr>
                <w:lang w:val="ru-RU"/>
              </w:rPr>
            </w:pPr>
          </w:p>
        </w:tc>
      </w:tr>
      <w:tr w:rsidR="00362627" w:rsidRPr="00D87C04" w14:paraId="4D5675E5" w14:textId="77777777" w:rsidTr="0074774E">
        <w:trPr>
          <w:cantSplit/>
          <w:trHeight w:val="23"/>
        </w:trPr>
        <w:tc>
          <w:tcPr>
            <w:tcW w:w="5000" w:type="pct"/>
            <w:gridSpan w:val="3"/>
          </w:tcPr>
          <w:p w14:paraId="0B7CC9CD" w14:textId="77777777" w:rsidR="00362627" w:rsidRPr="0074774E" w:rsidRDefault="00362627" w:rsidP="005266BD">
            <w:pPr>
              <w:pStyle w:val="Title2"/>
              <w:spacing w:before="0"/>
              <w:rPr>
                <w:lang w:val="ru-RU"/>
              </w:rPr>
            </w:pPr>
          </w:p>
        </w:tc>
      </w:tr>
      <w:bookmarkEnd w:id="0"/>
      <w:tr w:rsidR="00342123" w:rsidRPr="00D87C04" w14:paraId="2EBF91B6" w14:textId="77777777" w:rsidTr="0074774E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36B" w14:textId="77777777" w:rsidR="00342123" w:rsidRPr="00EE3A10" w:rsidRDefault="00BE2C32">
            <w:pPr>
              <w:rPr>
                <w:lang w:val="ru-RU"/>
              </w:rPr>
            </w:pPr>
            <w:r w:rsidRPr="00BE2C32">
              <w:rPr>
                <w:rFonts w:eastAsia="SimSun" w:cs="Dubai"/>
                <w:b/>
                <w:bCs/>
                <w:szCs w:val="22"/>
                <w:lang w:val="ru-RU"/>
              </w:rPr>
              <w:t>Приоритетная</w:t>
            </w:r>
            <w:r w:rsidRPr="00EE3A10">
              <w:rPr>
                <w:rFonts w:eastAsia="SimSun" w:cs="Dubai"/>
                <w:b/>
                <w:bCs/>
                <w:szCs w:val="22"/>
                <w:lang w:val="ru-RU"/>
              </w:rPr>
              <w:t xml:space="preserve"> </w:t>
            </w:r>
            <w:r w:rsidRPr="00BE2C32">
              <w:rPr>
                <w:rFonts w:eastAsia="SimSun" w:cs="Dubai"/>
                <w:b/>
                <w:bCs/>
                <w:szCs w:val="22"/>
                <w:lang w:val="ru-RU"/>
              </w:rPr>
              <w:t>область</w:t>
            </w:r>
          </w:p>
          <w:p w14:paraId="528AEF73" w14:textId="6698133A" w:rsidR="00342123" w:rsidRPr="0074774E" w:rsidRDefault="00F66D79">
            <w:pPr>
              <w:rPr>
                <w:sz w:val="24"/>
                <w:szCs w:val="24"/>
                <w:lang w:val="ru-RU"/>
              </w:rPr>
            </w:pPr>
            <w:r w:rsidRPr="004441A5">
              <w:rPr>
                <w:rFonts w:cs="Calibri"/>
                <w:szCs w:val="22"/>
                <w:lang w:val="ru-RU"/>
              </w:rPr>
              <w:t>Цифровая трансформация</w:t>
            </w:r>
          </w:p>
          <w:p w14:paraId="3710F5BB" w14:textId="77777777" w:rsidR="00342123" w:rsidRPr="00EE3A10" w:rsidRDefault="00BE2C32">
            <w:pPr>
              <w:rPr>
                <w:lang w:val="ru-RU"/>
              </w:rPr>
            </w:pPr>
            <w:r w:rsidRPr="00BE2C32">
              <w:rPr>
                <w:rFonts w:eastAsia="SimSun" w:cs="Dubai"/>
                <w:b/>
                <w:bCs/>
                <w:szCs w:val="22"/>
                <w:lang w:val="ru-RU"/>
              </w:rPr>
              <w:t>Резюме</w:t>
            </w:r>
          </w:p>
          <w:p w14:paraId="78ADF485" w14:textId="77777777" w:rsidR="00F66D79" w:rsidRPr="00D87C04" w:rsidRDefault="00F66D79" w:rsidP="00F66D79">
            <w:pPr>
              <w:rPr>
                <w:rFonts w:cs="Calibri"/>
                <w:color w:val="000000"/>
                <w:szCs w:val="22"/>
                <w:lang w:val="ru-RU"/>
              </w:rPr>
            </w:pPr>
            <w:r w:rsidRPr="004441A5">
              <w:rPr>
                <w:rFonts w:cs="Calibri"/>
                <w:color w:val="000000"/>
                <w:szCs w:val="22"/>
                <w:lang w:val="ru-RU"/>
              </w:rPr>
              <w:t xml:space="preserve">В настоящем документе представлен обзор работы, проделанной Бюро развития электросвязи (БРЭ) в области цифровых инноваций в рамках </w:t>
            </w:r>
            <w:hyperlink r:id="rId14" w:history="1">
              <w:r w:rsidRPr="004441A5">
                <w:rPr>
                  <w:rStyle w:val="Hyperlink"/>
                  <w:rFonts w:cs="Calibri"/>
                  <w:szCs w:val="22"/>
                  <w:lang w:val="ru-RU"/>
                </w:rPr>
                <w:t>Альянса инноваций и предпринимательства в интересах цифрового развития</w:t>
              </w:r>
            </w:hyperlink>
            <w:r w:rsidRPr="004441A5">
              <w:rPr>
                <w:rFonts w:cs="Calibri"/>
                <w:color w:val="000000"/>
                <w:szCs w:val="22"/>
                <w:lang w:val="ru-RU"/>
              </w:rPr>
              <w:t xml:space="preserve"> за период с ВКРЭ-22 по настоящее время.</w:t>
            </w:r>
          </w:p>
          <w:p w14:paraId="3BD251EC" w14:textId="77777777" w:rsidR="00F66D79" w:rsidRPr="004441A5" w:rsidRDefault="00F66D79" w:rsidP="00F66D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="Calibri"/>
                <w:szCs w:val="22"/>
                <w:lang w:val="ru-RU"/>
              </w:rPr>
            </w:pPr>
            <w:r w:rsidRPr="004441A5">
              <w:rPr>
                <w:rFonts w:cs="Calibri"/>
                <w:szCs w:val="22"/>
                <w:lang w:val="ru-RU"/>
              </w:rPr>
              <w:t xml:space="preserve">В нем освещаются виды деятельности, инициативы и мероприятия, организованные для укрепления потенциала членов МСЭ в области интеграции инноваций в области электросвязи/ИКТ, а также </w:t>
            </w:r>
            <w:r w:rsidRPr="00F66D79">
              <w:rPr>
                <w:rFonts w:cs="Calibri"/>
                <w:color w:val="000000"/>
                <w:szCs w:val="22"/>
                <w:lang w:val="ru-RU"/>
              </w:rPr>
              <w:t>цифровизации</w:t>
            </w:r>
            <w:r w:rsidRPr="004441A5">
              <w:rPr>
                <w:rFonts w:cs="Calibri"/>
                <w:szCs w:val="22"/>
                <w:lang w:val="ru-RU"/>
              </w:rPr>
              <w:t xml:space="preserve"> в свои национальные повестки дня в области развития, а также для развития человеческого и институционального потенциала, связанного с развитием экосистем цифровых инноваций.</w:t>
            </w:r>
          </w:p>
          <w:p w14:paraId="0E9D99F0" w14:textId="77777777" w:rsidR="00F66D79" w:rsidRPr="004441A5" w:rsidRDefault="00F66D79" w:rsidP="00F66D79">
            <w:pPr>
              <w:rPr>
                <w:rFonts w:cs="Calibri"/>
                <w:szCs w:val="22"/>
                <w:lang w:val="ru-RU"/>
              </w:rPr>
            </w:pPr>
            <w:r w:rsidRPr="004441A5">
              <w:rPr>
                <w:rFonts w:cs="Calibri"/>
                <w:color w:val="000000"/>
                <w:szCs w:val="22"/>
                <w:lang w:val="ru-RU"/>
              </w:rPr>
              <w:t xml:space="preserve">Работа Альянса </w:t>
            </w:r>
            <w:r w:rsidRPr="00F66D79">
              <w:rPr>
                <w:rFonts w:cs="Calibri"/>
                <w:szCs w:val="22"/>
                <w:lang w:val="ru-RU"/>
              </w:rPr>
              <w:t>основывается</w:t>
            </w:r>
            <w:r w:rsidRPr="004441A5">
              <w:rPr>
                <w:rFonts w:cs="Calibri"/>
                <w:color w:val="000000"/>
                <w:szCs w:val="22"/>
                <w:lang w:val="ru-RU"/>
              </w:rPr>
              <w:t xml:space="preserve"> на других видах деятельности МСЭ-D в рамках темы </w:t>
            </w:r>
            <w:hyperlink r:id="rId15" w:history="1">
              <w:r w:rsidRPr="004441A5">
                <w:rPr>
                  <w:rStyle w:val="Hyperlink"/>
                  <w:rFonts w:cs="Calibri"/>
                  <w:szCs w:val="22"/>
                  <w:lang w:val="ru-RU"/>
                </w:rPr>
                <w:t>экосистем цифровых инноваций</w:t>
              </w:r>
            </w:hyperlink>
            <w:r w:rsidRPr="004441A5">
              <w:rPr>
                <w:rFonts w:cs="Calibri"/>
                <w:color w:val="000000"/>
                <w:szCs w:val="22"/>
                <w:lang w:val="ru-RU"/>
              </w:rPr>
              <w:t xml:space="preserve">, таких как </w:t>
            </w:r>
            <w:hyperlink r:id="rId16" w:history="1">
              <w:r w:rsidRPr="004441A5">
                <w:rPr>
                  <w:rStyle w:val="Hyperlink"/>
                  <w:rFonts w:cs="Calibri"/>
                  <w:szCs w:val="22"/>
                  <w:lang w:val="ru-RU"/>
                </w:rPr>
                <w:t>профили цифровых инноваций</w:t>
              </w:r>
            </w:hyperlink>
            <w:r w:rsidRPr="004441A5">
              <w:rPr>
                <w:rFonts w:cs="Calibri"/>
                <w:color w:val="000000"/>
                <w:szCs w:val="22"/>
                <w:lang w:val="ru-RU"/>
              </w:rPr>
              <w:t xml:space="preserve">, мероприятия по созданию потенциала и </w:t>
            </w:r>
            <w:hyperlink r:id="rId17" w:history="1">
              <w:r w:rsidRPr="004441A5">
                <w:rPr>
                  <w:rStyle w:val="Hyperlink"/>
                  <w:rFonts w:cs="Calibri"/>
                  <w:szCs w:val="22"/>
                  <w:lang w:val="ru-RU"/>
                </w:rPr>
                <w:t>Глобальный форум по инновациям</w:t>
              </w:r>
            </w:hyperlink>
            <w:r w:rsidRPr="004441A5">
              <w:rPr>
                <w:rFonts w:cs="Calibri"/>
                <w:color w:val="000000"/>
                <w:szCs w:val="22"/>
                <w:lang w:val="ru-RU"/>
              </w:rPr>
              <w:t>, а также дополняет их.</w:t>
            </w:r>
            <w:hyperlink r:id="rId18" w:history="1"/>
            <w:hyperlink r:id="rId19" w:history="1"/>
            <w:hyperlink r:id="rId20" w:history="1"/>
          </w:p>
          <w:p w14:paraId="13DC39CC" w14:textId="77777777" w:rsidR="00342123" w:rsidRPr="00EE3A10" w:rsidRDefault="00BE2C32">
            <w:pPr>
              <w:rPr>
                <w:lang w:val="ru-RU"/>
              </w:rPr>
            </w:pPr>
            <w:r w:rsidRPr="00BE2C32">
              <w:rPr>
                <w:rFonts w:eastAsia="SimSun" w:cs="Dubai"/>
                <w:b/>
                <w:bCs/>
                <w:szCs w:val="22"/>
                <w:lang w:val="ru-RU"/>
              </w:rPr>
              <w:t>Ожидаемые</w:t>
            </w:r>
            <w:r w:rsidRPr="00EE3A10">
              <w:rPr>
                <w:rFonts w:eastAsia="SimSun" w:cs="Dubai"/>
                <w:b/>
                <w:bCs/>
                <w:szCs w:val="22"/>
                <w:lang w:val="ru-RU"/>
              </w:rPr>
              <w:t xml:space="preserve"> </w:t>
            </w:r>
            <w:r w:rsidRPr="00BE2C32">
              <w:rPr>
                <w:rFonts w:eastAsia="SimSun" w:cs="Dubai"/>
                <w:b/>
                <w:bCs/>
                <w:szCs w:val="22"/>
                <w:lang w:val="ru-RU"/>
              </w:rPr>
              <w:t>результаты</w:t>
            </w:r>
          </w:p>
          <w:p w14:paraId="21A5414C" w14:textId="77777777" w:rsidR="00F66D79" w:rsidRPr="004441A5" w:rsidRDefault="00F66D79" w:rsidP="00F66D79">
            <w:pPr>
              <w:spacing w:after="120"/>
              <w:rPr>
                <w:rFonts w:cs="Calibri"/>
                <w:szCs w:val="22"/>
                <w:lang w:val="ru-RU"/>
              </w:rPr>
            </w:pPr>
            <w:r w:rsidRPr="004441A5">
              <w:rPr>
                <w:rFonts w:cs="Calibri"/>
                <w:color w:val="000000"/>
                <w:szCs w:val="22"/>
                <w:lang w:val="ru-RU"/>
              </w:rPr>
              <w:t>ВКРЭ предлагается принять к сведению данный отчет и, в случае необходимости, предоставить руководящие указания.</w:t>
            </w:r>
          </w:p>
          <w:p w14:paraId="1D6D0344" w14:textId="540B1CAE" w:rsidR="00342123" w:rsidRPr="00BE2C32" w:rsidRDefault="00BE2C32">
            <w:pPr>
              <w:rPr>
                <w:lang w:val="ru-RU"/>
              </w:rPr>
            </w:pPr>
            <w:r w:rsidRPr="00BE2C32">
              <w:rPr>
                <w:rFonts w:eastAsia="SimSun" w:cs="Dubai"/>
                <w:b/>
                <w:bCs/>
                <w:szCs w:val="22"/>
                <w:lang w:val="ru-RU"/>
              </w:rPr>
              <w:t xml:space="preserve">Справочные </w:t>
            </w:r>
            <w:r w:rsidR="00B479CB" w:rsidRPr="00BE2C32">
              <w:rPr>
                <w:rFonts w:eastAsia="SimSun" w:cs="Dubai"/>
                <w:b/>
                <w:bCs/>
                <w:szCs w:val="22"/>
                <w:lang w:val="ru-RU"/>
              </w:rPr>
              <w:t>материалы</w:t>
            </w:r>
          </w:p>
          <w:p w14:paraId="695C6740" w14:textId="137F7AFC" w:rsidR="00F66D79" w:rsidRPr="00D87C04" w:rsidRDefault="00F66D79" w:rsidP="00F66D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/>
              <w:rPr>
                <w:rStyle w:val="Hyperlink"/>
              </w:rPr>
            </w:pPr>
            <w:hyperlink r:id="rId21" w:history="1">
              <w:r w:rsidRPr="00D87C04">
                <w:rPr>
                  <w:rStyle w:val="Hyperlink"/>
                </w:rPr>
                <w:t>Работа БРЭ в отношении Альянса инноваций и предпринимательства для целей цифрового развития</w:t>
              </w:r>
            </w:hyperlink>
          </w:p>
          <w:p w14:paraId="18F1F618" w14:textId="77777777" w:rsidR="00F66D79" w:rsidRPr="00D87C04" w:rsidRDefault="00F66D79" w:rsidP="00906D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/>
              <w:rPr>
                <w:rStyle w:val="Hyperlink"/>
                <w:lang w:val="ru-RU"/>
              </w:rPr>
            </w:pPr>
            <w:hyperlink r:id="rId22" w:history="1">
              <w:r w:rsidRPr="00D87C04">
                <w:rPr>
                  <w:rStyle w:val="Hyperlink"/>
                </w:rPr>
                <w:t>Работа БРЭ по вопросам экосистем цифровых инноваций</w:t>
              </w:r>
            </w:hyperlink>
          </w:p>
          <w:p w14:paraId="157AA327" w14:textId="5E75BBD4" w:rsidR="00F66D79" w:rsidRPr="004441A5" w:rsidRDefault="00F66D79" w:rsidP="00F66D79">
            <w:pPr>
              <w:spacing w:before="60"/>
              <w:rPr>
                <w:rStyle w:val="s22"/>
                <w:rFonts w:cs="Calibri"/>
                <w:color w:val="000000"/>
                <w:szCs w:val="22"/>
                <w:lang w:val="ru-RU"/>
              </w:rPr>
            </w:pPr>
            <w:r w:rsidRPr="004441A5">
              <w:rPr>
                <w:rFonts w:cs="Calibri"/>
                <w:color w:val="000000"/>
                <w:szCs w:val="22"/>
                <w:lang w:val="ru-RU"/>
              </w:rPr>
              <w:t>Резолюции 90, 89 и 85 (Пересм. Кигали, 2022 г.) ВКРЭ</w:t>
            </w:r>
            <w:hyperlink r:id="rId23" w:history="1"/>
            <w:hyperlink r:id="rId24" w:history="1"/>
            <w:hyperlink r:id="rId25" w:history="1"/>
          </w:p>
          <w:p w14:paraId="1CD1DDFF" w14:textId="1E23CCD5" w:rsidR="00F66D79" w:rsidRPr="00D87C04" w:rsidRDefault="00F66D79" w:rsidP="00F66D79">
            <w:pPr>
              <w:pStyle w:val="s21"/>
              <w:spacing w:before="60" w:beforeAutospacing="0" w:after="0" w:afterAutospacing="0"/>
              <w:rPr>
                <w:color w:val="000000"/>
                <w:lang w:val="ru-RU"/>
              </w:rPr>
            </w:pPr>
            <w:r w:rsidRPr="004441A5">
              <w:rPr>
                <w:color w:val="000000"/>
                <w:lang w:val="ru-RU"/>
              </w:rPr>
              <w:t>Региональный инициативы МСЭ AFR4, AMS3, ARB4, ASP4, CIS3, CIS5, EUR5</w:t>
            </w:r>
          </w:p>
          <w:p w14:paraId="7A2313E8" w14:textId="1E14C705" w:rsidR="00342123" w:rsidRPr="00D87C04" w:rsidRDefault="00F66D79" w:rsidP="005266BD">
            <w:pPr>
              <w:spacing w:before="60" w:after="120"/>
              <w:rPr>
                <w:sz w:val="24"/>
                <w:szCs w:val="24"/>
                <w:lang w:val="ru-RU"/>
              </w:rPr>
            </w:pPr>
            <w:r w:rsidRPr="004441A5">
              <w:rPr>
                <w:rFonts w:cs="Calibri"/>
                <w:color w:val="000000"/>
                <w:szCs w:val="22"/>
                <w:lang w:val="ru-RU"/>
              </w:rPr>
              <w:t>Резолюция 205 ПК; Стратегический план МСЭ (Резолюция 71 (Пересм. Бухарест, 2022 г.) ПК)</w:t>
            </w:r>
          </w:p>
        </w:tc>
      </w:tr>
    </w:tbl>
    <w:p w14:paraId="0645B249" w14:textId="77777777" w:rsidR="00362627" w:rsidRPr="0074774E" w:rsidRDefault="0046598E" w:rsidP="003A554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74774E">
        <w:rPr>
          <w:lang w:val="ru-RU"/>
        </w:rPr>
        <w:br w:type="page"/>
      </w:r>
    </w:p>
    <w:p w14:paraId="5920714E" w14:textId="6DF7F674" w:rsidR="00906D52" w:rsidRPr="004441A5" w:rsidRDefault="00D87C04" w:rsidP="00D87C04">
      <w:pPr>
        <w:pStyle w:val="Heading1"/>
        <w:rPr>
          <w:lang w:val="ru-RU"/>
        </w:rPr>
      </w:pPr>
      <w:r>
        <w:rPr>
          <w:lang w:val="en-US"/>
        </w:rPr>
        <w:lastRenderedPageBreak/>
        <w:t>1</w:t>
      </w:r>
      <w:r>
        <w:rPr>
          <w:lang w:val="en-US"/>
        </w:rPr>
        <w:tab/>
      </w:r>
      <w:r w:rsidR="00906D52" w:rsidRPr="004441A5">
        <w:rPr>
          <w:lang w:val="ru-RU"/>
        </w:rPr>
        <w:t>Базовая информация</w:t>
      </w:r>
    </w:p>
    <w:p w14:paraId="4CA7AAA8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>Альянс инноваций и предпринимательства для целей цифрового развития был учрежден 25 января 2023 года Директором БРЭ для удовлетворения значительных существующих потребностей Членов МСЭ в области инноваций, которые сформулированы в Кигалийском плане действий, принятом на Всемирной конференции по развитию электросвязи 2022 года (ВКРЭ-22), и в итоговых документах Полномочной конференции МСЭ 2022 года (ПК-22).</w:t>
      </w:r>
    </w:p>
    <w:p w14:paraId="574AC965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>Альянс ориентирован на создание "более справедливого цифрового будущего для всех" и достижение двух конечных результатов в рамках приоритетов МСЭ-D в области цифровой трансформации:</w:t>
      </w:r>
    </w:p>
    <w:p w14:paraId="6B1D03C7" w14:textId="06C2A82A" w:rsidR="00906D52" w:rsidRPr="004441A5" w:rsidRDefault="00D87C04" w:rsidP="00D87C04">
      <w:pPr>
        <w:pStyle w:val="enumlev1"/>
        <w:rPr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r w:rsidR="00906D52" w:rsidRPr="004441A5">
        <w:rPr>
          <w:lang w:val="ru-RU"/>
        </w:rPr>
        <w:t>Укрепление потенциала членов МСЭ для интеграции инноваций в области электросвязи/ИКТ и цифровизации в свои национальные повестки дня в сфере развития и для разработки стратегий содействия осуществлению ориентированных на инновации инициатив, в том числе путем формирования государственных, частных и государственно-частных партнерств.</w:t>
      </w:r>
    </w:p>
    <w:p w14:paraId="5326CC33" w14:textId="6AF7BB28" w:rsidR="00906D52" w:rsidRPr="004441A5" w:rsidRDefault="00D87C04" w:rsidP="00D87C04">
      <w:pPr>
        <w:pStyle w:val="enumlev1"/>
        <w:rPr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r w:rsidR="00906D52" w:rsidRPr="004441A5">
        <w:rPr>
          <w:lang w:val="ru-RU"/>
        </w:rPr>
        <w:t>Укрепление человеческого и институционального потенциала членов МСЭ в области электросвязи/ИКТ для содействия цифровой трансформации.</w:t>
      </w:r>
    </w:p>
    <w:p w14:paraId="12749161" w14:textId="77777777" w:rsidR="00906D52" w:rsidRPr="004441A5" w:rsidRDefault="00906D52" w:rsidP="00906D52">
      <w:pPr>
        <w:pStyle w:val="Body"/>
        <w:spacing w:before="120" w:after="120" w:line="240" w:lineRule="auto"/>
        <w:rPr>
          <w:rFonts w:cs="Calibri"/>
          <w:sz w:val="22"/>
          <w:szCs w:val="22"/>
          <w:lang w:val="ru-RU"/>
        </w:rPr>
      </w:pPr>
      <w:r w:rsidRPr="004441A5">
        <w:rPr>
          <w:rFonts w:cs="Calibri"/>
          <w:sz w:val="22"/>
          <w:szCs w:val="22"/>
          <w:lang w:val="ru-RU"/>
        </w:rPr>
        <w:t>Деятельность Альянса согласуется со следующими документами:</w:t>
      </w:r>
    </w:p>
    <w:p w14:paraId="1CF9E958" w14:textId="3CD3D6F5" w:rsidR="00906D52" w:rsidRPr="004441A5" w:rsidRDefault="00D87C04" w:rsidP="00D87C04">
      <w:pPr>
        <w:pStyle w:val="enumlev1"/>
        <w:rPr>
          <w:rFonts w:cs="Calibri"/>
          <w:szCs w:val="22"/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r w:rsidR="00906D52" w:rsidRPr="004441A5">
        <w:rPr>
          <w:rFonts w:cs="Calibri"/>
          <w:szCs w:val="22"/>
          <w:lang w:val="ru-RU"/>
        </w:rPr>
        <w:t>Резолюции 90, 89 и 85 (Кигали, 2022 г.) ВКРЭ, содержащие четкие указания относительно роли инноваций в цифровой трансформации общества;</w:t>
      </w:r>
    </w:p>
    <w:p w14:paraId="3A7983CD" w14:textId="25EA3E5C" w:rsidR="00906D52" w:rsidRPr="004441A5" w:rsidRDefault="00D87C04" w:rsidP="00D87C04">
      <w:pPr>
        <w:pStyle w:val="enumlev1"/>
        <w:rPr>
          <w:rFonts w:cs="Calibri"/>
          <w:szCs w:val="22"/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r w:rsidR="00906D52" w:rsidRPr="004441A5">
        <w:rPr>
          <w:rFonts w:cs="Calibri"/>
          <w:szCs w:val="22"/>
          <w:lang w:val="ru-RU"/>
        </w:rPr>
        <w:t xml:space="preserve">региональные инициативы МСЭ для всех регионов, в которых содержится призыв уделять </w:t>
      </w:r>
      <w:r w:rsidR="00906D52" w:rsidRPr="00D87C04">
        <w:rPr>
          <w:lang w:val="ru-RU"/>
        </w:rPr>
        <w:t>больше</w:t>
      </w:r>
      <w:r w:rsidR="00906D52" w:rsidRPr="004441A5">
        <w:rPr>
          <w:rFonts w:cs="Calibri"/>
          <w:szCs w:val="22"/>
          <w:lang w:val="ru-RU"/>
        </w:rPr>
        <w:t xml:space="preserve"> внимание этой области;</w:t>
      </w:r>
    </w:p>
    <w:p w14:paraId="62C2171A" w14:textId="26672298" w:rsidR="00906D52" w:rsidRPr="004441A5" w:rsidRDefault="00D87C04" w:rsidP="00D87C04">
      <w:pPr>
        <w:pStyle w:val="enumlev1"/>
        <w:rPr>
          <w:rFonts w:cs="Calibri"/>
          <w:szCs w:val="22"/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r w:rsidR="00906D52" w:rsidRPr="004441A5">
        <w:rPr>
          <w:rFonts w:cs="Calibri"/>
          <w:szCs w:val="22"/>
          <w:lang w:val="ru-RU"/>
        </w:rPr>
        <w:t xml:space="preserve">Резолюция 205 (Пересм. Бухарест, 2022 г.) ПК о содействии ориентированным на ИКТ </w:t>
      </w:r>
      <w:r w:rsidR="00906D52" w:rsidRPr="00D87C04">
        <w:rPr>
          <w:lang w:val="ru-RU"/>
        </w:rPr>
        <w:t>инновациям</w:t>
      </w:r>
      <w:r w:rsidR="00906D52" w:rsidRPr="004441A5">
        <w:rPr>
          <w:rFonts w:cs="Calibri"/>
          <w:szCs w:val="22"/>
          <w:lang w:val="ru-RU"/>
        </w:rPr>
        <w:t xml:space="preserve"> для поддержки цифровой экономики и цифрового общества, в которой подтверждается ведущая роль БРЭ в инновациях для целей цифрового развития;</w:t>
      </w:r>
    </w:p>
    <w:p w14:paraId="4AFD3329" w14:textId="5DA6EC85" w:rsidR="00906D52" w:rsidRPr="004441A5" w:rsidRDefault="00D87C04" w:rsidP="00D87C04">
      <w:pPr>
        <w:pStyle w:val="enumlev1"/>
        <w:rPr>
          <w:rFonts w:cs="Calibri"/>
          <w:szCs w:val="22"/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r w:rsidR="00906D52" w:rsidRPr="004441A5">
        <w:rPr>
          <w:rFonts w:cs="Calibri"/>
          <w:szCs w:val="22"/>
          <w:lang w:val="ru-RU"/>
        </w:rPr>
        <w:t>Стратегический план МСЭ (Резолюция 71 (Пересм. Бухарест, 2022 г.) ПК).</w:t>
      </w:r>
    </w:p>
    <w:p w14:paraId="6EA08941" w14:textId="1DAFE340" w:rsidR="00906D52" w:rsidRPr="00D87C04" w:rsidRDefault="00906D52" w:rsidP="00D87C04">
      <w:pPr>
        <w:rPr>
          <w:lang w:val="en-US"/>
        </w:rPr>
      </w:pPr>
      <w:r w:rsidRPr="004441A5">
        <w:rPr>
          <w:b/>
          <w:bCs/>
          <w:lang w:val="ru-RU"/>
        </w:rPr>
        <w:t>Концепция Альянса</w:t>
      </w:r>
      <w:r w:rsidRPr="00D87C04">
        <w:rPr>
          <w:lang w:val="ru-RU"/>
        </w:rPr>
        <w:t xml:space="preserve"> </w:t>
      </w:r>
      <w:r w:rsidRPr="004441A5">
        <w:rPr>
          <w:lang w:val="ru-RU"/>
        </w:rPr>
        <w:t>заключается в "предоставлении Членам МСЭ-D новых, более устойчивых и ориентированных на будущее подходов, с тем чтобы обеспечить возможность свободного развития в цифровом мире, который становится все более изменчивым, неопределенным, сложным и неоднозначным, и добиться конечных результатов, определенных в Кигалийском плане действий".</w:t>
      </w:r>
    </w:p>
    <w:p w14:paraId="1FBE68E5" w14:textId="7FADC71E" w:rsidR="00906D52" w:rsidRPr="00D87C04" w:rsidRDefault="00906D52" w:rsidP="00D87C04">
      <w:pPr>
        <w:rPr>
          <w:lang w:val="en-US"/>
        </w:rPr>
      </w:pPr>
      <w:r w:rsidRPr="004441A5">
        <w:rPr>
          <w:b/>
          <w:bCs/>
          <w:lang w:val="ru-RU"/>
        </w:rPr>
        <w:t>Миссия Альянса</w:t>
      </w:r>
      <w:r w:rsidRPr="004441A5">
        <w:rPr>
          <w:lang w:val="ru-RU"/>
        </w:rPr>
        <w:t xml:space="preserve"> предполагает "сокращение разрыва в области цифровых инноваций и расширение возможностей членов МСЭ-D по преодолению трудностей в процессе цифровой трансформации, а также ускорение воздействия своих экосистем на имеющие междисциплинарный характер секторы в интересах открытого для всех и устойчивого общества".</w:t>
      </w:r>
    </w:p>
    <w:p w14:paraId="66CACA6B" w14:textId="77777777" w:rsidR="00906D52" w:rsidRPr="004441A5" w:rsidRDefault="00906D52" w:rsidP="00D87C04">
      <w:pPr>
        <w:spacing w:after="120"/>
        <w:rPr>
          <w:lang w:val="ru-RU"/>
        </w:rPr>
      </w:pPr>
      <w:r w:rsidRPr="004441A5">
        <w:rPr>
          <w:lang w:val="ru-RU"/>
        </w:rPr>
        <w:t>Альянс оказывает поддержку странам в создании местного потенциала в области инноваций и предпринимательства для достижения пяти стратегических целей: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6321"/>
      </w:tblGrid>
      <w:tr w:rsidR="00906D52" w:rsidRPr="00D87C04" w14:paraId="1A086CDC" w14:textId="77777777" w:rsidTr="004E017A">
        <w:tc>
          <w:tcPr>
            <w:tcW w:w="2695" w:type="dxa"/>
          </w:tcPr>
          <w:p w14:paraId="0CC451AD" w14:textId="77777777" w:rsidR="00906D52" w:rsidRPr="004441A5" w:rsidRDefault="00906D52" w:rsidP="00D87C04">
            <w:pPr>
              <w:spacing w:before="40" w:after="40"/>
              <w:rPr>
                <w:rFonts w:cs="Calibri"/>
                <w:b/>
                <w:bCs/>
                <w:szCs w:val="22"/>
                <w:lang w:val="ru-RU"/>
              </w:rPr>
            </w:pPr>
            <w:r w:rsidRPr="004441A5">
              <w:rPr>
                <w:rFonts w:cs="Calibri"/>
                <w:b/>
                <w:bCs/>
                <w:color w:val="000000"/>
                <w:szCs w:val="22"/>
                <w:lang w:val="ru-RU"/>
              </w:rPr>
              <w:t>Обеспечение готовности к исследованию тенденций</w:t>
            </w:r>
          </w:p>
        </w:tc>
        <w:tc>
          <w:tcPr>
            <w:tcW w:w="6321" w:type="dxa"/>
          </w:tcPr>
          <w:p w14:paraId="627E156A" w14:textId="77777777" w:rsidR="00906D52" w:rsidRPr="004441A5" w:rsidRDefault="00906D52" w:rsidP="00D87C04">
            <w:pPr>
              <w:spacing w:before="40" w:after="40"/>
              <w:rPr>
                <w:rFonts w:cs="Calibri"/>
                <w:szCs w:val="22"/>
                <w:lang w:val="ru-RU"/>
              </w:rPr>
            </w:pPr>
            <w:r w:rsidRPr="004441A5">
              <w:rPr>
                <w:rFonts w:cs="Calibri"/>
                <w:color w:val="000000"/>
                <w:szCs w:val="22"/>
                <w:lang w:val="ru-RU"/>
              </w:rPr>
              <w:t>Позволяет странам занимать передовые позиции и использовать динамику развития технологий, политики и инноваций.</w:t>
            </w:r>
          </w:p>
        </w:tc>
      </w:tr>
      <w:tr w:rsidR="00906D52" w:rsidRPr="00D87C04" w14:paraId="28547050" w14:textId="77777777" w:rsidTr="004E017A">
        <w:tc>
          <w:tcPr>
            <w:tcW w:w="2695" w:type="dxa"/>
          </w:tcPr>
          <w:p w14:paraId="5044F63C" w14:textId="77777777" w:rsidR="00906D52" w:rsidRPr="004441A5" w:rsidRDefault="00906D52" w:rsidP="00D87C04">
            <w:pPr>
              <w:spacing w:before="40" w:after="40"/>
              <w:rPr>
                <w:rFonts w:cs="Calibri"/>
                <w:b/>
                <w:bCs/>
                <w:szCs w:val="22"/>
                <w:lang w:val="ru-RU"/>
              </w:rPr>
            </w:pPr>
            <w:r w:rsidRPr="004441A5">
              <w:rPr>
                <w:rFonts w:cs="Calibri"/>
                <w:b/>
                <w:bCs/>
                <w:color w:val="000000"/>
                <w:szCs w:val="22"/>
                <w:lang w:val="ru-RU"/>
              </w:rPr>
              <w:t>Внедрение открытых технологических инноваций</w:t>
            </w:r>
          </w:p>
        </w:tc>
        <w:tc>
          <w:tcPr>
            <w:tcW w:w="6321" w:type="dxa"/>
          </w:tcPr>
          <w:p w14:paraId="00A72C20" w14:textId="77777777" w:rsidR="00906D52" w:rsidRPr="004441A5" w:rsidRDefault="00906D52" w:rsidP="00D87C04">
            <w:pPr>
              <w:spacing w:before="40" w:after="40"/>
              <w:rPr>
                <w:rFonts w:cs="Calibri"/>
                <w:szCs w:val="22"/>
                <w:lang w:val="ru-RU"/>
              </w:rPr>
            </w:pPr>
            <w:r w:rsidRPr="004441A5">
              <w:rPr>
                <w:rFonts w:cs="Calibri"/>
                <w:color w:val="000000"/>
                <w:szCs w:val="22"/>
                <w:lang w:val="ru-RU"/>
              </w:rPr>
              <w:t>Превращает технологические знания в глобальное достояние благодаря механизмам открытых инноваций и участия многих заинтересованных сторон, ускоряя доступ к появляющимся технологиям для всех.</w:t>
            </w:r>
          </w:p>
        </w:tc>
      </w:tr>
      <w:tr w:rsidR="00906D52" w:rsidRPr="00D87C04" w14:paraId="753A1218" w14:textId="77777777" w:rsidTr="004E017A">
        <w:tc>
          <w:tcPr>
            <w:tcW w:w="2695" w:type="dxa"/>
          </w:tcPr>
          <w:p w14:paraId="4A6578BE" w14:textId="77777777" w:rsidR="00906D52" w:rsidRPr="004441A5" w:rsidRDefault="00906D52" w:rsidP="00D87C04">
            <w:pPr>
              <w:spacing w:before="40" w:after="40"/>
              <w:rPr>
                <w:rFonts w:cs="Calibri"/>
                <w:b/>
                <w:bCs/>
                <w:szCs w:val="22"/>
                <w:lang w:val="ru-RU"/>
              </w:rPr>
            </w:pPr>
            <w:r w:rsidRPr="004441A5">
              <w:rPr>
                <w:rFonts w:cs="Calibri"/>
                <w:b/>
                <w:bCs/>
                <w:color w:val="000000"/>
                <w:szCs w:val="22"/>
                <w:lang w:val="ru-RU"/>
              </w:rPr>
              <w:t>Рост предпринимательства и МСП</w:t>
            </w:r>
          </w:p>
        </w:tc>
        <w:tc>
          <w:tcPr>
            <w:tcW w:w="6321" w:type="dxa"/>
          </w:tcPr>
          <w:p w14:paraId="31D5E189" w14:textId="77777777" w:rsidR="00906D52" w:rsidRPr="004441A5" w:rsidRDefault="00906D52" w:rsidP="00D87C04">
            <w:pPr>
              <w:spacing w:before="40" w:after="40"/>
              <w:rPr>
                <w:rFonts w:cs="Calibri"/>
                <w:szCs w:val="22"/>
                <w:lang w:val="ru-RU"/>
              </w:rPr>
            </w:pPr>
            <w:r w:rsidRPr="004441A5">
              <w:rPr>
                <w:rFonts w:cs="Calibri"/>
                <w:color w:val="000000"/>
                <w:szCs w:val="22"/>
                <w:lang w:val="ru-RU"/>
              </w:rPr>
              <w:t xml:space="preserve">Ускоряет развитие предпринимательства на базе цифровых инноваций и предоставление возможностей для перспективных </w:t>
            </w:r>
            <w:r w:rsidRPr="004441A5">
              <w:rPr>
                <w:rFonts w:cs="Calibri"/>
                <w:color w:val="000000"/>
                <w:szCs w:val="22"/>
                <w:lang w:val="ru-RU"/>
              </w:rPr>
              <w:lastRenderedPageBreak/>
              <w:t>специалистов для достижения социально-экономической интеграции в своих сообществах.</w:t>
            </w:r>
          </w:p>
        </w:tc>
      </w:tr>
      <w:tr w:rsidR="00906D52" w:rsidRPr="00D87C04" w14:paraId="6C0842A7" w14:textId="77777777" w:rsidTr="004E017A">
        <w:tc>
          <w:tcPr>
            <w:tcW w:w="2695" w:type="dxa"/>
          </w:tcPr>
          <w:p w14:paraId="4FD50DF1" w14:textId="77777777" w:rsidR="00906D52" w:rsidRPr="004441A5" w:rsidRDefault="00906D52" w:rsidP="00D87C04">
            <w:pPr>
              <w:spacing w:before="40" w:after="40"/>
              <w:rPr>
                <w:rFonts w:cs="Calibri"/>
                <w:b/>
                <w:bCs/>
                <w:szCs w:val="22"/>
                <w:lang w:val="ru-RU"/>
              </w:rPr>
            </w:pPr>
            <w:r w:rsidRPr="004441A5">
              <w:rPr>
                <w:rFonts w:cs="Calibri"/>
                <w:b/>
                <w:bCs/>
                <w:color w:val="000000"/>
                <w:szCs w:val="22"/>
                <w:lang w:val="ru-RU"/>
              </w:rPr>
              <w:lastRenderedPageBreak/>
              <w:t>Проведение экспериментов в области политики</w:t>
            </w:r>
          </w:p>
        </w:tc>
        <w:tc>
          <w:tcPr>
            <w:tcW w:w="6321" w:type="dxa"/>
          </w:tcPr>
          <w:p w14:paraId="3B84ADB1" w14:textId="77777777" w:rsidR="00906D52" w:rsidRPr="004441A5" w:rsidRDefault="00906D52" w:rsidP="00D87C04">
            <w:pPr>
              <w:spacing w:before="40" w:after="40"/>
              <w:rPr>
                <w:rFonts w:cs="Calibri"/>
                <w:szCs w:val="22"/>
                <w:lang w:val="ru-RU"/>
              </w:rPr>
            </w:pPr>
            <w:r w:rsidRPr="004441A5">
              <w:rPr>
                <w:rFonts w:cs="Calibri"/>
                <w:color w:val="000000"/>
                <w:szCs w:val="22"/>
                <w:lang w:val="ru-RU"/>
              </w:rPr>
              <w:t>Позволяет разрабатывать гибкую политику и предоставлять заинтересованным сторонам безопасное пространство для экспериментов, что поощряет инновации и содействует привлечению инвестиций в цифровую экосистему.</w:t>
            </w:r>
          </w:p>
        </w:tc>
      </w:tr>
      <w:tr w:rsidR="00906D52" w:rsidRPr="00D87C04" w14:paraId="4A8522ED" w14:textId="77777777" w:rsidTr="004E017A">
        <w:tc>
          <w:tcPr>
            <w:tcW w:w="2695" w:type="dxa"/>
          </w:tcPr>
          <w:p w14:paraId="13F1FB54" w14:textId="77777777" w:rsidR="00906D52" w:rsidRPr="004441A5" w:rsidRDefault="00906D52" w:rsidP="00D87C04">
            <w:pPr>
              <w:spacing w:before="40" w:after="40"/>
              <w:rPr>
                <w:rFonts w:cs="Calibri"/>
                <w:b/>
                <w:bCs/>
                <w:szCs w:val="22"/>
                <w:lang w:val="ru-RU"/>
              </w:rPr>
            </w:pPr>
            <w:r w:rsidRPr="004441A5">
              <w:rPr>
                <w:rFonts w:cs="Calibri"/>
                <w:b/>
                <w:bCs/>
                <w:color w:val="000000"/>
                <w:szCs w:val="22"/>
                <w:lang w:val="ru-RU"/>
              </w:rPr>
              <w:t>Ускорение реализации инициатив в области экосистем</w:t>
            </w:r>
          </w:p>
        </w:tc>
        <w:tc>
          <w:tcPr>
            <w:tcW w:w="6321" w:type="dxa"/>
          </w:tcPr>
          <w:p w14:paraId="45438654" w14:textId="77777777" w:rsidR="00906D52" w:rsidRPr="004441A5" w:rsidRDefault="00906D52" w:rsidP="00D87C04">
            <w:pPr>
              <w:spacing w:before="40" w:after="40"/>
              <w:rPr>
                <w:rFonts w:cs="Calibri"/>
                <w:szCs w:val="22"/>
                <w:lang w:val="ru-RU"/>
              </w:rPr>
            </w:pPr>
            <w:r w:rsidRPr="004441A5">
              <w:rPr>
                <w:rFonts w:cs="Calibri"/>
                <w:color w:val="000000"/>
                <w:szCs w:val="22"/>
                <w:lang w:val="ru-RU"/>
              </w:rPr>
              <w:t>Содействует сотрудничеству и синергии, которые способствуют масштабированию цифровых инноваций и созданию ценности имеющих междисциплинарный характер секторов для конкурентоспособной цифровой экономики.</w:t>
            </w:r>
          </w:p>
        </w:tc>
      </w:tr>
    </w:tbl>
    <w:p w14:paraId="7099B2D7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 xml:space="preserve">Альянс – это представленная в 2023 году </w:t>
      </w:r>
      <w:r w:rsidRPr="004441A5">
        <w:rPr>
          <w:b/>
          <w:bCs/>
          <w:lang w:val="ru-RU"/>
        </w:rPr>
        <w:t>глобальная инициатива</w:t>
      </w:r>
      <w:r w:rsidRPr="004441A5">
        <w:rPr>
          <w:lang w:val="ru-RU"/>
        </w:rPr>
        <w:t xml:space="preserve"> по оказанию поддержки странам в преодолении трудностей и использовании возможностей, связанных с быстро меняющейся технологической и глобальной средой. </w:t>
      </w:r>
    </w:p>
    <w:p w14:paraId="536ECCA7" w14:textId="2659A143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 xml:space="preserve">Работа Альянса осуществляет при помощи </w:t>
      </w:r>
      <w:r w:rsidRPr="004441A5">
        <w:rPr>
          <w:b/>
          <w:bCs/>
          <w:lang w:val="ru-RU"/>
        </w:rPr>
        <w:t>трех основных механизмов</w:t>
      </w:r>
      <w:r w:rsidRPr="004441A5">
        <w:rPr>
          <w:lang w:val="ru-RU"/>
        </w:rPr>
        <w:t>:</w:t>
      </w:r>
    </w:p>
    <w:p w14:paraId="5CAE07E5" w14:textId="63360A4D" w:rsidR="00906D52" w:rsidRPr="004441A5" w:rsidRDefault="00D87C04" w:rsidP="00D87C04">
      <w:pPr>
        <w:pStyle w:val="enumlev1"/>
        <w:rPr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r w:rsidR="00906D52" w:rsidRPr="004441A5">
        <w:rPr>
          <w:b/>
          <w:bCs/>
          <w:lang w:val="ru-RU"/>
        </w:rPr>
        <w:t>Исполнительный совет по цифровым инновациям</w:t>
      </w:r>
      <w:r w:rsidR="00906D52" w:rsidRPr="004441A5">
        <w:rPr>
          <w:lang w:val="ru-RU"/>
        </w:rPr>
        <w:t xml:space="preserve"> обеспечивает стратегическое руководство, с тем чтобы деятельность Альянса соответствовала приоритетам и планам действий МСЭ-D. Он занимается вопросами информационно-пропагандистской деятельности на высоком уровне и отслеживает прогресс в важнейших областях, поддерживая глобальный диалог и партнерства для содействия открытым для всех цифровым инновациям и предпринимательству.</w:t>
      </w:r>
    </w:p>
    <w:p w14:paraId="1B71C53E" w14:textId="0F3A9812" w:rsidR="00906D52" w:rsidRPr="004441A5" w:rsidRDefault="00D87C04" w:rsidP="00D87C04">
      <w:pPr>
        <w:pStyle w:val="enumlev1"/>
        <w:rPr>
          <w:rFonts w:cs="Calibri"/>
          <w:szCs w:val="22"/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r w:rsidR="00906D52" w:rsidRPr="004441A5">
        <w:rPr>
          <w:rFonts w:cs="Calibri"/>
          <w:b/>
          <w:bCs/>
          <w:szCs w:val="22"/>
          <w:lang w:val="ru-RU"/>
        </w:rPr>
        <w:t>Лаборатория цифровой трансформации</w:t>
      </w:r>
      <w:r w:rsidR="00906D52" w:rsidRPr="004441A5">
        <w:rPr>
          <w:rFonts w:cs="Calibri"/>
          <w:szCs w:val="22"/>
          <w:lang w:val="ru-RU"/>
        </w:rPr>
        <w:t xml:space="preserve"> – виртуальный центр для наращивания инновационного потенциала. В рамках Лаборатории разрабатываются программы знаний и </w:t>
      </w:r>
      <w:r w:rsidR="00906D52" w:rsidRPr="00D87C04">
        <w:rPr>
          <w:lang w:val="ru-RU"/>
        </w:rPr>
        <w:t>оказывается</w:t>
      </w:r>
      <w:r w:rsidR="00906D52" w:rsidRPr="004441A5">
        <w:rPr>
          <w:rFonts w:cs="Calibri"/>
          <w:szCs w:val="22"/>
          <w:lang w:val="ru-RU"/>
        </w:rPr>
        <w:t xml:space="preserve"> поддержка в проектировании и укреплении центров ускорения МСЭ; и </w:t>
      </w:r>
    </w:p>
    <w:p w14:paraId="76A8A852" w14:textId="55E8B59E" w:rsidR="00906D52" w:rsidRPr="004441A5" w:rsidRDefault="00D87C04" w:rsidP="00D87C04">
      <w:pPr>
        <w:pStyle w:val="enumlev1"/>
        <w:rPr>
          <w:rFonts w:cs="Calibri"/>
          <w:szCs w:val="22"/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r w:rsidR="00906D52" w:rsidRPr="004441A5">
        <w:rPr>
          <w:rFonts w:cs="Calibri"/>
          <w:b/>
          <w:bCs/>
          <w:szCs w:val="22"/>
          <w:lang w:val="ru-RU"/>
        </w:rPr>
        <w:t>Центры ускорения МСЭ</w:t>
      </w:r>
      <w:r w:rsidR="00906D52" w:rsidRPr="004441A5">
        <w:rPr>
          <w:rFonts w:cs="Calibri"/>
          <w:szCs w:val="22"/>
          <w:lang w:val="ru-RU"/>
        </w:rPr>
        <w:t xml:space="preserve"> – сеть национальных центров, которая укрепляет глобальные, региональные и национальные инновационные экосистемы. Она помогает странам </w:t>
      </w:r>
      <w:r w:rsidR="00906D52" w:rsidRPr="00D87C04">
        <w:rPr>
          <w:lang w:val="ru-RU"/>
        </w:rPr>
        <w:t>использовать</w:t>
      </w:r>
      <w:r w:rsidR="00906D52" w:rsidRPr="004441A5">
        <w:rPr>
          <w:rFonts w:cs="Calibri"/>
          <w:szCs w:val="22"/>
          <w:lang w:val="ru-RU"/>
        </w:rPr>
        <w:t xml:space="preserve"> технологии, политику и флагманские инициативы при интеграции инноваций в сфере ИКТ в национальные программы развития и содействии предпринимательской деятельности, что ускоряет цифровую трансформацию.</w:t>
      </w:r>
    </w:p>
    <w:p w14:paraId="3F4E58F6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>Совместно эти механизмы предоставляют членам МСЭ продукты и услуги, которые помогают им быть более гибкими, лучше адаптироваться к развивающейся цифровой среде и использовать ее преимущества.</w:t>
      </w:r>
    </w:p>
    <w:p w14:paraId="3BB7A2EB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>Уникальное преимущество, предлагаемое Альянсом, заключается в его сети центров и архитектур, которые предоставляют странам новые механизмы или платформы для государственных, частных и государственно-частных партнерств с ресурсами, знаниями и возможностями в области цифровых инноваций.</w:t>
      </w:r>
    </w:p>
    <w:p w14:paraId="0EF1EB23" w14:textId="23F80897" w:rsidR="00906D52" w:rsidRPr="004441A5" w:rsidRDefault="00D87C04" w:rsidP="00D87C04">
      <w:pPr>
        <w:pStyle w:val="Heading1"/>
        <w:rPr>
          <w:lang w:val="ru-RU"/>
        </w:rPr>
      </w:pPr>
      <w:r>
        <w:rPr>
          <w:lang w:val="en-US"/>
        </w:rPr>
        <w:t>2</w:t>
      </w:r>
      <w:r>
        <w:rPr>
          <w:lang w:val="en-US"/>
        </w:rPr>
        <w:tab/>
      </w:r>
      <w:r w:rsidR="00906D52" w:rsidRPr="004441A5">
        <w:rPr>
          <w:lang w:val="ru-RU"/>
        </w:rPr>
        <w:t>Основные направления работы</w:t>
      </w:r>
    </w:p>
    <w:p w14:paraId="71D6686A" w14:textId="77777777" w:rsidR="00906D52" w:rsidRPr="004441A5" w:rsidRDefault="00906D52" w:rsidP="00906D52">
      <w:pPr>
        <w:pStyle w:val="Body"/>
        <w:spacing w:before="120" w:after="120" w:line="240" w:lineRule="auto"/>
        <w:rPr>
          <w:rFonts w:cs="Calibri"/>
          <w:sz w:val="22"/>
          <w:szCs w:val="22"/>
          <w:lang w:val="ru-RU"/>
        </w:rPr>
      </w:pPr>
      <w:r w:rsidRPr="004441A5">
        <w:rPr>
          <w:rFonts w:cs="Calibri"/>
          <w:sz w:val="22"/>
          <w:szCs w:val="22"/>
          <w:lang w:val="ru-RU"/>
        </w:rPr>
        <w:t>В период с 2023 по 2025 год БРЭ осуществляло основные виды деятельности по обеспечению функционирования Альянса, что позволяло странам пользоваться его воздействием, в соответствии с приоритетом МСЭ-D в области цифровой трансформации.</w:t>
      </w:r>
    </w:p>
    <w:p w14:paraId="4970AE62" w14:textId="0C6EB071" w:rsidR="00906D52" w:rsidRPr="00414AC1" w:rsidRDefault="00906D52" w:rsidP="00906D52">
      <w:pPr>
        <w:pStyle w:val="Body"/>
        <w:spacing w:before="120" w:after="120" w:line="240" w:lineRule="auto"/>
        <w:rPr>
          <w:rFonts w:cs="Calibri"/>
          <w:sz w:val="22"/>
          <w:szCs w:val="22"/>
          <w:lang w:val="en-US"/>
        </w:rPr>
      </w:pPr>
      <w:r w:rsidRPr="004441A5">
        <w:rPr>
          <w:rFonts w:cs="Calibri"/>
          <w:sz w:val="22"/>
          <w:szCs w:val="22"/>
          <w:lang w:val="ru-RU"/>
        </w:rPr>
        <w:t>Ниже приведены некоторые обновленные сведения о механизмах, продуктах и услугах, предлагаемых Альянсом.</w:t>
      </w:r>
    </w:p>
    <w:p w14:paraId="02DEB375" w14:textId="427A0F8E" w:rsidR="00906D52" w:rsidRPr="00D87C04" w:rsidRDefault="00D87C04" w:rsidP="00D87C04">
      <w:pPr>
        <w:pStyle w:val="Headingb"/>
        <w:rPr>
          <w:lang w:val="ru-RU"/>
        </w:rPr>
      </w:pPr>
      <w:r>
        <w:t>a</w:t>
      </w:r>
      <w:r w:rsidRPr="00D87C04">
        <w:rPr>
          <w:lang w:val="ru-RU"/>
        </w:rPr>
        <w:t>)</w:t>
      </w:r>
      <w:r w:rsidRPr="00D87C04">
        <w:rPr>
          <w:lang w:val="ru-RU"/>
        </w:rPr>
        <w:tab/>
      </w:r>
      <w:r w:rsidR="00906D52" w:rsidRPr="00D87C04">
        <w:rPr>
          <w:lang w:val="ru-RU"/>
        </w:rPr>
        <w:t>Исполнительный совет по цифровым инновациям</w:t>
      </w:r>
    </w:p>
    <w:p w14:paraId="3497386A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 xml:space="preserve">Исполнительный совет по цифровым инновациям руководит деятельностью Альянса и обеспечивает эффективность, подотчетность и прогресс в работе Альянса в отношении плана действий ВКРЭ, </w:t>
      </w:r>
      <w:r w:rsidRPr="004441A5">
        <w:rPr>
          <w:lang w:val="ru-RU"/>
        </w:rPr>
        <w:lastRenderedPageBreak/>
        <w:t xml:space="preserve">одновременно содействуя информационно-разъяснительной деятельности на высоком уровне и представляя отчетность и результатах, достигнутых по ключевым направлениям работы, направленной на достижение целей. </w:t>
      </w:r>
    </w:p>
    <w:p w14:paraId="285C1B18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 xml:space="preserve">В состав Совета входят авторитетные специалисты, действующих в своем личном качестве и следящие за тем, чтобы Альянс руководствовался целями и стратегическими планами МСЭ и мандатом БРЭ. Состав Совета разнообразен, и члены работают на безвозмездной основе и покрывают свои расходы на участие в собраниях Совета самостоятельно. По состоянию на октябрь 2025 года членами Совета по цифровым инновациям являются </w:t>
      </w:r>
      <w:hyperlink r:id="rId26" w:history="1">
        <w:r w:rsidRPr="004441A5">
          <w:rPr>
            <w:rStyle w:val="Hyperlink"/>
            <w:rFonts w:cs="Calibri"/>
            <w:szCs w:val="22"/>
            <w:lang w:val="ru-RU"/>
          </w:rPr>
          <w:t>36 выдающихся деятелей</w:t>
        </w:r>
      </w:hyperlink>
      <w:r w:rsidRPr="004441A5">
        <w:rPr>
          <w:lang w:val="ru-RU"/>
        </w:rPr>
        <w:t xml:space="preserve">. </w:t>
      </w:r>
    </w:p>
    <w:p w14:paraId="7088375D" w14:textId="77777777" w:rsidR="00906D52" w:rsidRPr="004441A5" w:rsidRDefault="00906D52" w:rsidP="00D87C04">
      <w:pPr>
        <w:rPr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441A5">
        <w:rPr>
          <w:lang w:val="ru-RU"/>
        </w:rPr>
        <w:t>Члены Совета принимают активное участие в работе собраний, делятся своим опытом, предлагают инициативы на будущее, выражают поддержку проектам Альянса, предлагают реально осуществимые действия, направленные на достижение прогресса и подтверждают свою приверженность реализации мандата МСЭ.</w:t>
      </w:r>
    </w:p>
    <w:p w14:paraId="34C0EE36" w14:textId="284A19E0" w:rsidR="00906D52" w:rsidRPr="004441A5" w:rsidRDefault="00906D52" w:rsidP="00D87C04">
      <w:pPr>
        <w:rPr>
          <w:rFonts w:cs="Calibri"/>
          <w:szCs w:val="22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441A5">
        <w:rPr>
          <w:rFonts w:cs="Calibri"/>
          <w:szCs w:val="22"/>
          <w:lang w:val="ru-RU"/>
        </w:rPr>
        <w:t xml:space="preserve">Первое </w:t>
      </w:r>
      <w:hyperlink r:id="rId27" w:history="1">
        <w:r w:rsidRPr="004441A5">
          <w:rPr>
            <w:rStyle w:val="Hyperlink"/>
            <w:rFonts w:cs="Calibri"/>
            <w:szCs w:val="22"/>
            <w:lang w:val="ru-RU"/>
          </w:rPr>
          <w:t>собрание Исполнительного совета по цифровым инновациям</w:t>
        </w:r>
      </w:hyperlink>
      <w:r w:rsidRPr="004441A5">
        <w:rPr>
          <w:rFonts w:cs="Calibri"/>
          <w:szCs w:val="22"/>
          <w:lang w:val="ru-RU"/>
        </w:rPr>
        <w:t xml:space="preserve"> состоялось 19–20 марта 2024</w:t>
      </w:r>
      <w:r w:rsidR="00414AC1">
        <w:rPr>
          <w:rFonts w:cs="Calibri"/>
          <w:szCs w:val="22"/>
          <w:lang w:val="en-US"/>
        </w:rPr>
        <w:t> </w:t>
      </w:r>
      <w:r w:rsidRPr="004441A5">
        <w:rPr>
          <w:rFonts w:cs="Calibri"/>
          <w:szCs w:val="22"/>
          <w:lang w:val="ru-RU"/>
        </w:rPr>
        <w:t xml:space="preserve">года в Женеве, Швейцария. По </w:t>
      </w:r>
      <w:hyperlink r:id="rId28" w:history="1">
        <w:r w:rsidRPr="004441A5">
          <w:rPr>
            <w:rStyle w:val="Hyperlink"/>
            <w:rFonts w:cs="Calibri"/>
            <w:szCs w:val="22"/>
            <w:lang w:val="ru-RU"/>
          </w:rPr>
          <w:t>итогам собрания</w:t>
        </w:r>
      </w:hyperlink>
      <w:r w:rsidRPr="004441A5">
        <w:rPr>
          <w:rFonts w:cs="Calibri"/>
          <w:szCs w:val="22"/>
          <w:lang w:val="ru-RU"/>
        </w:rPr>
        <w:t xml:space="preserve"> члены Совета заложили основу для деятельности Альянса, разработки им плана работы высокого уровня и показателей воздействия, а также выработали стратегию продвижения глобальных цифровых инноваций.</w:t>
      </w:r>
      <w:hyperlink r:id="rId29" w:history="1"/>
      <w:hyperlink r:id="rId30" w:history="1"/>
    </w:p>
    <w:p w14:paraId="687F582B" w14:textId="77777777" w:rsidR="00906D52" w:rsidRPr="004441A5" w:rsidRDefault="00906D52" w:rsidP="00D87C04">
      <w:pPr>
        <w:rPr>
          <w:rFonts w:cs="Calibri"/>
          <w:szCs w:val="22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hyperlink r:id="rId31" w:history="1">
        <w:r w:rsidRPr="004441A5">
          <w:rPr>
            <w:rStyle w:val="Hyperlink"/>
            <w:rFonts w:cs="Calibri"/>
            <w:szCs w:val="22"/>
            <w:lang w:val="ru-RU"/>
          </w:rPr>
          <w:t>Второе собрание Совета по цифровым инновациям</w:t>
        </w:r>
      </w:hyperlink>
      <w:r w:rsidRPr="004441A5">
        <w:rPr>
          <w:rFonts w:cs="Calibri"/>
          <w:szCs w:val="22"/>
          <w:lang w:val="ru-RU"/>
        </w:rPr>
        <w:t xml:space="preserve"> состоялось 28 октября 2024 года на полях </w:t>
      </w:r>
      <w:hyperlink r:id="rId32" w:history="1">
        <w:r w:rsidRPr="004441A5">
          <w:rPr>
            <w:rStyle w:val="Hyperlink"/>
            <w:rFonts w:cs="Calibri"/>
            <w:szCs w:val="22"/>
            <w:lang w:val="ru-RU"/>
          </w:rPr>
          <w:t>Глобального форума по инновациям 2024 года</w:t>
        </w:r>
      </w:hyperlink>
      <w:r w:rsidRPr="004441A5">
        <w:rPr>
          <w:rFonts w:cs="Calibri"/>
          <w:szCs w:val="22"/>
          <w:lang w:val="ru-RU"/>
        </w:rPr>
        <w:t xml:space="preserve"> в Валлетте, Мальта. Члены Совета проанализировали прогресс, достигнутый в выполнении рекомендаций, принятых на первом собрании Совета. На этом собрании </w:t>
      </w:r>
      <w:hyperlink r:id="rId33" w:history="1">
        <w:r w:rsidRPr="004441A5">
          <w:rPr>
            <w:rStyle w:val="Hyperlink"/>
            <w:rFonts w:cs="Calibri"/>
            <w:szCs w:val="22"/>
            <w:lang w:val="ru-RU"/>
          </w:rPr>
          <w:t>Исполнительный совет утвердил</w:t>
        </w:r>
      </w:hyperlink>
      <w:r w:rsidRPr="004441A5">
        <w:rPr>
          <w:rFonts w:cs="Calibri"/>
          <w:szCs w:val="22"/>
          <w:lang w:val="ru-RU"/>
        </w:rPr>
        <w:t xml:space="preserve"> комплексный план работы на 2024–2026 годы по двум основным целям (прогнозы и экосистема партнерств), одобрил представление </w:t>
      </w:r>
      <w:hyperlink r:id="rId34" w:history="1">
        <w:r w:rsidRPr="004441A5">
          <w:rPr>
            <w:rStyle w:val="Hyperlink"/>
            <w:rFonts w:cs="Calibri"/>
            <w:szCs w:val="22"/>
            <w:lang w:val="ru-RU"/>
          </w:rPr>
          <w:t>Ускорителя региональных инициатив</w:t>
        </w:r>
      </w:hyperlink>
      <w:r w:rsidRPr="004441A5">
        <w:rPr>
          <w:rFonts w:cs="Calibri"/>
          <w:szCs w:val="22"/>
          <w:lang w:val="ru-RU"/>
        </w:rPr>
        <w:t>, а также утвердил создание сети экспертов для поддержки работы Совета.</w:t>
      </w:r>
      <w:hyperlink r:id="rId35" w:history="1"/>
      <w:hyperlink r:id="rId36" w:history="1"/>
      <w:hyperlink r:id="rId37" w:history="1"/>
      <w:hyperlink r:id="rId38" w:history="1"/>
    </w:p>
    <w:p w14:paraId="78665F8E" w14:textId="16ECE269" w:rsidR="00906D52" w:rsidRPr="004D3EBE" w:rsidRDefault="00906D52" w:rsidP="004D3EBE">
      <w:r w:rsidRPr="004D3EBE">
        <w:t xml:space="preserve">Третье собрание Совета по цифровым инновациям прошло 1–2 октября 2025 года в Санто-Доминго, Доминиканская Республика. Члены Совета собрались для рассмотрения хода реализации инициатив Альянса, включая начало работы сети экспертов и центров, а также для рассмотрения плана работы высокого уровня. Совет также утвердил выпуск </w:t>
      </w:r>
      <w:hyperlink r:id="rId39" w:history="1">
        <w:r w:rsidRPr="004D3EBE">
          <w:rPr>
            <w:rStyle w:val="Hyperlink"/>
            <w:lang w:val="ru-RU"/>
          </w:rPr>
          <w:t>пяти отчетов о стратегическом прогнозировании</w:t>
        </w:r>
      </w:hyperlink>
      <w:r w:rsidRPr="004D3EBE">
        <w:t xml:space="preserve"> и отметил прогресс, достигнутый в развитии экосистемы партнерств.</w:t>
      </w:r>
      <w:hyperlink r:id="rId40" w:history="1"/>
      <w:hyperlink r:id="rId41" w:history="1"/>
    </w:p>
    <w:p w14:paraId="0A6CC70C" w14:textId="77777777" w:rsidR="00906D52" w:rsidRPr="004441A5" w:rsidRDefault="00906D52" w:rsidP="00D87C04">
      <w:pPr>
        <w:rPr>
          <w:rFonts w:cs="Calibri"/>
          <w:szCs w:val="22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441A5">
        <w:rPr>
          <w:rFonts w:cs="Calibri"/>
          <w:szCs w:val="22"/>
          <w:lang w:val="ru-RU"/>
        </w:rPr>
        <w:t xml:space="preserve">Помимо этого, </w:t>
      </w:r>
      <w:hyperlink r:id="rId42" w:history="1">
        <w:r w:rsidRPr="004441A5">
          <w:rPr>
            <w:rStyle w:val="Hyperlink"/>
            <w:rFonts w:cs="Calibri"/>
            <w:szCs w:val="22"/>
            <w:lang w:val="ru-RU"/>
          </w:rPr>
          <w:t>Совет одобрил</w:t>
        </w:r>
      </w:hyperlink>
      <w:r w:rsidRPr="004441A5">
        <w:rPr>
          <w:rFonts w:cs="Calibri"/>
          <w:szCs w:val="22"/>
          <w:lang w:val="ru-RU"/>
        </w:rPr>
        <w:t xml:space="preserve"> манифест "</w:t>
      </w:r>
      <w:hyperlink r:id="rId43" w:history="1">
        <w:r w:rsidRPr="004441A5">
          <w:rPr>
            <w:rStyle w:val="Hyperlink"/>
            <w:rFonts w:cs="Calibri"/>
            <w:szCs w:val="22"/>
            <w:lang w:val="ru-RU"/>
          </w:rPr>
          <w:t>Преодоление разрыва в цифровых инновациях</w:t>
        </w:r>
      </w:hyperlink>
      <w:r w:rsidRPr="004441A5">
        <w:rPr>
          <w:rFonts w:cs="Calibri"/>
          <w:szCs w:val="22"/>
          <w:lang w:val="ru-RU"/>
        </w:rPr>
        <w:t xml:space="preserve">", а также ряд итоговых документов, связанных с прогрессом в реализации механизмов Альянса. </w:t>
      </w:r>
      <w:hyperlink r:id="rId44" w:history="1"/>
      <w:hyperlink r:id="rId45" w:history="1"/>
    </w:p>
    <w:p w14:paraId="0A1CBF99" w14:textId="77777777" w:rsidR="00906D52" w:rsidRPr="004441A5" w:rsidRDefault="00906D52" w:rsidP="00D87C04">
      <w:pPr>
        <w:rPr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441A5">
        <w:rPr>
          <w:lang w:val="ru-RU"/>
        </w:rPr>
        <w:t>Этот манифест представляет собой обязательство членов Альянса прокладывать новые пути в цифровом развитии и подтверждать роль Альянса как платформы, способствующей новаторскому подходу к созданию потенциала инноваций и предпринимательской деятельности на местах повсюду, обеспечивая устойчивость прогресса и его открытость для всех.</w:t>
      </w:r>
    </w:p>
    <w:p w14:paraId="0BEF18D1" w14:textId="2B885E87" w:rsidR="00906D52" w:rsidRPr="004441A5" w:rsidRDefault="00D87C04" w:rsidP="00D87C04">
      <w:pPr>
        <w:pStyle w:val="Headingb"/>
      </w:pPr>
      <w:r>
        <w:t>b)</w:t>
      </w:r>
      <w:r>
        <w:tab/>
      </w:r>
      <w:r w:rsidR="00906D52" w:rsidRPr="004441A5">
        <w:t>Лаборатория цифровой трансформации</w:t>
      </w:r>
    </w:p>
    <w:p w14:paraId="6E97C14C" w14:textId="77777777" w:rsidR="00906D52" w:rsidRPr="004441A5" w:rsidRDefault="00906D52" w:rsidP="00D87C04">
      <w:pPr>
        <w:rPr>
          <w:lang w:val="ru-RU"/>
        </w:rPr>
      </w:pPr>
      <w:hyperlink r:id="rId46" w:history="1">
        <w:r w:rsidRPr="004441A5">
          <w:rPr>
            <w:rStyle w:val="Hyperlink"/>
            <w:rFonts w:cs="Calibri"/>
            <w:szCs w:val="22"/>
            <w:lang w:val="ru-RU"/>
          </w:rPr>
          <w:t>Лаборатория цифровой трансформации</w:t>
        </w:r>
      </w:hyperlink>
      <w:r w:rsidRPr="004441A5">
        <w:rPr>
          <w:lang w:val="ru-RU"/>
        </w:rPr>
        <w:t xml:space="preserve"> является одним из важнейших инструментов Альянса и выполняет две задачи: поддержка разработки и реализации работы Сети центров ускорения и оказание технической помощи странам, обращающимся за поддержкой БРЭ по вопросам инноваций и предпринимательства в рамках Альянса.</w:t>
      </w:r>
      <w:hyperlink r:id="rId47" w:history="1"/>
    </w:p>
    <w:p w14:paraId="4EDF635D" w14:textId="518D8550" w:rsidR="00906D52" w:rsidRPr="00414AC1" w:rsidRDefault="00906D52" w:rsidP="00D87C04">
      <w:pPr>
        <w:rPr>
          <w:lang w:val="en-US"/>
        </w:rPr>
      </w:pPr>
      <w:r w:rsidRPr="004441A5">
        <w:rPr>
          <w:lang w:val="ru-RU"/>
        </w:rPr>
        <w:t>Лаборатория цифровой трансформации разрабатывает программы распространения знаний в области инноваций для расширения возможностей Сети центров ускорения и помогает центрам организовать работу по реализации их политических инициатив и инициатив в области экосистем. Она позволяет использовать знания, полученные в процессе деятельности Альянса, для ускорения цифрового развития, и содействует сотрудничеству между заинтересованными сторонами.</w:t>
      </w:r>
    </w:p>
    <w:p w14:paraId="6AF3D035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 xml:space="preserve">Благодаря финансированию, предоставленному Министерством внутренних дел и связи (MIC) Японии, Лаборатория цифровой трансформации разработала восемь руководств для Альянса. К ним относятся Руководство по стратегическому прогнозированию, Руководство по разработке инициатив в области экосистем, Руководство по инновациям в сфере открытых технологий, Руководство по </w:t>
      </w:r>
      <w:r w:rsidRPr="004441A5">
        <w:rPr>
          <w:lang w:val="ru-RU"/>
        </w:rPr>
        <w:lastRenderedPageBreak/>
        <w:t>проведению экспериментов в области политики, а также Руководство по развитию МСП и предпринимательства.</w:t>
      </w:r>
    </w:p>
    <w:p w14:paraId="268770E6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>Руководства и инструменты предназначены для использования центрами, но также могут быть перепрофилированы для предоставления новых услуг БРЭ. Два руководства по межсекторальным вопросам, разработанные Лабораторией, весьма актуальны для любого центра, стремящегося обеспечить гибкость и устойчивость работы.</w:t>
      </w:r>
    </w:p>
    <w:p w14:paraId="3502F3E8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>Также Лаборатория приступила к разработке и развертыванию новых услуг, в том числе для поддержки стратегического прогнозирования, осуществляемого МСЭ, поддержки региональных отделений МСЭ при помощи услуги Innovation Café ("Инновационное кафе") и других услуг. Различные страны активно проявляют интерес к этим услугам.</w:t>
      </w:r>
    </w:p>
    <w:p w14:paraId="4D53E8A4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 xml:space="preserve">Лаборатория сотрудничает с Центром инноваций Зонального отделения МСЭ для Южной Азии для оказания поддержки предоставлению услуг, включая инновационные кафе, и разработала пилотный проект </w:t>
      </w:r>
      <w:hyperlink r:id="rId48" w:history="1">
        <w:r w:rsidRPr="004441A5">
          <w:rPr>
            <w:rStyle w:val="Hyperlink"/>
            <w:rFonts w:cs="Calibri"/>
            <w:szCs w:val="22"/>
            <w:lang w:val="ru-RU"/>
          </w:rPr>
          <w:t>Ускорителя региональных инициатив</w:t>
        </w:r>
      </w:hyperlink>
      <w:r w:rsidRPr="004441A5">
        <w:rPr>
          <w:lang w:val="ru-RU"/>
        </w:rPr>
        <w:t xml:space="preserve"> в рамках проекта, финансируемого MIIT Китая.</w:t>
      </w:r>
      <w:hyperlink r:id="rId49"/>
    </w:p>
    <w:p w14:paraId="2710C1DB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>Помимо этого, Лаборатория оказала поддержку Региональному отделению для Арабских государств, организовав пилотный механизм для разработки новых региональных инициатив в Арабских государствах с использованием методологии прогнозирования.</w:t>
      </w:r>
    </w:p>
    <w:p w14:paraId="48E9C613" w14:textId="23C01D60" w:rsidR="00906D52" w:rsidRPr="004441A5" w:rsidRDefault="00D87C04" w:rsidP="00D87C04">
      <w:pPr>
        <w:pStyle w:val="Headingb"/>
      </w:pPr>
      <w:r>
        <w:t>c)</w:t>
      </w:r>
      <w:r>
        <w:tab/>
      </w:r>
      <w:r w:rsidR="00906D52" w:rsidRPr="004441A5">
        <w:t>Сеть центров у</w:t>
      </w:r>
      <w:r>
        <w:t>c</w:t>
      </w:r>
      <w:r w:rsidR="00906D52" w:rsidRPr="004441A5">
        <w:t>скорения</w:t>
      </w:r>
    </w:p>
    <w:p w14:paraId="4B60A6BC" w14:textId="77777777" w:rsidR="00906D52" w:rsidRPr="004441A5" w:rsidRDefault="00906D52" w:rsidP="00D87C04">
      <w:pPr>
        <w:rPr>
          <w:lang w:val="ru-RU"/>
        </w:rPr>
      </w:pPr>
      <w:hyperlink r:id="rId50" w:history="1">
        <w:r w:rsidRPr="004441A5">
          <w:rPr>
            <w:rStyle w:val="Hyperlink"/>
            <w:rFonts w:cs="Calibri"/>
            <w:szCs w:val="22"/>
            <w:lang w:val="ru-RU"/>
          </w:rPr>
          <w:t>Сеть центров ускорения МСЭ</w:t>
        </w:r>
      </w:hyperlink>
      <w:r w:rsidRPr="004441A5">
        <w:rPr>
          <w:lang w:val="ru-RU"/>
        </w:rPr>
        <w:t xml:space="preserve"> расширяет возможности в области инноваций на глобальном, региональном и национальном уровнях, способствуя развитию технологий, разработке политики и флагманских инициатив, одновременно стимулируя инновации и предпринимательство на местном уровне и тем самым способствуя цифровой трансформации.</w:t>
      </w:r>
      <w:hyperlink r:id="rId51"/>
    </w:p>
    <w:p w14:paraId="55E96059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 xml:space="preserve">В 2024 году БРЭ выбрало </w:t>
      </w:r>
      <w:hyperlink r:id="rId52" w:history="1">
        <w:r w:rsidRPr="004441A5">
          <w:rPr>
            <w:rStyle w:val="Hyperlink"/>
            <w:rFonts w:cs="Calibri"/>
            <w:szCs w:val="22"/>
            <w:lang w:val="ru-RU"/>
          </w:rPr>
          <w:t>17 организаций для размещения этих центров</w:t>
        </w:r>
      </w:hyperlink>
      <w:r w:rsidRPr="004441A5">
        <w:rPr>
          <w:lang w:val="ru-RU"/>
        </w:rPr>
        <w:t>. От каждой из этих организаций требуется:</w:t>
      </w:r>
      <w:hyperlink r:id="rId53" w:history="1"/>
    </w:p>
    <w:p w14:paraId="75221F4E" w14:textId="7756A62C" w:rsidR="00906D52" w:rsidRPr="004441A5" w:rsidRDefault="00D87C04" w:rsidP="00D87C04">
      <w:pPr>
        <w:pStyle w:val="enumlev1"/>
        <w:rPr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r w:rsidR="00906D52" w:rsidRPr="004441A5">
        <w:rPr>
          <w:lang w:val="ru-RU"/>
        </w:rPr>
        <w:t>подписать соглашение о сотрудничестве с БРЭ, в соответствии с которым будет осуществляться деятельность размещенного в ней центра и которое будет определять ее взаимоотношения с МСЭ;</w:t>
      </w:r>
    </w:p>
    <w:p w14:paraId="3917DF88" w14:textId="5231DEB1" w:rsidR="00906D52" w:rsidRPr="004441A5" w:rsidRDefault="00D87C04" w:rsidP="00D87C04">
      <w:pPr>
        <w:pStyle w:val="enumlev1"/>
        <w:rPr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r w:rsidR="00906D52" w:rsidRPr="004441A5">
        <w:rPr>
          <w:lang w:val="ru-RU"/>
        </w:rPr>
        <w:t>заручиться достаточной финансовой и политической поддержкой, чтобы вступить на путь цифровой трансформации;</w:t>
      </w:r>
    </w:p>
    <w:p w14:paraId="63E74955" w14:textId="5E391E1E" w:rsidR="00906D52" w:rsidRPr="004441A5" w:rsidRDefault="00D87C04" w:rsidP="00D87C04">
      <w:pPr>
        <w:pStyle w:val="enumlev1"/>
        <w:rPr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r w:rsidR="00906D52" w:rsidRPr="004441A5">
        <w:rPr>
          <w:lang w:val="ru-RU"/>
        </w:rPr>
        <w:t>участвовать в процессе разработки планов действий, направленных на достижение поставленных стратегических целей и заручиться поддержкой МСЭ в наращивании потенциала для реализации этих планов.</w:t>
      </w:r>
    </w:p>
    <w:p w14:paraId="3AF5356B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>Некоторые центры уже функционируют и получают помощь и рекомендации в отношении дальнейших действий для обеспечения соответствия установленным требованиям и развертывания своих услуг. Важно отметить, что центры организуют свою работу в удобном для них темпе и приступают к ней после обеспечения соответствия требованиям, установленным МСЭ.</w:t>
      </w:r>
    </w:p>
    <w:p w14:paraId="6C0F2728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>БРЭ оказывает поддержку проведению собраний центров, с тем чтобы они могли получать информацию о создании потенциала на основе подхода Альянса, обмениваться опытом и развивать партнерские отношения:</w:t>
      </w:r>
    </w:p>
    <w:p w14:paraId="1C5E08D8" w14:textId="797965BD" w:rsidR="00906D52" w:rsidRPr="004441A5" w:rsidRDefault="00D87C04" w:rsidP="00D87C04">
      <w:pPr>
        <w:pStyle w:val="enumlev1"/>
        <w:rPr>
          <w:rFonts w:cs="Calibri"/>
          <w:szCs w:val="22"/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hyperlink r:id="rId54" w:history="1">
        <w:r w:rsidR="00906D52" w:rsidRPr="004441A5">
          <w:rPr>
            <w:rStyle w:val="Hyperlink"/>
            <w:rFonts w:cs="Calibri"/>
            <w:szCs w:val="22"/>
            <w:lang w:val="ru-RU"/>
          </w:rPr>
          <w:t>Первое собрание Сети центров ускорения</w:t>
        </w:r>
      </w:hyperlink>
      <w:r w:rsidR="00906D52" w:rsidRPr="004441A5">
        <w:rPr>
          <w:rFonts w:cs="Calibri"/>
          <w:szCs w:val="22"/>
          <w:lang w:val="ru-RU"/>
        </w:rPr>
        <w:t xml:space="preserve"> было проведено 4–8 марта 2024 года в Дубае, Объединенные Арабские Эмираты. В ходе этого </w:t>
      </w:r>
      <w:hyperlink r:id="rId55" w:history="1">
        <w:r w:rsidR="00906D52" w:rsidRPr="004441A5">
          <w:rPr>
            <w:rStyle w:val="Hyperlink"/>
            <w:rFonts w:cs="Calibri"/>
            <w:szCs w:val="22"/>
            <w:lang w:val="ru-RU"/>
          </w:rPr>
          <w:t>первого собрания</w:t>
        </w:r>
      </w:hyperlink>
      <w:r w:rsidR="00906D52" w:rsidRPr="004441A5">
        <w:rPr>
          <w:rFonts w:cs="Calibri"/>
          <w:szCs w:val="22"/>
          <w:lang w:val="ru-RU"/>
        </w:rPr>
        <w:t xml:space="preserve"> Центры сформировали понимание структуры проектирования и оперативной работы, определили области сотрудничества и инициировали мероприятия по созданию потенциала, необходимые для практического предоставления услуг в областях стратегического прогнозирования и разработки инициатив в области экосистем.</w:t>
      </w:r>
      <w:hyperlink r:id="rId56"/>
      <w:hyperlink r:id="rId57"/>
    </w:p>
    <w:p w14:paraId="5E85FBBE" w14:textId="7846FD41" w:rsidR="00906D52" w:rsidRPr="004441A5" w:rsidRDefault="00D87C04" w:rsidP="00D87C04">
      <w:pPr>
        <w:pStyle w:val="enumlev1"/>
        <w:rPr>
          <w:rFonts w:cs="Calibri"/>
          <w:szCs w:val="22"/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hyperlink r:id="rId58" w:history="1">
        <w:r w:rsidR="00906D52" w:rsidRPr="004441A5">
          <w:rPr>
            <w:rStyle w:val="Hyperlink"/>
            <w:rFonts w:cs="Calibri"/>
            <w:szCs w:val="22"/>
            <w:lang w:val="ru-RU"/>
          </w:rPr>
          <w:t>Второе собрание Сети центров ускорения</w:t>
        </w:r>
      </w:hyperlink>
      <w:r w:rsidR="00906D52" w:rsidRPr="004441A5">
        <w:rPr>
          <w:rFonts w:cs="Calibri"/>
          <w:szCs w:val="22"/>
          <w:lang w:val="ru-RU"/>
        </w:rPr>
        <w:t xml:space="preserve"> было организовано с 28 по 30 октября 2024</w:t>
      </w:r>
      <w:r w:rsidR="00CD3E66">
        <w:rPr>
          <w:rFonts w:cs="Calibri"/>
          <w:szCs w:val="22"/>
          <w:lang w:val="en-US"/>
        </w:rPr>
        <w:t> </w:t>
      </w:r>
      <w:r w:rsidR="00906D52" w:rsidRPr="004441A5">
        <w:rPr>
          <w:rFonts w:cs="Calibri"/>
          <w:szCs w:val="22"/>
          <w:lang w:val="ru-RU"/>
        </w:rPr>
        <w:t xml:space="preserve">года в Валлетте, Мальта, во время </w:t>
      </w:r>
      <w:hyperlink r:id="rId59" w:history="1">
        <w:r w:rsidR="00906D52" w:rsidRPr="004441A5">
          <w:rPr>
            <w:rStyle w:val="Hyperlink"/>
            <w:rFonts w:cs="Calibri"/>
            <w:szCs w:val="22"/>
            <w:lang w:val="ru-RU"/>
          </w:rPr>
          <w:t>Глобального форума по инновациям 2024 года</w:t>
        </w:r>
      </w:hyperlink>
      <w:r w:rsidR="00906D52" w:rsidRPr="004441A5">
        <w:rPr>
          <w:rFonts w:cs="Calibri"/>
          <w:szCs w:val="22"/>
          <w:lang w:val="ru-RU"/>
        </w:rPr>
        <w:t xml:space="preserve">. </w:t>
      </w:r>
      <w:r w:rsidR="00906D52" w:rsidRPr="004441A5">
        <w:rPr>
          <w:rFonts w:cs="Calibri"/>
          <w:szCs w:val="22"/>
          <w:lang w:val="ru-RU"/>
        </w:rPr>
        <w:lastRenderedPageBreak/>
        <w:t>В</w:t>
      </w:r>
      <w:r w:rsidR="00CD3E66">
        <w:rPr>
          <w:rFonts w:cs="Calibri"/>
          <w:szCs w:val="22"/>
          <w:lang w:val="en-US"/>
        </w:rPr>
        <w:t> </w:t>
      </w:r>
      <w:r w:rsidR="00906D52" w:rsidRPr="004441A5">
        <w:rPr>
          <w:rFonts w:cs="Calibri"/>
          <w:szCs w:val="22"/>
          <w:lang w:val="ru-RU"/>
        </w:rPr>
        <w:t>ходе этого собрания представители центров обсудили результаты работы, выявили проблемы и наметили действия, которые можно было бы предпринять для обеспечения устойчивости центров и согласования их деятельности с региональными инициативами МСЭ.</w:t>
      </w:r>
      <w:hyperlink r:id="rId60"/>
      <w:hyperlink r:id="rId61"/>
    </w:p>
    <w:p w14:paraId="5517877B" w14:textId="7449EB2B" w:rsidR="00906D52" w:rsidRPr="004441A5" w:rsidRDefault="00D87C04" w:rsidP="00D87C04">
      <w:pPr>
        <w:pStyle w:val="enumlev1"/>
        <w:rPr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hyperlink r:id="rId62" w:history="1">
        <w:r w:rsidR="00906D52" w:rsidRPr="004441A5">
          <w:rPr>
            <w:rStyle w:val="Hyperlink"/>
            <w:rFonts w:cs="Calibri"/>
            <w:szCs w:val="22"/>
            <w:lang w:val="ru-RU"/>
          </w:rPr>
          <w:t>Третье собрание Сети центров ускорения</w:t>
        </w:r>
      </w:hyperlink>
      <w:r w:rsidR="00906D52" w:rsidRPr="004441A5">
        <w:rPr>
          <w:lang w:val="ru-RU"/>
        </w:rPr>
        <w:t xml:space="preserve"> было проведено 18–22 августа 2025 года в Дубае, Объединенные Арабские Эмираты. В ходе этого собрания центры рассмотрели ход реализации своей деятельности, изучили возможности сотрудничества с другими центрами в рамках сети и создания потенциала для проведения экспериментов в области политики в целях повышения качества предоставляемых услуг.</w:t>
      </w:r>
      <w:hyperlink r:id="rId63" w:history="1"/>
    </w:p>
    <w:p w14:paraId="02B56343" w14:textId="45091493" w:rsidR="00906D52" w:rsidRPr="00CD3E66" w:rsidRDefault="00D87C04" w:rsidP="00D87C04">
      <w:pPr>
        <w:pStyle w:val="Headingb"/>
        <w:rPr>
          <w:lang w:val="ru-RU"/>
        </w:rPr>
      </w:pPr>
      <w:r>
        <w:t>d</w:t>
      </w:r>
      <w:r w:rsidRPr="00CD3E66">
        <w:rPr>
          <w:lang w:val="ru-RU"/>
        </w:rPr>
        <w:t>)</w:t>
      </w:r>
      <w:r w:rsidRPr="00CD3E66">
        <w:rPr>
          <w:lang w:val="ru-RU"/>
        </w:rPr>
        <w:tab/>
      </w:r>
      <w:r w:rsidR="00906D52" w:rsidRPr="00CD3E66">
        <w:rPr>
          <w:lang w:val="ru-RU"/>
        </w:rPr>
        <w:t>Сеть экспертов</w:t>
      </w:r>
    </w:p>
    <w:p w14:paraId="03ADB232" w14:textId="4040B1CA" w:rsidR="00906D52" w:rsidRPr="004441A5" w:rsidRDefault="00906D52" w:rsidP="00D87C04">
      <w:pPr>
        <w:rPr>
          <w:rStyle w:val="None"/>
          <w:rFonts w:cs="Calibri"/>
          <w:szCs w:val="22"/>
          <w:lang w:val="ru-RU"/>
        </w:rPr>
      </w:pPr>
      <w:r w:rsidRPr="004441A5">
        <w:rPr>
          <w:lang w:val="ru-RU"/>
        </w:rPr>
        <w:t xml:space="preserve">В июле 2025 года БРЭ представило </w:t>
      </w:r>
      <w:hyperlink r:id="rId64" w:history="1">
        <w:r w:rsidRPr="00CD3E66">
          <w:rPr>
            <w:rStyle w:val="Hyperlink"/>
          </w:rPr>
          <w:t>Сеть экспертов</w:t>
        </w:r>
      </w:hyperlink>
      <w:r w:rsidR="00CD3E66" w:rsidRPr="00CD3E66">
        <w:rPr>
          <w:rStyle w:val="Hyperlink"/>
          <w:lang w:val="ru-RU"/>
        </w:rPr>
        <w:t xml:space="preserve"> </w:t>
      </w:r>
      <w:hyperlink r:id="rId65" w:history="1">
        <w:r w:rsidRPr="00CD3E66">
          <w:rPr>
            <w:rStyle w:val="Hyperlink"/>
          </w:rPr>
          <w:t>Альянса инноваций и предпринимательства для целей цифрового развития</w:t>
        </w:r>
      </w:hyperlink>
      <w:r w:rsidRPr="004441A5">
        <w:rPr>
          <w:lang w:val="ru-RU"/>
        </w:rPr>
        <w:t>. Сеть экспертов представляет собой опирающееся на специальные знания глобальное сообщество сотрудничества, которое упрощает доступ к знаниям, инструментам, взаимному обучению, а также возможностям сотрудничества и совместной деятельности. В деятельности Сети принимают участие более 75 экспертов из Сети центров ускорения, Совета по цифровым инновациям, Лаборатории цифровой трансформации, а также другие эксперты в конкретных областях, являющихся предметом сотрудничества, для поддержки выполнения решений Совета по цифровым инновациям путем сотрудничества, проведения "мозговых штурмов" и обмена знаниями.</w:t>
      </w:r>
      <w:hyperlink r:id="rId66" w:history="1"/>
      <w:hyperlink r:id="rId67" w:history="1"/>
    </w:p>
    <w:p w14:paraId="3999EC21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>Эти эксперты работают в семи областях сотрудничества, согласованных со стратегическими целями Альянса, и каждая из них курируется группой членов Совета, заинтересованных в этой конкретной области знаний. Семь областей сотрудничества: стратегическое прогнозирование, разработка экосистемных инициатив, экспериментирование в области политики, развитие стартапов и МСП, инновации в области открытых технологий, мобилизация ресурсов и стратегическое взаимодействие.</w:t>
      </w:r>
    </w:p>
    <w:p w14:paraId="61046ECA" w14:textId="6AF1CBEA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 xml:space="preserve">В ходе </w:t>
      </w:r>
      <w:hyperlink r:id="rId68" w:history="1">
        <w:r w:rsidRPr="00CD3E66">
          <w:rPr>
            <w:rStyle w:val="Hyperlink"/>
            <w:lang w:val="ru-RU"/>
          </w:rPr>
          <w:t>третьего собрания Совета по цифровым инновациям</w:t>
        </w:r>
      </w:hyperlink>
      <w:r w:rsidRPr="004441A5">
        <w:rPr>
          <w:lang w:val="ru-RU"/>
        </w:rPr>
        <w:t xml:space="preserve"> эксперты представили свои планы и определенные проблемы в областях сотрудничества и получили четкие руководящие указания от членов Совета для целей усиления воздействия Альянса. Эти конкретные планы действий будут направлять их усилия по дальнейшему укреплению Альянса.</w:t>
      </w:r>
      <w:hyperlink r:id="rId69"/>
    </w:p>
    <w:p w14:paraId="021B30E0" w14:textId="4EFFF73B" w:rsidR="00906D52" w:rsidRPr="004441A5" w:rsidRDefault="00D87C04" w:rsidP="00D87C04">
      <w:pPr>
        <w:pStyle w:val="Headingb"/>
      </w:pPr>
      <w:r>
        <w:t>e)</w:t>
      </w:r>
      <w:r>
        <w:tab/>
      </w:r>
      <w:r w:rsidR="00906D52" w:rsidRPr="004441A5">
        <w:t>Серия прогнозных материалов</w:t>
      </w:r>
    </w:p>
    <w:p w14:paraId="682EADA8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>В соответствии с направлением работы по стратегическому прогнозированию Совета по цифровым инновациям БРЭ разработало и внедрило новые возможности в области стратегического прогнозирования, с тем чтобы помочь Членам МСЭ в формировании потенциала в области перспективного и ориентированного на будущее мышления.</w:t>
      </w:r>
    </w:p>
    <w:p w14:paraId="61C8ED48" w14:textId="3B3BCF1D" w:rsidR="00906D52" w:rsidRPr="004441A5" w:rsidRDefault="00906D52" w:rsidP="00D87C04">
      <w:pPr>
        <w:rPr>
          <w:rFonts w:cs="Calibri"/>
          <w:szCs w:val="22"/>
          <w:lang w:val="ru-RU"/>
        </w:rPr>
      </w:pPr>
      <w:r w:rsidRPr="004441A5">
        <w:rPr>
          <w:rFonts w:cs="Calibri"/>
          <w:szCs w:val="22"/>
          <w:lang w:val="ru-RU"/>
        </w:rPr>
        <w:t xml:space="preserve">На собрании Комитета в октябре 2025 года были представлены пять отчетов из серии </w:t>
      </w:r>
      <w:hyperlink r:id="rId70" w:history="1">
        <w:r w:rsidRPr="00CD3E66">
          <w:rPr>
            <w:rStyle w:val="Hyperlink"/>
            <w:lang w:val="ru-RU"/>
          </w:rPr>
          <w:t>прогнозных материалов</w:t>
        </w:r>
      </w:hyperlink>
      <w:r w:rsidRPr="004441A5">
        <w:rPr>
          <w:rFonts w:cs="Calibri"/>
          <w:szCs w:val="22"/>
          <w:lang w:val="ru-RU"/>
        </w:rPr>
        <w:t>:</w:t>
      </w:r>
      <w:hyperlink r:id="rId71"/>
    </w:p>
    <w:p w14:paraId="7443DF89" w14:textId="6E94631E" w:rsidR="00906D52" w:rsidRPr="00D87C04" w:rsidRDefault="00D87C04" w:rsidP="00D87C04">
      <w:pPr>
        <w:pStyle w:val="enumlev1"/>
      </w:pPr>
      <w:r w:rsidRPr="00D87C04">
        <w:rPr>
          <w:lang w:val="ru-RU"/>
        </w:rPr>
        <w:t>1</w:t>
      </w:r>
      <w:r w:rsidRPr="00D87C04">
        <w:rPr>
          <w:lang w:val="ru-RU"/>
        </w:rPr>
        <w:tab/>
      </w:r>
      <w:hyperlink r:id="rId72" w:history="1">
        <w:r w:rsidR="00906D52" w:rsidRPr="00D87C04">
          <w:rPr>
            <w:rStyle w:val="Hyperlink"/>
          </w:rPr>
          <w:t>формирование образования для будущего</w:t>
        </w:r>
        <w:r w:rsidR="00906D52" w:rsidRPr="00D87C04">
          <w:rPr>
            <w:rFonts w:cs="Calibri"/>
            <w:szCs w:val="22"/>
            <w:lang w:val="ru-RU"/>
          </w:rPr>
          <w:t>,</w:t>
        </w:r>
      </w:hyperlink>
    </w:p>
    <w:p w14:paraId="6AE378B0" w14:textId="468B0D6F" w:rsidR="00906D52" w:rsidRPr="00D87C04" w:rsidRDefault="00D87C04" w:rsidP="00D87C04">
      <w:pPr>
        <w:pStyle w:val="enumlev1"/>
      </w:pPr>
      <w:r w:rsidRPr="00D87C04">
        <w:rPr>
          <w:lang w:val="ru-RU"/>
        </w:rPr>
        <w:t>2</w:t>
      </w:r>
      <w:r w:rsidRPr="00D87C04">
        <w:rPr>
          <w:lang w:val="ru-RU"/>
        </w:rPr>
        <w:tab/>
      </w:r>
      <w:hyperlink r:id="rId73" w:history="1">
        <w:r w:rsidR="00906D52" w:rsidRPr="00D87C04">
          <w:rPr>
            <w:rStyle w:val="Hyperlink"/>
          </w:rPr>
          <w:t>формирование будущего стартапов и МСП</w:t>
        </w:r>
        <w:r w:rsidR="00906D52" w:rsidRPr="00D87C04">
          <w:rPr>
            <w:rFonts w:cs="Calibri"/>
            <w:szCs w:val="22"/>
            <w:lang w:val="ru-RU"/>
          </w:rPr>
          <w:t>;</w:t>
        </w:r>
      </w:hyperlink>
    </w:p>
    <w:p w14:paraId="3399E3C3" w14:textId="1262102B" w:rsidR="00906D52" w:rsidRPr="00D87C04" w:rsidRDefault="00D87C04" w:rsidP="00D87C04">
      <w:pPr>
        <w:pStyle w:val="enumlev1"/>
      </w:pPr>
      <w:r w:rsidRPr="00D87C04">
        <w:rPr>
          <w:lang w:val="ru-RU"/>
        </w:rPr>
        <w:t>3</w:t>
      </w:r>
      <w:r w:rsidRPr="00D87C04">
        <w:rPr>
          <w:lang w:val="ru-RU"/>
        </w:rPr>
        <w:tab/>
      </w:r>
      <w:hyperlink r:id="rId74" w:history="1">
        <w:r w:rsidR="00906D52" w:rsidRPr="00D87C04">
          <w:rPr>
            <w:rStyle w:val="Hyperlink"/>
          </w:rPr>
          <w:t>формирование будущего венчурного капитала в Африке</w:t>
        </w:r>
        <w:r w:rsidR="00906D52" w:rsidRPr="00D87C04">
          <w:rPr>
            <w:rFonts w:cs="Calibri"/>
            <w:szCs w:val="22"/>
            <w:lang w:val="ru-RU"/>
          </w:rPr>
          <w:t>;</w:t>
        </w:r>
      </w:hyperlink>
    </w:p>
    <w:p w14:paraId="31C37201" w14:textId="0E17E8D5" w:rsidR="00906D52" w:rsidRPr="00D87C04" w:rsidRDefault="00D87C04" w:rsidP="00D87C04">
      <w:pPr>
        <w:pStyle w:val="enumlev1"/>
        <w:rPr>
          <w:lang w:val="ru-RU"/>
        </w:rPr>
      </w:pPr>
      <w:r w:rsidRPr="00D87C04">
        <w:rPr>
          <w:lang w:val="ru-RU"/>
        </w:rPr>
        <w:t>4</w:t>
      </w:r>
      <w:r w:rsidRPr="00D87C04">
        <w:rPr>
          <w:lang w:val="ru-RU"/>
        </w:rPr>
        <w:tab/>
      </w:r>
      <w:hyperlink r:id="rId75" w:history="1">
        <w:r w:rsidR="00906D52" w:rsidRPr="00D87C04">
          <w:rPr>
            <w:rStyle w:val="Hyperlink"/>
            <w:lang w:val="ru-RU"/>
          </w:rPr>
          <w:t>создание более "умных" городов</w:t>
        </w:r>
        <w:r w:rsidR="00906D52" w:rsidRPr="00D87C04">
          <w:rPr>
            <w:rFonts w:cs="Calibri"/>
            <w:szCs w:val="22"/>
            <w:lang w:val="ru-RU"/>
          </w:rPr>
          <w:t>;</w:t>
        </w:r>
      </w:hyperlink>
    </w:p>
    <w:p w14:paraId="31F952C0" w14:textId="221BA4ED" w:rsidR="00906D52" w:rsidRPr="00D87C04" w:rsidRDefault="00D87C04" w:rsidP="00D87C04">
      <w:pPr>
        <w:pStyle w:val="enumlev1"/>
        <w:rPr>
          <w:lang w:val="ru-RU"/>
        </w:rPr>
      </w:pPr>
      <w:r>
        <w:rPr>
          <w:lang w:val="en-US"/>
        </w:rPr>
        <w:t>5</w:t>
      </w:r>
      <w:r w:rsidRPr="00D87C04">
        <w:rPr>
          <w:lang w:val="ru-RU"/>
        </w:rPr>
        <w:tab/>
      </w:r>
      <w:hyperlink r:id="rId76" w:history="1">
        <w:r w:rsidR="00906D52" w:rsidRPr="00D87C04">
          <w:rPr>
            <w:rStyle w:val="Hyperlink"/>
            <w:lang w:val="ru-RU"/>
          </w:rPr>
          <w:t>преобразование здравоохранения для будущего</w:t>
        </w:r>
        <w:r w:rsidR="00906D52" w:rsidRPr="00D87C04">
          <w:rPr>
            <w:rFonts w:cs="Calibri"/>
            <w:szCs w:val="22"/>
            <w:lang w:val="ru-RU"/>
          </w:rPr>
          <w:t>.</w:t>
        </w:r>
      </w:hyperlink>
    </w:p>
    <w:p w14:paraId="44E8670B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 xml:space="preserve">Методика прогнозирования БРЭ, разработанная с использованием </w:t>
      </w:r>
      <w:hyperlink r:id="rId77" w:history="1">
        <w:r w:rsidRPr="00CD3E66">
          <w:rPr>
            <w:rStyle w:val="Hyperlink"/>
          </w:rPr>
          <w:t>Руководства по стратегическому прогнозированию</w:t>
        </w:r>
      </w:hyperlink>
      <w:r w:rsidRPr="004441A5">
        <w:rPr>
          <w:lang w:val="ru-RU"/>
        </w:rPr>
        <w:t>, помогает Членам МСЭ ускорять цифровую трансформацию, стимулировать инновации и согласовывать национальные повестки дня в области развития с ориентированными на будущее идеями.</w:t>
      </w:r>
    </w:p>
    <w:p w14:paraId="22C5DBED" w14:textId="2598BBA5" w:rsidR="00906D52" w:rsidRPr="004441A5" w:rsidRDefault="00D87C04" w:rsidP="00CD3E66">
      <w:pPr>
        <w:pStyle w:val="Headingb"/>
        <w:keepNext/>
      </w:pPr>
      <w:r>
        <w:rPr>
          <w:lang w:val="en-US"/>
        </w:rPr>
        <w:lastRenderedPageBreak/>
        <w:t>f)</w:t>
      </w:r>
      <w:r>
        <w:rPr>
          <w:lang w:val="en-US"/>
        </w:rPr>
        <w:tab/>
      </w:r>
      <w:r w:rsidR="00906D52" w:rsidRPr="004441A5">
        <w:t>Ускоритель региональных инициатив</w:t>
      </w:r>
    </w:p>
    <w:p w14:paraId="1B92DF27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>При финансовой поддержке Министерства промышленности и информационных технологий (MIIT) Китая БРЭ учредило Ускоритель региональных инициатив для укрепления потенциала региональных отделений МСЭ в области эффективного решения региональных приоритетных задач путем апробирования нового подхода в сотрудничестве с Членами МСЭ в их соответствующих регионах для ускорения преобразования региональных инициатив в приемлемые для банков проекты.</w:t>
      </w:r>
    </w:p>
    <w:p w14:paraId="6C879CA7" w14:textId="1D644A2C" w:rsidR="00906D52" w:rsidRPr="004441A5" w:rsidRDefault="00906D52" w:rsidP="00D87C04">
      <w:pPr>
        <w:rPr>
          <w:rFonts w:cs="Calibri"/>
          <w:szCs w:val="22"/>
          <w:lang w:val="ru-RU"/>
        </w:rPr>
      </w:pPr>
      <w:hyperlink r:id="rId78" w:history="1">
        <w:r w:rsidRPr="004441A5">
          <w:rPr>
            <w:rStyle w:val="Hyperlink"/>
            <w:rFonts w:cs="Calibri"/>
            <w:szCs w:val="22"/>
            <w:lang w:val="ru-RU"/>
          </w:rPr>
          <w:t>Первый пилотный семинар-практикум Ускорителя региональных инициатив</w:t>
        </w:r>
      </w:hyperlink>
      <w:r w:rsidRPr="004441A5">
        <w:rPr>
          <w:rFonts w:cs="Calibri"/>
          <w:szCs w:val="22"/>
          <w:lang w:val="ru-RU"/>
        </w:rPr>
        <w:t xml:space="preserve"> был проведен БРЭ 3</w:t>
      </w:r>
      <w:r w:rsidR="00CD3E66">
        <w:rPr>
          <w:rFonts w:cs="Calibri"/>
          <w:szCs w:val="22"/>
          <w:lang w:val="ru-RU"/>
        </w:rPr>
        <w:t>−</w:t>
      </w:r>
      <w:r w:rsidRPr="004441A5">
        <w:rPr>
          <w:rFonts w:cs="Calibri"/>
          <w:szCs w:val="22"/>
          <w:lang w:val="ru-RU"/>
        </w:rPr>
        <w:t>5</w:t>
      </w:r>
      <w:r w:rsidR="00CD3E66">
        <w:rPr>
          <w:rFonts w:cs="Calibri"/>
          <w:szCs w:val="22"/>
          <w:lang w:val="en-US"/>
        </w:rPr>
        <w:t> </w:t>
      </w:r>
      <w:r w:rsidRPr="004441A5">
        <w:rPr>
          <w:rFonts w:cs="Calibri"/>
          <w:szCs w:val="22"/>
          <w:lang w:val="ru-RU"/>
        </w:rPr>
        <w:t>февраля 2025 года в Подгорице, Черногория. В этом мероприятии приняли участие представители пяти стран Западных Балкан, которые совместно разработали и утвердили пять проектов общей стоимостью 20 млн долл. США.</w:t>
      </w:r>
      <w:hyperlink r:id="rId79" w:history="1"/>
    </w:p>
    <w:p w14:paraId="2991A96E" w14:textId="77777777" w:rsidR="00906D52" w:rsidRPr="004441A5" w:rsidRDefault="00906D52" w:rsidP="00D87C04">
      <w:pPr>
        <w:rPr>
          <w:rFonts w:cs="Calibri"/>
          <w:szCs w:val="22"/>
          <w:lang w:val="ru-RU"/>
        </w:rPr>
      </w:pPr>
      <w:hyperlink r:id="rId80" w:history="1">
        <w:r w:rsidRPr="004441A5">
          <w:rPr>
            <w:rStyle w:val="Hyperlink"/>
            <w:rFonts w:cs="Calibri"/>
            <w:szCs w:val="22"/>
            <w:lang w:val="ru-RU"/>
          </w:rPr>
          <w:t>Следующий пилотный семинар-практикум Ускорителя региональных инициатив</w:t>
        </w:r>
      </w:hyperlink>
      <w:r w:rsidRPr="004441A5">
        <w:rPr>
          <w:rFonts w:cs="Calibri"/>
          <w:szCs w:val="22"/>
          <w:lang w:val="ru-RU"/>
        </w:rPr>
        <w:t xml:space="preserve"> был организован БРЭ 28–30 апреля 2025 года в Шэньчжэне, Китай. На мероприятии собрались представители 10 стран Азии для совместной разработки и проверки проектных схем ускорения цифровой трансформации.</w:t>
      </w:r>
      <w:hyperlink r:id="rId81" w:history="1"/>
    </w:p>
    <w:p w14:paraId="541DB70D" w14:textId="77777777" w:rsidR="00906D52" w:rsidRPr="004441A5" w:rsidRDefault="00906D52" w:rsidP="00D87C04">
      <w:pPr>
        <w:rPr>
          <w:rFonts w:cs="Calibri"/>
          <w:szCs w:val="22"/>
          <w:lang w:val="ru-RU"/>
        </w:rPr>
      </w:pPr>
      <w:r w:rsidRPr="004441A5">
        <w:rPr>
          <w:rFonts w:cs="Calibri"/>
          <w:szCs w:val="22"/>
          <w:lang w:val="ru-RU"/>
        </w:rPr>
        <w:t>Продолжается дальнейшая разработка и тестирование Ускорителя региональных инициатив, и MIIT выделяет финансирование для масштабирования пилотных проектов после утверждения новых региональных инициатив в Баку.</w:t>
      </w:r>
    </w:p>
    <w:p w14:paraId="1304629D" w14:textId="022C883E" w:rsidR="00906D52" w:rsidRPr="00D87C04" w:rsidRDefault="00D87C04" w:rsidP="00D87C04">
      <w:pPr>
        <w:pStyle w:val="Headingb"/>
        <w:rPr>
          <w:lang w:val="ru-RU"/>
        </w:rPr>
      </w:pPr>
      <w:r>
        <w:t>g</w:t>
      </w:r>
      <w:r w:rsidRPr="00D87C04">
        <w:rPr>
          <w:lang w:val="ru-RU"/>
        </w:rPr>
        <w:t>)</w:t>
      </w:r>
      <w:r w:rsidRPr="00D87C04">
        <w:rPr>
          <w:lang w:val="ru-RU"/>
        </w:rPr>
        <w:tab/>
      </w:r>
      <w:r w:rsidR="00906D52" w:rsidRPr="00D87C04">
        <w:rPr>
          <w:lang w:val="ru-RU"/>
        </w:rPr>
        <w:t>Создание потенциала для Альянса инноваций</w:t>
      </w:r>
    </w:p>
    <w:p w14:paraId="2A47E24D" w14:textId="77777777" w:rsidR="00906D52" w:rsidRPr="004441A5" w:rsidRDefault="00906D52" w:rsidP="00D87C04">
      <w:pPr>
        <w:rPr>
          <w:rFonts w:cs="Calibri"/>
          <w:szCs w:val="22"/>
          <w:lang w:val="ru-RU"/>
        </w:rPr>
      </w:pPr>
      <w:r w:rsidRPr="004441A5">
        <w:rPr>
          <w:rFonts w:cs="Calibri"/>
          <w:szCs w:val="22"/>
          <w:lang w:val="ru-RU"/>
        </w:rPr>
        <w:t>БРЭ разработало систему компетенций в области создания потенциала по вопросам инноваций и предпринимательства, а также соответствующую учебную программу, которая внедряется на платформе Академии МСЭ и в семинарах-практикумах iCodi, организованных TDRA в ОАЭ и на глобальных мероприятиях.</w:t>
      </w:r>
    </w:p>
    <w:p w14:paraId="22C15F78" w14:textId="04E165CE" w:rsidR="00906D52" w:rsidRPr="004441A5" w:rsidRDefault="00D87C04" w:rsidP="00D87C04">
      <w:pPr>
        <w:pStyle w:val="enumlev1"/>
        <w:rPr>
          <w:rFonts w:cs="Calibri"/>
          <w:szCs w:val="22"/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r w:rsidR="00906D52" w:rsidRPr="004441A5">
        <w:rPr>
          <w:rFonts w:cs="Calibri"/>
          <w:szCs w:val="22"/>
          <w:lang w:val="ru-RU"/>
        </w:rPr>
        <w:t>На платформе Академии МСЭ БРЭ представило программы "</w:t>
      </w:r>
      <w:hyperlink r:id="rId82" w:history="1">
        <w:r w:rsidR="00906D52" w:rsidRPr="00CD3E66">
          <w:rPr>
            <w:rStyle w:val="Hyperlink"/>
          </w:rPr>
          <w:t>Введение в экосистемы</w:t>
        </w:r>
      </w:hyperlink>
      <w:r w:rsidR="00906D52" w:rsidRPr="004441A5">
        <w:rPr>
          <w:rFonts w:cs="Calibri"/>
          <w:szCs w:val="22"/>
          <w:lang w:val="ru-RU"/>
        </w:rPr>
        <w:t>", "</w:t>
      </w:r>
      <w:hyperlink r:id="rId83" w:history="1">
        <w:r w:rsidR="00906D52" w:rsidRPr="00CD3E66">
          <w:rPr>
            <w:rStyle w:val="Hyperlink"/>
          </w:rPr>
          <w:t>Введение в стратегическое прогнозирование</w:t>
        </w:r>
      </w:hyperlink>
      <w:r w:rsidR="00906D52" w:rsidRPr="004441A5">
        <w:rPr>
          <w:rFonts w:cs="Calibri"/>
          <w:szCs w:val="22"/>
          <w:lang w:val="ru-RU"/>
        </w:rPr>
        <w:t>", "</w:t>
      </w:r>
      <w:hyperlink r:id="rId84" w:history="1">
        <w:r w:rsidR="00906D52" w:rsidRPr="00CD3E66">
          <w:rPr>
            <w:rStyle w:val="Hyperlink"/>
          </w:rPr>
          <w:t>Стратегическое прогнозирование – продвинутый уровень</w:t>
        </w:r>
      </w:hyperlink>
      <w:r w:rsidR="00906D52" w:rsidRPr="004441A5">
        <w:rPr>
          <w:rFonts w:cs="Calibri"/>
          <w:szCs w:val="22"/>
          <w:lang w:val="ru-RU"/>
        </w:rPr>
        <w:t>" и "</w:t>
      </w:r>
      <w:hyperlink r:id="rId85" w:history="1">
        <w:r w:rsidR="00906D52" w:rsidRPr="00CD3E66">
          <w:rPr>
            <w:rStyle w:val="Hyperlink"/>
          </w:rPr>
          <w:t>Развитие экосистемных инициатив – продвинутый уровень</w:t>
        </w:r>
      </w:hyperlink>
      <w:r w:rsidR="00906D52" w:rsidRPr="004441A5">
        <w:rPr>
          <w:rFonts w:cs="Calibri"/>
          <w:szCs w:val="22"/>
          <w:lang w:val="ru-RU"/>
        </w:rPr>
        <w:t>".</w:t>
      </w:r>
      <w:hyperlink r:id="rId86" w:history="1"/>
      <w:hyperlink r:id="rId87" w:history="1"/>
      <w:hyperlink r:id="rId88" w:history="1"/>
      <w:hyperlink r:id="rId89" w:history="1"/>
    </w:p>
    <w:p w14:paraId="6F783A9C" w14:textId="20505B30" w:rsidR="00906D52" w:rsidRPr="004441A5" w:rsidRDefault="00D87C04" w:rsidP="00D87C04">
      <w:pPr>
        <w:pStyle w:val="enumlev1"/>
        <w:rPr>
          <w:rFonts w:cs="Calibri"/>
          <w:szCs w:val="22"/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r w:rsidR="00906D52" w:rsidRPr="004441A5">
        <w:rPr>
          <w:rFonts w:cs="Calibri"/>
          <w:szCs w:val="22"/>
          <w:lang w:val="ru-RU"/>
        </w:rPr>
        <w:t>В рамках глобальных семинаров-практикумов iCodi БРЭ провело серию учебных занятий по разработке инициатив в области экосистем (</w:t>
      </w:r>
      <w:hyperlink r:id="rId90" w:history="1">
        <w:r w:rsidR="00906D52" w:rsidRPr="00CD3E66">
          <w:rPr>
            <w:rStyle w:val="Hyperlink"/>
          </w:rPr>
          <w:t>Глобальный семинар-практикум ICODI 2024 года</w:t>
        </w:r>
      </w:hyperlink>
      <w:r w:rsidR="00906D52" w:rsidRPr="004441A5">
        <w:rPr>
          <w:rFonts w:cs="Calibri"/>
          <w:szCs w:val="22"/>
          <w:lang w:val="ru-RU"/>
        </w:rPr>
        <w:t xml:space="preserve"> и </w:t>
      </w:r>
      <w:hyperlink r:id="rId91" w:history="1">
        <w:r w:rsidR="00906D52" w:rsidRPr="00CD3E66">
          <w:rPr>
            <w:rStyle w:val="Hyperlink"/>
          </w:rPr>
          <w:t>Глобальный семинар-практикум ICODI 2025 года</w:t>
        </w:r>
      </w:hyperlink>
      <w:r w:rsidR="00906D52" w:rsidRPr="004441A5">
        <w:rPr>
          <w:rFonts w:cs="Calibri"/>
          <w:szCs w:val="22"/>
          <w:lang w:val="ru-RU"/>
        </w:rPr>
        <w:t>), экспериментирования в области политики и стратегического прогнозирования.</w:t>
      </w:r>
      <w:hyperlink r:id="rId92" w:history="1"/>
      <w:hyperlink r:id="rId93" w:history="1"/>
    </w:p>
    <w:p w14:paraId="726D5F77" w14:textId="0E3274A5" w:rsidR="00906D52" w:rsidRPr="004441A5" w:rsidRDefault="00D87C04" w:rsidP="00D87C04">
      <w:pPr>
        <w:pStyle w:val="enumlev1"/>
        <w:rPr>
          <w:rFonts w:cs="Calibri"/>
          <w:szCs w:val="22"/>
          <w:lang w:val="ru-RU"/>
        </w:rPr>
      </w:pPr>
      <w:r w:rsidRPr="00D87C04">
        <w:rPr>
          <w:lang w:val="ru-RU"/>
        </w:rPr>
        <w:t>–</w:t>
      </w:r>
      <w:r w:rsidRPr="00D87C04">
        <w:rPr>
          <w:lang w:val="ru-RU"/>
        </w:rPr>
        <w:tab/>
      </w:r>
      <w:r w:rsidR="00906D52" w:rsidRPr="004441A5">
        <w:rPr>
          <w:rFonts w:cs="Calibri"/>
          <w:szCs w:val="22"/>
          <w:lang w:val="ru-RU"/>
        </w:rPr>
        <w:t xml:space="preserve">На </w:t>
      </w:r>
      <w:hyperlink r:id="rId94" w:anchor="event-gsr-25" w:history="1">
        <w:r w:rsidR="00906D52" w:rsidRPr="00CD3E66">
          <w:rPr>
            <w:rStyle w:val="Hyperlink"/>
            <w:rFonts w:cs="Calibri"/>
            <w:szCs w:val="22"/>
            <w:lang w:val="ru-RU"/>
          </w:rPr>
          <w:t>ГСР-25</w:t>
        </w:r>
      </w:hyperlink>
      <w:r w:rsidR="00906D52" w:rsidRPr="004441A5">
        <w:rPr>
          <w:rFonts w:cs="Calibri"/>
          <w:szCs w:val="22"/>
          <w:lang w:val="ru-RU"/>
        </w:rPr>
        <w:t xml:space="preserve"> и </w:t>
      </w:r>
      <w:hyperlink r:id="rId95" w:history="1">
        <w:r w:rsidR="00906D52" w:rsidRPr="00CD3E66">
          <w:rPr>
            <w:rStyle w:val="Hyperlink"/>
            <w:rFonts w:cs="Calibri"/>
            <w:szCs w:val="22"/>
            <w:lang w:val="ru-RU"/>
          </w:rPr>
          <w:t>ГФИ-24</w:t>
        </w:r>
      </w:hyperlink>
      <w:r w:rsidR="00906D52" w:rsidRPr="004441A5">
        <w:rPr>
          <w:rFonts w:cs="Calibri"/>
          <w:szCs w:val="22"/>
          <w:lang w:val="ru-RU"/>
        </w:rPr>
        <w:t xml:space="preserve"> БРЭ также провело мастер-классы по стратегическому прогнозированию.</w:t>
      </w:r>
      <w:hyperlink r:id="rId96" w:anchor="event-gsr-25" w:history="1"/>
      <w:hyperlink r:id="rId97" w:history="1"/>
    </w:p>
    <w:p w14:paraId="68F44E8A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>Глобальные семинары-практикумы ICODI получили поддержку по обязательству TDRA в рамках программы Partner2Connect инвестировать 5 миллионов дирхамов ОАЭ в поддержку совместной инициативы МСЭ и TDRA – Международного центра цифровых инноваций (I-CoDI), направленной на расширение возможностей Государств-Членов в области цифровых инноваций в сфере информационно-коммуникационных технологий (ИКТ).</w:t>
      </w:r>
    </w:p>
    <w:p w14:paraId="7F75FD23" w14:textId="34A9F471" w:rsidR="00906D52" w:rsidRPr="004441A5" w:rsidRDefault="00D87C04" w:rsidP="00D87C04">
      <w:pPr>
        <w:pStyle w:val="Heading1"/>
        <w:rPr>
          <w:rStyle w:val="None"/>
          <w:rFonts w:cs="Calibri"/>
          <w:lang w:val="ru-RU"/>
        </w:rPr>
      </w:pPr>
      <w:r>
        <w:rPr>
          <w:lang w:val="en-US"/>
        </w:rPr>
        <w:t>3</w:t>
      </w:r>
      <w:r>
        <w:rPr>
          <w:lang w:val="en-US"/>
        </w:rPr>
        <w:tab/>
      </w:r>
      <w:r w:rsidR="00906D52" w:rsidRPr="004441A5">
        <w:rPr>
          <w:lang w:val="ru-RU"/>
        </w:rPr>
        <w:t>Дальнейшие действия</w:t>
      </w:r>
    </w:p>
    <w:p w14:paraId="6C7D3554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>БРЭ продолжит ввод в действие всех механизмов Альянса и мобилизацию ресурсов для поддержки стран. Многие страны выразили заинтересованность в присоединении к Сети центров Альянса; при этом Лаборатория цифровой трансформации и Совет по цифровым инновациям продолжают следить за тем, чтобы Альянс оставался гибким механизмом содействия ускорению цифровых инноваций в странах в соответствии с мандатом МСЭ.</w:t>
      </w:r>
    </w:p>
    <w:p w14:paraId="1A73BD0C" w14:textId="77777777" w:rsidR="00906D52" w:rsidRPr="004441A5" w:rsidRDefault="00906D52" w:rsidP="00D87C04">
      <w:pPr>
        <w:rPr>
          <w:lang w:val="ru-RU"/>
        </w:rPr>
      </w:pPr>
      <w:r w:rsidRPr="004441A5">
        <w:rPr>
          <w:lang w:val="ru-RU"/>
        </w:rPr>
        <w:t>Членам предлагается принять к сведению настоящий информационный документ о ходе работы Альянса в качестве нового механизма в рамках БРЭ.</w:t>
      </w:r>
    </w:p>
    <w:p w14:paraId="3B6864FD" w14:textId="77777777" w:rsidR="00D87C04" w:rsidRDefault="00D87C04" w:rsidP="00CD3E66">
      <w:pPr>
        <w:spacing w:before="480"/>
        <w:jc w:val="center"/>
      </w:pPr>
      <w:r>
        <w:t>______________</w:t>
      </w:r>
    </w:p>
    <w:sectPr w:rsidR="00D87C04">
      <w:headerReference w:type="default" r:id="rId98"/>
      <w:footerReference w:type="even" r:id="rId99"/>
      <w:footerReference w:type="first" r:id="rId100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220D" w14:textId="77777777" w:rsidR="00347F92" w:rsidRDefault="00347F92">
      <w:r>
        <w:separator/>
      </w:r>
    </w:p>
  </w:endnote>
  <w:endnote w:type="continuationSeparator" w:id="0">
    <w:p w14:paraId="1464D8B7" w14:textId="77777777" w:rsidR="00347F92" w:rsidRDefault="0034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Tw Cen MT"/>
    <w:panose1 w:val="00000000000000000000"/>
    <w:charset w:val="00"/>
    <w:family w:val="roman"/>
    <w:notTrueType/>
    <w:pitch w:val="default"/>
  </w:font>
  <w:font w:name="Avenir Heavy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3EA0" w14:textId="77777777" w:rsidR="006D15F1" w:rsidRDefault="006D15F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A573EB1" w14:textId="027F7923" w:rsidR="006D15F1" w:rsidRPr="0041348E" w:rsidRDefault="006D15F1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F0D65">
      <w:rPr>
        <w:noProof/>
        <w:lang w:val="en-US"/>
      </w:rPr>
      <w:t>M:\RUSSIAN\BELYAEVA\ITU\ITU-D\WTDC17\413949R.docx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87C04">
      <w:rPr>
        <w:noProof/>
      </w:rPr>
      <w:t>07.11.25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F0D65">
      <w:rPr>
        <w:noProof/>
      </w:rPr>
      <w:t>13.03.17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F66D79" w:rsidRPr="00D87C04" w14:paraId="51C680BA" w14:textId="77777777" w:rsidTr="005B4874">
      <w:tc>
        <w:tcPr>
          <w:tcW w:w="1418" w:type="dxa"/>
          <w:tcBorders>
            <w:top w:val="single" w:sz="4" w:space="0" w:color="000000"/>
          </w:tcBorders>
        </w:tcPr>
        <w:p w14:paraId="27FFFA9C" w14:textId="77777777" w:rsidR="00F66D79" w:rsidRPr="00F66D79" w:rsidRDefault="00F66D79" w:rsidP="00F66D7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  <w:r w:rsidRPr="00F66D79">
            <w:rPr>
              <w:sz w:val="18"/>
              <w:szCs w:val="18"/>
              <w:lang w:val="ru-RU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223DEB9F" w14:textId="77777777" w:rsidR="00F66D79" w:rsidRPr="00F66D79" w:rsidRDefault="00F66D79" w:rsidP="00F66D79">
          <w:pPr>
            <w:pStyle w:val="FirstFooter"/>
            <w:rPr>
              <w:sz w:val="18"/>
              <w:szCs w:val="18"/>
              <w:lang w:val="ru-RU"/>
            </w:rPr>
          </w:pPr>
          <w:r w:rsidRPr="00F66D79">
            <w:rPr>
              <w:sz w:val="18"/>
              <w:szCs w:val="18"/>
              <w:lang w:val="ru-RU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3C84E809" w14:textId="0B568159" w:rsidR="00F66D79" w:rsidRPr="00F66D79" w:rsidRDefault="00F66D79" w:rsidP="00F66D79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s-ES"/>
            </w:rPr>
          </w:pPr>
          <w:r w:rsidRPr="00F66D79">
            <w:rPr>
              <w:sz w:val="18"/>
              <w:szCs w:val="18"/>
              <w:lang w:val="ru-RU"/>
            </w:rPr>
            <w:t>г-н Мохамед Ба (Mr Mohamed Ba), руководитель службы, BDT/DKS/DIS</w:t>
          </w:r>
        </w:p>
      </w:tc>
    </w:tr>
    <w:tr w:rsidR="00F66D79" w:rsidRPr="00D46126" w14:paraId="41862D3B" w14:textId="77777777" w:rsidTr="005B4874">
      <w:tc>
        <w:tcPr>
          <w:tcW w:w="1418" w:type="dxa"/>
        </w:tcPr>
        <w:p w14:paraId="47454925" w14:textId="77777777" w:rsidR="00F66D79" w:rsidRPr="00F66D79" w:rsidRDefault="00F66D79" w:rsidP="00F66D7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"/>
            </w:rPr>
          </w:pPr>
        </w:p>
      </w:tc>
      <w:tc>
        <w:tcPr>
          <w:tcW w:w="3260" w:type="dxa"/>
        </w:tcPr>
        <w:p w14:paraId="4813E7A8" w14:textId="77777777" w:rsidR="00F66D79" w:rsidRPr="00F66D79" w:rsidRDefault="00F66D79" w:rsidP="00F66D79">
          <w:pPr>
            <w:pStyle w:val="FirstFooter"/>
            <w:rPr>
              <w:sz w:val="18"/>
              <w:szCs w:val="18"/>
              <w:lang w:val="ru-RU"/>
            </w:rPr>
          </w:pPr>
          <w:r w:rsidRPr="00F66D79">
            <w:rPr>
              <w:sz w:val="18"/>
              <w:szCs w:val="18"/>
              <w:lang w:val="ru-RU"/>
            </w:rPr>
            <w:t>Тел.:</w:t>
          </w:r>
        </w:p>
      </w:tc>
      <w:tc>
        <w:tcPr>
          <w:tcW w:w="4961" w:type="dxa"/>
        </w:tcPr>
        <w:p w14:paraId="3EAB025B" w14:textId="5287373C" w:rsidR="00F66D79" w:rsidRPr="00F66D79" w:rsidRDefault="00F66D79" w:rsidP="00F66D79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F66D79">
            <w:rPr>
              <w:sz w:val="18"/>
              <w:szCs w:val="18"/>
              <w:lang w:val="ru-RU"/>
            </w:rPr>
            <w:t>+41 22 730 5338</w:t>
          </w:r>
        </w:p>
      </w:tc>
    </w:tr>
    <w:tr w:rsidR="000E18FE" w:rsidRPr="00F66D79" w14:paraId="27B123DF" w14:textId="77777777" w:rsidTr="005B4874">
      <w:tc>
        <w:tcPr>
          <w:tcW w:w="1418" w:type="dxa"/>
        </w:tcPr>
        <w:p w14:paraId="538217E9" w14:textId="77777777" w:rsidR="000E18FE" w:rsidRPr="00F66D79" w:rsidRDefault="000E18FE" w:rsidP="000E18FE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</w:p>
      </w:tc>
      <w:tc>
        <w:tcPr>
          <w:tcW w:w="3260" w:type="dxa"/>
        </w:tcPr>
        <w:p w14:paraId="40DC1991" w14:textId="77777777" w:rsidR="000E18FE" w:rsidRPr="00F66D79" w:rsidRDefault="000E18FE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F66D79">
            <w:rPr>
              <w:sz w:val="18"/>
              <w:szCs w:val="18"/>
              <w:lang w:val="ru-RU"/>
            </w:rPr>
            <w:t>Эл. почта:</w:t>
          </w:r>
        </w:p>
      </w:tc>
      <w:tc>
        <w:tcPr>
          <w:tcW w:w="4961" w:type="dxa"/>
        </w:tcPr>
        <w:p w14:paraId="56CD93EF" w14:textId="0794743D" w:rsidR="000E18FE" w:rsidRPr="00F66D79" w:rsidRDefault="00F66D79" w:rsidP="00F66D79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ru-RU"/>
            </w:rPr>
          </w:pPr>
          <w:hyperlink r:id="rId1" w:history="1">
            <w:r w:rsidRPr="00F66D79">
              <w:rPr>
                <w:rStyle w:val="Hyperlink"/>
                <w:sz w:val="18"/>
                <w:szCs w:val="18"/>
                <w:lang w:val="en-US"/>
              </w:rPr>
              <w:t>mohamed</w:t>
            </w:r>
            <w:r w:rsidRPr="00F66D79">
              <w:rPr>
                <w:rStyle w:val="Hyperlink"/>
                <w:sz w:val="18"/>
                <w:szCs w:val="18"/>
                <w:lang w:val="ru-RU"/>
              </w:rPr>
              <w:t>.</w:t>
            </w:r>
            <w:r w:rsidRPr="00F66D79">
              <w:rPr>
                <w:rStyle w:val="Hyperlink"/>
                <w:sz w:val="18"/>
                <w:szCs w:val="18"/>
                <w:lang w:val="en-US"/>
              </w:rPr>
              <w:t>ba</w:t>
            </w:r>
            <w:r w:rsidRPr="00F66D79">
              <w:rPr>
                <w:rStyle w:val="Hyperlink"/>
                <w:sz w:val="18"/>
                <w:szCs w:val="18"/>
                <w:lang w:val="ru-RU"/>
              </w:rPr>
              <w:t>@</w:t>
            </w:r>
            <w:r w:rsidRPr="00F66D79">
              <w:rPr>
                <w:rStyle w:val="Hyperlink"/>
                <w:sz w:val="18"/>
                <w:szCs w:val="18"/>
                <w:lang w:val="en-US"/>
              </w:rPr>
              <w:t>itu</w:t>
            </w:r>
            <w:r w:rsidRPr="00F66D79">
              <w:rPr>
                <w:rStyle w:val="Hyperlink"/>
                <w:sz w:val="18"/>
                <w:szCs w:val="18"/>
                <w:lang w:val="ru-RU"/>
              </w:rPr>
              <w:t>.</w:t>
            </w:r>
            <w:r w:rsidRPr="00F66D79">
              <w:rPr>
                <w:rStyle w:val="Hyperlink"/>
                <w:sz w:val="18"/>
                <w:szCs w:val="18"/>
                <w:lang w:val="en-US"/>
              </w:rPr>
              <w:t>int</w:t>
            </w:r>
          </w:hyperlink>
          <w:r w:rsidRPr="00F66D79">
            <w:rPr>
              <w:sz w:val="18"/>
              <w:szCs w:val="18"/>
              <w:lang w:val="ru-RU"/>
            </w:rPr>
            <w:t xml:space="preserve"> </w:t>
          </w:r>
        </w:p>
      </w:tc>
    </w:tr>
  </w:tbl>
  <w:p w14:paraId="51B9F901" w14:textId="77777777" w:rsidR="006D15F1" w:rsidRPr="00784E03" w:rsidRDefault="00597B4F" w:rsidP="00597B4F">
    <w:pPr>
      <w:jc w:val="center"/>
      <w:rPr>
        <w:sz w:val="20"/>
      </w:rPr>
    </w:pPr>
    <w:hyperlink r:id="rId2" w:anchor="/ru" w:history="1">
      <w:r w:rsidRPr="004E7B86">
        <w:rPr>
          <w:rStyle w:val="Hyperlink"/>
          <w:sz w:val="20"/>
          <w:lang w:val="ru-RU"/>
        </w:rPr>
        <w:t>ВКРЭ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CA06" w14:textId="77777777" w:rsidR="00347F92" w:rsidRDefault="00347F92">
      <w:r>
        <w:rPr>
          <w:b/>
        </w:rPr>
        <w:t>_______________</w:t>
      </w:r>
    </w:p>
  </w:footnote>
  <w:footnote w:type="continuationSeparator" w:id="0">
    <w:p w14:paraId="243CB5B1" w14:textId="77777777" w:rsidR="00347F92" w:rsidRDefault="00347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8639" w14:textId="3D7AA670" w:rsidR="006D15F1" w:rsidRPr="00D83BF5" w:rsidRDefault="006D15F1" w:rsidP="0038081B">
    <w:pPr>
      <w:tabs>
        <w:tab w:val="clear" w:pos="1134"/>
        <w:tab w:val="clear" w:pos="1871"/>
        <w:tab w:val="clear" w:pos="2268"/>
        <w:tab w:val="center" w:pos="4820"/>
        <w:tab w:val="right" w:pos="9638"/>
      </w:tabs>
      <w:ind w:right="1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r w:rsidR="0038081B" w:rsidRPr="0038081B">
      <w:rPr>
        <w:szCs w:val="22"/>
        <w:lang w:val="de-CH"/>
      </w:rPr>
      <w:t>WTDC</w:t>
    </w:r>
    <w:r w:rsidR="0050311B">
      <w:rPr>
        <w:szCs w:val="22"/>
        <w:lang w:val="de-CH"/>
      </w:rPr>
      <w:t>-</w:t>
    </w:r>
    <w:r w:rsidR="00DC25BA">
      <w:rPr>
        <w:szCs w:val="22"/>
        <w:lang w:val="de-CH"/>
      </w:rPr>
      <w:t>2</w:t>
    </w:r>
    <w:r w:rsidR="000F1FF4">
      <w:rPr>
        <w:szCs w:val="22"/>
        <w:lang w:val="de-CH"/>
      </w:rPr>
      <w:t>5</w:t>
    </w:r>
    <w:r w:rsidR="0038081B" w:rsidRPr="0038081B">
      <w:rPr>
        <w:szCs w:val="22"/>
        <w:lang w:val="de-CH"/>
      </w:rPr>
      <w:t>/</w:t>
    </w:r>
    <w:bookmarkStart w:id="1" w:name="OLE_LINK3"/>
    <w:bookmarkStart w:id="2" w:name="OLE_LINK2"/>
    <w:bookmarkStart w:id="3" w:name="OLE_LINK1"/>
    <w:r w:rsidR="00906D52">
      <w:rPr>
        <w:szCs w:val="22"/>
        <w:lang w:val="de-CH"/>
      </w:rPr>
      <w:t>14</w:t>
    </w:r>
    <w:bookmarkEnd w:id="1"/>
    <w:bookmarkEnd w:id="2"/>
    <w:bookmarkEnd w:id="3"/>
    <w:r w:rsidR="0038081B" w:rsidRPr="0038081B">
      <w:rPr>
        <w:szCs w:val="22"/>
      </w:rPr>
      <w:t>-R</w:t>
    </w:r>
    <w:r w:rsidRPr="00FF089C">
      <w:rPr>
        <w:szCs w:val="22"/>
        <w:lang w:val="es-ES_tradnl"/>
      </w:rPr>
      <w:tab/>
    </w:r>
    <w:r w:rsidR="000E18FE">
      <w:rPr>
        <w:szCs w:val="22"/>
        <w:lang w:val="ru-RU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 w:rsidR="00FE2E73">
      <w:rPr>
        <w:noProof/>
        <w:szCs w:val="22"/>
        <w:lang w:val="es-ES_tradnl"/>
      </w:rPr>
      <w:t>2</w:t>
    </w:r>
    <w:r w:rsidRPr="004D495C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02E08BA"/>
    <w:multiLevelType w:val="hybridMultilevel"/>
    <w:tmpl w:val="D5D87720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383"/>
    <w:multiLevelType w:val="hybridMultilevel"/>
    <w:tmpl w:val="40705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B01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2352A77"/>
    <w:multiLevelType w:val="hybridMultilevel"/>
    <w:tmpl w:val="07802FEA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12ECD"/>
    <w:multiLevelType w:val="hybridMultilevel"/>
    <w:tmpl w:val="4AE46F04"/>
    <w:styleLink w:val="Numbered"/>
    <w:lvl w:ilvl="0" w:tplc="58C27858">
      <w:start w:val="1"/>
      <w:numFmt w:val="decimal"/>
      <w:lvlText w:val="%1."/>
      <w:lvlJc w:val="left"/>
      <w:pPr>
        <w:tabs>
          <w:tab w:val="num" w:pos="232"/>
        </w:tabs>
        <w:ind w:left="1366" w:hanging="13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28B47A">
      <w:start w:val="1"/>
      <w:numFmt w:val="decimal"/>
      <w:lvlText w:val="%2."/>
      <w:lvlJc w:val="left"/>
      <w:pPr>
        <w:tabs>
          <w:tab w:val="num" w:pos="1074"/>
        </w:tabs>
        <w:ind w:left="2208" w:hanging="14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0ABA0">
      <w:start w:val="1"/>
      <w:numFmt w:val="decimal"/>
      <w:lvlText w:val="%3."/>
      <w:lvlJc w:val="left"/>
      <w:pPr>
        <w:tabs>
          <w:tab w:val="num" w:pos="1874"/>
        </w:tabs>
        <w:ind w:left="3008" w:hanging="14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E6D044">
      <w:start w:val="1"/>
      <w:numFmt w:val="decimal"/>
      <w:lvlText w:val="%4."/>
      <w:lvlJc w:val="left"/>
      <w:pPr>
        <w:tabs>
          <w:tab w:val="num" w:pos="2674"/>
        </w:tabs>
        <w:ind w:left="3808" w:hanging="14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5AF8CA">
      <w:start w:val="1"/>
      <w:numFmt w:val="decimal"/>
      <w:lvlText w:val="%5."/>
      <w:lvlJc w:val="left"/>
      <w:pPr>
        <w:tabs>
          <w:tab w:val="num" w:pos="3474"/>
        </w:tabs>
        <w:ind w:left="4608" w:hanging="14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14826C">
      <w:start w:val="1"/>
      <w:numFmt w:val="decimal"/>
      <w:lvlText w:val="%6."/>
      <w:lvlJc w:val="left"/>
      <w:pPr>
        <w:tabs>
          <w:tab w:val="num" w:pos="4274"/>
        </w:tabs>
        <w:ind w:left="5408" w:hanging="14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6807BE">
      <w:start w:val="1"/>
      <w:numFmt w:val="decimal"/>
      <w:lvlText w:val="%7."/>
      <w:lvlJc w:val="left"/>
      <w:pPr>
        <w:tabs>
          <w:tab w:val="num" w:pos="5074"/>
        </w:tabs>
        <w:ind w:left="6208" w:hanging="14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7EBA4A">
      <w:start w:val="1"/>
      <w:numFmt w:val="decimal"/>
      <w:lvlText w:val="%8."/>
      <w:lvlJc w:val="left"/>
      <w:pPr>
        <w:tabs>
          <w:tab w:val="num" w:pos="5874"/>
        </w:tabs>
        <w:ind w:left="7008" w:hanging="14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541EEC">
      <w:start w:val="1"/>
      <w:numFmt w:val="decimal"/>
      <w:lvlText w:val="%9."/>
      <w:lvlJc w:val="left"/>
      <w:pPr>
        <w:tabs>
          <w:tab w:val="num" w:pos="6674"/>
        </w:tabs>
        <w:ind w:left="7808" w:hanging="14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51521A"/>
    <w:multiLevelType w:val="hybridMultilevel"/>
    <w:tmpl w:val="A2BED28A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013DA"/>
    <w:multiLevelType w:val="hybridMultilevel"/>
    <w:tmpl w:val="5CA8EBDE"/>
    <w:numStyleLink w:val="Bullets"/>
  </w:abstractNum>
  <w:abstractNum w:abstractNumId="10" w15:restartNumberingAfterBreak="0">
    <w:nsid w:val="1CAC2366"/>
    <w:multiLevelType w:val="hybridMultilevel"/>
    <w:tmpl w:val="37C633E8"/>
    <w:numStyleLink w:val="Lettered"/>
  </w:abstractNum>
  <w:abstractNum w:abstractNumId="11" w15:restartNumberingAfterBreak="0">
    <w:nsid w:val="1DDB18A5"/>
    <w:multiLevelType w:val="hybridMultilevel"/>
    <w:tmpl w:val="F984E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F1EEF"/>
    <w:multiLevelType w:val="hybridMultilevel"/>
    <w:tmpl w:val="4AE46F04"/>
    <w:numStyleLink w:val="Numbered"/>
  </w:abstractNum>
  <w:abstractNum w:abstractNumId="13" w15:restartNumberingAfterBreak="0">
    <w:nsid w:val="23897708"/>
    <w:multiLevelType w:val="hybridMultilevel"/>
    <w:tmpl w:val="7FDCB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63075"/>
    <w:multiLevelType w:val="hybridMultilevel"/>
    <w:tmpl w:val="5CA8EBDE"/>
    <w:styleLink w:val="Bullets"/>
    <w:lvl w:ilvl="0" w:tplc="260CE84A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C2416A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682D1A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0C2D26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BAFFB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FA3F8C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FC0736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FC4B6A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9EAF66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CBF69DD"/>
    <w:multiLevelType w:val="hybridMultilevel"/>
    <w:tmpl w:val="139E1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479FC"/>
    <w:multiLevelType w:val="hybridMultilevel"/>
    <w:tmpl w:val="16181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D6752"/>
    <w:multiLevelType w:val="hybridMultilevel"/>
    <w:tmpl w:val="20A0F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E084C"/>
    <w:multiLevelType w:val="hybridMultilevel"/>
    <w:tmpl w:val="EEB2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F70B6"/>
    <w:multiLevelType w:val="hybridMultilevel"/>
    <w:tmpl w:val="0636A7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952B8"/>
    <w:multiLevelType w:val="hybridMultilevel"/>
    <w:tmpl w:val="6E00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8752D"/>
    <w:multiLevelType w:val="hybridMultilevel"/>
    <w:tmpl w:val="37C633E8"/>
    <w:styleLink w:val="Lettered"/>
    <w:lvl w:ilvl="0" w:tplc="CBFE6E34">
      <w:start w:val="1"/>
      <w:numFmt w:val="upperLetter"/>
      <w:lvlText w:val="%1."/>
      <w:lvlJc w:val="left"/>
      <w:pPr>
        <w:tabs>
          <w:tab w:val="num" w:pos="289"/>
        </w:tabs>
        <w:ind w:left="1423" w:hanging="14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40EE06">
      <w:start w:val="1"/>
      <w:numFmt w:val="upperLetter"/>
      <w:lvlText w:val="%2."/>
      <w:lvlJc w:val="left"/>
      <w:pPr>
        <w:tabs>
          <w:tab w:val="num" w:pos="1289"/>
        </w:tabs>
        <w:ind w:left="2423" w:hanging="14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964514">
      <w:start w:val="1"/>
      <w:numFmt w:val="upperLetter"/>
      <w:lvlText w:val="%3."/>
      <w:lvlJc w:val="left"/>
      <w:pPr>
        <w:tabs>
          <w:tab w:val="num" w:pos="2289"/>
        </w:tabs>
        <w:ind w:left="3423" w:hanging="14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EE2CE0">
      <w:start w:val="1"/>
      <w:numFmt w:val="upperLetter"/>
      <w:lvlText w:val="%4."/>
      <w:lvlJc w:val="left"/>
      <w:pPr>
        <w:tabs>
          <w:tab w:val="num" w:pos="3289"/>
        </w:tabs>
        <w:ind w:left="4423" w:hanging="14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AC2E76">
      <w:start w:val="1"/>
      <w:numFmt w:val="upperLetter"/>
      <w:lvlText w:val="%5."/>
      <w:lvlJc w:val="left"/>
      <w:pPr>
        <w:tabs>
          <w:tab w:val="num" w:pos="4289"/>
        </w:tabs>
        <w:ind w:left="5423" w:hanging="14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686DDE">
      <w:start w:val="1"/>
      <w:numFmt w:val="upperLetter"/>
      <w:lvlText w:val="%6."/>
      <w:lvlJc w:val="left"/>
      <w:pPr>
        <w:tabs>
          <w:tab w:val="num" w:pos="5289"/>
        </w:tabs>
        <w:ind w:left="6423" w:hanging="14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6464B0">
      <w:start w:val="1"/>
      <w:numFmt w:val="upperLetter"/>
      <w:lvlText w:val="%7."/>
      <w:lvlJc w:val="left"/>
      <w:pPr>
        <w:tabs>
          <w:tab w:val="num" w:pos="6289"/>
        </w:tabs>
        <w:ind w:left="7423" w:hanging="14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22C8AA">
      <w:start w:val="1"/>
      <w:numFmt w:val="upperLetter"/>
      <w:lvlText w:val="%8."/>
      <w:lvlJc w:val="left"/>
      <w:pPr>
        <w:tabs>
          <w:tab w:val="num" w:pos="7289"/>
        </w:tabs>
        <w:ind w:left="8423" w:hanging="14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365572">
      <w:start w:val="1"/>
      <w:numFmt w:val="upperLetter"/>
      <w:lvlText w:val="%9."/>
      <w:lvlJc w:val="left"/>
      <w:pPr>
        <w:tabs>
          <w:tab w:val="num" w:pos="8289"/>
        </w:tabs>
        <w:ind w:left="9423" w:hanging="14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4855E2A"/>
    <w:multiLevelType w:val="hybridMultilevel"/>
    <w:tmpl w:val="A2D4283A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340F1"/>
    <w:multiLevelType w:val="hybridMultilevel"/>
    <w:tmpl w:val="4EFA2602"/>
    <w:lvl w:ilvl="0" w:tplc="2326C61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33754"/>
    <w:multiLevelType w:val="hybridMultilevel"/>
    <w:tmpl w:val="0C4E6464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D39E3"/>
    <w:multiLevelType w:val="hybridMultilevel"/>
    <w:tmpl w:val="CF84771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81EB8"/>
    <w:multiLevelType w:val="hybridMultilevel"/>
    <w:tmpl w:val="5A640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8" w15:restartNumberingAfterBreak="0">
    <w:nsid w:val="5B272A0E"/>
    <w:multiLevelType w:val="hybridMultilevel"/>
    <w:tmpl w:val="1F8C8C0A"/>
    <w:lvl w:ilvl="0" w:tplc="5E88FAC6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31D2C"/>
    <w:multiLevelType w:val="hybridMultilevel"/>
    <w:tmpl w:val="A854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E10DE"/>
    <w:multiLevelType w:val="hybridMultilevel"/>
    <w:tmpl w:val="63DA0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015C9"/>
    <w:multiLevelType w:val="hybridMultilevel"/>
    <w:tmpl w:val="0AD04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31918"/>
    <w:multiLevelType w:val="hybridMultilevel"/>
    <w:tmpl w:val="E4681DD6"/>
    <w:lvl w:ilvl="0" w:tplc="E8BAB078">
      <w:start w:val="1"/>
      <w:numFmt w:val="lowerLetter"/>
      <w:lvlText w:val="%1."/>
      <w:lvlJc w:val="left"/>
      <w:pPr>
        <w:ind w:left="360" w:hanging="360"/>
      </w:pPr>
      <w:rPr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F20E10"/>
    <w:multiLevelType w:val="hybridMultilevel"/>
    <w:tmpl w:val="E3A861BA"/>
    <w:lvl w:ilvl="0" w:tplc="E696AC0C">
      <w:numFmt w:val="bullet"/>
      <w:lvlText w:val="•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53E37"/>
    <w:multiLevelType w:val="hybridMultilevel"/>
    <w:tmpl w:val="F2C2C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117143">
    <w:abstractNumId w:val="0"/>
  </w:num>
  <w:num w:numId="2" w16cid:durableId="11719902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35228157">
    <w:abstractNumId w:val="34"/>
  </w:num>
  <w:num w:numId="4" w16cid:durableId="1041519298">
    <w:abstractNumId w:val="5"/>
  </w:num>
  <w:num w:numId="5" w16cid:durableId="1059479212">
    <w:abstractNumId w:val="27"/>
  </w:num>
  <w:num w:numId="6" w16cid:durableId="1242762915">
    <w:abstractNumId w:val="23"/>
  </w:num>
  <w:num w:numId="7" w16cid:durableId="811674602">
    <w:abstractNumId w:val="7"/>
  </w:num>
  <w:num w:numId="8" w16cid:durableId="1529948338">
    <w:abstractNumId w:val="12"/>
  </w:num>
  <w:num w:numId="9" w16cid:durableId="1226331442">
    <w:abstractNumId w:val="14"/>
  </w:num>
  <w:num w:numId="10" w16cid:durableId="1684742444">
    <w:abstractNumId w:val="9"/>
  </w:num>
  <w:num w:numId="11" w16cid:durableId="1430814145">
    <w:abstractNumId w:val="9"/>
    <w:lvlOverride w:ilvl="0">
      <w:lvl w:ilvl="0" w:tplc="42DEB4E4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768DE8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D5435EA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604314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E8D85C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5AD812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C22DA32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E67B18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C6663A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206067056">
    <w:abstractNumId w:val="21"/>
  </w:num>
  <w:num w:numId="13" w16cid:durableId="54401018">
    <w:abstractNumId w:val="10"/>
  </w:num>
  <w:num w:numId="14" w16cid:durableId="293945423">
    <w:abstractNumId w:val="10"/>
    <w:lvlOverride w:ilvl="0">
      <w:startOverride w:val="4"/>
    </w:lvlOverride>
  </w:num>
  <w:num w:numId="15" w16cid:durableId="1777627565">
    <w:abstractNumId w:val="12"/>
    <w:lvlOverride w:ilvl="0">
      <w:startOverride w:val="2"/>
      <w:lvl w:ilvl="0" w:tplc="A4EEDA84">
        <w:start w:val="2"/>
        <w:numFmt w:val="decimal"/>
        <w:lvlText w:val="%1."/>
        <w:lvlJc w:val="left"/>
        <w:pPr>
          <w:tabs>
            <w:tab w:val="num" w:pos="274"/>
          </w:tabs>
          <w:ind w:left="14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9049F12">
        <w:start w:val="1"/>
        <w:numFmt w:val="decimal"/>
        <w:lvlText w:val="%2."/>
        <w:lvlJc w:val="left"/>
        <w:pPr>
          <w:tabs>
            <w:tab w:val="num" w:pos="1074"/>
          </w:tabs>
          <w:ind w:left="22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28CA606">
        <w:start w:val="1"/>
        <w:numFmt w:val="decimal"/>
        <w:lvlText w:val="%3."/>
        <w:lvlJc w:val="left"/>
        <w:pPr>
          <w:tabs>
            <w:tab w:val="num" w:pos="1874"/>
          </w:tabs>
          <w:ind w:left="30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B82BB06">
        <w:start w:val="1"/>
        <w:numFmt w:val="decimal"/>
        <w:lvlText w:val="%4."/>
        <w:lvlJc w:val="left"/>
        <w:pPr>
          <w:tabs>
            <w:tab w:val="num" w:pos="2674"/>
          </w:tabs>
          <w:ind w:left="38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504281A">
        <w:start w:val="1"/>
        <w:numFmt w:val="decimal"/>
        <w:lvlText w:val="%5."/>
        <w:lvlJc w:val="left"/>
        <w:pPr>
          <w:tabs>
            <w:tab w:val="num" w:pos="3474"/>
          </w:tabs>
          <w:ind w:left="46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212CCF8">
        <w:start w:val="1"/>
        <w:numFmt w:val="decimal"/>
        <w:lvlText w:val="%6."/>
        <w:lvlJc w:val="left"/>
        <w:pPr>
          <w:tabs>
            <w:tab w:val="num" w:pos="4274"/>
          </w:tabs>
          <w:ind w:left="54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76331C">
        <w:start w:val="1"/>
        <w:numFmt w:val="decimal"/>
        <w:lvlText w:val="%7."/>
        <w:lvlJc w:val="left"/>
        <w:pPr>
          <w:tabs>
            <w:tab w:val="num" w:pos="5074"/>
          </w:tabs>
          <w:ind w:left="62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24E5A38">
        <w:start w:val="1"/>
        <w:numFmt w:val="decimal"/>
        <w:lvlText w:val="%8."/>
        <w:lvlJc w:val="left"/>
        <w:pPr>
          <w:tabs>
            <w:tab w:val="num" w:pos="5874"/>
          </w:tabs>
          <w:ind w:left="70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F54194E">
        <w:start w:val="1"/>
        <w:numFmt w:val="decimal"/>
        <w:lvlText w:val="%9."/>
        <w:lvlJc w:val="left"/>
        <w:pPr>
          <w:tabs>
            <w:tab w:val="num" w:pos="6674"/>
          </w:tabs>
          <w:ind w:left="78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371221576">
    <w:abstractNumId w:val="12"/>
    <w:lvlOverride w:ilvl="0">
      <w:startOverride w:val="2"/>
      <w:lvl w:ilvl="0" w:tplc="A4EEDA84">
        <w:start w:val="2"/>
        <w:numFmt w:val="decimal"/>
        <w:lvlText w:val="%1."/>
        <w:lvlJc w:val="left"/>
        <w:pPr>
          <w:tabs>
            <w:tab w:val="num" w:pos="274"/>
          </w:tabs>
          <w:ind w:left="14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9049F12">
        <w:start w:val="1"/>
        <w:numFmt w:val="decimal"/>
        <w:lvlText w:val="%2."/>
        <w:lvlJc w:val="left"/>
        <w:pPr>
          <w:tabs>
            <w:tab w:val="num" w:pos="1074"/>
          </w:tabs>
          <w:ind w:left="22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28CA606">
        <w:start w:val="1"/>
        <w:numFmt w:val="decimal"/>
        <w:lvlText w:val="%3."/>
        <w:lvlJc w:val="left"/>
        <w:pPr>
          <w:tabs>
            <w:tab w:val="num" w:pos="1874"/>
          </w:tabs>
          <w:ind w:left="30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B82BB06">
        <w:start w:val="1"/>
        <w:numFmt w:val="decimal"/>
        <w:lvlText w:val="%4."/>
        <w:lvlJc w:val="left"/>
        <w:pPr>
          <w:tabs>
            <w:tab w:val="num" w:pos="2674"/>
          </w:tabs>
          <w:ind w:left="38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504281A">
        <w:start w:val="1"/>
        <w:numFmt w:val="decimal"/>
        <w:lvlText w:val="%5."/>
        <w:lvlJc w:val="left"/>
        <w:pPr>
          <w:tabs>
            <w:tab w:val="num" w:pos="3474"/>
          </w:tabs>
          <w:ind w:left="46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212CCF8">
        <w:start w:val="1"/>
        <w:numFmt w:val="decimal"/>
        <w:lvlText w:val="%6."/>
        <w:lvlJc w:val="left"/>
        <w:pPr>
          <w:tabs>
            <w:tab w:val="num" w:pos="4274"/>
          </w:tabs>
          <w:ind w:left="54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76331C">
        <w:start w:val="1"/>
        <w:numFmt w:val="decimal"/>
        <w:lvlText w:val="%7."/>
        <w:lvlJc w:val="left"/>
        <w:pPr>
          <w:tabs>
            <w:tab w:val="num" w:pos="5074"/>
          </w:tabs>
          <w:ind w:left="62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24E5A38">
        <w:start w:val="1"/>
        <w:numFmt w:val="decimal"/>
        <w:lvlText w:val="%8."/>
        <w:lvlJc w:val="left"/>
        <w:pPr>
          <w:tabs>
            <w:tab w:val="num" w:pos="5874"/>
          </w:tabs>
          <w:ind w:left="70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F54194E">
        <w:start w:val="1"/>
        <w:numFmt w:val="decimal"/>
        <w:lvlText w:val="%9."/>
        <w:lvlJc w:val="left"/>
        <w:pPr>
          <w:tabs>
            <w:tab w:val="num" w:pos="6674"/>
          </w:tabs>
          <w:ind w:left="78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2061783505">
    <w:abstractNumId w:val="12"/>
    <w:lvlOverride w:ilvl="0">
      <w:startOverride w:val="3"/>
      <w:lvl w:ilvl="0" w:tplc="A4EEDA84">
        <w:start w:val="3"/>
        <w:numFmt w:val="decimal"/>
        <w:lvlText w:val="%1."/>
        <w:lvlJc w:val="left"/>
        <w:pPr>
          <w:tabs>
            <w:tab w:val="num" w:pos="274"/>
          </w:tabs>
          <w:ind w:left="14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9049F12">
        <w:start w:val="1"/>
        <w:numFmt w:val="decimal"/>
        <w:lvlText w:val="%2."/>
        <w:lvlJc w:val="left"/>
        <w:pPr>
          <w:tabs>
            <w:tab w:val="num" w:pos="1074"/>
          </w:tabs>
          <w:ind w:left="22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28CA606">
        <w:start w:val="1"/>
        <w:numFmt w:val="decimal"/>
        <w:lvlText w:val="%3."/>
        <w:lvlJc w:val="left"/>
        <w:pPr>
          <w:tabs>
            <w:tab w:val="num" w:pos="1874"/>
          </w:tabs>
          <w:ind w:left="30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B82BB06">
        <w:start w:val="1"/>
        <w:numFmt w:val="decimal"/>
        <w:lvlText w:val="%4."/>
        <w:lvlJc w:val="left"/>
        <w:pPr>
          <w:tabs>
            <w:tab w:val="num" w:pos="2674"/>
          </w:tabs>
          <w:ind w:left="38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504281A">
        <w:start w:val="1"/>
        <w:numFmt w:val="decimal"/>
        <w:lvlText w:val="%5."/>
        <w:lvlJc w:val="left"/>
        <w:pPr>
          <w:tabs>
            <w:tab w:val="num" w:pos="3474"/>
          </w:tabs>
          <w:ind w:left="46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212CCF8">
        <w:start w:val="1"/>
        <w:numFmt w:val="decimal"/>
        <w:lvlText w:val="%6."/>
        <w:lvlJc w:val="left"/>
        <w:pPr>
          <w:tabs>
            <w:tab w:val="num" w:pos="4274"/>
          </w:tabs>
          <w:ind w:left="54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76331C">
        <w:start w:val="1"/>
        <w:numFmt w:val="decimal"/>
        <w:lvlText w:val="%7."/>
        <w:lvlJc w:val="left"/>
        <w:pPr>
          <w:tabs>
            <w:tab w:val="num" w:pos="5074"/>
          </w:tabs>
          <w:ind w:left="62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24E5A38">
        <w:start w:val="1"/>
        <w:numFmt w:val="decimal"/>
        <w:lvlText w:val="%8."/>
        <w:lvlJc w:val="left"/>
        <w:pPr>
          <w:tabs>
            <w:tab w:val="num" w:pos="5874"/>
          </w:tabs>
          <w:ind w:left="70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F54194E">
        <w:start w:val="1"/>
        <w:numFmt w:val="decimal"/>
        <w:lvlText w:val="%9."/>
        <w:lvlJc w:val="left"/>
        <w:pPr>
          <w:tabs>
            <w:tab w:val="num" w:pos="6674"/>
          </w:tabs>
          <w:ind w:left="78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2100246986">
    <w:abstractNumId w:val="12"/>
    <w:lvlOverride w:ilvl="0">
      <w:startOverride w:val="4"/>
      <w:lvl w:ilvl="0" w:tplc="A4EEDA84">
        <w:start w:val="4"/>
        <w:numFmt w:val="decimal"/>
        <w:lvlText w:val="%1."/>
        <w:lvlJc w:val="left"/>
        <w:pPr>
          <w:tabs>
            <w:tab w:val="num" w:pos="274"/>
          </w:tabs>
          <w:ind w:left="14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9049F12">
        <w:start w:val="1"/>
        <w:numFmt w:val="decimal"/>
        <w:lvlText w:val="%2."/>
        <w:lvlJc w:val="left"/>
        <w:pPr>
          <w:tabs>
            <w:tab w:val="num" w:pos="1074"/>
          </w:tabs>
          <w:ind w:left="22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28CA606">
        <w:start w:val="1"/>
        <w:numFmt w:val="decimal"/>
        <w:lvlText w:val="%3."/>
        <w:lvlJc w:val="left"/>
        <w:pPr>
          <w:tabs>
            <w:tab w:val="num" w:pos="1874"/>
          </w:tabs>
          <w:ind w:left="30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B82BB06">
        <w:start w:val="1"/>
        <w:numFmt w:val="decimal"/>
        <w:lvlText w:val="%4."/>
        <w:lvlJc w:val="left"/>
        <w:pPr>
          <w:tabs>
            <w:tab w:val="num" w:pos="2674"/>
          </w:tabs>
          <w:ind w:left="38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504281A">
        <w:start w:val="1"/>
        <w:numFmt w:val="decimal"/>
        <w:lvlText w:val="%5."/>
        <w:lvlJc w:val="left"/>
        <w:pPr>
          <w:tabs>
            <w:tab w:val="num" w:pos="3474"/>
          </w:tabs>
          <w:ind w:left="46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212CCF8">
        <w:start w:val="1"/>
        <w:numFmt w:val="decimal"/>
        <w:lvlText w:val="%6."/>
        <w:lvlJc w:val="left"/>
        <w:pPr>
          <w:tabs>
            <w:tab w:val="num" w:pos="4274"/>
          </w:tabs>
          <w:ind w:left="54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76331C">
        <w:start w:val="1"/>
        <w:numFmt w:val="decimal"/>
        <w:lvlText w:val="%7."/>
        <w:lvlJc w:val="left"/>
        <w:pPr>
          <w:tabs>
            <w:tab w:val="num" w:pos="5074"/>
          </w:tabs>
          <w:ind w:left="62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24E5A38">
        <w:start w:val="1"/>
        <w:numFmt w:val="decimal"/>
        <w:lvlText w:val="%8."/>
        <w:lvlJc w:val="left"/>
        <w:pPr>
          <w:tabs>
            <w:tab w:val="num" w:pos="5874"/>
          </w:tabs>
          <w:ind w:left="70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F54194E">
        <w:start w:val="1"/>
        <w:numFmt w:val="decimal"/>
        <w:lvlText w:val="%9."/>
        <w:lvlJc w:val="left"/>
        <w:pPr>
          <w:tabs>
            <w:tab w:val="num" w:pos="6674"/>
          </w:tabs>
          <w:ind w:left="78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488906786">
    <w:abstractNumId w:val="12"/>
    <w:lvlOverride w:ilvl="0">
      <w:startOverride w:val="5"/>
      <w:lvl w:ilvl="0" w:tplc="A4EEDA84">
        <w:start w:val="5"/>
        <w:numFmt w:val="decimal"/>
        <w:lvlText w:val="%1."/>
        <w:lvlJc w:val="left"/>
        <w:pPr>
          <w:tabs>
            <w:tab w:val="num" w:pos="274"/>
          </w:tabs>
          <w:ind w:left="14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9049F12">
        <w:start w:val="1"/>
        <w:numFmt w:val="decimal"/>
        <w:lvlText w:val="%2."/>
        <w:lvlJc w:val="left"/>
        <w:pPr>
          <w:tabs>
            <w:tab w:val="num" w:pos="1074"/>
          </w:tabs>
          <w:ind w:left="22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28CA606">
        <w:start w:val="1"/>
        <w:numFmt w:val="decimal"/>
        <w:lvlText w:val="%3."/>
        <w:lvlJc w:val="left"/>
        <w:pPr>
          <w:tabs>
            <w:tab w:val="num" w:pos="1874"/>
          </w:tabs>
          <w:ind w:left="30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B82BB06">
        <w:start w:val="1"/>
        <w:numFmt w:val="decimal"/>
        <w:lvlText w:val="%4."/>
        <w:lvlJc w:val="left"/>
        <w:pPr>
          <w:tabs>
            <w:tab w:val="num" w:pos="2674"/>
          </w:tabs>
          <w:ind w:left="38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504281A">
        <w:start w:val="1"/>
        <w:numFmt w:val="decimal"/>
        <w:lvlText w:val="%5."/>
        <w:lvlJc w:val="left"/>
        <w:pPr>
          <w:tabs>
            <w:tab w:val="num" w:pos="3474"/>
          </w:tabs>
          <w:ind w:left="46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212CCF8">
        <w:start w:val="1"/>
        <w:numFmt w:val="decimal"/>
        <w:lvlText w:val="%6."/>
        <w:lvlJc w:val="left"/>
        <w:pPr>
          <w:tabs>
            <w:tab w:val="num" w:pos="4274"/>
          </w:tabs>
          <w:ind w:left="54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76331C">
        <w:start w:val="1"/>
        <w:numFmt w:val="decimal"/>
        <w:lvlText w:val="%7."/>
        <w:lvlJc w:val="left"/>
        <w:pPr>
          <w:tabs>
            <w:tab w:val="num" w:pos="5074"/>
          </w:tabs>
          <w:ind w:left="62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24E5A38">
        <w:start w:val="1"/>
        <w:numFmt w:val="decimal"/>
        <w:lvlText w:val="%8."/>
        <w:lvlJc w:val="left"/>
        <w:pPr>
          <w:tabs>
            <w:tab w:val="num" w:pos="5874"/>
          </w:tabs>
          <w:ind w:left="70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F54194E">
        <w:start w:val="1"/>
        <w:numFmt w:val="decimal"/>
        <w:lvlText w:val="%9."/>
        <w:lvlJc w:val="left"/>
        <w:pPr>
          <w:tabs>
            <w:tab w:val="num" w:pos="6674"/>
          </w:tabs>
          <w:ind w:left="7808" w:hanging="1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061173220">
    <w:abstractNumId w:val="30"/>
  </w:num>
  <w:num w:numId="21" w16cid:durableId="1178351517">
    <w:abstractNumId w:val="18"/>
  </w:num>
  <w:num w:numId="22" w16cid:durableId="1598439220">
    <w:abstractNumId w:val="31"/>
  </w:num>
  <w:num w:numId="23" w16cid:durableId="1592857884">
    <w:abstractNumId w:val="4"/>
  </w:num>
  <w:num w:numId="24" w16cid:durableId="1308045311">
    <w:abstractNumId w:val="3"/>
  </w:num>
  <w:num w:numId="25" w16cid:durableId="2130736141">
    <w:abstractNumId w:val="26"/>
  </w:num>
  <w:num w:numId="26" w16cid:durableId="1309096204">
    <w:abstractNumId w:val="20"/>
  </w:num>
  <w:num w:numId="27" w16cid:durableId="1122848928">
    <w:abstractNumId w:val="29"/>
  </w:num>
  <w:num w:numId="28" w16cid:durableId="1466847985">
    <w:abstractNumId w:val="17"/>
  </w:num>
  <w:num w:numId="29" w16cid:durableId="1251234075">
    <w:abstractNumId w:val="28"/>
  </w:num>
  <w:num w:numId="30" w16cid:durableId="1251963227">
    <w:abstractNumId w:val="19"/>
  </w:num>
  <w:num w:numId="31" w16cid:durableId="1935823877">
    <w:abstractNumId w:val="35"/>
  </w:num>
  <w:num w:numId="32" w16cid:durableId="696279052">
    <w:abstractNumId w:val="33"/>
  </w:num>
  <w:num w:numId="33" w16cid:durableId="453451786">
    <w:abstractNumId w:val="32"/>
  </w:num>
  <w:num w:numId="34" w16cid:durableId="1639409182">
    <w:abstractNumId w:val="25"/>
  </w:num>
  <w:num w:numId="35" w16cid:durableId="219245242">
    <w:abstractNumId w:val="13"/>
  </w:num>
  <w:num w:numId="36" w16cid:durableId="326203420">
    <w:abstractNumId w:val="15"/>
  </w:num>
  <w:num w:numId="37" w16cid:durableId="815948680">
    <w:abstractNumId w:val="11"/>
  </w:num>
  <w:num w:numId="38" w16cid:durableId="1756705535">
    <w:abstractNumId w:val="16"/>
  </w:num>
  <w:num w:numId="39" w16cid:durableId="1775052975">
    <w:abstractNumId w:val="2"/>
  </w:num>
  <w:num w:numId="40" w16cid:durableId="1908495994">
    <w:abstractNumId w:val="8"/>
  </w:num>
  <w:num w:numId="41" w16cid:durableId="1047488855">
    <w:abstractNumId w:val="24"/>
  </w:num>
  <w:num w:numId="42" w16cid:durableId="1192105181">
    <w:abstractNumId w:val="6"/>
  </w:num>
  <w:num w:numId="43" w16cid:durableId="7946373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51E39"/>
    <w:rsid w:val="00065B69"/>
    <w:rsid w:val="00075C63"/>
    <w:rsid w:val="00077239"/>
    <w:rsid w:val="00080905"/>
    <w:rsid w:val="000822BE"/>
    <w:rsid w:val="000855CC"/>
    <w:rsid w:val="00086491"/>
    <w:rsid w:val="00090C69"/>
    <w:rsid w:val="00091346"/>
    <w:rsid w:val="000A1525"/>
    <w:rsid w:val="000D7656"/>
    <w:rsid w:val="000E18FE"/>
    <w:rsid w:val="000F0D65"/>
    <w:rsid w:val="000F1FF4"/>
    <w:rsid w:val="000F73FF"/>
    <w:rsid w:val="00105D8F"/>
    <w:rsid w:val="00114CF7"/>
    <w:rsid w:val="00123B68"/>
    <w:rsid w:val="00126F2E"/>
    <w:rsid w:val="00143BA1"/>
    <w:rsid w:val="00146F19"/>
    <w:rsid w:val="00146F6F"/>
    <w:rsid w:val="00147DA1"/>
    <w:rsid w:val="00152957"/>
    <w:rsid w:val="0017536A"/>
    <w:rsid w:val="00187BD9"/>
    <w:rsid w:val="00190B55"/>
    <w:rsid w:val="00194CFB"/>
    <w:rsid w:val="001B2ED3"/>
    <w:rsid w:val="001C3B5F"/>
    <w:rsid w:val="001D058F"/>
    <w:rsid w:val="002009EA"/>
    <w:rsid w:val="00202CA0"/>
    <w:rsid w:val="002154A6"/>
    <w:rsid w:val="002162CD"/>
    <w:rsid w:val="002255B3"/>
    <w:rsid w:val="00236E8A"/>
    <w:rsid w:val="0027099E"/>
    <w:rsid w:val="00271316"/>
    <w:rsid w:val="00296313"/>
    <w:rsid w:val="002B5D97"/>
    <w:rsid w:val="002D58BE"/>
    <w:rsid w:val="002E2CB0"/>
    <w:rsid w:val="002F7CA7"/>
    <w:rsid w:val="003013EE"/>
    <w:rsid w:val="00342123"/>
    <w:rsid w:val="00347F92"/>
    <w:rsid w:val="00362627"/>
    <w:rsid w:val="00377BD3"/>
    <w:rsid w:val="0038081B"/>
    <w:rsid w:val="00384088"/>
    <w:rsid w:val="0038489B"/>
    <w:rsid w:val="0039169B"/>
    <w:rsid w:val="00392297"/>
    <w:rsid w:val="003942CB"/>
    <w:rsid w:val="003A5548"/>
    <w:rsid w:val="003A7F8C"/>
    <w:rsid w:val="003B532E"/>
    <w:rsid w:val="003B6F14"/>
    <w:rsid w:val="003D0F8B"/>
    <w:rsid w:val="003E3D0E"/>
    <w:rsid w:val="004131D4"/>
    <w:rsid w:val="0041348E"/>
    <w:rsid w:val="00414AC1"/>
    <w:rsid w:val="00447308"/>
    <w:rsid w:val="00457015"/>
    <w:rsid w:val="004620D4"/>
    <w:rsid w:val="0046598E"/>
    <w:rsid w:val="004765FF"/>
    <w:rsid w:val="004836C7"/>
    <w:rsid w:val="00492075"/>
    <w:rsid w:val="004969AD"/>
    <w:rsid w:val="004B13CB"/>
    <w:rsid w:val="004B4FDF"/>
    <w:rsid w:val="004C25CE"/>
    <w:rsid w:val="004D3EBE"/>
    <w:rsid w:val="004D5D5C"/>
    <w:rsid w:val="004E7B86"/>
    <w:rsid w:val="0050139F"/>
    <w:rsid w:val="00502F2B"/>
    <w:rsid w:val="0050311B"/>
    <w:rsid w:val="00521223"/>
    <w:rsid w:val="00524DF1"/>
    <w:rsid w:val="005266BD"/>
    <w:rsid w:val="0055140B"/>
    <w:rsid w:val="00554C4F"/>
    <w:rsid w:val="00561D72"/>
    <w:rsid w:val="00585F7F"/>
    <w:rsid w:val="00587173"/>
    <w:rsid w:val="005964AB"/>
    <w:rsid w:val="00597B4F"/>
    <w:rsid w:val="005A4FAA"/>
    <w:rsid w:val="005B44F5"/>
    <w:rsid w:val="005B4874"/>
    <w:rsid w:val="005C099A"/>
    <w:rsid w:val="005C1C8D"/>
    <w:rsid w:val="005C31A5"/>
    <w:rsid w:val="005E10C9"/>
    <w:rsid w:val="005E61DD"/>
    <w:rsid w:val="005E6321"/>
    <w:rsid w:val="005F7BA5"/>
    <w:rsid w:val="006023DF"/>
    <w:rsid w:val="00615800"/>
    <w:rsid w:val="0064322F"/>
    <w:rsid w:val="00655ADE"/>
    <w:rsid w:val="00657DE0"/>
    <w:rsid w:val="0067199F"/>
    <w:rsid w:val="00685313"/>
    <w:rsid w:val="006A6E9B"/>
    <w:rsid w:val="006B7C2A"/>
    <w:rsid w:val="006C23DA"/>
    <w:rsid w:val="006C28B8"/>
    <w:rsid w:val="006D15F1"/>
    <w:rsid w:val="006D4DA1"/>
    <w:rsid w:val="006E3D45"/>
    <w:rsid w:val="006F2DA6"/>
    <w:rsid w:val="00700ABC"/>
    <w:rsid w:val="007149F9"/>
    <w:rsid w:val="00733A30"/>
    <w:rsid w:val="007425AF"/>
    <w:rsid w:val="007455E3"/>
    <w:rsid w:val="00745AEE"/>
    <w:rsid w:val="0074774E"/>
    <w:rsid w:val="007479EA"/>
    <w:rsid w:val="00750F10"/>
    <w:rsid w:val="00763C56"/>
    <w:rsid w:val="007742CA"/>
    <w:rsid w:val="007B125E"/>
    <w:rsid w:val="007D06F0"/>
    <w:rsid w:val="007D45E3"/>
    <w:rsid w:val="007D5320"/>
    <w:rsid w:val="007F735C"/>
    <w:rsid w:val="00800972"/>
    <w:rsid w:val="00804475"/>
    <w:rsid w:val="00811633"/>
    <w:rsid w:val="008218F3"/>
    <w:rsid w:val="00821CEF"/>
    <w:rsid w:val="00832828"/>
    <w:rsid w:val="0083645A"/>
    <w:rsid w:val="00840B0F"/>
    <w:rsid w:val="008711AE"/>
    <w:rsid w:val="00872FC8"/>
    <w:rsid w:val="008801D3"/>
    <w:rsid w:val="008840C5"/>
    <w:rsid w:val="008845D0"/>
    <w:rsid w:val="008B43F2"/>
    <w:rsid w:val="008B61EA"/>
    <w:rsid w:val="008B6CFF"/>
    <w:rsid w:val="00900D58"/>
    <w:rsid w:val="00906D52"/>
    <w:rsid w:val="00910B26"/>
    <w:rsid w:val="00913A4F"/>
    <w:rsid w:val="009274B4"/>
    <w:rsid w:val="00934EA2"/>
    <w:rsid w:val="009448B9"/>
    <w:rsid w:val="00944A5C"/>
    <w:rsid w:val="00952A66"/>
    <w:rsid w:val="0097741D"/>
    <w:rsid w:val="009C56E5"/>
    <w:rsid w:val="009D56B3"/>
    <w:rsid w:val="009E5FC8"/>
    <w:rsid w:val="009E687A"/>
    <w:rsid w:val="00A03C5C"/>
    <w:rsid w:val="00A0597F"/>
    <w:rsid w:val="00A066F1"/>
    <w:rsid w:val="00A141AF"/>
    <w:rsid w:val="00A16D29"/>
    <w:rsid w:val="00A20E5E"/>
    <w:rsid w:val="00A227E0"/>
    <w:rsid w:val="00A23653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666F"/>
    <w:rsid w:val="00AB4927"/>
    <w:rsid w:val="00AD7832"/>
    <w:rsid w:val="00B004E5"/>
    <w:rsid w:val="00B032FA"/>
    <w:rsid w:val="00B1382B"/>
    <w:rsid w:val="00B15F9D"/>
    <w:rsid w:val="00B370C7"/>
    <w:rsid w:val="00B3717B"/>
    <w:rsid w:val="00B479CB"/>
    <w:rsid w:val="00B639E9"/>
    <w:rsid w:val="00B817CD"/>
    <w:rsid w:val="00B8577A"/>
    <w:rsid w:val="00B911B2"/>
    <w:rsid w:val="00B951D0"/>
    <w:rsid w:val="00B96138"/>
    <w:rsid w:val="00BB29C8"/>
    <w:rsid w:val="00BB3A95"/>
    <w:rsid w:val="00BC0382"/>
    <w:rsid w:val="00BE07B2"/>
    <w:rsid w:val="00BE2C32"/>
    <w:rsid w:val="00C0018F"/>
    <w:rsid w:val="00C13003"/>
    <w:rsid w:val="00C20466"/>
    <w:rsid w:val="00C214ED"/>
    <w:rsid w:val="00C234E6"/>
    <w:rsid w:val="00C324A8"/>
    <w:rsid w:val="00C45781"/>
    <w:rsid w:val="00C527E8"/>
    <w:rsid w:val="00C54517"/>
    <w:rsid w:val="00C64CD8"/>
    <w:rsid w:val="00C71239"/>
    <w:rsid w:val="00C90722"/>
    <w:rsid w:val="00C97C68"/>
    <w:rsid w:val="00CA1A47"/>
    <w:rsid w:val="00CA3A91"/>
    <w:rsid w:val="00CC247A"/>
    <w:rsid w:val="00CD3E66"/>
    <w:rsid w:val="00CE4040"/>
    <w:rsid w:val="00CE5E47"/>
    <w:rsid w:val="00CF020F"/>
    <w:rsid w:val="00CF2B5B"/>
    <w:rsid w:val="00CF673B"/>
    <w:rsid w:val="00D052B7"/>
    <w:rsid w:val="00D10CB3"/>
    <w:rsid w:val="00D14CE0"/>
    <w:rsid w:val="00D36333"/>
    <w:rsid w:val="00D37C49"/>
    <w:rsid w:val="00D43EED"/>
    <w:rsid w:val="00D46126"/>
    <w:rsid w:val="00D5651D"/>
    <w:rsid w:val="00D74898"/>
    <w:rsid w:val="00D751CB"/>
    <w:rsid w:val="00D801ED"/>
    <w:rsid w:val="00D83BF5"/>
    <w:rsid w:val="00D87C04"/>
    <w:rsid w:val="00D925C2"/>
    <w:rsid w:val="00D936BC"/>
    <w:rsid w:val="00D9621A"/>
    <w:rsid w:val="00D96530"/>
    <w:rsid w:val="00D96B4B"/>
    <w:rsid w:val="00DA2345"/>
    <w:rsid w:val="00DA453A"/>
    <w:rsid w:val="00DA547A"/>
    <w:rsid w:val="00DA7078"/>
    <w:rsid w:val="00DB5B61"/>
    <w:rsid w:val="00DB7070"/>
    <w:rsid w:val="00DC25BA"/>
    <w:rsid w:val="00DD08B4"/>
    <w:rsid w:val="00DD44AF"/>
    <w:rsid w:val="00DE2AC3"/>
    <w:rsid w:val="00DE434C"/>
    <w:rsid w:val="00DE4E9B"/>
    <w:rsid w:val="00DE5692"/>
    <w:rsid w:val="00DF5E33"/>
    <w:rsid w:val="00DF6F27"/>
    <w:rsid w:val="00DF6F8E"/>
    <w:rsid w:val="00E03C94"/>
    <w:rsid w:val="00E03E98"/>
    <w:rsid w:val="00E07105"/>
    <w:rsid w:val="00E17478"/>
    <w:rsid w:val="00E26226"/>
    <w:rsid w:val="00E4165C"/>
    <w:rsid w:val="00E45D05"/>
    <w:rsid w:val="00E55816"/>
    <w:rsid w:val="00E55AEF"/>
    <w:rsid w:val="00E62273"/>
    <w:rsid w:val="00E92386"/>
    <w:rsid w:val="00E93C4C"/>
    <w:rsid w:val="00E96E41"/>
    <w:rsid w:val="00E976C1"/>
    <w:rsid w:val="00EA12E5"/>
    <w:rsid w:val="00EA72CC"/>
    <w:rsid w:val="00ED1CBA"/>
    <w:rsid w:val="00EE2D07"/>
    <w:rsid w:val="00EE3A10"/>
    <w:rsid w:val="00F02766"/>
    <w:rsid w:val="00F04067"/>
    <w:rsid w:val="00F05BD4"/>
    <w:rsid w:val="00F11A98"/>
    <w:rsid w:val="00F21A1D"/>
    <w:rsid w:val="00F47733"/>
    <w:rsid w:val="00F65C19"/>
    <w:rsid w:val="00F66D79"/>
    <w:rsid w:val="00F85FF9"/>
    <w:rsid w:val="00FD2546"/>
    <w:rsid w:val="00FD772E"/>
    <w:rsid w:val="00FE2E73"/>
    <w:rsid w:val="00FE3926"/>
    <w:rsid w:val="00FE78C7"/>
    <w:rsid w:val="00FF43AC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B3AAB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E3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5B487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uiPriority w:val="9"/>
    <w:qFormat/>
    <w:rsid w:val="005B487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5B487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CF673B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5B487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5B487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CF673B"/>
    <w:rPr>
      <w:rFonts w:ascii="Calibri" w:hAnsi="Calibri"/>
      <w:b/>
    </w:rPr>
  </w:style>
  <w:style w:type="character" w:customStyle="1" w:styleId="Appref">
    <w:name w:val="App_ref"/>
    <w:basedOn w:val="DefaultParagraphFont"/>
    <w:rsid w:val="00CF673B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CF673B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CF673B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CF673B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CF673B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CF673B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CF673B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5B4874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5B4874"/>
    <w:pPr>
      <w:keepNext/>
      <w:keepLines/>
      <w:spacing w:before="0"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uiPriority w:val="99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F673B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E17478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17478"/>
    <w:rPr>
      <w:rFonts w:ascii="Calibri" w:hAnsi="Calibri"/>
      <w:lang w:val="en-GB" w:eastAsia="en-US"/>
    </w:rPr>
  </w:style>
  <w:style w:type="paragraph" w:styleId="Header">
    <w:name w:val="header"/>
    <w:basedOn w:val="Normal"/>
    <w:link w:val="HeaderChar"/>
    <w:uiPriority w:val="99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5B487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5B4874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655ADE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655ADE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uiPriority w:val="39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5B4874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5B4874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5B4874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5B487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CF673B"/>
  </w:style>
  <w:style w:type="paragraph" w:customStyle="1" w:styleId="AppArttitle">
    <w:name w:val="App_Art_title"/>
    <w:basedOn w:val="Arttitle"/>
    <w:qFormat/>
    <w:rsid w:val="00CF673B"/>
  </w:style>
  <w:style w:type="paragraph" w:styleId="ListParagraph">
    <w:name w:val="List Paragraph"/>
    <w:aliases w:val="List Paragraph1,Recommendation,List Paragraph11,O5,Para_sk,Resume Title,- Bullets,Equipment,Numbered Indented Text,Figure_name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5B4874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6D15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semiHidden/>
    <w:unhideWhenUsed/>
    <w:rsid w:val="005F7B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B86"/>
    <w:rPr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937680"/>
    <w:rPr>
      <w:color w:val="auto"/>
    </w:rPr>
  </w:style>
  <w:style w:type="paragraph" w:styleId="Revision">
    <w:name w:val="Revision"/>
    <w:hidden/>
    <w:uiPriority w:val="99"/>
    <w:semiHidden/>
    <w:rsid w:val="0074774E"/>
    <w:rPr>
      <w:rFonts w:ascii="Calibri" w:hAnsi="Calibri"/>
      <w:sz w:val="22"/>
      <w:lang w:val="en-GB" w:eastAsia="en-US"/>
    </w:rPr>
  </w:style>
  <w:style w:type="paragraph" w:customStyle="1" w:styleId="Body">
    <w:name w:val="Body"/>
    <w:rsid w:val="00F66D7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  <w:tab w:val="left" w:pos="1871"/>
        <w:tab w:val="left" w:pos="2268"/>
      </w:tabs>
      <w:spacing w:after="160" w:line="257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DefaultParagraphFont"/>
    <w:rsid w:val="00F66D79"/>
    <w:rPr>
      <w:outline w:val="0"/>
      <w:color w:val="0000FF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s22">
    <w:name w:val="s22"/>
    <w:basedOn w:val="DefaultParagraphFont"/>
    <w:rsid w:val="00F66D79"/>
  </w:style>
  <w:style w:type="paragraph" w:customStyle="1" w:styleId="s21">
    <w:name w:val="s21"/>
    <w:basedOn w:val="Normal"/>
    <w:rsid w:val="00F66D7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 w:cs="Calibri"/>
      <w:szCs w:val="22"/>
      <w:lang w:eastAsia="en-GB"/>
    </w:rPr>
  </w:style>
  <w:style w:type="paragraph" w:customStyle="1" w:styleId="HeaderFooter">
    <w:name w:val="Header &amp; Footer"/>
    <w:rsid w:val="00906D5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Avenir Book" w:eastAsia="Avenir Book" w:hAnsi="Avenir Book" w:cs="Avenir Book"/>
      <w:color w:val="000000"/>
      <w:sz w:val="26"/>
      <w:szCs w:val="26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sid w:val="00906D52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sid w:val="00906D52"/>
    <w:rPr>
      <w:outline w:val="0"/>
      <w:color w:val="0000FF"/>
      <w:sz w:val="20"/>
      <w:szCs w:val="20"/>
      <w:u w:val="single" w:color="0000FF"/>
    </w:rPr>
  </w:style>
  <w:style w:type="paragraph" w:customStyle="1" w:styleId="Default">
    <w:name w:val="Default"/>
    <w:rsid w:val="00906D5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venir Book" w:eastAsia="Avenir Book" w:hAnsi="Avenir Book" w:cs="Avenir Book"/>
      <w:color w:val="000000"/>
      <w:sz w:val="26"/>
      <w:szCs w:val="26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906D52"/>
    <w:pPr>
      <w:numPr>
        <w:numId w:val="7"/>
      </w:numPr>
    </w:pPr>
  </w:style>
  <w:style w:type="numbering" w:customStyle="1" w:styleId="Bullets">
    <w:name w:val="Bullets"/>
    <w:rsid w:val="00906D52"/>
    <w:pPr>
      <w:numPr>
        <w:numId w:val="9"/>
      </w:numPr>
    </w:pPr>
  </w:style>
  <w:style w:type="character" w:customStyle="1" w:styleId="Hyperlink2">
    <w:name w:val="Hyperlink.2"/>
    <w:basedOn w:val="Link"/>
    <w:rsid w:val="00906D52"/>
    <w:rPr>
      <w:rFonts w:ascii="Calibri" w:eastAsia="Calibri" w:hAnsi="Calibri" w:cs="Calibri"/>
      <w:outline w:val="0"/>
      <w:color w:val="0000FF"/>
      <w:sz w:val="24"/>
      <w:szCs w:val="24"/>
      <w:u w:val="single" w:color="0000FF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ettered">
    <w:name w:val="Lettered"/>
    <w:rsid w:val="00906D52"/>
    <w:pPr>
      <w:numPr>
        <w:numId w:val="12"/>
      </w:numPr>
    </w:pPr>
  </w:style>
  <w:style w:type="paragraph" w:customStyle="1" w:styleId="TableStyle1">
    <w:name w:val="Table Style 1"/>
    <w:rsid w:val="00906D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Heavy" w:eastAsia="Avenir Heavy" w:hAnsi="Avenir Heavy" w:cs="Avenir Heavy"/>
      <w:color w:val="000000"/>
      <w:sz w:val="22"/>
      <w:szCs w:val="22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906D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Book" w:eastAsia="Arial Unicode MS" w:hAnsi="Avenir Book" w:cs="Arial Unicode MS"/>
      <w:color w:val="00000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906D52"/>
  </w:style>
  <w:style w:type="character" w:customStyle="1" w:styleId="Hyperlink3">
    <w:name w:val="Hyperlink.3"/>
    <w:basedOn w:val="None"/>
    <w:rsid w:val="00906D52"/>
    <w:rPr>
      <w:outline w:val="0"/>
      <w:color w:val="0000FF"/>
      <w:u w:val="single" w:color="0000FF"/>
    </w:rPr>
  </w:style>
  <w:style w:type="paragraph" w:customStyle="1" w:styleId="Heading">
    <w:name w:val="Heading"/>
    <w:next w:val="Body"/>
    <w:rsid w:val="00906D5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  <w:tab w:val="left" w:pos="1871"/>
        <w:tab w:val="left" w:pos="2268"/>
      </w:tabs>
      <w:spacing w:before="200"/>
      <w:ind w:left="1134" w:hanging="1134"/>
      <w:outlineLvl w:val="0"/>
    </w:pPr>
    <w:rPr>
      <w:rFonts w:ascii="Aptos" w:eastAsia="Aptos" w:hAnsi="Aptos" w:cs="Aptos"/>
      <w:b/>
      <w:bCs/>
      <w:color w:val="000000"/>
      <w:sz w:val="26"/>
      <w:szCs w:val="26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None"/>
    <w:rsid w:val="00906D52"/>
    <w:rPr>
      <w:outline w:val="0"/>
      <w:color w:val="0000FF"/>
      <w:u w:val="single" w:color="0000FF"/>
    </w:rPr>
  </w:style>
  <w:style w:type="paragraph" w:styleId="CommentText">
    <w:name w:val="annotation text"/>
    <w:basedOn w:val="Normal"/>
    <w:link w:val="CommentTextChar"/>
    <w:uiPriority w:val="99"/>
    <w:unhideWhenUsed/>
    <w:rsid w:val="00906D52"/>
    <w:p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Times New Roman" w:eastAsia="Arial Unicode MS" w:hAnsi="Times New Roman"/>
      <w:sz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D52"/>
    <w:rPr>
      <w:rFonts w:ascii="Times New Roman" w:eastAsia="Arial Unicode MS" w:hAnsi="Times New Roman"/>
      <w:bdr w:val="ni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6D52"/>
    <w:rPr>
      <w:sz w:val="16"/>
      <w:szCs w:val="16"/>
    </w:rPr>
  </w:style>
  <w:style w:type="table" w:styleId="TableGrid">
    <w:name w:val="Table Grid"/>
    <w:basedOn w:val="TableNormal"/>
    <w:uiPriority w:val="39"/>
    <w:rsid w:val="00906D52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"/>
    <w:link w:val="ListParagraph"/>
    <w:uiPriority w:val="34"/>
    <w:qFormat/>
    <w:rsid w:val="00906D52"/>
    <w:rPr>
      <w:rFonts w:ascii="Calibri" w:hAnsi="Calibri"/>
      <w:sz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906D5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D52"/>
    <w:rPr>
      <w:rFonts w:ascii="Times New Roman" w:eastAsia="Arial Unicode MS" w:hAnsi="Times New Roman"/>
      <w:b/>
      <w:bCs/>
      <w:bdr w:val="nil"/>
      <w:lang w:eastAsia="en-US"/>
    </w:rPr>
  </w:style>
  <w:style w:type="character" w:styleId="Mention">
    <w:name w:val="Mention"/>
    <w:basedOn w:val="DefaultParagraphFont"/>
    <w:uiPriority w:val="99"/>
    <w:unhideWhenUsed/>
    <w:rsid w:val="00906D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itu-d/sites/innovation-alliance/events/news/announcement-board/" TargetMode="External"/><Relationship Id="rId21" Type="http://schemas.openxmlformats.org/officeDocument/2006/relationships/hyperlink" Target="https://www.itu.int/itu-d/sites/innovation-alliance" TargetMode="External"/><Relationship Id="rId42" Type="http://schemas.openxmlformats.org/officeDocument/2006/relationships/hyperlink" Target="https://www.itu.int/itu-d/sites/innovation-alliance/wp-content/uploads/sites/35/2025/10/BDT-Member-Communique-3rd-digital-innovation-board-meeting.pdf" TargetMode="External"/><Relationship Id="rId47" Type="http://schemas.openxmlformats.org/officeDocument/2006/relationships/hyperlink" Target="https://www.itu.int/itu-d/sites/innovation-alliance/digital-transformation-lab/" TargetMode="External"/><Relationship Id="rId63" Type="http://schemas.openxmlformats.org/officeDocument/2006/relationships/hyperlink" Target="https://www.itu.int/itu-d/sites/innovation-alliance/itu-acceleration-centre-meeting/" TargetMode="External"/><Relationship Id="rId68" Type="http://schemas.openxmlformats.org/officeDocument/2006/relationships/hyperlink" Target="https://www.itu.int/itu-d/sites/innovation-alliance/third-meeting-of-the-digital-innovation-board/" TargetMode="External"/><Relationship Id="rId84" Type="http://schemas.openxmlformats.org/officeDocument/2006/relationships/hyperlink" Target="https://academy.itu.int/training-courses/full-catalogue/strategic-foresight-201" TargetMode="External"/><Relationship Id="rId89" Type="http://schemas.openxmlformats.org/officeDocument/2006/relationships/hyperlink" Target="https://academy.itu.int/training-courses/full-catalogue/ecosystem-initiative-development-201" TargetMode="External"/><Relationship Id="rId16" Type="http://schemas.openxmlformats.org/officeDocument/2006/relationships/hyperlink" Target="https://www.itu.int/en/ITU-D/Innovation/Pages/Ecosystem-Development-Strategies-and-Roadmaps.aspx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itu.int/itu-d/meetings/gif-24/" TargetMode="External"/><Relationship Id="rId37" Type="http://schemas.openxmlformats.org/officeDocument/2006/relationships/hyperlink" Target="https://www.itu.int/itu-d/sites/innovation-alliance/wp-content/uploads/sites/35/2024/12/Second-Meeting-of-the-Digital-Innovation-Board-28-October-2024-Summary.pdf" TargetMode="External"/><Relationship Id="rId53" Type="http://schemas.openxmlformats.org/officeDocument/2006/relationships/hyperlink" Target="https://www.itu.int/itu-d/sites/innovation-alliance/events/news/member-communique-2023-september/" TargetMode="External"/><Relationship Id="rId58" Type="http://schemas.openxmlformats.org/officeDocument/2006/relationships/hyperlink" Target="https://www.itu.int/itu-d/meetings/gif-24/programme/tuesday-29-october/session-details-tuesday/?sessionid=12" TargetMode="External"/><Relationship Id="rId74" Type="http://schemas.openxmlformats.org/officeDocument/2006/relationships/hyperlink" Target="https://www.itu.int/itu-d/sites/innovation-alliance/wp-content/uploads/sites/35/2025/10/FBS_-Shaping-the-future-of-an-African-VC-landscape_Signed-BDTDirector.pdf" TargetMode="External"/><Relationship Id="rId79" Type="http://schemas.openxmlformats.org/officeDocument/2006/relationships/hyperlink" Target="https://www.itu.int/en/ITU-D/Regional-Presence/Europe/Documents/Publications/2025/RIA%20EUR_Montenegro_Event%20Report_CLEAN%20(002).pdf" TargetMode="External"/><Relationship Id="rId102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hyperlink" Target="https://www.itu.int/itu-d/sites/innovation-alliance/events/news/acceleration-centre-event-dubai/" TargetMode="External"/><Relationship Id="rId95" Type="http://schemas.openxmlformats.org/officeDocument/2006/relationships/hyperlink" Target="https://www.itu.int/itu-d/meetings/gif-24/" TargetMode="External"/><Relationship Id="rId22" Type="http://schemas.openxmlformats.org/officeDocument/2006/relationships/hyperlink" Target="https://innovation.itu.int/" TargetMode="External"/><Relationship Id="rId27" Type="http://schemas.openxmlformats.org/officeDocument/2006/relationships/hyperlink" Target="https://www.itu.int/itu-d/sites/innovation-alliance/events/news/inaugural-board-meeting/" TargetMode="External"/><Relationship Id="rId43" Type="http://schemas.openxmlformats.org/officeDocument/2006/relationships/hyperlink" Target="https://www.itu.int/itu-d/sites/innovation-alliance/wp-content/uploads/sites/35/2025/10/Bridging-the-Digital-Innovation-Divide-Manifesto_Draft_3rdBoardMeeting.CMdocx-final.pdf" TargetMode="External"/><Relationship Id="rId48" Type="http://schemas.openxmlformats.org/officeDocument/2006/relationships/hyperlink" Target="https://www.itu.int/en/ITU-D/Innovation/Pages/RIA/Regional-Initiative-Accelerator.aspx" TargetMode="External"/><Relationship Id="rId64" Type="http://schemas.openxmlformats.org/officeDocument/2006/relationships/hyperlink" Target="https://www.itu.int/itu-d/sites/innovation-alliance/the-expert-network/" TargetMode="External"/><Relationship Id="rId69" Type="http://schemas.openxmlformats.org/officeDocument/2006/relationships/hyperlink" Target="https://www.itu.int/itu-d/sites/innovation-alliance/third-meeting-of-the-digital-innovation-board/" TargetMode="External"/><Relationship Id="rId80" Type="http://schemas.openxmlformats.org/officeDocument/2006/relationships/hyperlink" Target="https://www.itu.int/en/ITU-D/Innovation/Documents/RIA/RIA%20ASP_Shenzhen_Event%20Report_version%204.pdf" TargetMode="External"/><Relationship Id="rId85" Type="http://schemas.openxmlformats.org/officeDocument/2006/relationships/hyperlink" Target="https://academy.itu.int/training-courses/full-catalogue/ecosystem-initiative-development-201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www.itu.int/en/ITU-D/Innovation/Pages/Global-Innovation-Forum.aspx" TargetMode="External"/><Relationship Id="rId25" Type="http://schemas.openxmlformats.org/officeDocument/2006/relationships/hyperlink" Target="https://www.itu.int/pub/D-RES-D.85-2022" TargetMode="External"/><Relationship Id="rId33" Type="http://schemas.openxmlformats.org/officeDocument/2006/relationships/hyperlink" Target="https://www.itu.int/itu-d/sites/innovation-alliance/wp-content/uploads/sites/35/2024/12/Second-Meeting-of-the-Digital-Innovation-Board-28-October-2024-Summary.pdf" TargetMode="External"/><Relationship Id="rId38" Type="http://schemas.openxmlformats.org/officeDocument/2006/relationships/hyperlink" Target="https://www.itu.int/en/ITU-D/Innovation/Pages/RIA/Regional-Initiative-Accelerator.aspx" TargetMode="External"/><Relationship Id="rId46" Type="http://schemas.openxmlformats.org/officeDocument/2006/relationships/hyperlink" Target="https://www.itu.int/itu-d/sites/innovation-alliance/digital-transformation-lab/" TargetMode="External"/><Relationship Id="rId59" Type="http://schemas.openxmlformats.org/officeDocument/2006/relationships/hyperlink" Target="https://www.itu.int/itu-d/meetings/gif-24/" TargetMode="External"/><Relationship Id="rId67" Type="http://schemas.openxmlformats.org/officeDocument/2006/relationships/hyperlink" Target="https://www.itu.int/itu-d/sites/innovation-alliance/" TargetMode="External"/><Relationship Id="rId20" Type="http://schemas.openxmlformats.org/officeDocument/2006/relationships/hyperlink" Target="https://www.itu.int/en/ITU-D/Innovation/Pages/Global-Innovation-Forum.aspx" TargetMode="External"/><Relationship Id="rId41" Type="http://schemas.openxmlformats.org/officeDocument/2006/relationships/hyperlink" Target="https://www.itu.int/itu-d/sites/innovation-alliance/strategic-foresight-reports/" TargetMode="External"/><Relationship Id="rId54" Type="http://schemas.openxmlformats.org/officeDocument/2006/relationships/hyperlink" Target="https://www.itu.int/itu-d/sites/innovation-alliance/events/news/acceleration-centre-event-dubai/" TargetMode="External"/><Relationship Id="rId62" Type="http://schemas.openxmlformats.org/officeDocument/2006/relationships/hyperlink" Target="https://www.itu.int/itu-d/sites/innovation-alliance/itu-acceleration-centre-meeting/" TargetMode="External"/><Relationship Id="rId70" Type="http://schemas.openxmlformats.org/officeDocument/2006/relationships/hyperlink" Target="https://www.itu.int/en/ITU-D/Innovation/Pages/Strategic%20Foresight/Strategic-Foresight.aspx" TargetMode="External"/><Relationship Id="rId75" Type="http://schemas.openxmlformats.org/officeDocument/2006/relationships/hyperlink" Target="https://www.itu.int/itu-d/sites/innovation-alliance/strategic-foresight-reports/" TargetMode="External"/><Relationship Id="rId83" Type="http://schemas.openxmlformats.org/officeDocument/2006/relationships/hyperlink" Target="https://academy.itu.int/training-courses/full-catalogue/strategic-foresight-101" TargetMode="External"/><Relationship Id="rId88" Type="http://schemas.openxmlformats.org/officeDocument/2006/relationships/hyperlink" Target="https://academy.itu.int/training-courses/full-catalogue/strategic-foresight-201" TargetMode="External"/><Relationship Id="rId91" Type="http://schemas.openxmlformats.org/officeDocument/2006/relationships/hyperlink" Target="https://www.itu.int/itu-d/sites/innovation-alliance/itu-acceleration-centre-meeting/" TargetMode="External"/><Relationship Id="rId96" Type="http://schemas.openxmlformats.org/officeDocument/2006/relationships/hyperlink" Target="https://www.itu.int/itu-d/meetings/gsr-25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itu.int/itu-d/sites/innovation/" TargetMode="External"/><Relationship Id="rId23" Type="http://schemas.openxmlformats.org/officeDocument/2006/relationships/hyperlink" Target="https://www.itu.int/pub/D-RES-D.90-2022" TargetMode="External"/><Relationship Id="rId28" Type="http://schemas.openxmlformats.org/officeDocument/2006/relationships/hyperlink" Target="https://www.itu.int/itu-d/sites/innovation-alliance/wp-content/uploads/sites/35/2024/05/Inaugural_Meeting_of_the_Digital_Innovation_Board_-_Summary_rev1.pdf" TargetMode="External"/><Relationship Id="rId36" Type="http://schemas.openxmlformats.org/officeDocument/2006/relationships/hyperlink" Target="https://www.itu.int/itu-d/meetings/gif-24/" TargetMode="External"/><Relationship Id="rId49" Type="http://schemas.openxmlformats.org/officeDocument/2006/relationships/hyperlink" Target="https://www.itu.int/en/ITU-D/Innovation/Pages/RIA/Regional-Initiative-Accelerator.aspx" TargetMode="External"/><Relationship Id="rId57" Type="http://schemas.openxmlformats.org/officeDocument/2006/relationships/hyperlink" Target="https://www.itu.int/itu-d/sites/innovation-alliance/events/news/acceleration-centre-event-dubai/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itu.int/itu-d/sites/innovation-alliance/wp-content/uploads/sites/35/2024/12/Second-Meeting-of-the-Digital-Innovation-Board-28-October-2024-Summary.pdf" TargetMode="External"/><Relationship Id="rId44" Type="http://schemas.openxmlformats.org/officeDocument/2006/relationships/hyperlink" Target="https://www.itu.int/itu-d/sites/innovation-alliance/wp-content/uploads/sites/35/2025/10/BDT-Member-Communique-3rd-digital-innovation-board-meeting.pdf" TargetMode="External"/><Relationship Id="rId52" Type="http://schemas.openxmlformats.org/officeDocument/2006/relationships/hyperlink" Target="https://www.itu.int/itu-d/sites/innovation-alliance/events/news/member-communique-2023-september/" TargetMode="External"/><Relationship Id="rId60" Type="http://schemas.openxmlformats.org/officeDocument/2006/relationships/hyperlink" Target="https://www.itu.int/itu-d/meetings/gif-24/programme/tuesday-29-october/session-details-tuesday/?sessionid=12" TargetMode="External"/><Relationship Id="rId65" Type="http://schemas.openxmlformats.org/officeDocument/2006/relationships/hyperlink" Target="https://www.itu.int/itu-d/sites/innovation-alliance/" TargetMode="External"/><Relationship Id="rId73" Type="http://schemas.openxmlformats.org/officeDocument/2006/relationships/hyperlink" Target="https://www.itu.int/itu-d/sites/innovation-alliance/wp-content/uploads/sites/35/2025/10/FBS_-Shaping-the-future-of-startups-and-SMEs_October-2025_Signed-BDTDirector.pdf" TargetMode="External"/><Relationship Id="rId78" Type="http://schemas.openxmlformats.org/officeDocument/2006/relationships/hyperlink" Target="https://www.itu.int/en/ITU-D/Regional-Presence/Europe/Documents/Publications/2025/RIA%20EUR_Montenegro_Event%20Report_CLEAN%20(002).pdf" TargetMode="External"/><Relationship Id="rId81" Type="http://schemas.openxmlformats.org/officeDocument/2006/relationships/hyperlink" Target="https://www.itu.int/en/ITU-D/Innovation/Documents/RIA/RIA%20ASP_Shenzhen_Event%20Report_version%204.pdf" TargetMode="External"/><Relationship Id="rId86" Type="http://schemas.openxmlformats.org/officeDocument/2006/relationships/hyperlink" Target="https://academy.itu.int/training-courses/full-catalogue/innovation-ecosystem-101-fundamentals-building-competitive-and-innovative-ict-centric-ecosystems-2" TargetMode="External"/><Relationship Id="rId94" Type="http://schemas.openxmlformats.org/officeDocument/2006/relationships/hyperlink" Target="https://www.itu.int/itu-d/meetings/gsr-25/" TargetMode="External"/><Relationship Id="rId99" Type="http://schemas.openxmlformats.org/officeDocument/2006/relationships/footer" Target="footer1.xml"/><Relationship Id="rId10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itu.int/itu-d/sites/innovation/" TargetMode="External"/><Relationship Id="rId39" Type="http://schemas.openxmlformats.org/officeDocument/2006/relationships/hyperlink" Target="https://www.itu.int/itu-d/sites/innovation-alliance/strategic-foresight-reports/" TargetMode="External"/><Relationship Id="rId34" Type="http://schemas.openxmlformats.org/officeDocument/2006/relationships/hyperlink" Target="https://www.itu.int/en/ITU-D/Innovation/Pages/RIA/Regional-Initiative-Accelerator.aspx" TargetMode="External"/><Relationship Id="rId50" Type="http://schemas.openxmlformats.org/officeDocument/2006/relationships/hyperlink" Target="https://www.itu.int/itu-d/sites/innovation-alliance/network-of-itu-acceleration-centres/" TargetMode="External"/><Relationship Id="rId55" Type="http://schemas.openxmlformats.org/officeDocument/2006/relationships/hyperlink" Target="https://www.itu.int/itu-d/sites/innovation-alliance/events/news/acceleration-centre-event-dubai/" TargetMode="External"/><Relationship Id="rId76" Type="http://schemas.openxmlformats.org/officeDocument/2006/relationships/hyperlink" Target="https://www.itu.int/itu-d/sites/innovation-alliance/strategic-foresight-reports/" TargetMode="External"/><Relationship Id="rId97" Type="http://schemas.openxmlformats.org/officeDocument/2006/relationships/hyperlink" Target="https://www.itu.int/itu-d/meetings/gif-24/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itu.int/en/ITU-D/Innovation/Pages/Strategic%20Foresight/Strategic-Foresight.aspx" TargetMode="External"/><Relationship Id="rId92" Type="http://schemas.openxmlformats.org/officeDocument/2006/relationships/hyperlink" Target="https://www.itu.int/itu-d/sites/innovation-alliance/events/news/acceleration-centre-event-dubai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itu.int/itu-d/sites/innovation-alliance/events/news/inaugural-board-meeting/" TargetMode="External"/><Relationship Id="rId24" Type="http://schemas.openxmlformats.org/officeDocument/2006/relationships/hyperlink" Target="https://www.itu.int/pub/D-RES-D.89-2022" TargetMode="External"/><Relationship Id="rId40" Type="http://schemas.openxmlformats.org/officeDocument/2006/relationships/hyperlink" Target="https://www.itu.int/itu-d/sites/innovation-alliance/third-meeting-of-the-digital-innovation-board/" TargetMode="External"/><Relationship Id="rId45" Type="http://schemas.openxmlformats.org/officeDocument/2006/relationships/hyperlink" Target="https://www.itu.int/itu-d/sites/innovation-alliance/wp-content/uploads/sites/35/2025/10/Bridging-the-Digital-Innovation-Divide-Manifesto_Draft_3rdBoardMeeting.CMdocx-final.pdf" TargetMode="External"/><Relationship Id="rId66" Type="http://schemas.openxmlformats.org/officeDocument/2006/relationships/hyperlink" Target="https://www.itu.int/itu-d/sites/innovation-alliance/the-expert-network/" TargetMode="External"/><Relationship Id="rId87" Type="http://schemas.openxmlformats.org/officeDocument/2006/relationships/hyperlink" Target="https://academy.itu.int/training-courses/full-catalogue/strategic-foresight-101" TargetMode="External"/><Relationship Id="rId61" Type="http://schemas.openxmlformats.org/officeDocument/2006/relationships/hyperlink" Target="https://www.itu.int/itu-d/meetings/gif-24/" TargetMode="External"/><Relationship Id="rId82" Type="http://schemas.openxmlformats.org/officeDocument/2006/relationships/hyperlink" Target="https://academy.itu.int/training-courses/full-catalogue/innovation-ecosystem-101-fundamentals-building-competitive-and-innovative-ict-centric-ecosystems-2" TargetMode="External"/><Relationship Id="rId19" Type="http://schemas.openxmlformats.org/officeDocument/2006/relationships/hyperlink" Target="https://www.itu.int/en/ITU-D/Innovation/Pages/Ecosystem-Development-Strategies-and-Roadmaps.aspx" TargetMode="External"/><Relationship Id="rId14" Type="http://schemas.openxmlformats.org/officeDocument/2006/relationships/hyperlink" Target="https://www.itu.int/itu-d/sites/innovation-alliance/" TargetMode="External"/><Relationship Id="rId30" Type="http://schemas.openxmlformats.org/officeDocument/2006/relationships/hyperlink" Target="https://www.itu.int/itu-d/sites/innovation-alliance/wp-content/uploads/sites/35/2024/05/Inaugural_Meeting_of_the_Digital_Innovation_Board_-_Summary_rev1.pdf" TargetMode="External"/><Relationship Id="rId35" Type="http://schemas.openxmlformats.org/officeDocument/2006/relationships/hyperlink" Target="https://www.itu.int/itu-d/sites/innovation-alliance/wp-content/uploads/sites/35/2024/12/Second-Meeting-of-the-Digital-Innovation-Board-28-October-2024-Summary.pdf" TargetMode="External"/><Relationship Id="rId56" Type="http://schemas.openxmlformats.org/officeDocument/2006/relationships/hyperlink" Target="https://www.itu.int/itu-d/sites/innovation-alliance/events/news/acceleration-centre-event-dubai/" TargetMode="External"/><Relationship Id="rId77" Type="http://schemas.openxmlformats.org/officeDocument/2006/relationships/hyperlink" Target="https://www.itu.int/en/ITU-D/Innovation/Pages/Strategic%20Foresight/Strategic-Foresight.aspx" TargetMode="External"/><Relationship Id="rId100" Type="http://schemas.openxmlformats.org/officeDocument/2006/relationships/footer" Target="footer2.xml"/><Relationship Id="rId8" Type="http://schemas.openxmlformats.org/officeDocument/2006/relationships/settings" Target="settings.xml"/><Relationship Id="rId51" Type="http://schemas.openxmlformats.org/officeDocument/2006/relationships/hyperlink" Target="https://www.itu.int/itu-d/sites/innovation-alliance/network-of-itu-acceleration-centres/" TargetMode="External"/><Relationship Id="rId72" Type="http://schemas.openxmlformats.org/officeDocument/2006/relationships/hyperlink" Target="https://www.itu.int/itu-d/sites/innovation-alliance/wp-content/uploads/sites/35/2025/10/Shaping-education-for-tomorrow.pdf" TargetMode="External"/><Relationship Id="rId93" Type="http://schemas.openxmlformats.org/officeDocument/2006/relationships/hyperlink" Target="https://www.itu.int/itu-d/sites/innovation-alliance/itu-acceleration-centre-meeting/" TargetMode="External"/><Relationship Id="rId98" Type="http://schemas.openxmlformats.org/officeDocument/2006/relationships/header" Target="header1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mohamed.ba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D22-WTDC25-C-0020!A16!MSW-R</DPM_x0020_File_x0020_name>
    <DPM_x0020_Author xmlns="32a1a8c5-2265-4ebc-b7a0-2071e2c5c9bb" xsi:nil="false">DPM</DPM_x0020_Author>
    <DPM_x0020_Version xmlns="32a1a8c5-2265-4ebc-b7a0-2071e2c5c9bb" xsi:nil="false">DPM_2025.10.23.1</DPM_x0020_Version>
    <_dlc_DocId xmlns="996b2e75-67fd-4955-a3b0-5ab9934cb50b">CJDSJNEQ73FR-44-11</_dlc_DocId>
    <_dlc_DocIdUrl xmlns="996b2e75-67fd-4955-a3b0-5ab9934cb50b">
      <Url>http://spdev11/en/gmpcs/_layouts/DocIdRedir.aspx?ID=CJDSJNEQ73FR-44-11</Url>
      <Description>CJDSJNEQ73FR-44-11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C36BF9-C24F-4574-9799-EB1BE53F63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B0BF1C-CD27-400F-8B1B-9230148C4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0F9BD-473C-42E3-AAA5-6AB19697FB78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AC179E-411A-416D-A67C-2E71771E2C6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2604</Words>
  <Characters>27886</Characters>
  <Application>Microsoft Office Word</Application>
  <DocSecurity>0</DocSecurity>
  <Lines>232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D22-WTDC25-C-0020!A16!MSW-R</vt:lpstr>
    </vt:vector>
  </TitlesOfParts>
  <Manager>General Secretariat - Pool</Manager>
  <Company/>
  <LinksUpToDate>false</LinksUpToDate>
  <CharactersWithSpaces>30430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D22-WTDC25-C-0020!A16!MSW-R</dc:title>
  <dc:subject/>
  <dc:creator>Documents Proposals Manager (DPM)</dc:creator>
  <cp:keywords>DPM_v2025.10.28.1_prod</cp:keywords>
  <dc:description/>
  <cp:lastModifiedBy>FE</cp:lastModifiedBy>
  <cp:revision>9</cp:revision>
  <cp:lastPrinted>2017-03-13T09:05:00Z</cp:lastPrinted>
  <dcterms:created xsi:type="dcterms:W3CDTF">2025-11-07T15:14:00Z</dcterms:created>
  <dcterms:modified xsi:type="dcterms:W3CDTF">2025-11-10T08:58:00Z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1277586e-23f4-4a9c-8b22-c68c4fc349db</vt:lpwstr>
  </property>
</Properties>
</file>