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rPr>
            </w:pPr>
            <w:r w:rsidRPr="005A56C7">
              <w:rPr>
                <w:b/>
                <w:bCs/>
                <w:sz w:val="32"/>
                <w:szCs w:val="32"/>
                <w:lang w:val="fr-CH"/>
              </w:rPr>
              <w:t>2025</w:t>
            </w:r>
            <w:r w:rsidRPr="00350AAA">
              <w:rPr>
                <w:rFonts w:hint="eastAsia"/>
                <w:b/>
                <w:bCs/>
                <w:sz w:val="32"/>
                <w:szCs w:val="32"/>
              </w:rPr>
              <w:t>年世界电信发展大会</w:t>
            </w:r>
            <w:r w:rsidRPr="005A56C7">
              <w:rPr>
                <w:rFonts w:hint="eastAsia"/>
                <w:b/>
                <w:bCs/>
                <w:sz w:val="32"/>
                <w:szCs w:val="32"/>
                <w:lang w:val="fr-CH"/>
              </w:rPr>
              <w:t>（</w:t>
            </w:r>
            <w:r w:rsidRPr="005A56C7">
              <w:rPr>
                <w:b/>
                <w:bCs/>
                <w:sz w:val="32"/>
                <w:szCs w:val="32"/>
                <w:lang w:val="fr-CH"/>
              </w:rPr>
              <w:t>WTDC-25</w:t>
            </w:r>
            <w:r w:rsidRPr="005A56C7">
              <w:rPr>
                <w:rFonts w:hint="eastAsia"/>
                <w:b/>
                <w:bCs/>
                <w:sz w:val="32"/>
                <w:szCs w:val="32"/>
                <w:lang w:val="fr-CH"/>
              </w:rPr>
              <w:t>）</w:t>
            </w:r>
            <w:r w:rsidRPr="005A56C7">
              <w:rPr>
                <w:b/>
                <w:bCs/>
                <w:sz w:val="32"/>
                <w:szCs w:val="32"/>
                <w:lang w:val="fr-CH"/>
              </w:rPr>
              <w:br/>
            </w:r>
            <w:r w:rsidRPr="001B2627">
              <w:rPr>
                <w:b/>
                <w:bCs/>
                <w:szCs w:val="24"/>
                <w:lang w:val="fr-CH"/>
              </w:rPr>
              <w:t>2025</w:t>
            </w:r>
            <w:r w:rsidRPr="001B2627">
              <w:rPr>
                <w:rFonts w:hint="eastAsia"/>
                <w:b/>
                <w:bCs/>
                <w:szCs w:val="24"/>
              </w:rPr>
              <w:t>年</w:t>
            </w:r>
            <w:r w:rsidRPr="001B2627">
              <w:rPr>
                <w:b/>
                <w:bCs/>
                <w:szCs w:val="24"/>
                <w:lang w:val="fr-CH"/>
              </w:rPr>
              <w:t>11</w:t>
            </w:r>
            <w:r w:rsidRPr="001B2627">
              <w:rPr>
                <w:rFonts w:hint="eastAsia"/>
                <w:b/>
                <w:bCs/>
                <w:szCs w:val="24"/>
              </w:rPr>
              <w:t>月</w:t>
            </w:r>
            <w:r w:rsidRPr="001B2627">
              <w:rPr>
                <w:b/>
                <w:bCs/>
                <w:szCs w:val="24"/>
                <w:lang w:val="fr-CH"/>
              </w:rPr>
              <w:t>17</w:t>
            </w:r>
            <w:r w:rsidR="00827D4F" w:rsidRPr="001B2627">
              <w:rPr>
                <w:b/>
                <w:bCs/>
                <w:sz w:val="26"/>
                <w:szCs w:val="26"/>
              </w:rPr>
              <w:t>-</w:t>
            </w:r>
            <w:r w:rsidRPr="001B2627">
              <w:rPr>
                <w:b/>
                <w:bCs/>
                <w:szCs w:val="24"/>
                <w:lang w:val="fr-CH"/>
              </w:rPr>
              <w:t>28</w:t>
            </w:r>
            <w:r w:rsidRPr="001B2627">
              <w:rPr>
                <w:rFonts w:hint="eastAsia"/>
                <w:b/>
                <w:bCs/>
                <w:szCs w:val="24"/>
              </w:rPr>
              <w:t>日</w:t>
            </w:r>
            <w:r w:rsidRPr="005A56C7">
              <w:rPr>
                <w:rFonts w:hint="eastAsia"/>
                <w:b/>
                <w:bCs/>
                <w:szCs w:val="24"/>
                <w:lang w:val="fr-CH"/>
              </w:rPr>
              <w:t>，</w:t>
            </w:r>
            <w:r w:rsidRPr="00350AAA">
              <w:rPr>
                <w:rFonts w:hint="eastAsia"/>
                <w:b/>
                <w:bCs/>
                <w:szCs w:val="24"/>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rPr>
              <w:drawing>
                <wp:inline distT="0" distB="0" distL="0" distR="0" wp14:anchorId="3E960F2A" wp14:editId="39BCBFE6">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r w:rsidRPr="00EB614A">
              <w:rPr>
                <w:bCs/>
              </w:rPr>
              <w:t>全体会议</w:t>
            </w:r>
          </w:p>
        </w:tc>
        <w:tc>
          <w:tcPr>
            <w:tcW w:w="1835" w:type="pct"/>
            <w:gridSpan w:val="2"/>
          </w:tcPr>
          <w:p w14:paraId="3039BF61" w14:textId="064F4C28" w:rsidR="00861D88" w:rsidRPr="00B57FF3" w:rsidRDefault="00861D88" w:rsidP="00861D88">
            <w:pPr>
              <w:tabs>
                <w:tab w:val="left" w:pos="851"/>
              </w:tabs>
              <w:spacing w:before="0" w:line="240" w:lineRule="atLeast"/>
              <w:rPr>
                <w:rFonts w:cstheme="minorHAnsi"/>
                <w:szCs w:val="24"/>
                <w:lang w:val="es-ES_tradnl"/>
              </w:rPr>
            </w:pPr>
            <w:r w:rsidRPr="00B57FF3">
              <w:rPr>
                <w:rFonts w:ascii="Verdana" w:hAnsi="Verdana" w:hint="eastAsia"/>
                <w:b/>
                <w:szCs w:val="24"/>
              </w:rPr>
              <w:t>文件</w:t>
            </w:r>
            <w:r w:rsidRPr="00B57FF3">
              <w:rPr>
                <w:rFonts w:ascii="Verdana" w:hAnsi="Verdana"/>
                <w:b/>
                <w:szCs w:val="24"/>
              </w:rPr>
              <w:t xml:space="preserve"> </w:t>
            </w:r>
            <w:r w:rsidRPr="00B57FF3">
              <w:rPr>
                <w:b/>
                <w:szCs w:val="24"/>
                <w:lang w:val="es-ES"/>
              </w:rPr>
              <w:t>WTDC-25/</w:t>
            </w:r>
            <w:r w:rsidR="00043E99">
              <w:rPr>
                <w:rFonts w:cstheme="minorHAnsi" w:hint="eastAsia"/>
                <w:b/>
                <w:szCs w:val="24"/>
              </w:rPr>
              <w:t>14</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3F63ECCC"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043E99">
              <w:rPr>
                <w:rFonts w:cstheme="minorHAnsi" w:hint="eastAsia"/>
                <w:b/>
                <w:szCs w:val="24"/>
              </w:rPr>
              <w:t>10</w:t>
            </w:r>
            <w:r w:rsidRPr="00B57FF3">
              <w:rPr>
                <w:rFonts w:ascii="Verdana" w:hAnsi="Verdana" w:hint="eastAsia"/>
                <w:b/>
                <w:bCs/>
                <w:szCs w:val="24"/>
              </w:rPr>
              <w:t>月</w:t>
            </w:r>
            <w:r w:rsidR="00043E99">
              <w:rPr>
                <w:rFonts w:cstheme="minorHAnsi" w:hint="eastAsia"/>
                <w:b/>
                <w:szCs w:val="24"/>
              </w:rPr>
              <w:t>13</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r w:rsidRPr="00B57FF3">
              <w:rPr>
                <w:rFonts w:ascii="Verdana" w:hAnsi="Verdana" w:hint="eastAsia"/>
                <w:b/>
                <w:bCs/>
                <w:szCs w:val="24"/>
              </w:rPr>
              <w:t>原文：英文</w:t>
            </w:r>
          </w:p>
        </w:tc>
      </w:tr>
      <w:tr w:rsidR="00861D88" w:rsidRPr="00C324A8" w14:paraId="1D7E6270" w14:textId="77777777" w:rsidTr="002025F7">
        <w:trPr>
          <w:cantSplit/>
          <w:trHeight w:val="23"/>
        </w:trPr>
        <w:tc>
          <w:tcPr>
            <w:tcW w:w="5000" w:type="pct"/>
            <w:gridSpan w:val="4"/>
          </w:tcPr>
          <w:p w14:paraId="7F41E1BF" w14:textId="3BC95086" w:rsidR="00861D88" w:rsidRPr="00043E99" w:rsidRDefault="00043E99" w:rsidP="00861D88">
            <w:pPr>
              <w:pStyle w:val="Source"/>
              <w:spacing w:before="240" w:after="240"/>
              <w:rPr>
                <w:lang w:val="en-US"/>
              </w:rPr>
            </w:pPr>
            <w:r>
              <w:rPr>
                <w:rFonts w:hint="eastAsia"/>
                <w:lang w:val="en-US"/>
              </w:rPr>
              <w:t>电信发展局主任</w:t>
            </w:r>
          </w:p>
        </w:tc>
      </w:tr>
      <w:tr w:rsidR="00861D88" w:rsidRPr="00C324A8" w14:paraId="6986DDC6" w14:textId="77777777" w:rsidTr="002025F7">
        <w:trPr>
          <w:cantSplit/>
          <w:trHeight w:val="23"/>
        </w:trPr>
        <w:tc>
          <w:tcPr>
            <w:tcW w:w="5000" w:type="pct"/>
            <w:gridSpan w:val="4"/>
            <w:vAlign w:val="center"/>
          </w:tcPr>
          <w:p w14:paraId="14931485" w14:textId="4E73CB7B" w:rsidR="00861D88" w:rsidRPr="008D7991" w:rsidRDefault="00A414D6" w:rsidP="00861D88">
            <w:pPr>
              <w:pStyle w:val="Title1"/>
              <w:spacing w:before="120" w:after="120"/>
            </w:pPr>
            <w:r w:rsidRPr="00A414D6">
              <w:rPr>
                <w:rFonts w:hint="eastAsia"/>
                <w:szCs w:val="28"/>
              </w:rPr>
              <w:t>电信发展局在数字化发展创新和创业联盟方面所开展工作的报告</w:t>
            </w:r>
          </w:p>
        </w:tc>
      </w:tr>
      <w:tr w:rsidR="005A56C7" w:rsidRPr="00C324A8"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7333D782" w14:textId="1C7EFCB7" w:rsidR="00861D88" w:rsidRPr="00A414D6" w:rsidRDefault="00861D88" w:rsidP="00A414D6">
            <w:pPr>
              <w:pStyle w:val="Title1"/>
              <w:tabs>
                <w:tab w:val="clear" w:pos="1134"/>
                <w:tab w:val="clear" w:pos="1871"/>
                <w:tab w:val="left" w:pos="1985"/>
              </w:tabs>
              <w:spacing w:before="120"/>
              <w:jc w:val="left"/>
              <w:rPr>
                <w:rFonts w:cs="Times New Roman Bold"/>
                <w:caps w:val="0"/>
                <w:sz w:val="24"/>
                <w:szCs w:val="24"/>
              </w:rPr>
            </w:pPr>
            <w:r w:rsidRPr="00C63427">
              <w:rPr>
                <w:rFonts w:asciiTheme="minorEastAsia" w:hAnsiTheme="minorEastAsia" w:cs="Microsoft YaHei" w:hint="eastAsia"/>
                <w:b/>
                <w:bCs/>
                <w:caps w:val="0"/>
                <w:sz w:val="24"/>
                <w:szCs w:val="24"/>
              </w:rPr>
              <w:t>重点领域</w:t>
            </w:r>
            <w:r w:rsidRPr="00C63427">
              <w:rPr>
                <w:rFonts w:hint="eastAsia"/>
                <w:b/>
                <w:bCs/>
                <w:sz w:val="24"/>
                <w:szCs w:val="24"/>
              </w:rPr>
              <w:t>：</w:t>
            </w:r>
            <w:r w:rsidR="00A414D6">
              <w:rPr>
                <w:rFonts w:hint="eastAsia"/>
                <w:sz w:val="24"/>
                <w:szCs w:val="24"/>
              </w:rPr>
              <w:t>数字化转型</w:t>
            </w:r>
          </w:p>
          <w:p w14:paraId="26DF8D5D" w14:textId="649C8D7E" w:rsidR="00861D88" w:rsidRPr="00D9621A" w:rsidRDefault="006140BF" w:rsidP="00861D88">
            <w:pPr>
              <w:pStyle w:val="Headingb"/>
              <w:rPr>
                <w:b w:val="0"/>
                <w:bCs/>
                <w:szCs w:val="24"/>
              </w:rPr>
            </w:pPr>
            <w:r>
              <w:rPr>
                <w:rFonts w:hint="eastAsia"/>
                <w:bCs/>
                <w:szCs w:val="24"/>
              </w:rPr>
              <w:t>摘要</w:t>
            </w:r>
            <w:r w:rsidR="00861D88">
              <w:rPr>
                <w:rFonts w:hint="eastAsia"/>
                <w:bCs/>
                <w:szCs w:val="24"/>
              </w:rPr>
              <w:t>：</w:t>
            </w:r>
          </w:p>
          <w:p w14:paraId="05A56596" w14:textId="47218A63" w:rsidR="00A414D6" w:rsidRPr="00B66BF1" w:rsidRDefault="00A414D6" w:rsidP="00B66BF1">
            <w:pPr>
              <w:spacing w:after="120"/>
              <w:ind w:firstLineChars="200" w:firstLine="480"/>
              <w:rPr>
                <w:szCs w:val="24"/>
                <w:lang w:val="fr-CH"/>
              </w:rPr>
            </w:pPr>
            <w:r w:rsidRPr="00A414D6">
              <w:rPr>
                <w:rFonts w:hint="eastAsia"/>
                <w:szCs w:val="24"/>
              </w:rPr>
              <w:t>本文件概述了电信发展局</w:t>
            </w:r>
            <w:r w:rsidRPr="00B66BF1">
              <w:rPr>
                <w:rFonts w:hint="eastAsia"/>
                <w:szCs w:val="24"/>
                <w:lang w:val="fr-CH"/>
              </w:rPr>
              <w:t>（</w:t>
            </w:r>
            <w:r w:rsidRPr="00B66BF1">
              <w:rPr>
                <w:rFonts w:hint="eastAsia"/>
                <w:szCs w:val="24"/>
                <w:lang w:val="fr-CH"/>
              </w:rPr>
              <w:t>BDT</w:t>
            </w:r>
            <w:r w:rsidRPr="00B66BF1">
              <w:rPr>
                <w:rFonts w:hint="eastAsia"/>
                <w:szCs w:val="24"/>
                <w:lang w:val="fr-CH"/>
              </w:rPr>
              <w:t>）</w:t>
            </w:r>
            <w:r w:rsidRPr="00A414D6">
              <w:rPr>
                <w:rFonts w:hint="eastAsia"/>
                <w:szCs w:val="24"/>
              </w:rPr>
              <w:t>通过</w:t>
            </w:r>
            <w:r w:rsidR="00B66BF1">
              <w:rPr>
                <w:szCs w:val="24"/>
              </w:rPr>
              <w:fldChar w:fldCharType="begin"/>
            </w:r>
            <w:r w:rsidR="00B66BF1">
              <w:rPr>
                <w:szCs w:val="24"/>
              </w:rPr>
              <w:instrText>HYPERLINK "https://www.itu.int/itu-d/sites/innovation-alliance/"</w:instrText>
            </w:r>
            <w:r w:rsidR="00B66BF1">
              <w:rPr>
                <w:szCs w:val="24"/>
              </w:rPr>
            </w:r>
            <w:r w:rsidR="00B66BF1">
              <w:rPr>
                <w:szCs w:val="24"/>
              </w:rPr>
              <w:fldChar w:fldCharType="separate"/>
            </w:r>
            <w:r w:rsidR="00B66BF1">
              <w:rPr>
                <w:rStyle w:val="Hyperlink"/>
                <w:szCs w:val="24"/>
                <w:lang w:val="fr-CH"/>
              </w:rPr>
              <w:t>数字化发展创新和创业联盟</w:t>
            </w:r>
            <w:r w:rsidR="00B66BF1">
              <w:rPr>
                <w:szCs w:val="24"/>
              </w:rPr>
              <w:fldChar w:fldCharType="end"/>
            </w:r>
            <w:r w:rsidRPr="00A414D6">
              <w:rPr>
                <w:rFonts w:hint="eastAsia"/>
                <w:szCs w:val="24"/>
              </w:rPr>
              <w:t>自</w:t>
            </w:r>
            <w:r w:rsidRPr="00B66BF1">
              <w:rPr>
                <w:rFonts w:hint="eastAsia"/>
                <w:szCs w:val="24"/>
                <w:lang w:val="fr-CH"/>
              </w:rPr>
              <w:t>WTDC-22</w:t>
            </w:r>
            <w:r w:rsidRPr="00A414D6">
              <w:rPr>
                <w:rFonts w:hint="eastAsia"/>
                <w:szCs w:val="24"/>
              </w:rPr>
              <w:t>至今在数字化创新方面所完成的工作。</w:t>
            </w:r>
          </w:p>
          <w:p w14:paraId="3536E56A" w14:textId="48EC960C" w:rsidR="00A414D6" w:rsidRPr="00A414D6" w:rsidRDefault="00A414D6" w:rsidP="00596E92">
            <w:pPr>
              <w:spacing w:after="120"/>
              <w:ind w:firstLineChars="200" w:firstLine="480"/>
              <w:rPr>
                <w:szCs w:val="24"/>
              </w:rPr>
            </w:pPr>
            <w:r>
              <w:rPr>
                <w:rFonts w:hint="eastAsia"/>
                <w:szCs w:val="24"/>
              </w:rPr>
              <w:t>文件</w:t>
            </w:r>
            <w:r w:rsidRPr="00A414D6">
              <w:rPr>
                <w:rFonts w:hint="eastAsia"/>
                <w:szCs w:val="24"/>
              </w:rPr>
              <w:t>强调了为加强国际电联成员将电信</w:t>
            </w:r>
            <w:r w:rsidRPr="00A414D6">
              <w:rPr>
                <w:rFonts w:hint="eastAsia"/>
                <w:szCs w:val="24"/>
              </w:rPr>
              <w:t>/</w:t>
            </w:r>
            <w:r w:rsidR="00DF2A05">
              <w:rPr>
                <w:rFonts w:hint="eastAsia"/>
                <w:szCs w:val="24"/>
              </w:rPr>
              <w:t>信息通信技术（</w:t>
            </w:r>
            <w:r w:rsidRPr="00A414D6">
              <w:rPr>
                <w:rFonts w:hint="eastAsia"/>
                <w:szCs w:val="24"/>
              </w:rPr>
              <w:t>ICT</w:t>
            </w:r>
            <w:r w:rsidR="00DF2A05">
              <w:rPr>
                <w:rFonts w:hint="eastAsia"/>
                <w:szCs w:val="24"/>
              </w:rPr>
              <w:t>）</w:t>
            </w:r>
            <w:r w:rsidRPr="00A414D6">
              <w:rPr>
                <w:rFonts w:hint="eastAsia"/>
                <w:szCs w:val="24"/>
              </w:rPr>
              <w:t>创新及数字化纳入其国家发展议程的能力，并开发与发展数字创新生态系统有关的人员和机构能力而开展的活动、举措和会议。</w:t>
            </w:r>
          </w:p>
          <w:p w14:paraId="693EFB6E" w14:textId="78E3E295" w:rsidR="00861D88" w:rsidRPr="00D9621A" w:rsidRDefault="0029651F" w:rsidP="00596E92">
            <w:pPr>
              <w:spacing w:after="120"/>
              <w:ind w:firstLineChars="200" w:firstLine="480"/>
              <w:rPr>
                <w:szCs w:val="24"/>
              </w:rPr>
            </w:pPr>
            <w:r w:rsidRPr="0029651F">
              <w:rPr>
                <w:rFonts w:hint="eastAsia"/>
                <w:szCs w:val="24"/>
              </w:rPr>
              <w:t>该联盟的工作补充并拓展了</w:t>
            </w:r>
            <w:r w:rsidRPr="0029651F">
              <w:rPr>
                <w:rFonts w:hint="eastAsia"/>
                <w:szCs w:val="24"/>
              </w:rPr>
              <w:t>ITU-D</w:t>
            </w:r>
            <w:r w:rsidRPr="0029651F">
              <w:rPr>
                <w:rFonts w:hint="eastAsia"/>
                <w:szCs w:val="24"/>
              </w:rPr>
              <w:t>在</w:t>
            </w:r>
            <w:r>
              <w:fldChar w:fldCharType="begin"/>
            </w:r>
            <w:r>
              <w:instrText>HYPERLINK "https://www.itu.int/itu-d/sites/innovation/"</w:instrText>
            </w:r>
            <w:r>
              <w:fldChar w:fldCharType="separate"/>
            </w:r>
            <w:r w:rsidRPr="0029651F">
              <w:rPr>
                <w:rStyle w:val="Hyperlink"/>
                <w:rFonts w:hint="eastAsia"/>
                <w:szCs w:val="24"/>
              </w:rPr>
              <w:t>数字创新生态系统议题</w:t>
            </w:r>
            <w:r>
              <w:fldChar w:fldCharType="end"/>
            </w:r>
            <w:r w:rsidRPr="0029651F">
              <w:rPr>
                <w:rFonts w:hint="eastAsia"/>
                <w:szCs w:val="24"/>
              </w:rPr>
              <w:t>下的其他活动，如</w:t>
            </w:r>
            <w:hyperlink r:id="rId14" w:history="1">
              <w:r w:rsidRPr="0029651F">
                <w:rPr>
                  <w:rStyle w:val="Hyperlink"/>
                  <w:rFonts w:hint="eastAsia"/>
                  <w:szCs w:val="24"/>
                </w:rPr>
                <w:t>数字创新概况</w:t>
              </w:r>
            </w:hyperlink>
            <w:r w:rsidRPr="0029651F">
              <w:rPr>
                <w:rFonts w:hint="eastAsia"/>
                <w:szCs w:val="24"/>
              </w:rPr>
              <w:t>、能力建设活动及</w:t>
            </w:r>
            <w:hyperlink r:id="rId15" w:history="1">
              <w:r w:rsidRPr="0029651F">
                <w:rPr>
                  <w:rStyle w:val="Hyperlink"/>
                  <w:rFonts w:hint="eastAsia"/>
                  <w:szCs w:val="24"/>
                </w:rPr>
                <w:t>全球创新论坛</w:t>
              </w:r>
            </w:hyperlink>
            <w:r w:rsidRPr="0029651F">
              <w:rPr>
                <w:rFonts w:hint="eastAsia"/>
                <w:szCs w:val="24"/>
              </w:rPr>
              <w:t>等。</w:t>
            </w:r>
          </w:p>
          <w:p w14:paraId="30409237" w14:textId="77777777" w:rsidR="00861D88" w:rsidRPr="00D9621A" w:rsidRDefault="00861D88" w:rsidP="00861D88">
            <w:pPr>
              <w:pStyle w:val="Headingb"/>
              <w:rPr>
                <w:b w:val="0"/>
                <w:bCs/>
                <w:szCs w:val="24"/>
              </w:rPr>
            </w:pPr>
            <w:r>
              <w:rPr>
                <w:rFonts w:hint="eastAsia"/>
                <w:bCs/>
                <w:szCs w:val="24"/>
              </w:rPr>
              <w:t>预期结果：</w:t>
            </w:r>
          </w:p>
          <w:p w14:paraId="383606FF" w14:textId="5EF85F4C" w:rsidR="00861D88" w:rsidRPr="00D9621A" w:rsidRDefault="00A414D6" w:rsidP="00596E92">
            <w:pPr>
              <w:spacing w:after="120"/>
              <w:ind w:firstLineChars="200" w:firstLine="480"/>
              <w:rPr>
                <w:szCs w:val="24"/>
              </w:rPr>
            </w:pPr>
            <w:r w:rsidRPr="00A414D6">
              <w:rPr>
                <w:rFonts w:hint="eastAsia"/>
                <w:szCs w:val="24"/>
              </w:rPr>
              <w:t>请</w:t>
            </w:r>
            <w:r w:rsidRPr="00A414D6">
              <w:rPr>
                <w:rFonts w:hint="eastAsia"/>
                <w:szCs w:val="24"/>
              </w:rPr>
              <w:t>WTDC</w:t>
            </w:r>
            <w:r w:rsidR="000666C1">
              <w:rPr>
                <w:rFonts w:hint="eastAsia"/>
                <w:szCs w:val="24"/>
              </w:rPr>
              <w:t>将</w:t>
            </w:r>
            <w:r w:rsidRPr="00A414D6">
              <w:rPr>
                <w:rFonts w:hint="eastAsia"/>
                <w:szCs w:val="24"/>
              </w:rPr>
              <w:t>本报告</w:t>
            </w:r>
            <w:r w:rsidR="000666C1">
              <w:rPr>
                <w:rFonts w:hint="eastAsia"/>
                <w:szCs w:val="24"/>
              </w:rPr>
              <w:t>记录在案</w:t>
            </w:r>
            <w:r w:rsidRPr="00A414D6">
              <w:rPr>
                <w:rFonts w:hint="eastAsia"/>
                <w:szCs w:val="24"/>
              </w:rPr>
              <w:t>并酌情提供指导。</w:t>
            </w:r>
          </w:p>
          <w:p w14:paraId="0BB73543" w14:textId="77777777" w:rsidR="00861D88" w:rsidRPr="00D9621A" w:rsidRDefault="00861D88" w:rsidP="00861D88">
            <w:pPr>
              <w:pStyle w:val="Headingb"/>
              <w:rPr>
                <w:b w:val="0"/>
                <w:bCs/>
                <w:szCs w:val="24"/>
              </w:rPr>
            </w:pPr>
            <w:r>
              <w:rPr>
                <w:rFonts w:hint="eastAsia"/>
                <w:bCs/>
                <w:szCs w:val="24"/>
              </w:rPr>
              <w:t>参考文件：</w:t>
            </w:r>
          </w:p>
          <w:p w14:paraId="40061762" w14:textId="451CC6E0" w:rsidR="0029651F" w:rsidRPr="0029651F" w:rsidRDefault="0029651F" w:rsidP="00805620">
            <w:pPr>
              <w:ind w:firstLineChars="200" w:firstLine="480"/>
            </w:pPr>
            <w:hyperlink r:id="rId16" w:history="1">
              <w:r w:rsidRPr="0029651F">
                <w:rPr>
                  <w:rStyle w:val="Hyperlink"/>
                  <w:rFonts w:hint="eastAsia"/>
                </w:rPr>
                <w:t>电信发展局在数字化发展创新和创业联盟方面的工作</w:t>
              </w:r>
            </w:hyperlink>
          </w:p>
          <w:p w14:paraId="44B79AB0" w14:textId="77777777" w:rsidR="00B66BF1" w:rsidRDefault="0029651F" w:rsidP="00805620">
            <w:pPr>
              <w:ind w:firstLineChars="200" w:firstLine="480"/>
            </w:pPr>
            <w:hyperlink r:id="rId17" w:history="1">
              <w:r w:rsidRPr="0029651F">
                <w:rPr>
                  <w:rStyle w:val="Hyperlink"/>
                  <w:rFonts w:hint="eastAsia"/>
                </w:rPr>
                <w:t>电信发展局在数字创新生态系统方面的工作</w:t>
              </w:r>
            </w:hyperlink>
          </w:p>
          <w:p w14:paraId="78E6C152" w14:textId="14B37C63" w:rsidR="0029651F" w:rsidRPr="0029651F" w:rsidRDefault="0029651F" w:rsidP="00805620">
            <w:pPr>
              <w:ind w:firstLineChars="200" w:firstLine="480"/>
            </w:pPr>
            <w:r w:rsidRPr="0029651F">
              <w:rPr>
                <w:rFonts w:hint="eastAsia"/>
              </w:rPr>
              <w:t>WTDC</w:t>
            </w:r>
            <w:r w:rsidRPr="0029651F">
              <w:rPr>
                <w:rFonts w:hint="eastAsia"/>
              </w:rPr>
              <w:t>第</w:t>
            </w:r>
            <w:r>
              <w:fldChar w:fldCharType="begin"/>
            </w:r>
            <w:r>
              <w:instrText>HYPERLINK "https://www.itu.int/pub/D-RES-D.90-2022"</w:instrText>
            </w:r>
            <w:r>
              <w:fldChar w:fldCharType="separate"/>
            </w:r>
            <w:r w:rsidRPr="0029651F">
              <w:rPr>
                <w:rStyle w:val="Hyperlink"/>
                <w:rFonts w:hint="eastAsia"/>
              </w:rPr>
              <w:t>90</w:t>
            </w:r>
            <w:r>
              <w:fldChar w:fldCharType="end"/>
            </w:r>
            <w:r w:rsidRPr="0029651F">
              <w:rPr>
                <w:rFonts w:hint="eastAsia"/>
              </w:rPr>
              <w:t>、</w:t>
            </w:r>
            <w:r>
              <w:fldChar w:fldCharType="begin"/>
            </w:r>
            <w:r>
              <w:instrText>HYPERLINK "https://www.itu.int/pub/D-RES-D.89-2022"</w:instrText>
            </w:r>
            <w:r>
              <w:fldChar w:fldCharType="separate"/>
            </w:r>
            <w:r w:rsidRPr="0029651F">
              <w:rPr>
                <w:rStyle w:val="Hyperlink"/>
                <w:rFonts w:hint="eastAsia"/>
              </w:rPr>
              <w:t>89</w:t>
            </w:r>
            <w:r>
              <w:fldChar w:fldCharType="end"/>
            </w:r>
            <w:r w:rsidRPr="0029651F">
              <w:rPr>
                <w:rFonts w:hint="eastAsia"/>
              </w:rPr>
              <w:t>和</w:t>
            </w:r>
            <w:r>
              <w:fldChar w:fldCharType="begin"/>
            </w:r>
            <w:r>
              <w:instrText>HYPERLINK "https://www.itu.int/pub/D-RES-D.85-2022"</w:instrText>
            </w:r>
            <w:r>
              <w:fldChar w:fldCharType="separate"/>
            </w:r>
            <w:r w:rsidRPr="0029651F">
              <w:rPr>
                <w:rStyle w:val="Hyperlink"/>
                <w:rFonts w:hint="eastAsia"/>
              </w:rPr>
              <w:t>85</w:t>
            </w:r>
            <w:r>
              <w:fldChar w:fldCharType="end"/>
            </w:r>
            <w:r w:rsidRPr="0029651F">
              <w:rPr>
                <w:rFonts w:hint="eastAsia"/>
              </w:rPr>
              <w:t>号决议（</w:t>
            </w:r>
            <w:r w:rsidRPr="0029651F">
              <w:rPr>
                <w:rFonts w:hint="eastAsia"/>
              </w:rPr>
              <w:t>2022</w:t>
            </w:r>
            <w:r w:rsidRPr="0029651F">
              <w:rPr>
                <w:rFonts w:hint="eastAsia"/>
              </w:rPr>
              <w:t>年，基加利，修订版）</w:t>
            </w:r>
          </w:p>
          <w:p w14:paraId="47936232" w14:textId="77777777" w:rsidR="0029651F" w:rsidRPr="0029651F" w:rsidRDefault="0029651F" w:rsidP="00805620">
            <w:pPr>
              <w:ind w:firstLineChars="200" w:firstLine="480"/>
            </w:pPr>
            <w:r w:rsidRPr="0029651F">
              <w:rPr>
                <w:rFonts w:hint="eastAsia"/>
              </w:rPr>
              <w:t>国际电联区域性举措</w:t>
            </w:r>
            <w:r w:rsidRPr="0029651F">
              <w:rPr>
                <w:rFonts w:hint="eastAsia"/>
              </w:rPr>
              <w:t>AFR4</w:t>
            </w:r>
            <w:r w:rsidRPr="0029651F">
              <w:rPr>
                <w:rFonts w:hint="eastAsia"/>
              </w:rPr>
              <w:t>、</w:t>
            </w:r>
            <w:r w:rsidRPr="0029651F">
              <w:rPr>
                <w:rFonts w:hint="eastAsia"/>
              </w:rPr>
              <w:t>AMS3</w:t>
            </w:r>
            <w:r w:rsidRPr="0029651F">
              <w:rPr>
                <w:rFonts w:hint="eastAsia"/>
              </w:rPr>
              <w:t>、</w:t>
            </w:r>
            <w:r w:rsidRPr="0029651F">
              <w:rPr>
                <w:rFonts w:hint="eastAsia"/>
              </w:rPr>
              <w:t>ARB4</w:t>
            </w:r>
            <w:r w:rsidRPr="0029651F">
              <w:rPr>
                <w:rFonts w:hint="eastAsia"/>
              </w:rPr>
              <w:t>、</w:t>
            </w:r>
            <w:r w:rsidRPr="0029651F">
              <w:rPr>
                <w:rFonts w:hint="eastAsia"/>
              </w:rPr>
              <w:t>ASP4</w:t>
            </w:r>
            <w:r w:rsidRPr="0029651F">
              <w:rPr>
                <w:rFonts w:hint="eastAsia"/>
              </w:rPr>
              <w:t>、</w:t>
            </w:r>
            <w:r w:rsidRPr="0029651F">
              <w:rPr>
                <w:rFonts w:hint="eastAsia"/>
              </w:rPr>
              <w:t>CIS3</w:t>
            </w:r>
            <w:r w:rsidRPr="0029651F">
              <w:rPr>
                <w:rFonts w:hint="eastAsia"/>
              </w:rPr>
              <w:t>、</w:t>
            </w:r>
            <w:r w:rsidRPr="0029651F">
              <w:rPr>
                <w:rFonts w:hint="eastAsia"/>
              </w:rPr>
              <w:t>CIS5</w:t>
            </w:r>
            <w:r w:rsidRPr="0029651F">
              <w:rPr>
                <w:rFonts w:hint="eastAsia"/>
              </w:rPr>
              <w:t>、</w:t>
            </w:r>
            <w:r w:rsidRPr="0029651F">
              <w:rPr>
                <w:rFonts w:hint="eastAsia"/>
              </w:rPr>
              <w:t>EUR5</w:t>
            </w:r>
          </w:p>
          <w:p w14:paraId="75F6DC41" w14:textId="7C5EBD31" w:rsidR="005A56C7" w:rsidRPr="00867413" w:rsidRDefault="0029651F" w:rsidP="00805620">
            <w:pPr>
              <w:ind w:firstLineChars="200" w:firstLine="480"/>
            </w:pPr>
            <w:r w:rsidRPr="0029651F">
              <w:rPr>
                <w:rFonts w:hint="eastAsia"/>
              </w:rPr>
              <w:t>全权代表大会第</w:t>
            </w:r>
            <w:r w:rsidRPr="0029651F">
              <w:rPr>
                <w:rFonts w:hint="eastAsia"/>
              </w:rPr>
              <w:t>205</w:t>
            </w:r>
            <w:r w:rsidRPr="0029651F">
              <w:rPr>
                <w:rFonts w:hint="eastAsia"/>
              </w:rPr>
              <w:t>号决议</w:t>
            </w:r>
            <w:r>
              <w:rPr>
                <w:rFonts w:hint="eastAsia"/>
              </w:rPr>
              <w:t>；</w:t>
            </w:r>
            <w:r w:rsidRPr="0029651F">
              <w:rPr>
                <w:rFonts w:hint="eastAsia"/>
              </w:rPr>
              <w:t>国际电联</w:t>
            </w:r>
            <w:r>
              <w:rPr>
                <w:rFonts w:hint="eastAsia"/>
              </w:rPr>
              <w:t>《</w:t>
            </w:r>
            <w:r w:rsidRPr="0029651F">
              <w:rPr>
                <w:rFonts w:hint="eastAsia"/>
              </w:rPr>
              <w:t>战略规划</w:t>
            </w:r>
            <w:r>
              <w:rPr>
                <w:rFonts w:hint="eastAsia"/>
              </w:rPr>
              <w:t>》</w:t>
            </w:r>
            <w:r w:rsidRPr="0029651F">
              <w:rPr>
                <w:rFonts w:hint="eastAsia"/>
              </w:rPr>
              <w:t>（全权代表大会第</w:t>
            </w:r>
            <w:r w:rsidRPr="0029651F">
              <w:rPr>
                <w:rFonts w:hint="eastAsia"/>
              </w:rPr>
              <w:t>71</w:t>
            </w:r>
            <w:r w:rsidRPr="0029651F">
              <w:rPr>
                <w:rFonts w:hint="eastAsia"/>
              </w:rPr>
              <w:t>号决议，</w:t>
            </w:r>
            <w:r w:rsidRPr="0029651F">
              <w:rPr>
                <w:rFonts w:hint="eastAsia"/>
              </w:rPr>
              <w:t>2022</w:t>
            </w:r>
            <w:r w:rsidRPr="0029651F">
              <w:rPr>
                <w:rFonts w:hint="eastAsia"/>
              </w:rPr>
              <w:t>年，布加勒斯特，修订版）</w:t>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rPr>
      </w:pPr>
      <w:r>
        <w:rPr>
          <w:szCs w:val="24"/>
          <w:lang w:val="fr-CH"/>
        </w:rPr>
        <w:br w:type="page"/>
      </w:r>
    </w:p>
    <w:p w14:paraId="0D75A2DA" w14:textId="68771146" w:rsidR="00A22E8C" w:rsidRPr="00596E92" w:rsidRDefault="00295B44" w:rsidP="00EB19B2">
      <w:pPr>
        <w:rPr>
          <w:b/>
          <w:bCs/>
          <w:lang w:val="fr-CH"/>
        </w:rPr>
      </w:pPr>
      <w:r w:rsidRPr="00596E92">
        <w:rPr>
          <w:rFonts w:hint="eastAsia"/>
          <w:b/>
          <w:bCs/>
          <w:lang w:val="fr-CH"/>
        </w:rPr>
        <w:lastRenderedPageBreak/>
        <w:t>1</w:t>
      </w:r>
      <w:r w:rsidRPr="00596E92">
        <w:rPr>
          <w:b/>
          <w:bCs/>
          <w:lang w:val="fr-CH"/>
        </w:rPr>
        <w:tab/>
      </w:r>
      <w:r w:rsidRPr="00596E92">
        <w:rPr>
          <w:rFonts w:hint="eastAsia"/>
          <w:b/>
          <w:bCs/>
          <w:lang w:val="fr-CH"/>
        </w:rPr>
        <w:t>背景</w:t>
      </w:r>
    </w:p>
    <w:p w14:paraId="084B1CCC" w14:textId="37A0FBC7" w:rsidR="00295B44" w:rsidRDefault="00295B44" w:rsidP="00596E92">
      <w:pPr>
        <w:ind w:firstLineChars="200" w:firstLine="480"/>
        <w:rPr>
          <w:lang w:val="fr-CH"/>
        </w:rPr>
      </w:pPr>
      <w:r w:rsidRPr="00295B44">
        <w:rPr>
          <w:rFonts w:hint="eastAsia"/>
          <w:lang w:val="fr-CH"/>
        </w:rPr>
        <w:t>数字化发展创新和创业联盟由电信发展局主任于</w:t>
      </w:r>
      <w:r w:rsidRPr="00295B44">
        <w:rPr>
          <w:rFonts w:hint="eastAsia"/>
          <w:lang w:val="fr-CH"/>
        </w:rPr>
        <w:t>2023</w:t>
      </w:r>
      <w:r w:rsidRPr="00295B44">
        <w:rPr>
          <w:rFonts w:hint="eastAsia"/>
          <w:lang w:val="fr-CH"/>
        </w:rPr>
        <w:t>年</w:t>
      </w:r>
      <w:r w:rsidRPr="00295B44">
        <w:rPr>
          <w:rFonts w:hint="eastAsia"/>
          <w:lang w:val="fr-CH"/>
        </w:rPr>
        <w:t>1</w:t>
      </w:r>
      <w:r w:rsidRPr="00295B44">
        <w:rPr>
          <w:rFonts w:hint="eastAsia"/>
          <w:lang w:val="fr-CH"/>
        </w:rPr>
        <w:t>月</w:t>
      </w:r>
      <w:r w:rsidRPr="00295B44">
        <w:rPr>
          <w:rFonts w:hint="eastAsia"/>
          <w:lang w:val="fr-CH"/>
        </w:rPr>
        <w:t>25</w:t>
      </w:r>
      <w:r w:rsidRPr="00295B44">
        <w:rPr>
          <w:rFonts w:hint="eastAsia"/>
          <w:lang w:val="fr-CH"/>
        </w:rPr>
        <w:t>日设立，</w:t>
      </w:r>
      <w:r>
        <w:rPr>
          <w:rFonts w:hint="eastAsia"/>
          <w:lang w:val="fr-CH"/>
        </w:rPr>
        <w:t>用于</w:t>
      </w:r>
      <w:r w:rsidRPr="00295B44">
        <w:rPr>
          <w:rFonts w:hint="eastAsia"/>
          <w:lang w:val="fr-CH"/>
        </w:rPr>
        <w:t>应对</w:t>
      </w:r>
      <w:r w:rsidRPr="00295B44">
        <w:rPr>
          <w:rFonts w:hint="eastAsia"/>
          <w:lang w:val="fr-CH"/>
        </w:rPr>
        <w:t>2022</w:t>
      </w:r>
      <w:r w:rsidRPr="00295B44">
        <w:rPr>
          <w:rFonts w:hint="eastAsia"/>
          <w:lang w:val="fr-CH"/>
        </w:rPr>
        <w:t>年世界电信发展大会（</w:t>
      </w:r>
      <w:r w:rsidRPr="00295B44">
        <w:rPr>
          <w:rFonts w:hint="eastAsia"/>
          <w:lang w:val="fr-CH"/>
        </w:rPr>
        <w:t>WTDC-22</w:t>
      </w:r>
      <w:r w:rsidRPr="00295B44">
        <w:rPr>
          <w:rFonts w:hint="eastAsia"/>
          <w:lang w:val="fr-CH"/>
        </w:rPr>
        <w:t>）通过的《基加利行动计划》和国际电联</w:t>
      </w:r>
      <w:r w:rsidRPr="00295B44">
        <w:rPr>
          <w:rFonts w:hint="eastAsia"/>
          <w:lang w:val="fr-CH"/>
        </w:rPr>
        <w:t>2022</w:t>
      </w:r>
      <w:r w:rsidRPr="00295B44">
        <w:rPr>
          <w:rFonts w:hint="eastAsia"/>
          <w:lang w:val="fr-CH"/>
        </w:rPr>
        <w:t>年全权代表大会（</w:t>
      </w:r>
      <w:r w:rsidRPr="00295B44">
        <w:rPr>
          <w:rFonts w:hint="eastAsia"/>
          <w:lang w:val="fr-CH"/>
        </w:rPr>
        <w:t>PP-22</w:t>
      </w:r>
      <w:r w:rsidRPr="00295B44">
        <w:rPr>
          <w:rFonts w:hint="eastAsia"/>
          <w:lang w:val="fr-CH"/>
        </w:rPr>
        <w:t>）成果中所述的国际电联成员在创新领域</w:t>
      </w:r>
      <w:r w:rsidR="0053695F">
        <w:rPr>
          <w:rFonts w:hint="eastAsia"/>
          <w:lang w:val="fr-CH"/>
        </w:rPr>
        <w:t>大量</w:t>
      </w:r>
      <w:r w:rsidRPr="00295B44">
        <w:rPr>
          <w:rFonts w:hint="eastAsia"/>
          <w:lang w:val="fr-CH"/>
        </w:rPr>
        <w:t>未得到满足的需求。</w:t>
      </w:r>
    </w:p>
    <w:p w14:paraId="3A5E660F" w14:textId="75889F9F" w:rsidR="008E4A61" w:rsidRDefault="00295B44" w:rsidP="00596E92">
      <w:pPr>
        <w:ind w:firstLineChars="200" w:firstLine="480"/>
        <w:rPr>
          <w:lang w:val="fr-CH"/>
        </w:rPr>
      </w:pPr>
      <w:r w:rsidRPr="00295B44">
        <w:rPr>
          <w:rFonts w:hint="eastAsia"/>
          <w:lang w:val="fr-CH"/>
        </w:rPr>
        <w:t>联盟旨在“为所有人创造一个更加公平的数字化未来”，并实现</w:t>
      </w:r>
      <w:r w:rsidRPr="00295B44">
        <w:rPr>
          <w:rFonts w:hint="eastAsia"/>
          <w:lang w:val="fr-CH"/>
        </w:rPr>
        <w:t>ITU-D</w:t>
      </w:r>
      <w:r w:rsidRPr="00295B44">
        <w:rPr>
          <w:rFonts w:hint="eastAsia"/>
          <w:lang w:val="fr-CH"/>
        </w:rPr>
        <w:t>在数字化转型方面的两项重点工作成果：</w:t>
      </w:r>
    </w:p>
    <w:p w14:paraId="5EB1A933" w14:textId="0E93A910" w:rsidR="00295B44" w:rsidRDefault="00E850B0" w:rsidP="00D25151">
      <w:pPr>
        <w:pStyle w:val="enumlev1"/>
        <w:rPr>
          <w:lang w:val="fr-CH"/>
        </w:rPr>
      </w:pPr>
      <w:r w:rsidRPr="00E850B0">
        <w:rPr>
          <w:lang w:val="fr-CH"/>
        </w:rPr>
        <w:t>–</w:t>
      </w:r>
      <w:r w:rsidR="00295B44">
        <w:rPr>
          <w:lang w:val="fr-CH"/>
        </w:rPr>
        <w:tab/>
      </w:r>
      <w:r w:rsidR="00295B44" w:rsidRPr="00295B44">
        <w:rPr>
          <w:rFonts w:hint="eastAsia"/>
          <w:lang w:val="fr-CH"/>
        </w:rPr>
        <w:t>加强国际电联成员将电信</w:t>
      </w:r>
      <w:r w:rsidR="00295B44" w:rsidRPr="00295B44">
        <w:rPr>
          <w:lang w:val="fr-CH"/>
        </w:rPr>
        <w:t>/ICT</w:t>
      </w:r>
      <w:r w:rsidR="00295B44" w:rsidRPr="00295B44">
        <w:rPr>
          <w:rFonts w:hint="eastAsia"/>
          <w:lang w:val="fr-CH"/>
        </w:rPr>
        <w:t>创新和数字化纳入其国家发展议程</w:t>
      </w:r>
      <w:r w:rsidR="00DF2A05">
        <w:rPr>
          <w:lang w:val="zh-CN"/>
        </w:rPr>
        <w:t>并制定战略（包括通过</w:t>
      </w:r>
      <w:r w:rsidR="0053695F">
        <w:rPr>
          <w:rFonts w:hint="eastAsia"/>
          <w:lang w:val="zh-CN"/>
        </w:rPr>
        <w:t>公共</w:t>
      </w:r>
      <w:r w:rsidR="00DF2A05">
        <w:rPr>
          <w:lang w:val="zh-CN"/>
        </w:rPr>
        <w:t>、私营和公私伙伴关系）推进创新举措的能力</w:t>
      </w:r>
      <w:r w:rsidR="00295B44" w:rsidRPr="00295B44">
        <w:rPr>
          <w:rFonts w:hint="eastAsia"/>
          <w:lang w:val="fr-CH"/>
        </w:rPr>
        <w:t>。</w:t>
      </w:r>
    </w:p>
    <w:p w14:paraId="4BAB6E5B" w14:textId="5D355D10" w:rsidR="00295B44" w:rsidRDefault="00295B44" w:rsidP="00D25151">
      <w:pPr>
        <w:pStyle w:val="enumlev1"/>
        <w:rPr>
          <w:lang w:val="fr-CH"/>
        </w:rPr>
      </w:pPr>
      <w:r w:rsidRPr="00295B44">
        <w:rPr>
          <w:lang w:val="fr-CH"/>
        </w:rPr>
        <w:t>–</w:t>
      </w:r>
      <w:r>
        <w:rPr>
          <w:lang w:val="fr-CH"/>
        </w:rPr>
        <w:tab/>
      </w:r>
      <w:r w:rsidR="003C077D" w:rsidRPr="003C077D">
        <w:rPr>
          <w:rFonts w:hint="eastAsia"/>
          <w:lang w:val="fr-CH"/>
        </w:rPr>
        <w:t>增强国际电联成员在电信</w:t>
      </w:r>
      <w:r w:rsidR="003C077D" w:rsidRPr="003C077D">
        <w:rPr>
          <w:rFonts w:hint="eastAsia"/>
          <w:lang w:val="fr-CH"/>
        </w:rPr>
        <w:t>/ICT</w:t>
      </w:r>
      <w:r w:rsidR="003C077D" w:rsidRPr="003C077D">
        <w:rPr>
          <w:rFonts w:hint="eastAsia"/>
          <w:lang w:val="fr-CH"/>
        </w:rPr>
        <w:t>方面的人员和机构能力，以促进数字化转型。</w:t>
      </w:r>
    </w:p>
    <w:p w14:paraId="479C108F" w14:textId="3C5B8481" w:rsidR="003C077D" w:rsidRPr="003C077D" w:rsidRDefault="003C077D" w:rsidP="003C077D">
      <w:pPr>
        <w:rPr>
          <w:lang w:val="fr-CH"/>
        </w:rPr>
      </w:pPr>
      <w:r w:rsidRPr="003C077D">
        <w:rPr>
          <w:rFonts w:hint="eastAsia"/>
          <w:lang w:val="fr-CH"/>
        </w:rPr>
        <w:t>联盟的工作与</w:t>
      </w:r>
      <w:r w:rsidR="00DF2A05">
        <w:rPr>
          <w:rFonts w:hint="eastAsia"/>
          <w:lang w:val="fr-CH"/>
        </w:rPr>
        <w:t>下列各项</w:t>
      </w:r>
      <w:r w:rsidRPr="003C077D">
        <w:rPr>
          <w:rFonts w:hint="eastAsia"/>
          <w:lang w:val="fr-CH"/>
        </w:rPr>
        <w:t>保持一致：</w:t>
      </w:r>
    </w:p>
    <w:p w14:paraId="49340BF3" w14:textId="4B886D99" w:rsidR="003C077D" w:rsidRPr="003C077D" w:rsidRDefault="003C077D" w:rsidP="00D25151">
      <w:pPr>
        <w:pStyle w:val="enumlev1"/>
        <w:rPr>
          <w:lang w:val="fr-CH"/>
        </w:rPr>
      </w:pPr>
      <w:r w:rsidRPr="00295B44">
        <w:rPr>
          <w:lang w:val="fr-CH"/>
        </w:rPr>
        <w:t>–</w:t>
      </w:r>
      <w:r>
        <w:rPr>
          <w:lang w:val="fr-CH"/>
        </w:rPr>
        <w:tab/>
      </w:r>
      <w:r w:rsidRPr="003C077D">
        <w:rPr>
          <w:lang w:val="fr-CH"/>
        </w:rPr>
        <w:t>WTDC</w:t>
      </w:r>
      <w:r w:rsidRPr="003C077D">
        <w:rPr>
          <w:rFonts w:hint="eastAsia"/>
          <w:lang w:val="fr-CH"/>
        </w:rPr>
        <w:t>第</w:t>
      </w:r>
      <w:r w:rsidRPr="003C077D">
        <w:rPr>
          <w:lang w:val="fr-CH"/>
        </w:rPr>
        <w:t>90</w:t>
      </w:r>
      <w:r w:rsidRPr="003C077D">
        <w:rPr>
          <w:rFonts w:hint="eastAsia"/>
          <w:lang w:val="fr-CH"/>
        </w:rPr>
        <w:t>、</w:t>
      </w:r>
      <w:r w:rsidRPr="003C077D">
        <w:rPr>
          <w:lang w:val="fr-CH"/>
        </w:rPr>
        <w:t>89</w:t>
      </w:r>
      <w:r w:rsidRPr="003C077D">
        <w:rPr>
          <w:rFonts w:hint="eastAsia"/>
          <w:lang w:val="fr-CH"/>
        </w:rPr>
        <w:t>和</w:t>
      </w:r>
      <w:r w:rsidRPr="003C077D">
        <w:rPr>
          <w:lang w:val="fr-CH"/>
        </w:rPr>
        <w:t>85</w:t>
      </w:r>
      <w:r w:rsidRPr="003C077D">
        <w:rPr>
          <w:rFonts w:hint="eastAsia"/>
          <w:lang w:val="fr-CH"/>
        </w:rPr>
        <w:t>号决议（</w:t>
      </w:r>
      <w:r w:rsidRPr="003C077D">
        <w:rPr>
          <w:lang w:val="fr-CH"/>
        </w:rPr>
        <w:t>2022</w:t>
      </w:r>
      <w:r w:rsidRPr="003C077D">
        <w:rPr>
          <w:rFonts w:hint="eastAsia"/>
          <w:lang w:val="fr-CH"/>
        </w:rPr>
        <w:t>年，基加利）</w:t>
      </w:r>
      <w:r w:rsidR="0053695F">
        <w:rPr>
          <w:rFonts w:hint="eastAsia"/>
          <w:lang w:val="fr-CH"/>
        </w:rPr>
        <w:t>，</w:t>
      </w:r>
      <w:r w:rsidR="00DF2A05">
        <w:rPr>
          <w:rFonts w:hint="eastAsia"/>
          <w:lang w:val="fr-CH"/>
        </w:rPr>
        <w:t>为</w:t>
      </w:r>
      <w:r w:rsidRPr="003C077D">
        <w:rPr>
          <w:rFonts w:hint="eastAsia"/>
          <w:lang w:val="fr-CH"/>
        </w:rPr>
        <w:t>创新在社会数字化转型中的作用提供</w:t>
      </w:r>
      <w:r w:rsidR="00DF2A05">
        <w:rPr>
          <w:rFonts w:hint="eastAsia"/>
          <w:lang w:val="fr-CH"/>
        </w:rPr>
        <w:t>了</w:t>
      </w:r>
      <w:r w:rsidRPr="003C077D">
        <w:rPr>
          <w:rFonts w:hint="eastAsia"/>
          <w:lang w:val="fr-CH"/>
        </w:rPr>
        <w:t>明确</w:t>
      </w:r>
      <w:r w:rsidR="00DF2A05">
        <w:rPr>
          <w:rFonts w:hint="eastAsia"/>
          <w:lang w:val="fr-CH"/>
        </w:rPr>
        <w:t>的</w:t>
      </w:r>
      <w:r w:rsidRPr="003C077D">
        <w:rPr>
          <w:rFonts w:hint="eastAsia"/>
          <w:lang w:val="fr-CH"/>
        </w:rPr>
        <w:t>指导</w:t>
      </w:r>
      <w:r>
        <w:rPr>
          <w:rFonts w:hint="eastAsia"/>
          <w:lang w:val="fr-CH"/>
        </w:rPr>
        <w:t>；</w:t>
      </w:r>
    </w:p>
    <w:p w14:paraId="6CBB467C" w14:textId="1A9658B1" w:rsidR="003C077D" w:rsidRPr="003C077D" w:rsidRDefault="003C077D" w:rsidP="00D25151">
      <w:pPr>
        <w:pStyle w:val="enumlev1"/>
        <w:rPr>
          <w:lang w:val="fr-CH"/>
        </w:rPr>
      </w:pPr>
      <w:r w:rsidRPr="00295B44">
        <w:rPr>
          <w:lang w:val="fr-CH"/>
        </w:rPr>
        <w:t>–</w:t>
      </w:r>
      <w:r>
        <w:rPr>
          <w:lang w:val="fr-CH"/>
        </w:rPr>
        <w:tab/>
      </w:r>
      <w:r w:rsidR="00DF2A05" w:rsidRPr="00D25151">
        <w:rPr>
          <w:lang w:val="fr-CH"/>
        </w:rPr>
        <w:t>国际电联针对各区域的区域性举措</w:t>
      </w:r>
      <w:r w:rsidR="0053695F" w:rsidRPr="00D25151">
        <w:rPr>
          <w:rFonts w:hint="eastAsia"/>
          <w:lang w:val="fr-CH"/>
        </w:rPr>
        <w:t>，</w:t>
      </w:r>
      <w:r w:rsidR="00DF2A05" w:rsidRPr="00D25151">
        <w:rPr>
          <w:lang w:val="fr-CH"/>
        </w:rPr>
        <w:t>进一步呼吁对这一领域的更多关注</w:t>
      </w:r>
      <w:r>
        <w:rPr>
          <w:rFonts w:hint="eastAsia"/>
          <w:lang w:val="fr-CH"/>
        </w:rPr>
        <w:t>；</w:t>
      </w:r>
    </w:p>
    <w:p w14:paraId="678C01C0" w14:textId="2BA40461" w:rsidR="003C077D" w:rsidRPr="003C077D" w:rsidRDefault="003C077D" w:rsidP="00D25151">
      <w:pPr>
        <w:pStyle w:val="enumlev1"/>
        <w:rPr>
          <w:lang w:val="fr-CH"/>
        </w:rPr>
      </w:pPr>
      <w:r w:rsidRPr="00295B44">
        <w:rPr>
          <w:lang w:val="fr-CH"/>
        </w:rPr>
        <w:t>–</w:t>
      </w:r>
      <w:r>
        <w:rPr>
          <w:lang w:val="fr-CH"/>
        </w:rPr>
        <w:tab/>
      </w:r>
      <w:r w:rsidR="00DF2A05" w:rsidRPr="003C077D">
        <w:rPr>
          <w:rFonts w:hint="eastAsia"/>
          <w:lang w:val="fr-CH"/>
        </w:rPr>
        <w:t>全权代表大会第</w:t>
      </w:r>
      <w:r w:rsidR="00DF2A05" w:rsidRPr="003C077D">
        <w:rPr>
          <w:rFonts w:hint="eastAsia"/>
          <w:lang w:val="fr-CH"/>
        </w:rPr>
        <w:t>205</w:t>
      </w:r>
      <w:r w:rsidR="00DF2A05" w:rsidRPr="003C077D">
        <w:rPr>
          <w:rFonts w:hint="eastAsia"/>
          <w:lang w:val="fr-CH"/>
        </w:rPr>
        <w:t>号决议</w:t>
      </w:r>
      <w:r w:rsidRPr="003C077D">
        <w:rPr>
          <w:rFonts w:hint="eastAsia"/>
          <w:lang w:val="fr-CH"/>
        </w:rPr>
        <w:t>“促进以</w:t>
      </w:r>
      <w:r w:rsidRPr="003C077D">
        <w:rPr>
          <w:rFonts w:hint="eastAsia"/>
          <w:lang w:val="fr-CH"/>
        </w:rPr>
        <w:t>ICT</w:t>
      </w:r>
      <w:r w:rsidRPr="003C077D">
        <w:rPr>
          <w:rFonts w:hint="eastAsia"/>
          <w:lang w:val="fr-CH"/>
        </w:rPr>
        <w:t>为中心的创新</w:t>
      </w:r>
      <w:r w:rsidR="00DF2A05">
        <w:rPr>
          <w:rFonts w:hint="eastAsia"/>
          <w:lang w:val="fr-CH"/>
        </w:rPr>
        <w:t>，</w:t>
      </w:r>
      <w:r w:rsidRPr="003C077D">
        <w:rPr>
          <w:rFonts w:hint="eastAsia"/>
          <w:lang w:val="fr-CH"/>
        </w:rPr>
        <w:t>支持数字经济和社会”</w:t>
      </w:r>
      <w:r w:rsidR="0053695F">
        <w:rPr>
          <w:rFonts w:hint="eastAsia"/>
          <w:lang w:val="fr-CH"/>
        </w:rPr>
        <w:t>，</w:t>
      </w:r>
      <w:r w:rsidRPr="003C077D">
        <w:rPr>
          <w:rFonts w:hint="eastAsia"/>
          <w:lang w:val="fr-CH"/>
        </w:rPr>
        <w:t>重申了电信发展局在数字</w:t>
      </w:r>
      <w:r w:rsidR="00DF2A05">
        <w:rPr>
          <w:rFonts w:hint="eastAsia"/>
          <w:lang w:val="fr-CH"/>
        </w:rPr>
        <w:t>化</w:t>
      </w:r>
      <w:r w:rsidRPr="003C077D">
        <w:rPr>
          <w:rFonts w:hint="eastAsia"/>
          <w:lang w:val="fr-CH"/>
        </w:rPr>
        <w:t>发展创新中的主导作用</w:t>
      </w:r>
      <w:r>
        <w:rPr>
          <w:rFonts w:hint="eastAsia"/>
          <w:lang w:val="fr-CH"/>
        </w:rPr>
        <w:t>；</w:t>
      </w:r>
    </w:p>
    <w:p w14:paraId="2C30EDFA" w14:textId="7E76122E" w:rsidR="003C077D" w:rsidRDefault="003C077D" w:rsidP="00D25151">
      <w:pPr>
        <w:pStyle w:val="enumlev1"/>
        <w:rPr>
          <w:lang w:val="fr-CH"/>
        </w:rPr>
      </w:pPr>
      <w:r w:rsidRPr="00295B44">
        <w:rPr>
          <w:lang w:val="fr-CH"/>
        </w:rPr>
        <w:t>–</w:t>
      </w:r>
      <w:r>
        <w:rPr>
          <w:lang w:val="fr-CH"/>
        </w:rPr>
        <w:tab/>
      </w:r>
      <w:r w:rsidRPr="003C077D">
        <w:rPr>
          <w:rFonts w:hint="eastAsia"/>
          <w:lang w:val="fr-CH"/>
        </w:rPr>
        <w:t>国际电联</w:t>
      </w:r>
      <w:r>
        <w:rPr>
          <w:rFonts w:hint="eastAsia"/>
          <w:lang w:val="fr-CH"/>
        </w:rPr>
        <w:t>《</w:t>
      </w:r>
      <w:r w:rsidRPr="003C077D">
        <w:rPr>
          <w:rFonts w:hint="eastAsia"/>
          <w:lang w:val="fr-CH"/>
        </w:rPr>
        <w:t>战略规划</w:t>
      </w:r>
      <w:r>
        <w:rPr>
          <w:rFonts w:hint="eastAsia"/>
          <w:lang w:val="fr-CH"/>
        </w:rPr>
        <w:t>》</w:t>
      </w:r>
      <w:r w:rsidRPr="003C077D">
        <w:rPr>
          <w:rFonts w:hint="eastAsia"/>
          <w:lang w:val="fr-CH"/>
        </w:rPr>
        <w:t>（全权代表大会第</w:t>
      </w:r>
      <w:r w:rsidRPr="003C077D">
        <w:rPr>
          <w:rFonts w:hint="eastAsia"/>
          <w:lang w:val="fr-CH"/>
        </w:rPr>
        <w:t>71</w:t>
      </w:r>
      <w:r w:rsidRPr="003C077D">
        <w:rPr>
          <w:rFonts w:hint="eastAsia"/>
          <w:lang w:val="fr-CH"/>
        </w:rPr>
        <w:t>号决议，</w:t>
      </w:r>
      <w:r w:rsidRPr="003C077D">
        <w:rPr>
          <w:rFonts w:hint="eastAsia"/>
          <w:lang w:val="fr-CH"/>
        </w:rPr>
        <w:t>2022</w:t>
      </w:r>
      <w:r w:rsidRPr="003C077D">
        <w:rPr>
          <w:rFonts w:hint="eastAsia"/>
          <w:lang w:val="fr-CH"/>
        </w:rPr>
        <w:t>年，布加勒斯特，修订版）。</w:t>
      </w:r>
    </w:p>
    <w:p w14:paraId="777F76AD" w14:textId="537F14AB" w:rsidR="00FD58D7" w:rsidRPr="00FD58D7" w:rsidRDefault="00FD58D7" w:rsidP="00596E92">
      <w:pPr>
        <w:ind w:firstLineChars="200" w:firstLine="482"/>
        <w:rPr>
          <w:lang w:val="fr-CH"/>
        </w:rPr>
      </w:pPr>
      <w:r w:rsidRPr="00596E92">
        <w:rPr>
          <w:rFonts w:hint="eastAsia"/>
          <w:b/>
          <w:bCs/>
          <w:lang w:val="fr-CH"/>
        </w:rPr>
        <w:t>联盟</w:t>
      </w:r>
      <w:proofErr w:type="gramStart"/>
      <w:r w:rsidRPr="00596E92">
        <w:rPr>
          <w:rFonts w:hint="eastAsia"/>
          <w:b/>
          <w:bCs/>
          <w:lang w:val="fr-CH"/>
        </w:rPr>
        <w:t>的愿景</w:t>
      </w:r>
      <w:r w:rsidRPr="00FD58D7">
        <w:rPr>
          <w:rFonts w:hint="eastAsia"/>
          <w:lang w:val="fr-CH"/>
        </w:rPr>
        <w:t>是</w:t>
      </w:r>
      <w:proofErr w:type="gramEnd"/>
      <w:r w:rsidRPr="00FD58D7">
        <w:rPr>
          <w:rFonts w:hint="eastAsia"/>
          <w:lang w:val="fr-CH"/>
        </w:rPr>
        <w:t>“支持</w:t>
      </w:r>
      <w:r w:rsidRPr="00FD58D7">
        <w:rPr>
          <w:rFonts w:hint="eastAsia"/>
          <w:lang w:val="fr-CH"/>
        </w:rPr>
        <w:t>ITU-D</w:t>
      </w:r>
      <w:r w:rsidRPr="00FD58D7">
        <w:rPr>
          <w:rFonts w:hint="eastAsia"/>
          <w:lang w:val="fr-CH"/>
        </w:rPr>
        <w:t>成员采取新的、更具</w:t>
      </w:r>
      <w:r>
        <w:rPr>
          <w:rFonts w:hint="eastAsia"/>
          <w:lang w:val="fr-CH"/>
        </w:rPr>
        <w:t>复原力</w:t>
      </w:r>
      <w:r w:rsidRPr="00FD58D7">
        <w:rPr>
          <w:rFonts w:hint="eastAsia"/>
          <w:lang w:val="fr-CH"/>
        </w:rPr>
        <w:t>和前瞻性的方法，确保他们能够安全地</w:t>
      </w:r>
      <w:r>
        <w:rPr>
          <w:rFonts w:hint="eastAsia"/>
          <w:lang w:val="fr-CH"/>
        </w:rPr>
        <w:t>应对</w:t>
      </w:r>
      <w:r w:rsidRPr="00FD58D7">
        <w:rPr>
          <w:rFonts w:hint="eastAsia"/>
          <w:lang w:val="fr-CH"/>
        </w:rPr>
        <w:t>日益动荡、不确定、复杂和模糊（</w:t>
      </w:r>
      <w:r w:rsidRPr="00FD58D7">
        <w:rPr>
          <w:rFonts w:hint="eastAsia"/>
          <w:lang w:val="fr-CH"/>
        </w:rPr>
        <w:t>VUCA</w:t>
      </w:r>
      <w:r w:rsidRPr="00FD58D7">
        <w:rPr>
          <w:rFonts w:hint="eastAsia"/>
          <w:lang w:val="fr-CH"/>
        </w:rPr>
        <w:t>）的数字世界，并实现《基加利行动计划》的成果</w:t>
      </w:r>
      <w:r w:rsidR="00D25151">
        <w:rPr>
          <w:rFonts w:hint="eastAsia"/>
          <w:lang w:val="fr-CH"/>
        </w:rPr>
        <w:t>”</w:t>
      </w:r>
      <w:r w:rsidRPr="00FD58D7">
        <w:rPr>
          <w:rFonts w:hint="eastAsia"/>
          <w:lang w:val="fr-CH"/>
        </w:rPr>
        <w:t>。</w:t>
      </w:r>
    </w:p>
    <w:p w14:paraId="6FF8BF49" w14:textId="2DA191B9" w:rsidR="00FD58D7" w:rsidRPr="00FD58D7" w:rsidRDefault="00FD58D7" w:rsidP="00596E92">
      <w:pPr>
        <w:ind w:firstLineChars="200" w:firstLine="482"/>
        <w:rPr>
          <w:lang w:val="fr-CH"/>
        </w:rPr>
      </w:pPr>
      <w:r w:rsidRPr="00596E92">
        <w:rPr>
          <w:rFonts w:hint="eastAsia"/>
          <w:b/>
          <w:bCs/>
          <w:lang w:val="fr-CH"/>
        </w:rPr>
        <w:t>联盟的使命</w:t>
      </w:r>
      <w:r w:rsidRPr="00FD58D7">
        <w:rPr>
          <w:rFonts w:hint="eastAsia"/>
          <w:lang w:val="fr-CH"/>
        </w:rPr>
        <w:t>是“弥合数字创新鸿沟，使</w:t>
      </w:r>
      <w:r w:rsidRPr="00FD58D7">
        <w:rPr>
          <w:rFonts w:hint="eastAsia"/>
          <w:lang w:val="fr-CH"/>
        </w:rPr>
        <w:t>ITU-D</w:t>
      </w:r>
      <w:r w:rsidRPr="00FD58D7">
        <w:rPr>
          <w:rFonts w:hint="eastAsia"/>
          <w:lang w:val="fr-CH"/>
        </w:rPr>
        <w:t>成员能够</w:t>
      </w:r>
      <w:r w:rsidR="000666C1">
        <w:rPr>
          <w:rFonts w:hint="eastAsia"/>
          <w:lang w:val="fr-CH"/>
        </w:rPr>
        <w:t>通过</w:t>
      </w:r>
      <w:r w:rsidR="000666C1" w:rsidRPr="00FD58D7">
        <w:rPr>
          <w:rFonts w:hint="eastAsia"/>
          <w:lang w:val="fr-CH"/>
        </w:rPr>
        <w:t>数字化转型</w:t>
      </w:r>
      <w:r w:rsidRPr="00FD58D7">
        <w:rPr>
          <w:rFonts w:hint="eastAsia"/>
          <w:lang w:val="fr-CH"/>
        </w:rPr>
        <w:t>克服</w:t>
      </w:r>
      <w:r w:rsidR="000666C1">
        <w:rPr>
          <w:rFonts w:hint="eastAsia"/>
          <w:lang w:val="fr-CH"/>
        </w:rPr>
        <w:t>前进</w:t>
      </w:r>
      <w:r w:rsidRPr="00FD58D7">
        <w:rPr>
          <w:rFonts w:hint="eastAsia"/>
          <w:lang w:val="fr-CH"/>
        </w:rPr>
        <w:t>道路上的挑战，并加</w:t>
      </w:r>
      <w:r w:rsidR="000666C1">
        <w:rPr>
          <w:rFonts w:hint="eastAsia"/>
          <w:lang w:val="fr-CH"/>
        </w:rPr>
        <w:t>快</w:t>
      </w:r>
      <w:r w:rsidRPr="00FD58D7">
        <w:rPr>
          <w:rFonts w:hint="eastAsia"/>
          <w:lang w:val="fr-CH"/>
        </w:rPr>
        <w:t>其生态系统对</w:t>
      </w:r>
      <w:r w:rsidR="000666C1">
        <w:rPr>
          <w:rFonts w:hint="eastAsia"/>
          <w:lang w:val="fr-CH"/>
        </w:rPr>
        <w:t>各行各业</w:t>
      </w:r>
      <w:r w:rsidRPr="00FD58D7">
        <w:rPr>
          <w:rFonts w:hint="eastAsia"/>
          <w:lang w:val="fr-CH"/>
        </w:rPr>
        <w:t>的影响，从而建设一个包容和</w:t>
      </w:r>
      <w:proofErr w:type="gramStart"/>
      <w:r w:rsidRPr="00FD58D7">
        <w:rPr>
          <w:rFonts w:hint="eastAsia"/>
          <w:lang w:val="fr-CH"/>
        </w:rPr>
        <w:t>可</w:t>
      </w:r>
      <w:proofErr w:type="gramEnd"/>
      <w:r w:rsidRPr="00FD58D7">
        <w:rPr>
          <w:rFonts w:hint="eastAsia"/>
          <w:lang w:val="fr-CH"/>
        </w:rPr>
        <w:t>持续的社会。</w:t>
      </w:r>
      <w:r w:rsidR="000666C1">
        <w:rPr>
          <w:rFonts w:hint="eastAsia"/>
          <w:lang w:val="fr-CH"/>
        </w:rPr>
        <w:t>”</w:t>
      </w:r>
    </w:p>
    <w:p w14:paraId="65E0F0BF" w14:textId="205A4BAD" w:rsidR="00FD58D7" w:rsidRDefault="00FD58D7" w:rsidP="00EE26AA">
      <w:pPr>
        <w:spacing w:after="120"/>
        <w:ind w:firstLineChars="200" w:firstLine="480"/>
        <w:rPr>
          <w:lang w:val="fr-CH"/>
        </w:rPr>
      </w:pPr>
      <w:r w:rsidRPr="00FD58D7">
        <w:rPr>
          <w:rFonts w:hint="eastAsia"/>
          <w:lang w:val="fr-CH"/>
        </w:rPr>
        <w:t>联盟支持各国建设</w:t>
      </w:r>
      <w:r w:rsidR="000666C1">
        <w:rPr>
          <w:rFonts w:hint="eastAsia"/>
          <w:lang w:val="fr-CH"/>
        </w:rPr>
        <w:t>本地</w:t>
      </w:r>
      <w:r w:rsidRPr="00FD58D7">
        <w:rPr>
          <w:rFonts w:hint="eastAsia"/>
          <w:lang w:val="fr-CH"/>
        </w:rPr>
        <w:t>创新和创业能力，以实现五项战略目标：</w:t>
      </w:r>
    </w:p>
    <w:tbl>
      <w:tblPr>
        <w:tblStyle w:val="TableGrid"/>
        <w:tblW w:w="0" w:type="auto"/>
        <w:tblLook w:val="04A0" w:firstRow="1" w:lastRow="0" w:firstColumn="1" w:lastColumn="0" w:noHBand="0" w:noVBand="1"/>
      </w:tblPr>
      <w:tblGrid>
        <w:gridCol w:w="2695"/>
        <w:gridCol w:w="6321"/>
      </w:tblGrid>
      <w:tr w:rsidR="000666C1" w:rsidRPr="00C904E4" w14:paraId="190778CE" w14:textId="77777777" w:rsidTr="00DC5A42">
        <w:tc>
          <w:tcPr>
            <w:tcW w:w="2695" w:type="dxa"/>
          </w:tcPr>
          <w:p w14:paraId="5D043651" w14:textId="184D75DE" w:rsidR="000666C1" w:rsidRPr="00A31CE6" w:rsidRDefault="000666C1" w:rsidP="00DC5A42">
            <w:pPr>
              <w:rPr>
                <w:rFonts w:ascii="Calibri" w:hAnsi="Calibri" w:cs="Calibri"/>
                <w:b/>
                <w:bCs/>
              </w:rPr>
            </w:pPr>
            <w:r>
              <w:rPr>
                <w:rFonts w:ascii="SimSun" w:eastAsia="SimSun" w:hAnsi="SimSun" w:cs="SimSun" w:hint="eastAsia"/>
                <w:b/>
                <w:bCs/>
              </w:rPr>
              <w:t>趋势研究</w:t>
            </w:r>
            <w:r w:rsidR="00DC50BD">
              <w:rPr>
                <w:rFonts w:ascii="SimSun" w:eastAsia="SimSun" w:hAnsi="SimSun" w:cs="SimSun" w:hint="eastAsia"/>
                <w:b/>
                <w:bCs/>
              </w:rPr>
              <w:t>就绪</w:t>
            </w:r>
          </w:p>
        </w:tc>
        <w:tc>
          <w:tcPr>
            <w:tcW w:w="6321" w:type="dxa"/>
          </w:tcPr>
          <w:p w14:paraId="05A4A981" w14:textId="58AF3885" w:rsidR="000666C1" w:rsidRPr="00C904E4" w:rsidRDefault="000666C1" w:rsidP="00DC5A42">
            <w:pPr>
              <w:rPr>
                <w:rFonts w:ascii="Calibri" w:hAnsi="Calibri" w:cs="Calibri"/>
              </w:rPr>
            </w:pPr>
            <w:r>
              <w:rPr>
                <w:rFonts w:eastAsia="SimSun"/>
                <w:szCs w:val="24"/>
              </w:rPr>
              <w:t>使各国能够抢先一步，了解技术、政策和创新动态的演变。</w:t>
            </w:r>
          </w:p>
        </w:tc>
      </w:tr>
      <w:tr w:rsidR="000666C1" w:rsidRPr="00C904E4" w14:paraId="4C0F4552" w14:textId="77777777" w:rsidTr="00DC5A42">
        <w:tc>
          <w:tcPr>
            <w:tcW w:w="2695" w:type="dxa"/>
          </w:tcPr>
          <w:p w14:paraId="4EB2407D" w14:textId="4D721601" w:rsidR="000666C1" w:rsidRPr="00A31CE6" w:rsidRDefault="000666C1" w:rsidP="00DC5A42">
            <w:pPr>
              <w:rPr>
                <w:rFonts w:ascii="Calibri" w:hAnsi="Calibri" w:cs="Calibri"/>
                <w:b/>
                <w:bCs/>
              </w:rPr>
            </w:pPr>
            <w:r>
              <w:rPr>
                <w:rFonts w:ascii="SimSun" w:eastAsia="SimSun" w:hAnsi="SimSun" w:cs="SimSun" w:hint="eastAsia"/>
                <w:b/>
                <w:bCs/>
              </w:rPr>
              <w:t>开放式技术创新</w:t>
            </w:r>
          </w:p>
        </w:tc>
        <w:tc>
          <w:tcPr>
            <w:tcW w:w="6321" w:type="dxa"/>
          </w:tcPr>
          <w:p w14:paraId="2760EA75" w14:textId="0BEB76BA" w:rsidR="000666C1" w:rsidRPr="00C904E4" w:rsidRDefault="000666C1" w:rsidP="00DC5A42">
            <w:pPr>
              <w:rPr>
                <w:rFonts w:ascii="Calibri" w:hAnsi="Calibri" w:cs="Calibri"/>
              </w:rPr>
            </w:pPr>
            <w:r w:rsidRPr="000666C1">
              <w:rPr>
                <w:rFonts w:ascii="Calibri" w:eastAsia="SimSun" w:hAnsi="Calibri"/>
                <w:szCs w:val="24"/>
              </w:rPr>
              <w:t>通过开放式创新和</w:t>
            </w:r>
            <w:proofErr w:type="gramStart"/>
            <w:r w:rsidRPr="000666C1">
              <w:rPr>
                <w:rFonts w:ascii="Calibri" w:eastAsia="SimSun" w:hAnsi="Calibri"/>
                <w:szCs w:val="24"/>
                <w:lang w:val="zh-CN"/>
              </w:rPr>
              <w:t>多利益</w:t>
            </w:r>
            <w:proofErr w:type="gramEnd"/>
            <w:r w:rsidRPr="000666C1">
              <w:rPr>
                <w:rFonts w:ascii="Calibri" w:eastAsia="SimSun" w:hAnsi="Calibri"/>
                <w:szCs w:val="24"/>
                <w:lang w:val="zh-CN"/>
              </w:rPr>
              <w:t>攸关方机制</w:t>
            </w:r>
            <w:r w:rsidRPr="000666C1">
              <w:rPr>
                <w:rFonts w:ascii="Calibri" w:eastAsia="SimSun" w:hAnsi="Calibri"/>
                <w:szCs w:val="24"/>
              </w:rPr>
              <w:t>，将技术诀窍</w:t>
            </w:r>
            <w:r w:rsidRPr="000666C1">
              <w:rPr>
                <w:rFonts w:ascii="Calibri" w:eastAsia="SimSun" w:hAnsi="Calibri"/>
                <w:szCs w:val="24"/>
                <w:lang w:val="zh-CN"/>
              </w:rPr>
              <w:t>转化为</w:t>
            </w:r>
            <w:r w:rsidRPr="000666C1">
              <w:rPr>
                <w:rFonts w:ascii="Calibri" w:eastAsia="SimSun" w:hAnsi="Calibri"/>
                <w:szCs w:val="24"/>
              </w:rPr>
              <w:t>全球商品，加快所有人</w:t>
            </w:r>
            <w:r w:rsidRPr="000666C1">
              <w:rPr>
                <w:rFonts w:ascii="Calibri" w:eastAsia="SimSun" w:hAnsi="Calibri"/>
                <w:szCs w:val="24"/>
                <w:lang w:val="zh-CN"/>
              </w:rPr>
              <w:t>对新兴技术的获取。</w:t>
            </w:r>
          </w:p>
        </w:tc>
      </w:tr>
      <w:tr w:rsidR="000666C1" w:rsidRPr="00C904E4" w14:paraId="57FD3D60" w14:textId="77777777" w:rsidTr="00DC5A42">
        <w:tc>
          <w:tcPr>
            <w:tcW w:w="2695" w:type="dxa"/>
          </w:tcPr>
          <w:p w14:paraId="00E34B30" w14:textId="03DCA2DD" w:rsidR="000666C1" w:rsidRPr="00A31CE6" w:rsidRDefault="000666C1" w:rsidP="00DC5A42">
            <w:pPr>
              <w:rPr>
                <w:rFonts w:ascii="Calibri" w:hAnsi="Calibri" w:cs="Calibri"/>
                <w:b/>
                <w:bCs/>
              </w:rPr>
            </w:pPr>
            <w:r>
              <w:rPr>
                <w:rFonts w:ascii="SimSun" w:eastAsia="SimSun" w:hAnsi="SimSun" w:cs="SimSun" w:hint="eastAsia"/>
                <w:b/>
                <w:bCs/>
              </w:rPr>
              <w:t>创业和中小企业（</w:t>
            </w:r>
            <w:r w:rsidRPr="000666C1">
              <w:rPr>
                <w:rFonts w:eastAsia="SimSun" w:cstheme="minorHAnsi"/>
                <w:b/>
                <w:bCs/>
              </w:rPr>
              <w:t>SME</w:t>
            </w:r>
            <w:r>
              <w:rPr>
                <w:rFonts w:ascii="SimSun" w:eastAsia="SimSun" w:hAnsi="SimSun" w:cs="SimSun" w:hint="eastAsia"/>
                <w:b/>
                <w:bCs/>
              </w:rPr>
              <w:t>）成长</w:t>
            </w:r>
          </w:p>
        </w:tc>
        <w:tc>
          <w:tcPr>
            <w:tcW w:w="6321" w:type="dxa"/>
          </w:tcPr>
          <w:p w14:paraId="2AC80F3C" w14:textId="44ED4BC7" w:rsidR="000666C1" w:rsidRPr="00C904E4" w:rsidRDefault="000666C1" w:rsidP="00DC5A42">
            <w:pPr>
              <w:rPr>
                <w:rFonts w:ascii="Calibri" w:hAnsi="Calibri" w:cs="Calibri"/>
              </w:rPr>
            </w:pPr>
            <w:r>
              <w:rPr>
                <w:rFonts w:eastAsia="SimSun"/>
                <w:szCs w:val="24"/>
              </w:rPr>
              <w:t>加快吸收数字化创新驱动的创业和人才机会，以实现其社区的社会经济包容。</w:t>
            </w:r>
          </w:p>
        </w:tc>
      </w:tr>
      <w:tr w:rsidR="000666C1" w:rsidRPr="00C904E4" w14:paraId="703E830B" w14:textId="77777777" w:rsidTr="00DC5A42">
        <w:tc>
          <w:tcPr>
            <w:tcW w:w="2695" w:type="dxa"/>
          </w:tcPr>
          <w:p w14:paraId="29286348" w14:textId="7AA83B15" w:rsidR="000666C1" w:rsidRPr="00A31CE6" w:rsidRDefault="000666C1" w:rsidP="00DC5A42">
            <w:pPr>
              <w:rPr>
                <w:rFonts w:ascii="Calibri" w:hAnsi="Calibri" w:cs="Calibri"/>
                <w:b/>
                <w:bCs/>
              </w:rPr>
            </w:pPr>
            <w:r>
              <w:rPr>
                <w:rFonts w:ascii="SimSun" w:eastAsia="SimSun" w:hAnsi="SimSun" w:cs="SimSun" w:hint="eastAsia"/>
                <w:b/>
                <w:bCs/>
              </w:rPr>
              <w:t>政策实验</w:t>
            </w:r>
          </w:p>
        </w:tc>
        <w:tc>
          <w:tcPr>
            <w:tcW w:w="6321" w:type="dxa"/>
          </w:tcPr>
          <w:p w14:paraId="0D758365" w14:textId="143D9039" w:rsidR="000666C1" w:rsidRPr="00C904E4" w:rsidRDefault="000666C1" w:rsidP="00DC5A42">
            <w:pPr>
              <w:rPr>
                <w:rFonts w:ascii="Calibri" w:hAnsi="Calibri" w:cs="Calibri"/>
              </w:rPr>
            </w:pPr>
            <w:r>
              <w:rPr>
                <w:rFonts w:eastAsia="SimSun"/>
                <w:szCs w:val="24"/>
              </w:rPr>
              <w:t>制定灵活的政策，为利益</w:t>
            </w:r>
            <w:r>
              <w:rPr>
                <w:rFonts w:eastAsia="SimSun" w:hint="eastAsia"/>
                <w:szCs w:val="24"/>
                <w:lang w:val="en-US"/>
              </w:rPr>
              <w:t>攸关方</w:t>
            </w:r>
            <w:r>
              <w:rPr>
                <w:rFonts w:eastAsia="SimSun"/>
                <w:szCs w:val="24"/>
              </w:rPr>
              <w:t>提供安全的实验空间，鼓励创新并吸引对数字生态系统的投资。</w:t>
            </w:r>
          </w:p>
        </w:tc>
      </w:tr>
      <w:tr w:rsidR="000666C1" w:rsidRPr="00C904E4" w14:paraId="0E313064" w14:textId="77777777" w:rsidTr="00DC5A42">
        <w:tc>
          <w:tcPr>
            <w:tcW w:w="2695" w:type="dxa"/>
          </w:tcPr>
          <w:p w14:paraId="29363688" w14:textId="071BAAC2" w:rsidR="000666C1" w:rsidRPr="00A31CE6" w:rsidRDefault="000666C1" w:rsidP="00DC5A42">
            <w:pPr>
              <w:rPr>
                <w:rFonts w:ascii="Calibri" w:hAnsi="Calibri" w:cs="Calibri"/>
                <w:b/>
                <w:bCs/>
              </w:rPr>
            </w:pPr>
            <w:r>
              <w:rPr>
                <w:rFonts w:ascii="SimSun" w:eastAsia="SimSun" w:hAnsi="SimSun" w:cs="SimSun" w:hint="eastAsia"/>
                <w:b/>
                <w:bCs/>
              </w:rPr>
              <w:t>生态系统举措加速</w:t>
            </w:r>
          </w:p>
        </w:tc>
        <w:tc>
          <w:tcPr>
            <w:tcW w:w="6321" w:type="dxa"/>
          </w:tcPr>
          <w:p w14:paraId="1FD6CADD" w14:textId="300E81C6" w:rsidR="000666C1" w:rsidRPr="00C904E4" w:rsidRDefault="000666C1" w:rsidP="00DC5A42">
            <w:pPr>
              <w:rPr>
                <w:rFonts w:ascii="Calibri" w:hAnsi="Calibri" w:cs="Calibri"/>
              </w:rPr>
            </w:pPr>
            <w:r>
              <w:rPr>
                <w:rFonts w:eastAsia="SimSun"/>
                <w:szCs w:val="24"/>
              </w:rPr>
              <w:t>促进协作和协同增效，扩大数字化创新规模，并在各经济部门创造价值，打造具有竞争力的数字经济。</w:t>
            </w:r>
          </w:p>
        </w:tc>
      </w:tr>
    </w:tbl>
    <w:p w14:paraId="69572912" w14:textId="2E26D543" w:rsidR="00181F8F" w:rsidRDefault="00181F8F" w:rsidP="00596E92">
      <w:pPr>
        <w:ind w:firstLineChars="200" w:firstLine="480"/>
      </w:pPr>
      <w:r>
        <w:rPr>
          <w:rFonts w:hint="eastAsia"/>
        </w:rPr>
        <w:t>联盟是一项</w:t>
      </w:r>
      <w:r w:rsidRPr="00596E92">
        <w:rPr>
          <w:rFonts w:hint="eastAsia"/>
          <w:b/>
          <w:bCs/>
        </w:rPr>
        <w:t>全球性举措</w:t>
      </w:r>
      <w:r>
        <w:rPr>
          <w:rFonts w:hint="eastAsia"/>
        </w:rPr>
        <w:t>，旨在支持各国应对</w:t>
      </w:r>
      <w:r>
        <w:rPr>
          <w:rFonts w:hint="eastAsia"/>
        </w:rPr>
        <w:t>2023</w:t>
      </w:r>
      <w:r>
        <w:rPr>
          <w:rFonts w:hint="eastAsia"/>
        </w:rPr>
        <w:t>年快速发展的技术和全球格局带来的挑战和机遇。</w:t>
      </w:r>
    </w:p>
    <w:p w14:paraId="3C66DF52" w14:textId="1F75FFB6" w:rsidR="000666C1" w:rsidRDefault="00181F8F" w:rsidP="00596E92">
      <w:pPr>
        <w:ind w:firstLineChars="200" w:firstLine="480"/>
      </w:pPr>
      <w:r>
        <w:rPr>
          <w:rFonts w:hint="eastAsia"/>
        </w:rPr>
        <w:t>联盟通过</w:t>
      </w:r>
      <w:r w:rsidRPr="00596E92">
        <w:rPr>
          <w:rFonts w:hint="eastAsia"/>
          <w:b/>
          <w:bCs/>
        </w:rPr>
        <w:t>三</w:t>
      </w:r>
      <w:r w:rsidR="00596E92">
        <w:rPr>
          <w:rFonts w:hint="eastAsia"/>
          <w:b/>
          <w:bCs/>
        </w:rPr>
        <w:t>个</w:t>
      </w:r>
      <w:r w:rsidRPr="00596E92">
        <w:rPr>
          <w:rFonts w:hint="eastAsia"/>
          <w:b/>
          <w:bCs/>
        </w:rPr>
        <w:t>主要</w:t>
      </w:r>
      <w:r w:rsidR="006068E4" w:rsidRPr="00596E92">
        <w:rPr>
          <w:rFonts w:hint="eastAsia"/>
          <w:b/>
          <w:bCs/>
        </w:rPr>
        <w:t>机构</w:t>
      </w:r>
      <w:r>
        <w:rPr>
          <w:rFonts w:hint="eastAsia"/>
        </w:rPr>
        <w:t>开展工作：</w:t>
      </w:r>
    </w:p>
    <w:p w14:paraId="40D57446" w14:textId="6EAF76F3" w:rsidR="00181F8F" w:rsidRPr="00181F8F" w:rsidRDefault="00181F8F" w:rsidP="00D25151">
      <w:pPr>
        <w:pStyle w:val="enumlev1"/>
      </w:pPr>
      <w:r w:rsidRPr="00295B44">
        <w:rPr>
          <w:lang w:val="fr-CH"/>
        </w:rPr>
        <w:lastRenderedPageBreak/>
        <w:t>–</w:t>
      </w:r>
      <w:r>
        <w:rPr>
          <w:lang w:val="fr-CH"/>
        </w:rPr>
        <w:tab/>
      </w:r>
      <w:r w:rsidRPr="00596E92">
        <w:rPr>
          <w:b/>
          <w:bCs/>
        </w:rPr>
        <w:t>数字创新委员会</w:t>
      </w:r>
      <w:r>
        <w:rPr>
          <w:rFonts w:hint="eastAsia"/>
        </w:rPr>
        <w:t>：</w:t>
      </w:r>
      <w:r w:rsidRPr="00181F8F">
        <w:rPr>
          <w:rFonts w:hint="eastAsia"/>
        </w:rPr>
        <w:t>提供战略指导，确保联盟与</w:t>
      </w:r>
      <w:r w:rsidRPr="00181F8F">
        <w:rPr>
          <w:rFonts w:hint="eastAsia"/>
        </w:rPr>
        <w:t>ITU-D</w:t>
      </w:r>
      <w:r w:rsidRPr="00181F8F">
        <w:rPr>
          <w:rFonts w:hint="eastAsia"/>
        </w:rPr>
        <w:t>的优先事项和行动计划保持一致。它参与高级别宣传并跟踪关键领域的进展，同时倡导全球对话和伙伴关系，以促进包容性数字创新和创业。</w:t>
      </w:r>
    </w:p>
    <w:p w14:paraId="46BEE78F" w14:textId="55D9E228" w:rsidR="00181F8F" w:rsidRDefault="00181F8F" w:rsidP="00D25151">
      <w:pPr>
        <w:pStyle w:val="enumlev1"/>
        <w:rPr>
          <w:lang w:val="fr-CH"/>
        </w:rPr>
      </w:pPr>
      <w:r w:rsidRPr="00295B44">
        <w:rPr>
          <w:lang w:val="fr-CH"/>
        </w:rPr>
        <w:t>–</w:t>
      </w:r>
      <w:r>
        <w:rPr>
          <w:lang w:val="fr-CH"/>
        </w:rPr>
        <w:tab/>
      </w:r>
      <w:r w:rsidRPr="00596E92">
        <w:rPr>
          <w:b/>
          <w:bCs/>
        </w:rPr>
        <w:t>数字化转型实验室</w:t>
      </w:r>
      <w:r>
        <w:rPr>
          <w:rFonts w:hint="eastAsia"/>
        </w:rPr>
        <w:t>：</w:t>
      </w:r>
      <w:r w:rsidRPr="00181F8F">
        <w:rPr>
          <w:rFonts w:hint="eastAsia"/>
        </w:rPr>
        <w:t>建设创新能力的虚拟设施。它开发知识项目，并支持国际电联加速中心的设计和能力</w:t>
      </w:r>
      <w:r>
        <w:rPr>
          <w:rFonts w:hint="eastAsia"/>
        </w:rPr>
        <w:t>；</w:t>
      </w:r>
    </w:p>
    <w:p w14:paraId="37522180" w14:textId="00A5E6C0" w:rsidR="00181F8F" w:rsidRDefault="00181F8F" w:rsidP="00D25151">
      <w:pPr>
        <w:pStyle w:val="enumlev1"/>
      </w:pPr>
      <w:r w:rsidRPr="00295B44">
        <w:rPr>
          <w:lang w:val="fr-CH"/>
        </w:rPr>
        <w:t>–</w:t>
      </w:r>
      <w:r>
        <w:rPr>
          <w:lang w:val="fr-CH"/>
        </w:rPr>
        <w:tab/>
      </w:r>
      <w:r w:rsidRPr="00596E92">
        <w:rPr>
          <w:b/>
          <w:bCs/>
        </w:rPr>
        <w:t>国际电联加速中心网络</w:t>
      </w:r>
      <w:r>
        <w:rPr>
          <w:rFonts w:hint="eastAsia"/>
        </w:rPr>
        <w:t>：</w:t>
      </w:r>
      <w:r w:rsidRPr="00181F8F">
        <w:rPr>
          <w:rFonts w:hint="eastAsia"/>
        </w:rPr>
        <w:t>增强全球、区域和国家创新生态系统的国家所有者中心网络。它支持各国利用技术、政策和旗舰举措，同时将</w:t>
      </w:r>
      <w:r w:rsidRPr="00181F8F">
        <w:rPr>
          <w:rFonts w:hint="eastAsia"/>
        </w:rPr>
        <w:t>ICT</w:t>
      </w:r>
      <w:r w:rsidRPr="00181F8F">
        <w:rPr>
          <w:rFonts w:hint="eastAsia"/>
        </w:rPr>
        <w:t>创新纳入国家发展议程，并培养加速数字化转型的企业家精神。</w:t>
      </w:r>
    </w:p>
    <w:p w14:paraId="29A32890" w14:textId="536AA43C" w:rsidR="00B71EF2" w:rsidRDefault="00E65AB8" w:rsidP="00596E92">
      <w:pPr>
        <w:ind w:firstLineChars="200" w:firstLine="480"/>
        <w:rPr>
          <w:rFonts w:cstheme="minorHAnsi"/>
          <w:szCs w:val="24"/>
          <w:lang w:val="zh-CN"/>
        </w:rPr>
      </w:pPr>
      <w:r w:rsidRPr="00E65AB8">
        <w:rPr>
          <w:rFonts w:hint="eastAsia"/>
        </w:rPr>
        <w:t>这些</w:t>
      </w:r>
      <w:r w:rsidR="006068E4">
        <w:rPr>
          <w:rFonts w:hint="eastAsia"/>
        </w:rPr>
        <w:t>机构</w:t>
      </w:r>
      <w:r w:rsidRPr="00E65AB8">
        <w:rPr>
          <w:rFonts w:hint="eastAsia"/>
        </w:rPr>
        <w:t>将共同有效地提供新产品和服务，以确保国际电联成员</w:t>
      </w:r>
      <w:r w:rsidR="002335F6">
        <w:rPr>
          <w:rFonts w:cstheme="minorHAnsi" w:hint="eastAsia"/>
          <w:szCs w:val="24"/>
          <w:lang w:val="zh-CN"/>
        </w:rPr>
        <w:t>能够</w:t>
      </w:r>
      <w:r w:rsidR="002335F6" w:rsidRPr="00F764BC">
        <w:rPr>
          <w:rFonts w:cstheme="minorHAnsi"/>
          <w:szCs w:val="24"/>
          <w:lang w:val="zh-CN"/>
        </w:rPr>
        <w:t>敏捷</w:t>
      </w:r>
      <w:r w:rsidR="002335F6">
        <w:rPr>
          <w:rFonts w:cstheme="minorHAnsi" w:hint="eastAsia"/>
          <w:szCs w:val="24"/>
          <w:lang w:val="zh-CN"/>
        </w:rPr>
        <w:t>应对</w:t>
      </w:r>
      <w:r w:rsidR="002335F6" w:rsidRPr="00F764BC">
        <w:rPr>
          <w:rFonts w:cstheme="minorHAnsi"/>
          <w:szCs w:val="24"/>
          <w:lang w:val="zh-CN"/>
        </w:rPr>
        <w:t>不断变化的数字环境。</w:t>
      </w:r>
    </w:p>
    <w:p w14:paraId="37D1FDEA" w14:textId="748FB455" w:rsidR="002335F6" w:rsidRDefault="00F70A12" w:rsidP="00596E92">
      <w:pPr>
        <w:ind w:firstLineChars="200" w:firstLine="480"/>
      </w:pPr>
      <w:r w:rsidRPr="00F70A12">
        <w:rPr>
          <w:rFonts w:hint="eastAsia"/>
        </w:rPr>
        <w:t>联盟的独特</w:t>
      </w:r>
      <w:r>
        <w:rPr>
          <w:rFonts w:hint="eastAsia"/>
        </w:rPr>
        <w:t>价值</w:t>
      </w:r>
      <w:r w:rsidRPr="00F70A12">
        <w:rPr>
          <w:rFonts w:hint="eastAsia"/>
        </w:rPr>
        <w:t>在于其中心和架构网络，为各国提供了一种新的公共、私营和公私伙伴关系机制</w:t>
      </w:r>
      <w:r>
        <w:rPr>
          <w:rFonts w:hint="eastAsia"/>
        </w:rPr>
        <w:t>和</w:t>
      </w:r>
      <w:r w:rsidRPr="00F70A12">
        <w:rPr>
          <w:rFonts w:hint="eastAsia"/>
        </w:rPr>
        <w:t>平台，在数字创新方面提供资源、知识和机会。</w:t>
      </w:r>
    </w:p>
    <w:p w14:paraId="1B14CA6C" w14:textId="3AAB5939" w:rsidR="004E5027" w:rsidRPr="00596E92" w:rsidRDefault="004E5027" w:rsidP="00181F8F">
      <w:pPr>
        <w:rPr>
          <w:b/>
          <w:bCs/>
        </w:rPr>
      </w:pPr>
      <w:r w:rsidRPr="00596E92">
        <w:rPr>
          <w:rFonts w:hint="eastAsia"/>
          <w:b/>
          <w:bCs/>
        </w:rPr>
        <w:t>2</w:t>
      </w:r>
      <w:r w:rsidRPr="00596E92">
        <w:rPr>
          <w:b/>
          <w:bCs/>
        </w:rPr>
        <w:tab/>
      </w:r>
      <w:r w:rsidRPr="00596E92">
        <w:rPr>
          <w:rFonts w:hint="eastAsia"/>
          <w:b/>
          <w:bCs/>
        </w:rPr>
        <w:t>主要活动</w:t>
      </w:r>
    </w:p>
    <w:p w14:paraId="0627B0B3" w14:textId="7535123C" w:rsidR="004E5027" w:rsidRDefault="004E5027" w:rsidP="00596E92">
      <w:pPr>
        <w:ind w:firstLineChars="200" w:firstLine="480"/>
      </w:pPr>
      <w:r w:rsidRPr="004E5027">
        <w:rPr>
          <w:rFonts w:hint="eastAsia"/>
        </w:rPr>
        <w:t>2023</w:t>
      </w:r>
      <w:r w:rsidRPr="004E5027">
        <w:rPr>
          <w:rFonts w:hint="eastAsia"/>
        </w:rPr>
        <w:t>年至</w:t>
      </w:r>
      <w:r w:rsidRPr="004E5027">
        <w:rPr>
          <w:rFonts w:hint="eastAsia"/>
        </w:rPr>
        <w:t>2025</w:t>
      </w:r>
      <w:r w:rsidRPr="004E5027">
        <w:rPr>
          <w:rFonts w:hint="eastAsia"/>
        </w:rPr>
        <w:t>年期间，</w:t>
      </w:r>
      <w:r w:rsidR="00834DE3">
        <w:rPr>
          <w:rFonts w:hint="eastAsia"/>
        </w:rPr>
        <w:t>电信发展局</w:t>
      </w:r>
      <w:r w:rsidRPr="004E5027">
        <w:rPr>
          <w:rFonts w:hint="eastAsia"/>
        </w:rPr>
        <w:t>开展了关键活动，以实现联盟的运作，助力各国受益于其成效，契合</w:t>
      </w:r>
      <w:r w:rsidRPr="004E5027">
        <w:rPr>
          <w:rFonts w:hint="eastAsia"/>
        </w:rPr>
        <w:t>ITU-D</w:t>
      </w:r>
      <w:r w:rsidRPr="004E5027">
        <w:rPr>
          <w:rFonts w:hint="eastAsia"/>
        </w:rPr>
        <w:t>关于数字化转型的</w:t>
      </w:r>
      <w:r w:rsidR="00DC50BD">
        <w:rPr>
          <w:rFonts w:hint="eastAsia"/>
        </w:rPr>
        <w:t>重点工作</w:t>
      </w:r>
      <w:r w:rsidRPr="004E5027">
        <w:rPr>
          <w:rFonts w:hint="eastAsia"/>
        </w:rPr>
        <w:t>。</w:t>
      </w:r>
    </w:p>
    <w:p w14:paraId="13AD07AF" w14:textId="7A43612B" w:rsidR="004E5027" w:rsidRDefault="004E5027" w:rsidP="00596E92">
      <w:pPr>
        <w:ind w:firstLineChars="200" w:firstLine="480"/>
      </w:pPr>
      <w:r w:rsidRPr="004E5027">
        <w:rPr>
          <w:rFonts w:hint="eastAsia"/>
        </w:rPr>
        <w:t>以下是联盟提供的</w:t>
      </w:r>
      <w:r w:rsidR="006068E4">
        <w:rPr>
          <w:rFonts w:hint="eastAsia"/>
        </w:rPr>
        <w:t>机构</w:t>
      </w:r>
      <w:r w:rsidRPr="004E5027">
        <w:rPr>
          <w:rFonts w:hint="eastAsia"/>
        </w:rPr>
        <w:t>、产品和服务的最新动态。</w:t>
      </w:r>
    </w:p>
    <w:p w14:paraId="44A80FE3" w14:textId="0BF96338" w:rsidR="00626644" w:rsidRPr="00596E92" w:rsidRDefault="00626644" w:rsidP="00D25151">
      <w:pPr>
        <w:pStyle w:val="Heading2"/>
      </w:pPr>
      <w:r w:rsidRPr="00596E92">
        <w:rPr>
          <w:rFonts w:hint="eastAsia"/>
        </w:rPr>
        <w:t>a</w:t>
      </w:r>
      <w:r w:rsidR="006068E4" w:rsidRPr="00596E92">
        <w:rPr>
          <w:rFonts w:hint="eastAsia"/>
        </w:rPr>
        <w:t>)</w:t>
      </w:r>
      <w:r w:rsidRPr="00596E92">
        <w:tab/>
      </w:r>
      <w:r w:rsidR="00A725BC" w:rsidRPr="00596E92">
        <w:t>数字创新委员会</w:t>
      </w:r>
    </w:p>
    <w:p w14:paraId="0CCFE08E" w14:textId="2810F4FB" w:rsidR="00A725BC" w:rsidRDefault="00A725BC" w:rsidP="00596E92">
      <w:pPr>
        <w:ind w:firstLineChars="200" w:firstLine="480"/>
      </w:pPr>
      <w:r>
        <w:rPr>
          <w:rFonts w:hint="eastAsia"/>
        </w:rPr>
        <w:t>数字创新委员会指导联盟的工作，以确保联盟在</w:t>
      </w:r>
      <w:r>
        <w:rPr>
          <w:rFonts w:hint="eastAsia"/>
        </w:rPr>
        <w:t>WTDC</w:t>
      </w:r>
      <w:r>
        <w:rPr>
          <w:rFonts w:hint="eastAsia"/>
        </w:rPr>
        <w:t>行动计划方面的有效性、问责制和战略进展，同时促进高级别宣传并就实现目标的关键工作流程进行报告。</w:t>
      </w:r>
    </w:p>
    <w:p w14:paraId="1DE64FE6" w14:textId="1046EF6A" w:rsidR="00A725BC" w:rsidRDefault="00A725BC" w:rsidP="00596E92">
      <w:pPr>
        <w:ind w:firstLineChars="200" w:firstLine="480"/>
      </w:pPr>
      <w:r>
        <w:rPr>
          <w:rFonts w:hint="eastAsia"/>
        </w:rPr>
        <w:t>委员会由以个人身份开展工作的杰出人士组成，确保联盟恪守国际电联的使命和战略规划以及电信发展局的</w:t>
      </w:r>
      <w:r w:rsidR="00352220">
        <w:rPr>
          <w:rFonts w:hint="eastAsia"/>
        </w:rPr>
        <w:t>职权</w:t>
      </w:r>
      <w:r>
        <w:rPr>
          <w:rFonts w:hint="eastAsia"/>
        </w:rPr>
        <w:t>。</w:t>
      </w:r>
      <w:r w:rsidR="00E632EC">
        <w:rPr>
          <w:rFonts w:hint="eastAsia"/>
        </w:rPr>
        <w:t>委员会的成员构成多元</w:t>
      </w:r>
      <w:r>
        <w:rPr>
          <w:rFonts w:hint="eastAsia"/>
        </w:rPr>
        <w:t>，</w:t>
      </w:r>
      <w:r w:rsidR="00E632EC">
        <w:rPr>
          <w:rFonts w:hint="eastAsia"/>
        </w:rPr>
        <w:t>成员提供公益服务</w:t>
      </w:r>
      <w:r>
        <w:rPr>
          <w:rFonts w:hint="eastAsia"/>
        </w:rPr>
        <w:t>，并</w:t>
      </w:r>
      <w:r w:rsidR="00E632EC">
        <w:rPr>
          <w:rFonts w:hint="eastAsia"/>
        </w:rPr>
        <w:t>自行承担</w:t>
      </w:r>
      <w:r w:rsidR="00DC50BD">
        <w:rPr>
          <w:rFonts w:hint="eastAsia"/>
        </w:rPr>
        <w:t>参加</w:t>
      </w:r>
      <w:r w:rsidR="00E632EC">
        <w:rPr>
          <w:rFonts w:hint="eastAsia"/>
        </w:rPr>
        <w:t>委员会</w:t>
      </w:r>
      <w:r w:rsidR="00DC50BD">
        <w:rPr>
          <w:rFonts w:hint="eastAsia"/>
        </w:rPr>
        <w:t>会议的各自</w:t>
      </w:r>
      <w:r>
        <w:rPr>
          <w:rFonts w:hint="eastAsia"/>
        </w:rPr>
        <w:t>费用。截至</w:t>
      </w:r>
      <w:r>
        <w:rPr>
          <w:rFonts w:hint="eastAsia"/>
        </w:rPr>
        <w:t>2025</w:t>
      </w:r>
      <w:r>
        <w:rPr>
          <w:rFonts w:hint="eastAsia"/>
        </w:rPr>
        <w:t>年</w:t>
      </w:r>
      <w:r>
        <w:rPr>
          <w:rFonts w:hint="eastAsia"/>
        </w:rPr>
        <w:t>10</w:t>
      </w:r>
      <w:r>
        <w:rPr>
          <w:rFonts w:hint="eastAsia"/>
        </w:rPr>
        <w:t>月，已有</w:t>
      </w:r>
      <w:r w:rsidR="00596E92">
        <w:fldChar w:fldCharType="begin"/>
      </w:r>
      <w:r w:rsidR="00596E92">
        <w:rPr>
          <w:rFonts w:hint="eastAsia"/>
        </w:rPr>
        <w:instrText>HYPERLINK "https://www.itu.int/itu-d/sites/innovation-alliance/events/news/announcement-board/"</w:instrText>
      </w:r>
      <w:r w:rsidR="00596E92">
        <w:fldChar w:fldCharType="separate"/>
      </w:r>
      <w:r w:rsidRPr="00596E92">
        <w:rPr>
          <w:rStyle w:val="Hyperlink"/>
          <w:rFonts w:hint="eastAsia"/>
        </w:rPr>
        <w:t>36</w:t>
      </w:r>
      <w:r w:rsidRPr="00596E92">
        <w:rPr>
          <w:rStyle w:val="Hyperlink"/>
          <w:rFonts w:hint="eastAsia"/>
        </w:rPr>
        <w:t>位杰出人士担任数字创新委员会委员</w:t>
      </w:r>
      <w:r w:rsidR="00596E92">
        <w:fldChar w:fldCharType="end"/>
      </w:r>
      <w:r>
        <w:rPr>
          <w:rFonts w:hint="eastAsia"/>
        </w:rPr>
        <w:t>。</w:t>
      </w:r>
    </w:p>
    <w:p w14:paraId="67445C93" w14:textId="0C5B68FD" w:rsidR="00A725BC" w:rsidRDefault="00A725BC" w:rsidP="00596E92">
      <w:pPr>
        <w:ind w:firstLineChars="200" w:firstLine="480"/>
      </w:pPr>
      <w:r>
        <w:rPr>
          <w:rFonts w:hint="eastAsia"/>
        </w:rPr>
        <w:t>在每次委员会会议期间，委员们通过分享经验、提出未来举措、为联盟项目提供支持、提出进展的可行步骤以及重申他们对推进国际电联</w:t>
      </w:r>
      <w:r w:rsidR="00352220">
        <w:rPr>
          <w:rFonts w:hint="eastAsia"/>
        </w:rPr>
        <w:t>职权</w:t>
      </w:r>
      <w:r>
        <w:rPr>
          <w:rFonts w:hint="eastAsia"/>
        </w:rPr>
        <w:t>的承诺等方式积极参与。</w:t>
      </w:r>
    </w:p>
    <w:p w14:paraId="0A01BB1C" w14:textId="462006BC" w:rsidR="00E632EC" w:rsidRDefault="005532C3" w:rsidP="00596E92">
      <w:pPr>
        <w:ind w:firstLineChars="200" w:firstLine="480"/>
      </w:pPr>
      <w:hyperlink r:id="rId18" w:history="1">
        <w:r w:rsidRPr="00596E92">
          <w:rPr>
            <w:rStyle w:val="Hyperlink"/>
            <w:rFonts w:hint="eastAsia"/>
          </w:rPr>
          <w:t>首届</w:t>
        </w:r>
        <w:r w:rsidR="00E632EC" w:rsidRPr="00596E92">
          <w:rPr>
            <w:rStyle w:val="Hyperlink"/>
            <w:rFonts w:hint="eastAsia"/>
          </w:rPr>
          <w:t>数字创新委员会会议</w:t>
        </w:r>
      </w:hyperlink>
      <w:r w:rsidR="00E632EC">
        <w:rPr>
          <w:rFonts w:hint="eastAsia"/>
        </w:rPr>
        <w:t>于</w:t>
      </w:r>
      <w:r w:rsidR="00E632EC">
        <w:rPr>
          <w:rFonts w:hint="eastAsia"/>
        </w:rPr>
        <w:t>2024</w:t>
      </w:r>
      <w:r w:rsidR="00E632EC">
        <w:rPr>
          <w:rFonts w:hint="eastAsia"/>
        </w:rPr>
        <w:t>年</w:t>
      </w:r>
      <w:r w:rsidR="00E632EC">
        <w:rPr>
          <w:rFonts w:hint="eastAsia"/>
        </w:rPr>
        <w:t>3</w:t>
      </w:r>
      <w:r w:rsidR="00E632EC">
        <w:rPr>
          <w:rFonts w:hint="eastAsia"/>
        </w:rPr>
        <w:t>月</w:t>
      </w:r>
      <w:r w:rsidR="00E632EC">
        <w:rPr>
          <w:rFonts w:hint="eastAsia"/>
        </w:rPr>
        <w:t>19</w:t>
      </w:r>
      <w:r w:rsidR="00E632EC">
        <w:rPr>
          <w:rFonts w:hint="eastAsia"/>
        </w:rPr>
        <w:t>日至</w:t>
      </w:r>
      <w:r w:rsidR="00E632EC">
        <w:rPr>
          <w:rFonts w:hint="eastAsia"/>
        </w:rPr>
        <w:t>20</w:t>
      </w:r>
      <w:r w:rsidR="00E632EC">
        <w:rPr>
          <w:rFonts w:hint="eastAsia"/>
        </w:rPr>
        <w:t>日在瑞士日内瓦举行。作为</w:t>
      </w:r>
      <w:r w:rsidR="00596E92">
        <w:fldChar w:fldCharType="begin"/>
      </w:r>
      <w:r w:rsidR="00596E92">
        <w:rPr>
          <w:rFonts w:hint="eastAsia"/>
        </w:rPr>
        <w:instrText>HYPERLINK "https://www.itu.int/itu-d/sites/innovation-alliance/wp-content/uploads/sites/35/2024/05/Inaugural_Meeting_of_the_Digital_Innovation_Board_-_Summary_rev1.pdf"</w:instrText>
      </w:r>
      <w:r w:rsidR="00596E92">
        <w:fldChar w:fldCharType="separate"/>
      </w:r>
      <w:r w:rsidR="00E632EC" w:rsidRPr="00596E92">
        <w:rPr>
          <w:rStyle w:val="Hyperlink"/>
          <w:rFonts w:hint="eastAsia"/>
        </w:rPr>
        <w:t>会议的一项成果</w:t>
      </w:r>
      <w:r w:rsidR="00596E92">
        <w:fldChar w:fldCharType="end"/>
      </w:r>
      <w:r w:rsidR="00E632EC">
        <w:rPr>
          <w:rFonts w:hint="eastAsia"/>
        </w:rPr>
        <w:t>，</w:t>
      </w:r>
      <w:r>
        <w:rPr>
          <w:rFonts w:hint="eastAsia"/>
        </w:rPr>
        <w:t>委员会</w:t>
      </w:r>
      <w:r w:rsidR="00E632EC">
        <w:rPr>
          <w:rFonts w:hint="eastAsia"/>
        </w:rPr>
        <w:t>成员为联盟的</w:t>
      </w:r>
      <w:r w:rsidR="00352220">
        <w:rPr>
          <w:rFonts w:hint="eastAsia"/>
        </w:rPr>
        <w:t>运作</w:t>
      </w:r>
      <w:r w:rsidR="00E632EC">
        <w:rPr>
          <w:rFonts w:hint="eastAsia"/>
        </w:rPr>
        <w:t>、高级别工作计划和影响指标的制定奠定了基础，并制定了推进全球数字创新的战略。</w:t>
      </w:r>
    </w:p>
    <w:p w14:paraId="7F73D325" w14:textId="55AF2885" w:rsidR="00E632EC" w:rsidRDefault="00E632EC" w:rsidP="00596E92">
      <w:pPr>
        <w:ind w:firstLineChars="200" w:firstLine="480"/>
      </w:pPr>
      <w:hyperlink r:id="rId19" w:history="1">
        <w:r w:rsidRPr="00596E92">
          <w:rPr>
            <w:rStyle w:val="Hyperlink"/>
            <w:rFonts w:hint="eastAsia"/>
          </w:rPr>
          <w:t>第二次数字创新委员会会议</w:t>
        </w:r>
      </w:hyperlink>
      <w:r>
        <w:rPr>
          <w:rFonts w:hint="eastAsia"/>
        </w:rPr>
        <w:t>于</w:t>
      </w:r>
      <w:r>
        <w:rPr>
          <w:rFonts w:hint="eastAsia"/>
        </w:rPr>
        <w:t>2024</w:t>
      </w:r>
      <w:r>
        <w:rPr>
          <w:rFonts w:hint="eastAsia"/>
        </w:rPr>
        <w:t>年</w:t>
      </w:r>
      <w:r>
        <w:rPr>
          <w:rFonts w:hint="eastAsia"/>
        </w:rPr>
        <w:t>10</w:t>
      </w:r>
      <w:r>
        <w:rPr>
          <w:rFonts w:hint="eastAsia"/>
        </w:rPr>
        <w:t>月</w:t>
      </w:r>
      <w:r>
        <w:rPr>
          <w:rFonts w:hint="eastAsia"/>
        </w:rPr>
        <w:t>28</w:t>
      </w:r>
      <w:r>
        <w:rPr>
          <w:rFonts w:hint="eastAsia"/>
        </w:rPr>
        <w:t>日在马耳他瓦莱塔举行的</w:t>
      </w:r>
      <w:r w:rsidR="00596E92">
        <w:fldChar w:fldCharType="begin"/>
      </w:r>
      <w:r w:rsidR="00596E92">
        <w:instrText>HYPERLINK "https://www.itu.int/itu-d/meetings/gif-24/"</w:instrText>
      </w:r>
      <w:r w:rsidR="00596E92">
        <w:fldChar w:fldCharType="separate"/>
      </w:r>
      <w:r w:rsidRPr="00596E92">
        <w:rPr>
          <w:rStyle w:val="Hyperlink"/>
          <w:rFonts w:hint="eastAsia"/>
        </w:rPr>
        <w:t>2024</w:t>
      </w:r>
      <w:r w:rsidRPr="00596E92">
        <w:rPr>
          <w:rStyle w:val="Hyperlink"/>
          <w:rFonts w:hint="eastAsia"/>
        </w:rPr>
        <w:t>年全球创新论坛</w:t>
      </w:r>
      <w:r w:rsidR="00596E92">
        <w:fldChar w:fldCharType="end"/>
      </w:r>
      <w:r>
        <w:rPr>
          <w:rFonts w:hint="eastAsia"/>
        </w:rPr>
        <w:t>期间举行。委员会委员审议了在实施委员会第一次会议上通过的建议方面取得的进展。在这次会议期间，</w:t>
      </w:r>
      <w:hyperlink r:id="rId20" w:history="1">
        <w:r w:rsidRPr="00596E92">
          <w:rPr>
            <w:rStyle w:val="Hyperlink"/>
            <w:rFonts w:hint="eastAsia"/>
          </w:rPr>
          <w:t>委员会批准</w:t>
        </w:r>
      </w:hyperlink>
      <w:r>
        <w:rPr>
          <w:rFonts w:hint="eastAsia"/>
        </w:rPr>
        <w:t>了围绕两个主要目标（</w:t>
      </w:r>
      <w:r w:rsidR="005532C3">
        <w:rPr>
          <w:rFonts w:hint="eastAsia"/>
        </w:rPr>
        <w:t>前瞻</w:t>
      </w:r>
      <w:r>
        <w:rPr>
          <w:rFonts w:hint="eastAsia"/>
        </w:rPr>
        <w:t>系列和伙伴关系生态系统）制定的</w:t>
      </w:r>
      <w:r>
        <w:rPr>
          <w:rFonts w:hint="eastAsia"/>
        </w:rPr>
        <w:t>2024-2026</w:t>
      </w:r>
      <w:r>
        <w:rPr>
          <w:rFonts w:hint="eastAsia"/>
        </w:rPr>
        <w:t>年综合工作计划，批准启动</w:t>
      </w:r>
      <w:r w:rsidR="00596E92">
        <w:fldChar w:fldCharType="begin"/>
      </w:r>
      <w:r w:rsidR="00596E92">
        <w:rPr>
          <w:rFonts w:hint="eastAsia"/>
        </w:rPr>
        <w:instrText>HYPERLINK "https://www.itu.int/en/ITU-D/Innovation/Pages/RIA/Regional-Initiative-Accelerator.aspx"</w:instrText>
      </w:r>
      <w:r w:rsidR="00596E92">
        <w:fldChar w:fldCharType="separate"/>
      </w:r>
      <w:r w:rsidRPr="00596E92">
        <w:rPr>
          <w:rStyle w:val="Hyperlink"/>
          <w:rFonts w:hint="eastAsia"/>
        </w:rPr>
        <w:t>区域性举措加速器</w:t>
      </w:r>
      <w:r w:rsidR="00596E92">
        <w:fldChar w:fldCharType="end"/>
      </w:r>
      <w:r>
        <w:rPr>
          <w:rFonts w:hint="eastAsia"/>
        </w:rPr>
        <w:t>，并批准启动专家网络</w:t>
      </w:r>
      <w:r w:rsidR="005532C3">
        <w:rPr>
          <w:rFonts w:hint="eastAsia"/>
        </w:rPr>
        <w:t>以</w:t>
      </w:r>
      <w:r>
        <w:rPr>
          <w:rFonts w:hint="eastAsia"/>
        </w:rPr>
        <w:t>支持委员会的工作。</w:t>
      </w:r>
    </w:p>
    <w:p w14:paraId="31D9BD59" w14:textId="3FF36AB5" w:rsidR="00E632EC" w:rsidRDefault="00E632EC" w:rsidP="00596E92">
      <w:pPr>
        <w:ind w:firstLineChars="200" w:firstLine="480"/>
      </w:pPr>
      <w:hyperlink r:id="rId21" w:history="1">
        <w:r w:rsidRPr="00596E92">
          <w:rPr>
            <w:rStyle w:val="Hyperlink"/>
            <w:rFonts w:hint="eastAsia"/>
          </w:rPr>
          <w:t>第三次数字创新委员会会议</w:t>
        </w:r>
      </w:hyperlink>
      <w:r>
        <w:rPr>
          <w:rFonts w:hint="eastAsia"/>
        </w:rPr>
        <w:t>于</w:t>
      </w:r>
      <w:r>
        <w:rPr>
          <w:rFonts w:hint="eastAsia"/>
        </w:rPr>
        <w:t>2025</w:t>
      </w:r>
      <w:r>
        <w:rPr>
          <w:rFonts w:hint="eastAsia"/>
        </w:rPr>
        <w:t>年</w:t>
      </w:r>
      <w:r>
        <w:rPr>
          <w:rFonts w:hint="eastAsia"/>
        </w:rPr>
        <w:t>10</w:t>
      </w:r>
      <w:r>
        <w:rPr>
          <w:rFonts w:hint="eastAsia"/>
        </w:rPr>
        <w:t>月</w:t>
      </w:r>
      <w:r>
        <w:rPr>
          <w:rFonts w:hint="eastAsia"/>
        </w:rPr>
        <w:t>1</w:t>
      </w:r>
      <w:r>
        <w:rPr>
          <w:rFonts w:hint="eastAsia"/>
        </w:rPr>
        <w:t>日至</w:t>
      </w:r>
      <w:r>
        <w:rPr>
          <w:rFonts w:hint="eastAsia"/>
        </w:rPr>
        <w:t>2</w:t>
      </w:r>
      <w:r>
        <w:rPr>
          <w:rFonts w:hint="eastAsia"/>
        </w:rPr>
        <w:t>日在多米尼加共和国圣多明各举行。委员会委员召开会议审查联盟举措的进展情况，包括专家网络、中心的运作和高级别工作计划。委员会还批准发布</w:t>
      </w:r>
      <w:r w:rsidR="00596E92">
        <w:fldChar w:fldCharType="begin"/>
      </w:r>
      <w:r w:rsidR="00596E92">
        <w:rPr>
          <w:rFonts w:hint="eastAsia"/>
        </w:rPr>
        <w:instrText>HYPERLINK "https://www.itu.int/itu-d/sites/innovation-alliance/strategic-foresight-reports/"</w:instrText>
      </w:r>
      <w:r w:rsidR="00596E92">
        <w:fldChar w:fldCharType="separate"/>
      </w:r>
      <w:r w:rsidRPr="00596E92">
        <w:rPr>
          <w:rStyle w:val="Hyperlink"/>
          <w:rFonts w:hint="eastAsia"/>
        </w:rPr>
        <w:t>五份战略</w:t>
      </w:r>
      <w:r w:rsidR="00834DE3">
        <w:rPr>
          <w:rStyle w:val="Hyperlink"/>
          <w:rFonts w:hint="eastAsia"/>
        </w:rPr>
        <w:t>性</w:t>
      </w:r>
      <w:r w:rsidRPr="00596E92">
        <w:rPr>
          <w:rStyle w:val="Hyperlink"/>
          <w:rFonts w:hint="eastAsia"/>
        </w:rPr>
        <w:t>前瞻报告</w:t>
      </w:r>
      <w:r w:rsidR="00596E92">
        <w:fldChar w:fldCharType="end"/>
      </w:r>
      <w:r>
        <w:rPr>
          <w:rFonts w:hint="eastAsia"/>
        </w:rPr>
        <w:t>，并注意到在发展伙伴关系生态系统方面取得的进展。</w:t>
      </w:r>
    </w:p>
    <w:p w14:paraId="40DA2C16" w14:textId="3BB2686F" w:rsidR="00C01136" w:rsidRDefault="00C01136" w:rsidP="00596E92">
      <w:pPr>
        <w:ind w:firstLineChars="200" w:firstLine="480"/>
      </w:pPr>
      <w:r>
        <w:rPr>
          <w:rFonts w:hint="eastAsia"/>
        </w:rPr>
        <w:t>此外，</w:t>
      </w:r>
      <w:r w:rsidR="00165432">
        <w:fldChar w:fldCharType="begin"/>
      </w:r>
      <w:r w:rsidR="00596E92">
        <w:instrText>HYPERLINK "https://www.itu.int/itu-d/sites/innovation-alliance/wp-content/uploads/sites/35/2025/10/BDT-Member-Communique-3rd-digital-innovation-board-meeting.pdf"</w:instrText>
      </w:r>
      <w:r w:rsidR="00165432">
        <w:fldChar w:fldCharType="separate"/>
      </w:r>
      <w:r w:rsidR="00165432">
        <w:rPr>
          <w:rStyle w:val="Hyperlink"/>
          <w:rFonts w:hint="eastAsia"/>
        </w:rPr>
        <w:t>委员会批准</w:t>
      </w:r>
      <w:r w:rsidR="00165432">
        <w:fldChar w:fldCharType="end"/>
      </w:r>
      <w:r w:rsidR="00165432">
        <w:rPr>
          <w:rFonts w:hint="eastAsia"/>
        </w:rPr>
        <w:t>了</w:t>
      </w:r>
      <w:hyperlink r:id="rId22" w:history="1">
        <w:r w:rsidRPr="00165432">
          <w:rPr>
            <w:rStyle w:val="Hyperlink"/>
            <w:rFonts w:hint="eastAsia"/>
          </w:rPr>
          <w:t>《弥合数字创新</w:t>
        </w:r>
        <w:r w:rsidR="00352220">
          <w:rPr>
            <w:rStyle w:val="Hyperlink"/>
            <w:rFonts w:hint="eastAsia"/>
          </w:rPr>
          <w:t>差距</w:t>
        </w:r>
        <w:r w:rsidRPr="00165432">
          <w:rPr>
            <w:rStyle w:val="Hyperlink"/>
            <w:rFonts w:hint="eastAsia"/>
          </w:rPr>
          <w:t>宣言》</w:t>
        </w:r>
      </w:hyperlink>
      <w:r>
        <w:rPr>
          <w:rFonts w:hint="eastAsia"/>
        </w:rPr>
        <w:t>以及与联盟</w:t>
      </w:r>
      <w:r w:rsidR="00352220">
        <w:rPr>
          <w:rFonts w:hint="eastAsia"/>
        </w:rPr>
        <w:t>载体</w:t>
      </w:r>
      <w:r>
        <w:rPr>
          <w:rFonts w:hint="eastAsia"/>
        </w:rPr>
        <w:t>进展相关的一系列成果。</w:t>
      </w:r>
    </w:p>
    <w:p w14:paraId="380A8661" w14:textId="3DF552DB" w:rsidR="00C01136" w:rsidRDefault="00C01136" w:rsidP="00596E92">
      <w:pPr>
        <w:ind w:firstLineChars="200" w:firstLine="480"/>
      </w:pPr>
      <w:r>
        <w:rPr>
          <w:rFonts w:hint="eastAsia"/>
        </w:rPr>
        <w:lastRenderedPageBreak/>
        <w:t>该宣言代表了联盟成员为数字化发展开辟新道路的承诺，并</w:t>
      </w:r>
      <w:r w:rsidR="006068E4">
        <w:rPr>
          <w:rFonts w:hint="eastAsia"/>
        </w:rPr>
        <w:t>申明</w:t>
      </w:r>
      <w:r w:rsidR="006068E4" w:rsidRPr="006068E4">
        <w:rPr>
          <w:rFonts w:hint="eastAsia"/>
        </w:rPr>
        <w:t>联盟作为促进创新和创业、发展各地本地能力的平台作用，确保进步持久且惠及各方。</w:t>
      </w:r>
    </w:p>
    <w:p w14:paraId="34730DC3" w14:textId="4129ADDE" w:rsidR="006068E4" w:rsidRPr="00D25151" w:rsidRDefault="006068E4" w:rsidP="00D25151">
      <w:pPr>
        <w:pStyle w:val="Heading2"/>
      </w:pPr>
      <w:r w:rsidRPr="00D25151">
        <w:rPr>
          <w:rFonts w:hint="eastAsia"/>
        </w:rPr>
        <w:t>b)</w:t>
      </w:r>
      <w:r w:rsidRPr="00D25151">
        <w:tab/>
      </w:r>
      <w:r w:rsidRPr="00D25151">
        <w:rPr>
          <w:rFonts w:hint="eastAsia"/>
        </w:rPr>
        <w:t>数字化转型实验室</w:t>
      </w:r>
    </w:p>
    <w:p w14:paraId="0FCE7710" w14:textId="465D364D" w:rsidR="006068E4" w:rsidRDefault="006068E4" w:rsidP="00596E92">
      <w:pPr>
        <w:ind w:firstLineChars="200" w:firstLine="480"/>
      </w:pPr>
      <w:r>
        <w:rPr>
          <w:rFonts w:hint="eastAsia"/>
        </w:rPr>
        <w:t>作为联盟的主要</w:t>
      </w:r>
      <w:r w:rsidR="00352220">
        <w:rPr>
          <w:rFonts w:hint="eastAsia"/>
        </w:rPr>
        <w:t>载体</w:t>
      </w:r>
      <w:r>
        <w:rPr>
          <w:rFonts w:hint="eastAsia"/>
        </w:rPr>
        <w:t>之一，</w:t>
      </w:r>
      <w:hyperlink r:id="rId23" w:history="1">
        <w:r w:rsidRPr="00165432">
          <w:rPr>
            <w:rStyle w:val="Hyperlink"/>
            <w:rFonts w:hint="eastAsia"/>
          </w:rPr>
          <w:t>数字化转型实验室</w:t>
        </w:r>
      </w:hyperlink>
      <w:r>
        <w:rPr>
          <w:rFonts w:hint="eastAsia"/>
        </w:rPr>
        <w:t>具有双重作用，即支持加速中心网络工作的设计和实施，以及在联盟框架内向寻求电信发展</w:t>
      </w:r>
      <w:proofErr w:type="gramStart"/>
      <w:r>
        <w:rPr>
          <w:rFonts w:hint="eastAsia"/>
        </w:rPr>
        <w:t>局创新</w:t>
      </w:r>
      <w:proofErr w:type="gramEnd"/>
      <w:r>
        <w:rPr>
          <w:rFonts w:hint="eastAsia"/>
        </w:rPr>
        <w:t>和创业支持的国家提供技术援助。</w:t>
      </w:r>
    </w:p>
    <w:p w14:paraId="237C3531" w14:textId="77777777" w:rsidR="00EE26AA" w:rsidRDefault="00EE26AA" w:rsidP="00EE26AA">
      <w:pPr>
        <w:ind w:firstLineChars="200" w:firstLine="480"/>
        <w:rPr>
          <w:lang w:val="en-US"/>
        </w:rPr>
      </w:pPr>
      <w:bookmarkStart w:id="1" w:name="_Hlk212041615"/>
      <w:r>
        <w:rPr>
          <w:rFonts w:hint="eastAsia"/>
        </w:rPr>
        <w:t>数字化转型实验室（</w:t>
      </w:r>
      <w:r>
        <w:rPr>
          <w:rFonts w:hint="eastAsia"/>
        </w:rPr>
        <w:t>DT Lab</w:t>
      </w:r>
      <w:r>
        <w:rPr>
          <w:rFonts w:hint="eastAsia"/>
        </w:rPr>
        <w:t>）建立创新知识计划，以增强加速中心网络的能力，并支持中心启动其政策和生态系统举措。实验室利用通过联盟获得的知识，支持电信发展局加速数字发展并促进利益攸关方之间的协作。</w:t>
      </w:r>
    </w:p>
    <w:bookmarkEnd w:id="1"/>
    <w:p w14:paraId="54CEE7B1" w14:textId="2E261A27" w:rsidR="006068E4" w:rsidRDefault="006068E4" w:rsidP="00596E92">
      <w:pPr>
        <w:ind w:firstLineChars="200" w:firstLine="480"/>
      </w:pPr>
      <w:r>
        <w:rPr>
          <w:rFonts w:hint="eastAsia"/>
        </w:rPr>
        <w:t>在日本</w:t>
      </w:r>
      <w:r w:rsidR="00165F90">
        <w:rPr>
          <w:rFonts w:hint="eastAsia"/>
        </w:rPr>
        <w:t>总务省（</w:t>
      </w:r>
      <w:r>
        <w:rPr>
          <w:rFonts w:hint="eastAsia"/>
        </w:rPr>
        <w:t>MIC</w:t>
      </w:r>
      <w:r w:rsidR="00165F90">
        <w:rPr>
          <w:rFonts w:hint="eastAsia"/>
        </w:rPr>
        <w:t>）</w:t>
      </w:r>
      <w:r>
        <w:rPr>
          <w:rFonts w:hint="eastAsia"/>
        </w:rPr>
        <w:t>的资助下，数字化转型实验室为联盟制定了八本手册。</w:t>
      </w:r>
      <w:r w:rsidR="00165F90">
        <w:rPr>
          <w:rFonts w:hint="eastAsia"/>
        </w:rPr>
        <w:t>其中包括</w:t>
      </w:r>
      <w:r>
        <w:rPr>
          <w:rFonts w:hint="eastAsia"/>
        </w:rPr>
        <w:t>战略前瞻手册、生态系统举措发展手册、开放技术创新手册、政策实验手册以及</w:t>
      </w:r>
      <w:r w:rsidR="00165F90">
        <w:rPr>
          <w:rFonts w:hint="eastAsia"/>
        </w:rPr>
        <w:t>SME</w:t>
      </w:r>
      <w:r>
        <w:rPr>
          <w:rFonts w:hint="eastAsia"/>
        </w:rPr>
        <w:t>和创业增长手册。</w:t>
      </w:r>
    </w:p>
    <w:p w14:paraId="56DAEFB5" w14:textId="7F9EDC0C" w:rsidR="00165F90" w:rsidRDefault="00165F90" w:rsidP="00596E92">
      <w:pPr>
        <w:ind w:firstLineChars="200" w:firstLine="480"/>
      </w:pPr>
      <w:r>
        <w:rPr>
          <w:rFonts w:hint="eastAsia"/>
        </w:rPr>
        <w:t>手册和工具是为中心使用而设计的，但也可以重新调整用途，为电信发展局提供新的服务。</w:t>
      </w:r>
      <w:r>
        <w:rPr>
          <w:rFonts w:hint="eastAsia"/>
        </w:rPr>
        <w:t>DT Lab</w:t>
      </w:r>
      <w:r>
        <w:rPr>
          <w:rFonts w:hint="eastAsia"/>
        </w:rPr>
        <w:t>创建的两本跨领域手册</w:t>
      </w:r>
      <w:r w:rsidRPr="00165F90">
        <w:rPr>
          <w:rFonts w:hint="eastAsia"/>
        </w:rPr>
        <w:t>对</w:t>
      </w:r>
      <w:r>
        <w:rPr>
          <w:rFonts w:hint="eastAsia"/>
        </w:rPr>
        <w:t>所有</w:t>
      </w:r>
      <w:r w:rsidRPr="00165F90">
        <w:rPr>
          <w:rFonts w:hint="eastAsia"/>
        </w:rPr>
        <w:t>希望实现运营敏捷性和可持续性的中心均有高度参考价值</w:t>
      </w:r>
      <w:r>
        <w:rPr>
          <w:rFonts w:hint="eastAsia"/>
        </w:rPr>
        <w:t>。</w:t>
      </w:r>
    </w:p>
    <w:p w14:paraId="282AD91C" w14:textId="0FCD378E" w:rsidR="00165F90" w:rsidRDefault="00165F90" w:rsidP="00596E92">
      <w:pPr>
        <w:ind w:firstLineChars="200" w:firstLine="480"/>
      </w:pPr>
      <w:r>
        <w:rPr>
          <w:rFonts w:hint="eastAsia"/>
        </w:rPr>
        <w:t>因此，</w:t>
      </w:r>
      <w:r>
        <w:rPr>
          <w:rFonts w:hint="eastAsia"/>
        </w:rPr>
        <w:t>DT Lab</w:t>
      </w:r>
      <w:r>
        <w:rPr>
          <w:rFonts w:hint="eastAsia"/>
        </w:rPr>
        <w:t>已经开始相关服务的开发和部署，包括助力国际电联的战略</w:t>
      </w:r>
      <w:r w:rsidR="007B4385">
        <w:rPr>
          <w:rFonts w:hint="eastAsia"/>
        </w:rPr>
        <w:t>前瞻</w:t>
      </w:r>
      <w:r>
        <w:rPr>
          <w:rFonts w:hint="eastAsia"/>
        </w:rPr>
        <w:t>实践，</w:t>
      </w:r>
      <w:r w:rsidR="007B4385">
        <w:rPr>
          <w:rFonts w:hint="eastAsia"/>
        </w:rPr>
        <w:t>为国际电</w:t>
      </w:r>
      <w:proofErr w:type="gramStart"/>
      <w:r w:rsidR="007B4385">
        <w:rPr>
          <w:rFonts w:hint="eastAsia"/>
        </w:rPr>
        <w:t>联区域</w:t>
      </w:r>
      <w:proofErr w:type="gramEnd"/>
      <w:r w:rsidR="007B4385">
        <w:rPr>
          <w:rFonts w:hint="eastAsia"/>
        </w:rPr>
        <w:t>代表处</w:t>
      </w:r>
      <w:r w:rsidR="00834DE3">
        <w:rPr>
          <w:rFonts w:hint="eastAsia"/>
        </w:rPr>
        <w:t>开</w:t>
      </w:r>
      <w:r w:rsidR="00086D96">
        <w:rPr>
          <w:rFonts w:hint="eastAsia"/>
        </w:rPr>
        <w:t>办</w:t>
      </w:r>
      <w:r>
        <w:rPr>
          <w:rFonts w:hint="eastAsia"/>
        </w:rPr>
        <w:t>创新咖啡</w:t>
      </w:r>
      <w:proofErr w:type="gramStart"/>
      <w:r w:rsidR="00086D96">
        <w:rPr>
          <w:rFonts w:hint="eastAsia"/>
        </w:rPr>
        <w:t>屋</w:t>
      </w:r>
      <w:r>
        <w:rPr>
          <w:rFonts w:hint="eastAsia"/>
        </w:rPr>
        <w:t>服务</w:t>
      </w:r>
      <w:proofErr w:type="gramEnd"/>
      <w:r>
        <w:rPr>
          <w:rFonts w:hint="eastAsia"/>
        </w:rPr>
        <w:t>等。这些</w:t>
      </w:r>
      <w:r w:rsidR="00901526">
        <w:rPr>
          <w:rFonts w:hint="eastAsia"/>
        </w:rPr>
        <w:t>服务</w:t>
      </w:r>
      <w:r>
        <w:rPr>
          <w:rFonts w:hint="eastAsia"/>
        </w:rPr>
        <w:t>受到了各国的</w:t>
      </w:r>
      <w:r w:rsidR="007B4385">
        <w:rPr>
          <w:rFonts w:hint="eastAsia"/>
        </w:rPr>
        <w:t>高度</w:t>
      </w:r>
      <w:r>
        <w:rPr>
          <w:rFonts w:hint="eastAsia"/>
        </w:rPr>
        <w:t>关注。</w:t>
      </w:r>
    </w:p>
    <w:p w14:paraId="7FB66446" w14:textId="11106870" w:rsidR="00165F90" w:rsidRDefault="00165F90" w:rsidP="00596E92">
      <w:pPr>
        <w:ind w:firstLineChars="200" w:firstLine="480"/>
      </w:pPr>
      <w:r>
        <w:rPr>
          <w:rFonts w:hint="eastAsia"/>
        </w:rPr>
        <w:t>DT Lab</w:t>
      </w:r>
      <w:r>
        <w:rPr>
          <w:rFonts w:hint="eastAsia"/>
        </w:rPr>
        <w:t>正在与国际电联南亚地区办事处的创新中心合作，</w:t>
      </w:r>
      <w:r w:rsidR="007B4385">
        <w:rPr>
          <w:rFonts w:hint="eastAsia"/>
        </w:rPr>
        <w:t>协作推动包括</w:t>
      </w:r>
      <w:r>
        <w:rPr>
          <w:rFonts w:hint="eastAsia"/>
        </w:rPr>
        <w:t>创新咖啡</w:t>
      </w:r>
      <w:r w:rsidR="00086D96">
        <w:rPr>
          <w:rFonts w:hint="eastAsia"/>
        </w:rPr>
        <w:t>屋</w:t>
      </w:r>
      <w:r w:rsidR="007B4385">
        <w:rPr>
          <w:rFonts w:hint="eastAsia"/>
        </w:rPr>
        <w:t>在内的服务交付</w:t>
      </w:r>
      <w:r>
        <w:rPr>
          <w:rFonts w:hint="eastAsia"/>
        </w:rPr>
        <w:t>，并</w:t>
      </w:r>
      <w:r w:rsidR="007B4385">
        <w:rPr>
          <w:rFonts w:hint="eastAsia"/>
        </w:rPr>
        <w:t>在中国工业和信息化部（</w:t>
      </w:r>
      <w:r w:rsidR="007B4385">
        <w:rPr>
          <w:rFonts w:hint="eastAsia"/>
        </w:rPr>
        <w:t>MIIT</w:t>
      </w:r>
      <w:r w:rsidR="007B4385">
        <w:rPr>
          <w:rFonts w:hint="eastAsia"/>
        </w:rPr>
        <w:t>）资助项目框架下</w:t>
      </w:r>
      <w:r>
        <w:rPr>
          <w:rFonts w:hint="eastAsia"/>
        </w:rPr>
        <w:t>开发了</w:t>
      </w:r>
      <w:hyperlink r:id="rId24" w:history="1">
        <w:r w:rsidRPr="00165432">
          <w:rPr>
            <w:rStyle w:val="Hyperlink"/>
            <w:rFonts w:hint="eastAsia"/>
          </w:rPr>
          <w:t>区域</w:t>
        </w:r>
        <w:r w:rsidR="00086D96">
          <w:rPr>
            <w:rStyle w:val="Hyperlink"/>
            <w:rFonts w:hint="eastAsia"/>
          </w:rPr>
          <w:t>性</w:t>
        </w:r>
        <w:r w:rsidRPr="00165432">
          <w:rPr>
            <w:rStyle w:val="Hyperlink"/>
            <w:rFonts w:hint="eastAsia"/>
          </w:rPr>
          <w:t>举措加速器</w:t>
        </w:r>
      </w:hyperlink>
      <w:r>
        <w:rPr>
          <w:rFonts w:hint="eastAsia"/>
        </w:rPr>
        <w:t>试点</w:t>
      </w:r>
      <w:r w:rsidR="007B4385">
        <w:rPr>
          <w:rFonts w:hint="eastAsia"/>
        </w:rPr>
        <w:t>项目</w:t>
      </w:r>
      <w:r>
        <w:rPr>
          <w:rFonts w:hint="eastAsia"/>
        </w:rPr>
        <w:t>。</w:t>
      </w:r>
    </w:p>
    <w:p w14:paraId="1E1D9D3B" w14:textId="4108557E" w:rsidR="007B4385" w:rsidRDefault="007B4385" w:rsidP="00596E92">
      <w:pPr>
        <w:ind w:firstLineChars="200" w:firstLine="480"/>
      </w:pPr>
      <w:r w:rsidRPr="007B4385">
        <w:rPr>
          <w:rFonts w:hint="eastAsia"/>
        </w:rPr>
        <w:t>此外，</w:t>
      </w:r>
      <w:r>
        <w:rPr>
          <w:rFonts w:hint="eastAsia"/>
        </w:rPr>
        <w:t>DT Lab</w:t>
      </w:r>
      <w:r w:rsidRPr="007B4385">
        <w:rPr>
          <w:rFonts w:hint="eastAsia"/>
        </w:rPr>
        <w:t>通过推动试点机制，支持阿拉伯国家区域</w:t>
      </w:r>
      <w:r>
        <w:rPr>
          <w:rFonts w:hint="eastAsia"/>
        </w:rPr>
        <w:t>代表</w:t>
      </w:r>
      <w:r w:rsidRPr="007B4385">
        <w:rPr>
          <w:rFonts w:hint="eastAsia"/>
        </w:rPr>
        <w:t>处，旨在利用前瞻方法为阿拉伯国家制定下一</w:t>
      </w:r>
      <w:r>
        <w:rPr>
          <w:rFonts w:hint="eastAsia"/>
        </w:rPr>
        <w:t>个</w:t>
      </w:r>
      <w:r w:rsidRPr="007B4385">
        <w:rPr>
          <w:rFonts w:hint="eastAsia"/>
        </w:rPr>
        <w:t>区域性</w:t>
      </w:r>
      <w:r>
        <w:rPr>
          <w:rFonts w:hint="eastAsia"/>
        </w:rPr>
        <w:t>举措</w:t>
      </w:r>
      <w:r w:rsidRPr="007B4385">
        <w:rPr>
          <w:rFonts w:hint="eastAsia"/>
        </w:rPr>
        <w:t>。</w:t>
      </w:r>
    </w:p>
    <w:p w14:paraId="4D0C60F5" w14:textId="65473231" w:rsidR="007B4385" w:rsidRPr="00165432" w:rsidRDefault="007B4385" w:rsidP="00D25151">
      <w:pPr>
        <w:pStyle w:val="Heading2"/>
        <w:rPr>
          <w:b w:val="0"/>
          <w:bCs/>
        </w:rPr>
      </w:pPr>
      <w:r w:rsidRPr="00D25151">
        <w:rPr>
          <w:rFonts w:hint="eastAsia"/>
        </w:rPr>
        <w:t>c)</w:t>
      </w:r>
      <w:r w:rsidRPr="00D25151">
        <w:tab/>
      </w:r>
      <w:r w:rsidRPr="00D25151">
        <w:t>加速中心网络</w:t>
      </w:r>
    </w:p>
    <w:p w14:paraId="09CCA192" w14:textId="58DA9284" w:rsidR="002064B9" w:rsidRDefault="002064B9" w:rsidP="00596E92">
      <w:pPr>
        <w:ind w:firstLineChars="200" w:firstLine="480"/>
      </w:pPr>
      <w:hyperlink r:id="rId25" w:history="1">
        <w:r w:rsidRPr="00165432">
          <w:rPr>
            <w:rStyle w:val="Hyperlink"/>
            <w:rFonts w:hint="eastAsia"/>
          </w:rPr>
          <w:t>国际电联加速中心</w:t>
        </w:r>
      </w:hyperlink>
      <w:r>
        <w:rPr>
          <w:rFonts w:hint="eastAsia"/>
        </w:rPr>
        <w:t>网络增强了全球、区域和国家的创新能力，利用技术、政策和旗舰举措的发展，同时促进当地的创新和创业，加速数字化转型。</w:t>
      </w:r>
    </w:p>
    <w:p w14:paraId="0A5F1172" w14:textId="511A2F52" w:rsidR="002064B9" w:rsidRDefault="002064B9" w:rsidP="00596E92">
      <w:pPr>
        <w:ind w:firstLineChars="200" w:firstLine="480"/>
      </w:pPr>
      <w:r>
        <w:rPr>
          <w:rFonts w:hint="eastAsia"/>
        </w:rPr>
        <w:t>2024</w:t>
      </w:r>
      <w:r>
        <w:rPr>
          <w:rFonts w:hint="eastAsia"/>
        </w:rPr>
        <w:t>年，电信发展局遴选了</w:t>
      </w:r>
      <w:hyperlink r:id="rId26" w:history="1">
        <w:r w:rsidRPr="00165432">
          <w:rPr>
            <w:rStyle w:val="Hyperlink"/>
            <w:rFonts w:hint="eastAsia"/>
          </w:rPr>
          <w:t>17</w:t>
        </w:r>
        <w:r w:rsidRPr="00165432">
          <w:rPr>
            <w:rStyle w:val="Hyperlink"/>
            <w:rFonts w:hint="eastAsia"/>
          </w:rPr>
          <w:t>家组织作为中心的承办单位</w:t>
        </w:r>
      </w:hyperlink>
      <w:r>
        <w:rPr>
          <w:rFonts w:hint="eastAsia"/>
        </w:rPr>
        <w:t>。每个被选定的组织都需要：</w:t>
      </w:r>
    </w:p>
    <w:p w14:paraId="7C2CE6C0" w14:textId="0DD39EB2" w:rsidR="002064B9" w:rsidRDefault="002064B9" w:rsidP="007915D2">
      <w:pPr>
        <w:pStyle w:val="enumlev1"/>
      </w:pPr>
      <w:r w:rsidRPr="00295B44">
        <w:rPr>
          <w:lang w:val="fr-CH"/>
        </w:rPr>
        <w:t>–</w:t>
      </w:r>
      <w:r>
        <w:rPr>
          <w:lang w:val="fr-CH"/>
        </w:rPr>
        <w:tab/>
      </w:r>
      <w:r>
        <w:rPr>
          <w:rFonts w:hint="eastAsia"/>
        </w:rPr>
        <w:t>与电信发展局签署合作协议，管理其中心的行为及其与国际电联的关系，</w:t>
      </w:r>
    </w:p>
    <w:p w14:paraId="619D579F" w14:textId="3D834BCE" w:rsidR="002064B9" w:rsidRDefault="002064B9" w:rsidP="007915D2">
      <w:pPr>
        <w:pStyle w:val="enumlev1"/>
      </w:pPr>
      <w:r w:rsidRPr="00295B44">
        <w:rPr>
          <w:lang w:val="fr-CH"/>
        </w:rPr>
        <w:t>–</w:t>
      </w:r>
      <w:r>
        <w:rPr>
          <w:lang w:val="fr-CH"/>
        </w:rPr>
        <w:tab/>
      </w:r>
      <w:r w:rsidRPr="002064B9">
        <w:rPr>
          <w:rFonts w:hint="eastAsia"/>
        </w:rPr>
        <w:t>拥有充足的财政和政治支持，以</w:t>
      </w:r>
      <w:r w:rsidR="00086D96">
        <w:rPr>
          <w:rFonts w:hint="eastAsia"/>
        </w:rPr>
        <w:t>启动</w:t>
      </w:r>
      <w:r w:rsidRPr="002064B9">
        <w:rPr>
          <w:rFonts w:hint="eastAsia"/>
        </w:rPr>
        <w:t>转型进程</w:t>
      </w:r>
      <w:r>
        <w:rPr>
          <w:rFonts w:hint="eastAsia"/>
        </w:rPr>
        <w:t>，以及</w:t>
      </w:r>
    </w:p>
    <w:p w14:paraId="6C3762F9" w14:textId="710003BC" w:rsidR="002064B9" w:rsidRDefault="002064B9" w:rsidP="007915D2">
      <w:pPr>
        <w:pStyle w:val="enumlev1"/>
      </w:pPr>
      <w:r w:rsidRPr="00295B44">
        <w:rPr>
          <w:lang w:val="fr-CH"/>
        </w:rPr>
        <w:t>–</w:t>
      </w:r>
      <w:r>
        <w:rPr>
          <w:lang w:val="fr-CH"/>
        </w:rPr>
        <w:tab/>
      </w:r>
      <w:r>
        <w:rPr>
          <w:rFonts w:hint="eastAsia"/>
        </w:rPr>
        <w:t>参与设计流程并获得国际电联在手册制定方面的能力建设支持，以实现其预期的战略目标。</w:t>
      </w:r>
    </w:p>
    <w:p w14:paraId="3E3E92D7" w14:textId="289C44B3" w:rsidR="007B4385" w:rsidRDefault="002064B9" w:rsidP="00596E92">
      <w:pPr>
        <w:ind w:firstLineChars="200" w:firstLine="480"/>
      </w:pPr>
      <w:r>
        <w:rPr>
          <w:rFonts w:hint="eastAsia"/>
        </w:rPr>
        <w:t>一些中心已经开始运作，并正在接受援助和后续支持，以确保其服务符合要求并且能顺利部署。值得注意的是，各中心在满足国际电联设定的条件后，会按照自身节奏</w:t>
      </w:r>
      <w:r w:rsidR="00086D96">
        <w:rPr>
          <w:rFonts w:hint="eastAsia"/>
        </w:rPr>
        <w:t>投入运行</w:t>
      </w:r>
      <w:r>
        <w:rPr>
          <w:rFonts w:hint="eastAsia"/>
        </w:rPr>
        <w:t>。</w:t>
      </w:r>
    </w:p>
    <w:p w14:paraId="3A1D9FA7" w14:textId="032250D5" w:rsidR="002064B9" w:rsidRDefault="002064B9" w:rsidP="00596E92">
      <w:pPr>
        <w:ind w:firstLineChars="200" w:firstLine="480"/>
      </w:pPr>
      <w:r>
        <w:rPr>
          <w:rFonts w:hint="eastAsia"/>
        </w:rPr>
        <w:t>电信发展局正在为中心会议提供支持，</w:t>
      </w:r>
      <w:r w:rsidR="003E2066">
        <w:rPr>
          <w:rFonts w:hint="eastAsia"/>
        </w:rPr>
        <w:t>帮助中心以联盟方法开展能力建设</w:t>
      </w:r>
      <w:r>
        <w:rPr>
          <w:rFonts w:hint="eastAsia"/>
        </w:rPr>
        <w:t>，</w:t>
      </w:r>
      <w:r w:rsidR="003E2066">
        <w:rPr>
          <w:rFonts w:hint="eastAsia"/>
        </w:rPr>
        <w:t>互相</w:t>
      </w:r>
      <w:r>
        <w:rPr>
          <w:rFonts w:hint="eastAsia"/>
        </w:rPr>
        <w:t>分享</w:t>
      </w:r>
      <w:r w:rsidR="003E2066">
        <w:rPr>
          <w:rFonts w:hint="eastAsia"/>
        </w:rPr>
        <w:t>实践与</w:t>
      </w:r>
      <w:r>
        <w:rPr>
          <w:rFonts w:hint="eastAsia"/>
        </w:rPr>
        <w:t>经验</w:t>
      </w:r>
      <w:r w:rsidR="003E2066">
        <w:rPr>
          <w:rFonts w:hint="eastAsia"/>
        </w:rPr>
        <w:t>，</w:t>
      </w:r>
      <w:r>
        <w:rPr>
          <w:rFonts w:hint="eastAsia"/>
        </w:rPr>
        <w:t>并发展伙伴关系：</w:t>
      </w:r>
    </w:p>
    <w:p w14:paraId="1D829652" w14:textId="57448A7E" w:rsidR="002064B9" w:rsidRDefault="002064B9" w:rsidP="002064B9">
      <w:r w:rsidRPr="00295B44">
        <w:rPr>
          <w:lang w:val="fr-CH"/>
        </w:rPr>
        <w:t>–</w:t>
      </w:r>
      <w:r>
        <w:rPr>
          <w:lang w:val="fr-CH"/>
        </w:rPr>
        <w:tab/>
      </w:r>
      <w:hyperlink r:id="rId27" w:history="1">
        <w:r w:rsidRPr="00165432">
          <w:rPr>
            <w:rStyle w:val="Hyperlink"/>
            <w:rFonts w:hint="eastAsia"/>
          </w:rPr>
          <w:t>加速中心网络第一次会议</w:t>
        </w:r>
      </w:hyperlink>
      <w:r>
        <w:rPr>
          <w:rFonts w:hint="eastAsia"/>
        </w:rPr>
        <w:t>于</w:t>
      </w:r>
      <w:r>
        <w:rPr>
          <w:rFonts w:hint="eastAsia"/>
        </w:rPr>
        <w:t>2024</w:t>
      </w:r>
      <w:r>
        <w:rPr>
          <w:rFonts w:hint="eastAsia"/>
        </w:rPr>
        <w:t>年</w:t>
      </w:r>
      <w:r>
        <w:rPr>
          <w:rFonts w:hint="eastAsia"/>
        </w:rPr>
        <w:t>3</w:t>
      </w:r>
      <w:r>
        <w:rPr>
          <w:rFonts w:hint="eastAsia"/>
        </w:rPr>
        <w:t>月</w:t>
      </w:r>
      <w:r>
        <w:rPr>
          <w:rFonts w:hint="eastAsia"/>
        </w:rPr>
        <w:t>4</w:t>
      </w:r>
      <w:r>
        <w:rPr>
          <w:rFonts w:hint="eastAsia"/>
        </w:rPr>
        <w:t>日至</w:t>
      </w:r>
      <w:r>
        <w:rPr>
          <w:rFonts w:hint="eastAsia"/>
        </w:rPr>
        <w:t>8</w:t>
      </w:r>
      <w:r>
        <w:rPr>
          <w:rFonts w:hint="eastAsia"/>
        </w:rPr>
        <w:t>日在阿联酋迪拜举行。</w:t>
      </w:r>
      <w:r w:rsidR="00165432">
        <w:fldChar w:fldCharType="begin"/>
      </w:r>
      <w:r w:rsidR="00165432">
        <w:rPr>
          <w:rFonts w:hint="eastAsia"/>
        </w:rPr>
        <w:instrText>HYPERLINK "https://www.itu.int/itu-d/sites/innovation-alliance/events/news/acceleration-centre-event-dubai/"</w:instrText>
      </w:r>
      <w:r w:rsidR="00165432">
        <w:fldChar w:fldCharType="separate"/>
      </w:r>
      <w:r w:rsidR="00086D96">
        <w:rPr>
          <w:rStyle w:val="Hyperlink"/>
          <w:rFonts w:hint="eastAsia"/>
        </w:rPr>
        <w:t>首</w:t>
      </w:r>
      <w:r w:rsidR="003E2066" w:rsidRPr="00165432">
        <w:rPr>
          <w:rStyle w:val="Hyperlink"/>
          <w:rFonts w:hint="eastAsia"/>
        </w:rPr>
        <w:t>次</w:t>
      </w:r>
      <w:r w:rsidRPr="00165432">
        <w:rPr>
          <w:rStyle w:val="Hyperlink"/>
          <w:rFonts w:hint="eastAsia"/>
        </w:rPr>
        <w:t>会议</w:t>
      </w:r>
      <w:r w:rsidR="00165432">
        <w:fldChar w:fldCharType="end"/>
      </w:r>
      <w:r>
        <w:rPr>
          <w:rFonts w:hint="eastAsia"/>
        </w:rPr>
        <w:t>期间，各中心了解了设计和运</w:t>
      </w:r>
      <w:r w:rsidR="00086D96">
        <w:rPr>
          <w:rFonts w:hint="eastAsia"/>
        </w:rPr>
        <w:t>作</w:t>
      </w:r>
      <w:r>
        <w:rPr>
          <w:rFonts w:hint="eastAsia"/>
        </w:rPr>
        <w:t>框架，确定了合作领域，并启动了在战略展望和生态系统举措发展领域实施服务交付所需的能力建设活动。</w:t>
      </w:r>
    </w:p>
    <w:p w14:paraId="35CD9AA9" w14:textId="7B81FA3B" w:rsidR="002064B9" w:rsidRDefault="002064B9" w:rsidP="007915D2">
      <w:pPr>
        <w:pStyle w:val="enumlev1"/>
      </w:pPr>
      <w:r w:rsidRPr="00295B44">
        <w:rPr>
          <w:lang w:val="fr-CH"/>
        </w:rPr>
        <w:t>–</w:t>
      </w:r>
      <w:r>
        <w:rPr>
          <w:lang w:val="fr-CH"/>
        </w:rPr>
        <w:tab/>
      </w:r>
      <w:hyperlink r:id="rId28" w:history="1">
        <w:r w:rsidR="00ED1A52" w:rsidRPr="00165432">
          <w:rPr>
            <w:rStyle w:val="Hyperlink"/>
            <w:rFonts w:hint="eastAsia"/>
          </w:rPr>
          <w:t>加速中心网络第二次会议</w:t>
        </w:r>
      </w:hyperlink>
      <w:r>
        <w:rPr>
          <w:rFonts w:hint="eastAsia"/>
        </w:rPr>
        <w:t>在</w:t>
      </w:r>
      <w:hyperlink r:id="rId29" w:history="1">
        <w:r w:rsidRPr="00165432">
          <w:rPr>
            <w:rStyle w:val="Hyperlink"/>
            <w:rFonts w:hint="eastAsia"/>
          </w:rPr>
          <w:t>2024</w:t>
        </w:r>
        <w:r w:rsidRPr="00165432">
          <w:rPr>
            <w:rStyle w:val="Hyperlink"/>
            <w:rFonts w:hint="eastAsia"/>
          </w:rPr>
          <w:t>年全球创新论坛</w:t>
        </w:r>
      </w:hyperlink>
      <w:r>
        <w:rPr>
          <w:rFonts w:hint="eastAsia"/>
        </w:rPr>
        <w:t>期间，于</w:t>
      </w:r>
      <w:r>
        <w:rPr>
          <w:rFonts w:hint="eastAsia"/>
        </w:rPr>
        <w:t>2024</w:t>
      </w:r>
      <w:r>
        <w:rPr>
          <w:rFonts w:hint="eastAsia"/>
        </w:rPr>
        <w:t>年</w:t>
      </w:r>
      <w:r>
        <w:rPr>
          <w:rFonts w:hint="eastAsia"/>
        </w:rPr>
        <w:t>10</w:t>
      </w:r>
      <w:r>
        <w:rPr>
          <w:rFonts w:hint="eastAsia"/>
        </w:rPr>
        <w:t>月</w:t>
      </w:r>
      <w:r>
        <w:rPr>
          <w:rFonts w:hint="eastAsia"/>
        </w:rPr>
        <w:t>28</w:t>
      </w:r>
      <w:r>
        <w:rPr>
          <w:rFonts w:hint="eastAsia"/>
        </w:rPr>
        <w:t>日至</w:t>
      </w:r>
      <w:r>
        <w:rPr>
          <w:rFonts w:hint="eastAsia"/>
        </w:rPr>
        <w:t>30</w:t>
      </w:r>
      <w:r>
        <w:rPr>
          <w:rFonts w:hint="eastAsia"/>
        </w:rPr>
        <w:t>日在马耳他瓦莱塔举行。在这次会议期间，各中心的代表汇聚一堂，</w:t>
      </w:r>
      <w:r w:rsidR="00ED1A52">
        <w:rPr>
          <w:rFonts w:hint="eastAsia"/>
        </w:rPr>
        <w:t>审议</w:t>
      </w:r>
      <w:r>
        <w:rPr>
          <w:rFonts w:hint="eastAsia"/>
        </w:rPr>
        <w:t>进展情</w:t>
      </w:r>
      <w:r>
        <w:rPr>
          <w:rFonts w:hint="eastAsia"/>
        </w:rPr>
        <w:lastRenderedPageBreak/>
        <w:t>况，</w:t>
      </w:r>
      <w:r w:rsidR="0074087D">
        <w:rPr>
          <w:rFonts w:hint="eastAsia"/>
        </w:rPr>
        <w:t>确定</w:t>
      </w:r>
      <w:r>
        <w:rPr>
          <w:rFonts w:hint="eastAsia"/>
        </w:rPr>
        <w:t>挑战并探索解决方案，以确保中心的可持续性及其与国际电联区域性举措的一致性。</w:t>
      </w:r>
    </w:p>
    <w:p w14:paraId="36D2815D" w14:textId="5A94443A" w:rsidR="002064B9" w:rsidRDefault="002064B9" w:rsidP="007915D2">
      <w:pPr>
        <w:pStyle w:val="enumlev1"/>
      </w:pPr>
      <w:r w:rsidRPr="00295B44">
        <w:rPr>
          <w:lang w:val="fr-CH"/>
        </w:rPr>
        <w:t>–</w:t>
      </w:r>
      <w:r>
        <w:rPr>
          <w:lang w:val="fr-CH"/>
        </w:rPr>
        <w:tab/>
      </w:r>
      <w:hyperlink r:id="rId30" w:history="1">
        <w:r w:rsidRPr="00165432">
          <w:rPr>
            <w:rStyle w:val="Hyperlink"/>
            <w:rFonts w:hint="eastAsia"/>
          </w:rPr>
          <w:t>加速中心网络第三次会议</w:t>
        </w:r>
      </w:hyperlink>
      <w:r>
        <w:rPr>
          <w:rFonts w:hint="eastAsia"/>
        </w:rPr>
        <w:t>于</w:t>
      </w:r>
      <w:r>
        <w:rPr>
          <w:rFonts w:hint="eastAsia"/>
        </w:rPr>
        <w:t>2025</w:t>
      </w:r>
      <w:r>
        <w:rPr>
          <w:rFonts w:hint="eastAsia"/>
        </w:rPr>
        <w:t>年</w:t>
      </w:r>
      <w:r>
        <w:rPr>
          <w:rFonts w:hint="eastAsia"/>
        </w:rPr>
        <w:t>8</w:t>
      </w:r>
      <w:r>
        <w:rPr>
          <w:rFonts w:hint="eastAsia"/>
        </w:rPr>
        <w:t>月</w:t>
      </w:r>
      <w:r>
        <w:rPr>
          <w:rFonts w:hint="eastAsia"/>
        </w:rPr>
        <w:t>18-22</w:t>
      </w:r>
      <w:r>
        <w:rPr>
          <w:rFonts w:hint="eastAsia"/>
        </w:rPr>
        <w:t>日在阿联酋迪拜举行。在这次会议期间，各中心审议了其活动运作的进展</w:t>
      </w:r>
      <w:r w:rsidR="00ED1A52">
        <w:rPr>
          <w:rFonts w:hint="eastAsia"/>
        </w:rPr>
        <w:t>情况</w:t>
      </w:r>
      <w:r>
        <w:rPr>
          <w:rFonts w:hint="eastAsia"/>
        </w:rPr>
        <w:t>，探讨了与网络内其他中心</w:t>
      </w:r>
      <w:r w:rsidR="00ED1A52">
        <w:rPr>
          <w:rFonts w:hint="eastAsia"/>
        </w:rPr>
        <w:t>协作</w:t>
      </w:r>
      <w:r>
        <w:rPr>
          <w:rFonts w:hint="eastAsia"/>
        </w:rPr>
        <w:t>的机会，并建设了政策实验能力，以加强服务交付。</w:t>
      </w:r>
    </w:p>
    <w:p w14:paraId="465ACE63" w14:textId="068C6128" w:rsidR="00ED1A52" w:rsidRPr="007915D2" w:rsidRDefault="00ED1A52" w:rsidP="007915D2">
      <w:pPr>
        <w:pStyle w:val="Heading2"/>
      </w:pPr>
      <w:r w:rsidRPr="007915D2">
        <w:rPr>
          <w:rFonts w:hint="eastAsia"/>
        </w:rPr>
        <w:t>d)</w:t>
      </w:r>
      <w:r w:rsidRPr="007915D2">
        <w:tab/>
      </w:r>
      <w:r w:rsidRPr="007915D2">
        <w:rPr>
          <w:rFonts w:hint="eastAsia"/>
        </w:rPr>
        <w:t>专家网络</w:t>
      </w:r>
    </w:p>
    <w:p w14:paraId="5E46FAD3" w14:textId="5BB8779E" w:rsidR="00ED1A52" w:rsidRDefault="00ED1A52" w:rsidP="00596E92">
      <w:pPr>
        <w:ind w:firstLineChars="200" w:firstLine="480"/>
      </w:pPr>
      <w:r w:rsidRPr="00ED1A52">
        <w:rPr>
          <w:rFonts w:hint="eastAsia"/>
        </w:rPr>
        <w:t>2025</w:t>
      </w:r>
      <w:r w:rsidRPr="00ED1A52">
        <w:rPr>
          <w:rFonts w:hint="eastAsia"/>
        </w:rPr>
        <w:t>年</w:t>
      </w:r>
      <w:r w:rsidRPr="00ED1A52">
        <w:rPr>
          <w:rFonts w:hint="eastAsia"/>
        </w:rPr>
        <w:t>7</w:t>
      </w:r>
      <w:r w:rsidRPr="00ED1A52">
        <w:rPr>
          <w:rFonts w:hint="eastAsia"/>
        </w:rPr>
        <w:t>月，电信发展局启动了</w:t>
      </w:r>
      <w:r w:rsidR="00165432">
        <w:fldChar w:fldCharType="begin"/>
      </w:r>
      <w:r w:rsidR="00596E92">
        <w:instrText>HYPERLINK "https://www.itu.int/itu-d/sites/innovation-alliance/"</w:instrText>
      </w:r>
      <w:r w:rsidR="00165432">
        <w:fldChar w:fldCharType="separate"/>
      </w:r>
      <w:r w:rsidRPr="00165432">
        <w:rPr>
          <w:rStyle w:val="Hyperlink"/>
          <w:rFonts w:hint="eastAsia"/>
        </w:rPr>
        <w:t>数字化发展创新和创业联盟</w:t>
      </w:r>
      <w:r w:rsidR="00165432">
        <w:fldChar w:fldCharType="end"/>
      </w:r>
      <w:r w:rsidR="00596E92">
        <w:rPr>
          <w:rFonts w:hint="eastAsia"/>
        </w:rPr>
        <w:t>的</w:t>
      </w:r>
      <w:hyperlink r:id="rId31" w:history="1">
        <w:r w:rsidRPr="00165432">
          <w:rPr>
            <w:rStyle w:val="Hyperlink"/>
            <w:rFonts w:hint="eastAsia"/>
          </w:rPr>
          <w:t>专家网络</w:t>
        </w:r>
      </w:hyperlink>
      <w:r w:rsidRPr="00ED1A52">
        <w:rPr>
          <w:rFonts w:hint="eastAsia"/>
        </w:rPr>
        <w:t>。专家网络是一个由专业知识驱动的全球协作社区，促进知识、工具的获取、同行互学以及</w:t>
      </w:r>
      <w:r>
        <w:rPr>
          <w:rFonts w:hint="eastAsia"/>
        </w:rPr>
        <w:t>协作</w:t>
      </w:r>
      <w:r w:rsidRPr="00ED1A52">
        <w:rPr>
          <w:rFonts w:hint="eastAsia"/>
        </w:rPr>
        <w:t>和联合行动的机会。</w:t>
      </w:r>
      <w:r>
        <w:rPr>
          <w:rFonts w:hint="eastAsia"/>
        </w:rPr>
        <w:t>该网络</w:t>
      </w:r>
      <w:r w:rsidRPr="00ED1A52">
        <w:rPr>
          <w:rFonts w:hint="eastAsia"/>
        </w:rPr>
        <w:t>汇集了来自加速中心网络、数字创新委员会、数字化转型实验室的</w:t>
      </w:r>
      <w:r w:rsidRPr="00ED1A52">
        <w:rPr>
          <w:rFonts w:hint="eastAsia"/>
        </w:rPr>
        <w:t>75</w:t>
      </w:r>
      <w:r w:rsidRPr="00ED1A52">
        <w:rPr>
          <w:rFonts w:hint="eastAsia"/>
        </w:rPr>
        <w:t>位</w:t>
      </w:r>
      <w:r w:rsidR="00E866EE">
        <w:rPr>
          <w:rFonts w:hint="eastAsia"/>
        </w:rPr>
        <w:t>以上的</w:t>
      </w:r>
      <w:r w:rsidRPr="00ED1A52">
        <w:rPr>
          <w:rFonts w:hint="eastAsia"/>
        </w:rPr>
        <w:t>专家以及特定</w:t>
      </w:r>
      <w:r w:rsidR="006C2CFE">
        <w:rPr>
          <w:rFonts w:hint="eastAsia"/>
        </w:rPr>
        <w:t>协作</w:t>
      </w:r>
      <w:r w:rsidRPr="00ED1A52">
        <w:rPr>
          <w:rFonts w:hint="eastAsia"/>
        </w:rPr>
        <w:t>领域的其他专家，通过协作、头脑风暴和知识交流来支持数字创新委员会决策的落实。</w:t>
      </w:r>
    </w:p>
    <w:p w14:paraId="46E41B40" w14:textId="007E2D89" w:rsidR="00E866EE" w:rsidRDefault="00E866EE" w:rsidP="00596E92">
      <w:pPr>
        <w:ind w:firstLineChars="200" w:firstLine="480"/>
      </w:pPr>
      <w:r>
        <w:rPr>
          <w:rFonts w:hint="eastAsia"/>
        </w:rPr>
        <w:t>这些专家在七个与联盟战略目标相一致的协作领域开展工作，每个领域都由一组对该特定专业领域感兴趣的</w:t>
      </w:r>
      <w:r w:rsidR="006C2CFE">
        <w:rPr>
          <w:rFonts w:hint="eastAsia"/>
        </w:rPr>
        <w:t>委员会</w:t>
      </w:r>
      <w:r>
        <w:rPr>
          <w:rFonts w:hint="eastAsia"/>
        </w:rPr>
        <w:t>成员监督。七个合作领域</w:t>
      </w:r>
      <w:r w:rsidR="006C2CFE">
        <w:rPr>
          <w:rFonts w:hint="eastAsia"/>
        </w:rPr>
        <w:t>分别为</w:t>
      </w:r>
      <w:r w:rsidRPr="00165432">
        <w:rPr>
          <w:rFonts w:hint="eastAsia"/>
          <w:b/>
          <w:bCs/>
        </w:rPr>
        <w:t>战略前瞻、生态系统举措制定、政策实验、初创企业和</w:t>
      </w:r>
      <w:r w:rsidR="006C2CFE" w:rsidRPr="00165432">
        <w:rPr>
          <w:rFonts w:hint="eastAsia"/>
          <w:b/>
          <w:bCs/>
        </w:rPr>
        <w:t>SME</w:t>
      </w:r>
      <w:r w:rsidRPr="00165432">
        <w:rPr>
          <w:rFonts w:hint="eastAsia"/>
          <w:b/>
          <w:bCs/>
        </w:rPr>
        <w:t>增长、开放式技术创新、资源筹措和战略沟通。</w:t>
      </w:r>
    </w:p>
    <w:p w14:paraId="009B056F" w14:textId="408041EF" w:rsidR="00E866EE" w:rsidRDefault="00E866EE" w:rsidP="00596E92">
      <w:pPr>
        <w:ind w:firstLineChars="200" w:firstLine="480"/>
      </w:pPr>
      <w:r>
        <w:rPr>
          <w:rFonts w:hint="eastAsia"/>
        </w:rPr>
        <w:t>在</w:t>
      </w:r>
      <w:r w:rsidR="00165432">
        <w:fldChar w:fldCharType="begin"/>
      </w:r>
      <w:r w:rsidR="00165432">
        <w:rPr>
          <w:rFonts w:hint="eastAsia"/>
        </w:rPr>
        <w:instrText>HYPERLINK "https://www.itu.int/itu-d/sites/innovation-alliance/third-meeting-of-the-digital-innovation-board/"</w:instrText>
      </w:r>
      <w:r w:rsidR="00165432">
        <w:fldChar w:fldCharType="separate"/>
      </w:r>
      <w:r w:rsidRPr="00165432">
        <w:rPr>
          <w:rStyle w:val="Hyperlink"/>
          <w:rFonts w:hint="eastAsia"/>
        </w:rPr>
        <w:t>第三次数字创新委员会</w:t>
      </w:r>
      <w:r w:rsidR="00165432">
        <w:fldChar w:fldCharType="end"/>
      </w:r>
      <w:r>
        <w:rPr>
          <w:rFonts w:hint="eastAsia"/>
        </w:rPr>
        <w:t>会议上，专家们介绍了他们在</w:t>
      </w:r>
      <w:r w:rsidR="006C2CFE">
        <w:rPr>
          <w:rFonts w:hint="eastAsia"/>
        </w:rPr>
        <w:t>协作</w:t>
      </w:r>
      <w:r>
        <w:rPr>
          <w:rFonts w:hint="eastAsia"/>
        </w:rPr>
        <w:t>领域的</w:t>
      </w:r>
      <w:r w:rsidR="006C2CFE">
        <w:rPr>
          <w:rFonts w:hint="eastAsia"/>
        </w:rPr>
        <w:t>期望</w:t>
      </w:r>
      <w:r>
        <w:rPr>
          <w:rFonts w:hint="eastAsia"/>
        </w:rPr>
        <w:t>和挑战，并得到了委员会成员的明确指导，以增强联盟的影响力。这些具体的行动计划将指导他们</w:t>
      </w:r>
      <w:r w:rsidR="006C2CFE">
        <w:rPr>
          <w:rFonts w:hint="eastAsia"/>
        </w:rPr>
        <w:t>努力</w:t>
      </w:r>
      <w:r>
        <w:rPr>
          <w:rFonts w:hint="eastAsia"/>
        </w:rPr>
        <w:t>进一步加强联盟。</w:t>
      </w:r>
    </w:p>
    <w:p w14:paraId="7738E2C1" w14:textId="2CD085F5" w:rsidR="006C2CFE" w:rsidRPr="007915D2" w:rsidRDefault="006C2CFE" w:rsidP="007915D2">
      <w:pPr>
        <w:pStyle w:val="Heading2"/>
      </w:pPr>
      <w:r w:rsidRPr="007915D2">
        <w:rPr>
          <w:rFonts w:hint="eastAsia"/>
        </w:rPr>
        <w:t>e)</w:t>
      </w:r>
      <w:r w:rsidRPr="007915D2">
        <w:tab/>
      </w:r>
      <w:r w:rsidR="0057341D" w:rsidRPr="007915D2">
        <w:rPr>
          <w:rFonts w:hint="eastAsia"/>
        </w:rPr>
        <w:t>前瞻简报系列</w:t>
      </w:r>
    </w:p>
    <w:p w14:paraId="7BEC79ED" w14:textId="4469B04E" w:rsidR="006C2CFE" w:rsidRDefault="006C2CFE" w:rsidP="00596E92">
      <w:pPr>
        <w:ind w:firstLineChars="200" w:firstLine="480"/>
      </w:pPr>
      <w:r>
        <w:rPr>
          <w:rFonts w:hint="eastAsia"/>
        </w:rPr>
        <w:t>根据数字创新</w:t>
      </w:r>
      <w:r w:rsidR="0057341D">
        <w:rPr>
          <w:rFonts w:hint="eastAsia"/>
        </w:rPr>
        <w:t>委员会</w:t>
      </w:r>
      <w:r>
        <w:rPr>
          <w:rFonts w:hint="eastAsia"/>
        </w:rPr>
        <w:t>的战略前瞻系列工作</w:t>
      </w:r>
      <w:r w:rsidR="0057341D">
        <w:rPr>
          <w:rFonts w:hint="eastAsia"/>
        </w:rPr>
        <w:t>领域</w:t>
      </w:r>
      <w:r>
        <w:rPr>
          <w:rFonts w:hint="eastAsia"/>
        </w:rPr>
        <w:t>，电信发展局开发并推出了新的战略前瞻能力，以帮助国际电联成员建设</w:t>
      </w:r>
      <w:r w:rsidR="0057341D">
        <w:rPr>
          <w:rFonts w:hint="eastAsia"/>
        </w:rPr>
        <w:t>未来思维</w:t>
      </w:r>
      <w:r>
        <w:rPr>
          <w:rFonts w:hint="eastAsia"/>
        </w:rPr>
        <w:t>能力</w:t>
      </w:r>
      <w:r w:rsidR="0057341D">
        <w:rPr>
          <w:rFonts w:hint="eastAsia"/>
        </w:rPr>
        <w:t>，保持前瞻优势</w:t>
      </w:r>
      <w:r>
        <w:rPr>
          <w:rFonts w:hint="eastAsia"/>
        </w:rPr>
        <w:t>。</w:t>
      </w:r>
    </w:p>
    <w:p w14:paraId="3A0E74CE" w14:textId="64837636" w:rsidR="006C2CFE" w:rsidRDefault="006C2CFE" w:rsidP="00596E92">
      <w:pPr>
        <w:ind w:firstLineChars="200" w:firstLine="480"/>
      </w:pPr>
      <w:r>
        <w:rPr>
          <w:rFonts w:hint="eastAsia"/>
        </w:rPr>
        <w:t>在</w:t>
      </w:r>
      <w:r>
        <w:rPr>
          <w:rFonts w:hint="eastAsia"/>
        </w:rPr>
        <w:t>2025</w:t>
      </w:r>
      <w:r>
        <w:rPr>
          <w:rFonts w:hint="eastAsia"/>
        </w:rPr>
        <w:t>年</w:t>
      </w:r>
      <w:r>
        <w:rPr>
          <w:rFonts w:hint="eastAsia"/>
        </w:rPr>
        <w:t>10</w:t>
      </w:r>
      <w:r>
        <w:rPr>
          <w:rFonts w:hint="eastAsia"/>
        </w:rPr>
        <w:t>月的</w:t>
      </w:r>
      <w:r w:rsidR="0057341D">
        <w:rPr>
          <w:rFonts w:hint="eastAsia"/>
        </w:rPr>
        <w:t>委员会</w:t>
      </w:r>
      <w:r>
        <w:rPr>
          <w:rFonts w:hint="eastAsia"/>
        </w:rPr>
        <w:t>会议上，</w:t>
      </w:r>
      <w:hyperlink r:id="rId32" w:history="1">
        <w:r w:rsidRPr="00165432">
          <w:rPr>
            <w:rStyle w:val="Hyperlink"/>
            <w:rFonts w:hint="eastAsia"/>
          </w:rPr>
          <w:t>前瞻简报系列</w:t>
        </w:r>
      </w:hyperlink>
      <w:r>
        <w:rPr>
          <w:rFonts w:hint="eastAsia"/>
        </w:rPr>
        <w:t>发布了五份报告：</w:t>
      </w:r>
    </w:p>
    <w:p w14:paraId="57A3D87A" w14:textId="1DF3ECDC" w:rsidR="006C2CFE" w:rsidRDefault="006C2CFE" w:rsidP="00006BB3">
      <w:pPr>
        <w:pStyle w:val="enumlev1"/>
      </w:pPr>
      <w:r>
        <w:rPr>
          <w:rFonts w:hint="eastAsia"/>
        </w:rPr>
        <w:t>1</w:t>
      </w:r>
      <w:r w:rsidR="00DF0B5D">
        <w:rPr>
          <w:rFonts w:hint="eastAsia"/>
        </w:rPr>
        <w:t>)</w:t>
      </w:r>
      <w:r w:rsidR="00DF0B5D">
        <w:tab/>
      </w:r>
      <w:hyperlink r:id="rId33" w:history="1">
        <w:r w:rsidRPr="00165432">
          <w:rPr>
            <w:rStyle w:val="Hyperlink"/>
            <w:rFonts w:hint="eastAsia"/>
          </w:rPr>
          <w:t>塑造</w:t>
        </w:r>
        <w:r w:rsidR="00DF0B5D" w:rsidRPr="00165432">
          <w:rPr>
            <w:rStyle w:val="Hyperlink"/>
            <w:rFonts w:hint="eastAsia"/>
          </w:rPr>
          <w:t>面向</w:t>
        </w:r>
        <w:r w:rsidRPr="00165432">
          <w:rPr>
            <w:rStyle w:val="Hyperlink"/>
            <w:rFonts w:hint="eastAsia"/>
          </w:rPr>
          <w:t>未来的教育</w:t>
        </w:r>
      </w:hyperlink>
      <w:r>
        <w:rPr>
          <w:rFonts w:hint="eastAsia"/>
        </w:rPr>
        <w:t>，</w:t>
      </w:r>
    </w:p>
    <w:p w14:paraId="43B4B1C3" w14:textId="5DE5E8E9" w:rsidR="006C2CFE" w:rsidRDefault="006C2CFE" w:rsidP="00006BB3">
      <w:pPr>
        <w:pStyle w:val="enumlev1"/>
      </w:pPr>
      <w:r>
        <w:rPr>
          <w:rFonts w:hint="eastAsia"/>
        </w:rPr>
        <w:t>2</w:t>
      </w:r>
      <w:r w:rsidR="00DF0B5D">
        <w:rPr>
          <w:rFonts w:hint="eastAsia"/>
        </w:rPr>
        <w:t>)</w:t>
      </w:r>
      <w:r w:rsidR="00DF0B5D">
        <w:tab/>
      </w:r>
      <w:hyperlink r:id="rId34" w:history="1">
        <w:r w:rsidRPr="00165432">
          <w:rPr>
            <w:rStyle w:val="Hyperlink"/>
            <w:rFonts w:hint="eastAsia"/>
          </w:rPr>
          <w:t>塑造初创企业和中小企业的未来</w:t>
        </w:r>
      </w:hyperlink>
      <w:r>
        <w:rPr>
          <w:rFonts w:hint="eastAsia"/>
        </w:rPr>
        <w:t>，</w:t>
      </w:r>
    </w:p>
    <w:p w14:paraId="06145FD5" w14:textId="27EA1F97" w:rsidR="006C2CFE" w:rsidRDefault="006C2CFE" w:rsidP="00006BB3">
      <w:pPr>
        <w:pStyle w:val="enumlev1"/>
      </w:pPr>
      <w:r>
        <w:rPr>
          <w:rFonts w:hint="eastAsia"/>
        </w:rPr>
        <w:t>3</w:t>
      </w:r>
      <w:r w:rsidR="00DF0B5D">
        <w:rPr>
          <w:rFonts w:hint="eastAsia"/>
        </w:rPr>
        <w:t>)</w:t>
      </w:r>
      <w:r w:rsidR="00DF0B5D">
        <w:tab/>
      </w:r>
      <w:hyperlink r:id="rId35" w:history="1">
        <w:r w:rsidRPr="00165432">
          <w:rPr>
            <w:rStyle w:val="Hyperlink"/>
            <w:rFonts w:hint="eastAsia"/>
          </w:rPr>
          <w:t>塑造非洲风险投资格局的未来</w:t>
        </w:r>
      </w:hyperlink>
      <w:r>
        <w:rPr>
          <w:rFonts w:hint="eastAsia"/>
        </w:rPr>
        <w:t>，</w:t>
      </w:r>
    </w:p>
    <w:p w14:paraId="56AD27A0" w14:textId="251FE520" w:rsidR="006C2CFE" w:rsidRDefault="006C2CFE" w:rsidP="00006BB3">
      <w:pPr>
        <w:pStyle w:val="enumlev1"/>
      </w:pPr>
      <w:r>
        <w:rPr>
          <w:rFonts w:hint="eastAsia"/>
        </w:rPr>
        <w:t>4</w:t>
      </w:r>
      <w:r w:rsidR="00DF0B5D">
        <w:rPr>
          <w:rFonts w:hint="eastAsia"/>
        </w:rPr>
        <w:t>)</w:t>
      </w:r>
      <w:r w:rsidR="00DF0B5D">
        <w:tab/>
      </w:r>
      <w:hyperlink r:id="rId36" w:history="1">
        <w:r w:rsidRPr="00165432">
          <w:rPr>
            <w:rStyle w:val="Hyperlink"/>
            <w:rFonts w:hint="eastAsia"/>
          </w:rPr>
          <w:t>创建更</w:t>
        </w:r>
        <w:r w:rsidR="0074087D">
          <w:rPr>
            <w:rStyle w:val="Hyperlink"/>
            <w:rFonts w:hint="eastAsia"/>
          </w:rPr>
          <w:t>智慧</w:t>
        </w:r>
        <w:r w:rsidRPr="00165432">
          <w:rPr>
            <w:rStyle w:val="Hyperlink"/>
            <w:rFonts w:hint="eastAsia"/>
          </w:rPr>
          <w:t>的城市，以及</w:t>
        </w:r>
      </w:hyperlink>
    </w:p>
    <w:p w14:paraId="4BD5F646" w14:textId="19A3419E" w:rsidR="006C2CFE" w:rsidRDefault="006C2CFE" w:rsidP="00006BB3">
      <w:pPr>
        <w:pStyle w:val="enumlev1"/>
      </w:pPr>
      <w:r>
        <w:rPr>
          <w:rFonts w:hint="eastAsia"/>
        </w:rPr>
        <w:t>5</w:t>
      </w:r>
      <w:r w:rsidR="00DF0B5D">
        <w:rPr>
          <w:rFonts w:hint="eastAsia"/>
        </w:rPr>
        <w:t>)</w:t>
      </w:r>
      <w:r w:rsidR="00DF0B5D">
        <w:tab/>
      </w:r>
      <w:hyperlink r:id="rId37" w:history="1">
        <w:r w:rsidR="0074087D" w:rsidRPr="0074087D">
          <w:rPr>
            <w:rStyle w:val="Hyperlink"/>
            <w:rFonts w:hint="eastAsia"/>
          </w:rPr>
          <w:t>变革</w:t>
        </w:r>
        <w:r w:rsidRPr="00165432">
          <w:rPr>
            <w:rStyle w:val="Hyperlink"/>
            <w:rFonts w:hint="eastAsia"/>
          </w:rPr>
          <w:t>未来的医疗保健。</w:t>
        </w:r>
      </w:hyperlink>
    </w:p>
    <w:p w14:paraId="2D0B0388" w14:textId="324C604D" w:rsidR="006C2CFE" w:rsidRDefault="006C2CFE" w:rsidP="00596E92">
      <w:pPr>
        <w:ind w:firstLineChars="200" w:firstLine="480"/>
      </w:pPr>
      <w:r>
        <w:rPr>
          <w:rFonts w:hint="eastAsia"/>
        </w:rPr>
        <w:t>电信发展局</w:t>
      </w:r>
      <w:r w:rsidR="00DF0B5D">
        <w:rPr>
          <w:rFonts w:hint="eastAsia"/>
        </w:rPr>
        <w:t>通过</w:t>
      </w:r>
      <w:hyperlink r:id="rId38" w:history="1">
        <w:r w:rsidRPr="00165432">
          <w:rPr>
            <w:rStyle w:val="Hyperlink"/>
            <w:rFonts w:hint="eastAsia"/>
          </w:rPr>
          <w:t>战略</w:t>
        </w:r>
        <w:r w:rsidR="009D1D68">
          <w:rPr>
            <w:rStyle w:val="Hyperlink"/>
            <w:rFonts w:hint="eastAsia"/>
          </w:rPr>
          <w:t>性</w:t>
        </w:r>
        <w:r w:rsidRPr="00165432">
          <w:rPr>
            <w:rStyle w:val="Hyperlink"/>
            <w:rFonts w:hint="eastAsia"/>
          </w:rPr>
          <w:t>前瞻</w:t>
        </w:r>
      </w:hyperlink>
      <w:r>
        <w:rPr>
          <w:rFonts w:hint="eastAsia"/>
        </w:rPr>
        <w:t>手册</w:t>
      </w:r>
      <w:r w:rsidR="00DF0B5D">
        <w:rPr>
          <w:rFonts w:hint="eastAsia"/>
        </w:rPr>
        <w:t>提供的前瞻方法</w:t>
      </w:r>
      <w:r>
        <w:rPr>
          <w:rFonts w:hint="eastAsia"/>
        </w:rPr>
        <w:t>，支持国际电联成员加快数字化转型，促进创新，并以前瞻性的见解调整国家发展议程。</w:t>
      </w:r>
    </w:p>
    <w:p w14:paraId="0286F524" w14:textId="24B80C5E" w:rsidR="00DF0B5D" w:rsidRPr="00165432" w:rsidRDefault="00DF0B5D" w:rsidP="00006BB3">
      <w:pPr>
        <w:pStyle w:val="Heading2"/>
        <w:rPr>
          <w:b w:val="0"/>
          <w:bCs/>
        </w:rPr>
      </w:pPr>
      <w:r w:rsidRPr="00006BB3">
        <w:rPr>
          <w:rFonts w:hint="eastAsia"/>
        </w:rPr>
        <w:t>f)</w:t>
      </w:r>
      <w:r w:rsidRPr="00006BB3">
        <w:tab/>
      </w:r>
      <w:r w:rsidRPr="00006BB3">
        <w:rPr>
          <w:rFonts w:hint="eastAsia"/>
        </w:rPr>
        <w:t>区域性举措加速器</w:t>
      </w:r>
    </w:p>
    <w:p w14:paraId="7F783079" w14:textId="6856AF6A" w:rsidR="00DF0B5D" w:rsidRDefault="00DF0B5D" w:rsidP="00596E92">
      <w:pPr>
        <w:ind w:firstLineChars="200" w:firstLine="480"/>
      </w:pPr>
      <w:r>
        <w:rPr>
          <w:rFonts w:hint="eastAsia"/>
        </w:rPr>
        <w:t>在中国工业和信息化部（</w:t>
      </w:r>
      <w:r>
        <w:rPr>
          <w:rFonts w:hint="eastAsia"/>
        </w:rPr>
        <w:t>MIIT</w:t>
      </w:r>
      <w:r>
        <w:rPr>
          <w:rFonts w:hint="eastAsia"/>
        </w:rPr>
        <w:t>）的资金支持下，电信发展局设立了</w:t>
      </w:r>
      <w:r w:rsidR="00165432">
        <w:fldChar w:fldCharType="begin"/>
      </w:r>
      <w:r w:rsidR="00165432">
        <w:rPr>
          <w:rFonts w:hint="eastAsia"/>
        </w:rPr>
        <w:instrText>HYPERLINK "https://www.itu.int/en/ITU-D/Innovation/Pages/RIA/Regional-Initiative-Accelerator.aspx"</w:instrText>
      </w:r>
      <w:r w:rsidR="00165432">
        <w:fldChar w:fldCharType="separate"/>
      </w:r>
      <w:r w:rsidRPr="00165432">
        <w:rPr>
          <w:rStyle w:val="Hyperlink"/>
          <w:rFonts w:hint="eastAsia"/>
        </w:rPr>
        <w:t>区域举措加速器</w:t>
      </w:r>
      <w:r w:rsidR="00165432">
        <w:fldChar w:fldCharType="end"/>
      </w:r>
      <w:r>
        <w:rPr>
          <w:rFonts w:hint="eastAsia"/>
        </w:rPr>
        <w:t>（</w:t>
      </w:r>
      <w:r>
        <w:rPr>
          <w:rFonts w:hint="eastAsia"/>
        </w:rPr>
        <w:t>RIA</w:t>
      </w:r>
      <w:r>
        <w:rPr>
          <w:rFonts w:hint="eastAsia"/>
        </w:rPr>
        <w:t>），通过与各自区域的国际电联成员合作试点新方法，加速将区域举措转化为可盈利的项目，提高区域代表处有效应对区域</w:t>
      </w:r>
      <w:r w:rsidR="00834DE3">
        <w:rPr>
          <w:rFonts w:hint="eastAsia"/>
        </w:rPr>
        <w:t>重点工作</w:t>
      </w:r>
      <w:r>
        <w:rPr>
          <w:rFonts w:hint="eastAsia"/>
        </w:rPr>
        <w:t>的能力。</w:t>
      </w:r>
    </w:p>
    <w:p w14:paraId="40E8819A" w14:textId="464EEF5E" w:rsidR="00DF0B5D" w:rsidRDefault="00DF0B5D" w:rsidP="00596E92">
      <w:pPr>
        <w:ind w:firstLineChars="200" w:firstLine="480"/>
      </w:pPr>
      <w:r>
        <w:rPr>
          <w:rFonts w:hint="eastAsia"/>
        </w:rPr>
        <w:t>电信发展局于</w:t>
      </w:r>
      <w:r w:rsidR="00165432">
        <w:fldChar w:fldCharType="begin"/>
      </w:r>
      <w:r w:rsidR="00165432">
        <w:rPr>
          <w:rFonts w:hint="eastAsia"/>
        </w:rPr>
        <w:instrText>HYPERLINK "https://www.itu.int/en/ITU-D/Regional-Presence/Europe/Documents/Publications/2025/RIA%20EUR_Montenegro_Event%20Report_CLEAN%20(002).pdf"</w:instrText>
      </w:r>
      <w:r w:rsidR="00165432">
        <w:fldChar w:fldCharType="separate"/>
      </w:r>
      <w:r w:rsidRPr="00165432">
        <w:rPr>
          <w:rStyle w:val="Hyperlink"/>
          <w:rFonts w:hint="eastAsia"/>
        </w:rPr>
        <w:t>2025</w:t>
      </w:r>
      <w:r w:rsidRPr="00165432">
        <w:rPr>
          <w:rStyle w:val="Hyperlink"/>
          <w:rFonts w:hint="eastAsia"/>
        </w:rPr>
        <w:t>年</w:t>
      </w:r>
      <w:r w:rsidRPr="00165432">
        <w:rPr>
          <w:rStyle w:val="Hyperlink"/>
          <w:rFonts w:hint="eastAsia"/>
        </w:rPr>
        <w:t>2</w:t>
      </w:r>
      <w:r w:rsidRPr="00165432">
        <w:rPr>
          <w:rStyle w:val="Hyperlink"/>
          <w:rFonts w:hint="eastAsia"/>
        </w:rPr>
        <w:t>月</w:t>
      </w:r>
      <w:r w:rsidRPr="00165432">
        <w:rPr>
          <w:rStyle w:val="Hyperlink"/>
          <w:rFonts w:hint="eastAsia"/>
        </w:rPr>
        <w:t>3</w:t>
      </w:r>
      <w:r w:rsidRPr="00165432">
        <w:rPr>
          <w:rStyle w:val="Hyperlink"/>
          <w:rFonts w:hint="eastAsia"/>
        </w:rPr>
        <w:t>日至</w:t>
      </w:r>
      <w:r w:rsidRPr="00165432">
        <w:rPr>
          <w:rStyle w:val="Hyperlink"/>
          <w:rFonts w:hint="eastAsia"/>
        </w:rPr>
        <w:t>5</w:t>
      </w:r>
      <w:r w:rsidRPr="00165432">
        <w:rPr>
          <w:rStyle w:val="Hyperlink"/>
          <w:rFonts w:hint="eastAsia"/>
        </w:rPr>
        <w:t>日在黑山波德戈里察</w:t>
      </w:r>
      <w:r w:rsidR="00165432">
        <w:fldChar w:fldCharType="end"/>
      </w:r>
      <w:r>
        <w:rPr>
          <w:rFonts w:hint="eastAsia"/>
        </w:rPr>
        <w:t>举办了第一次区域性举措加速器试点讲习班。此次活动汇聚了来自西巴尔干地区五个国家的代表，共同设计和验证了总价值为</w:t>
      </w:r>
      <w:r>
        <w:rPr>
          <w:rFonts w:hint="eastAsia"/>
        </w:rPr>
        <w:t>2</w:t>
      </w:r>
      <w:r w:rsidR="004F50A2">
        <w:rPr>
          <w:rFonts w:hint="eastAsia"/>
        </w:rPr>
        <w:t> </w:t>
      </w:r>
      <w:r>
        <w:rPr>
          <w:rFonts w:hint="eastAsia"/>
        </w:rPr>
        <w:t>000</w:t>
      </w:r>
      <w:r>
        <w:rPr>
          <w:rFonts w:hint="eastAsia"/>
        </w:rPr>
        <w:t>万美元的五个项目。</w:t>
      </w:r>
    </w:p>
    <w:p w14:paraId="32C0BD4C" w14:textId="7BB6D511" w:rsidR="00DF0B5D" w:rsidRDefault="00DF0B5D" w:rsidP="00596E92">
      <w:pPr>
        <w:ind w:firstLineChars="200" w:firstLine="480"/>
      </w:pPr>
      <w:r>
        <w:rPr>
          <w:rFonts w:hint="eastAsia"/>
        </w:rPr>
        <w:t>电信发展局于</w:t>
      </w:r>
      <w:r w:rsidR="00165432">
        <w:fldChar w:fldCharType="begin"/>
      </w:r>
      <w:r w:rsidR="00165432">
        <w:rPr>
          <w:rFonts w:hint="eastAsia"/>
        </w:rPr>
        <w:instrText>HYPERLINK "https://www.itu.int/en/ITU-D/Innovation/Documents/RIA/RIA%20ASP_Shenzhen_Event%20Report_version%204.pdf"</w:instrText>
      </w:r>
      <w:r w:rsidR="00165432">
        <w:fldChar w:fldCharType="separate"/>
      </w:r>
      <w:r w:rsidRPr="00165432">
        <w:rPr>
          <w:rStyle w:val="Hyperlink"/>
          <w:rFonts w:hint="eastAsia"/>
        </w:rPr>
        <w:t>2025</w:t>
      </w:r>
      <w:r w:rsidRPr="00165432">
        <w:rPr>
          <w:rStyle w:val="Hyperlink"/>
          <w:rFonts w:hint="eastAsia"/>
        </w:rPr>
        <w:t>年</w:t>
      </w:r>
      <w:r w:rsidRPr="00165432">
        <w:rPr>
          <w:rStyle w:val="Hyperlink"/>
          <w:rFonts w:hint="eastAsia"/>
        </w:rPr>
        <w:t>4</w:t>
      </w:r>
      <w:r w:rsidRPr="00165432">
        <w:rPr>
          <w:rStyle w:val="Hyperlink"/>
          <w:rFonts w:hint="eastAsia"/>
        </w:rPr>
        <w:t>月</w:t>
      </w:r>
      <w:r w:rsidRPr="00165432">
        <w:rPr>
          <w:rStyle w:val="Hyperlink"/>
          <w:rFonts w:hint="eastAsia"/>
        </w:rPr>
        <w:t>28</w:t>
      </w:r>
      <w:r w:rsidRPr="00165432">
        <w:rPr>
          <w:rStyle w:val="Hyperlink"/>
          <w:rFonts w:hint="eastAsia"/>
        </w:rPr>
        <w:t>日至</w:t>
      </w:r>
      <w:r w:rsidRPr="00165432">
        <w:rPr>
          <w:rStyle w:val="Hyperlink"/>
          <w:rFonts w:hint="eastAsia"/>
        </w:rPr>
        <w:t>30</w:t>
      </w:r>
      <w:r w:rsidRPr="00165432">
        <w:rPr>
          <w:rStyle w:val="Hyperlink"/>
          <w:rFonts w:hint="eastAsia"/>
        </w:rPr>
        <w:t>日在中国深圳</w:t>
      </w:r>
      <w:r w:rsidR="00165432">
        <w:fldChar w:fldCharType="end"/>
      </w:r>
      <w:r>
        <w:rPr>
          <w:rFonts w:hint="eastAsia"/>
        </w:rPr>
        <w:t>主办了</w:t>
      </w:r>
      <w:r w:rsidR="004F50A2">
        <w:rPr>
          <w:rFonts w:hint="eastAsia"/>
          <w:lang w:val="en-US"/>
        </w:rPr>
        <w:t>第二次</w:t>
      </w:r>
      <w:r>
        <w:rPr>
          <w:rFonts w:hint="eastAsia"/>
        </w:rPr>
        <w:t>区域性举措加速器试点讲习班。此次活动汇集了来自亚洲</w:t>
      </w:r>
      <w:r>
        <w:rPr>
          <w:rFonts w:hint="eastAsia"/>
        </w:rPr>
        <w:t>10</w:t>
      </w:r>
      <w:r>
        <w:rPr>
          <w:rFonts w:hint="eastAsia"/>
        </w:rPr>
        <w:t>个国家的代表，共同设计和</w:t>
      </w:r>
      <w:r w:rsidR="004F50A2">
        <w:rPr>
          <w:rFonts w:hint="eastAsia"/>
        </w:rPr>
        <w:t>完善</w:t>
      </w:r>
      <w:r>
        <w:rPr>
          <w:rFonts w:hint="eastAsia"/>
        </w:rPr>
        <w:t>项目蓝图，以加速数字化转型。</w:t>
      </w:r>
    </w:p>
    <w:p w14:paraId="20A5B266" w14:textId="2718F795" w:rsidR="00DF0B5D" w:rsidRDefault="00DF0B5D" w:rsidP="00596E92">
      <w:pPr>
        <w:ind w:firstLineChars="200" w:firstLine="480"/>
      </w:pPr>
      <w:r>
        <w:rPr>
          <w:rFonts w:hint="eastAsia"/>
        </w:rPr>
        <w:lastRenderedPageBreak/>
        <w:t>RIA</w:t>
      </w:r>
      <w:r>
        <w:rPr>
          <w:rFonts w:hint="eastAsia"/>
        </w:rPr>
        <w:t>的进一步开发和测试正在进行中，</w:t>
      </w:r>
      <w:r w:rsidR="004F50A2" w:rsidRPr="004F50A2">
        <w:rPr>
          <w:rFonts w:hint="eastAsia"/>
        </w:rPr>
        <w:t>新的区域</w:t>
      </w:r>
      <w:r w:rsidR="009D1D68">
        <w:rPr>
          <w:rFonts w:hint="eastAsia"/>
        </w:rPr>
        <w:t>性举措</w:t>
      </w:r>
      <w:r w:rsidR="004F50A2" w:rsidRPr="004F50A2">
        <w:rPr>
          <w:rFonts w:hint="eastAsia"/>
        </w:rPr>
        <w:t>在巴库获得批准后，工信部的资金将用于扩大试点项目的实施。</w:t>
      </w:r>
    </w:p>
    <w:p w14:paraId="178BF75E" w14:textId="18E800E9" w:rsidR="00DF0B5D" w:rsidRPr="00165432" w:rsidRDefault="00DF0B5D" w:rsidP="00006BB3">
      <w:pPr>
        <w:pStyle w:val="Heading2"/>
        <w:rPr>
          <w:b w:val="0"/>
          <w:bCs/>
        </w:rPr>
      </w:pPr>
      <w:r w:rsidRPr="00006BB3">
        <w:rPr>
          <w:rFonts w:hint="eastAsia"/>
        </w:rPr>
        <w:t>g)</w:t>
      </w:r>
      <w:r w:rsidRPr="00006BB3">
        <w:tab/>
      </w:r>
      <w:r w:rsidRPr="00006BB3">
        <w:rPr>
          <w:rFonts w:hint="eastAsia"/>
        </w:rPr>
        <w:t>创新联盟的能力建设</w:t>
      </w:r>
    </w:p>
    <w:p w14:paraId="0F0BAE7D" w14:textId="03DED6EA" w:rsidR="003A4AA5" w:rsidRDefault="003A4AA5" w:rsidP="00596E92">
      <w:pPr>
        <w:ind w:firstLineChars="200" w:firstLine="480"/>
      </w:pPr>
      <w:r w:rsidRPr="003A4AA5">
        <w:rPr>
          <w:rFonts w:hint="eastAsia"/>
        </w:rPr>
        <w:t>电信发展局为创新和创业</w:t>
      </w:r>
      <w:r w:rsidR="009D1D68">
        <w:rPr>
          <w:rFonts w:hint="eastAsia"/>
        </w:rPr>
        <w:t>议题</w:t>
      </w:r>
      <w:r w:rsidRPr="003A4AA5">
        <w:rPr>
          <w:rFonts w:hint="eastAsia"/>
        </w:rPr>
        <w:t>制定了能力建设能力框架，并通过国际电联学院平台和阿联酋电信监管局</w:t>
      </w:r>
      <w:r>
        <w:rPr>
          <w:rFonts w:hint="eastAsia"/>
        </w:rPr>
        <w:t>（</w:t>
      </w:r>
      <w:r w:rsidRPr="003A4AA5">
        <w:rPr>
          <w:rFonts w:hint="eastAsia"/>
        </w:rPr>
        <w:t>TDRA</w:t>
      </w:r>
      <w:r>
        <w:rPr>
          <w:rFonts w:hint="eastAsia"/>
        </w:rPr>
        <w:t>）</w:t>
      </w:r>
      <w:r w:rsidRPr="003A4AA5">
        <w:rPr>
          <w:rFonts w:hint="eastAsia"/>
        </w:rPr>
        <w:t>在阿联酋和全球活动中共同组织的</w:t>
      </w:r>
      <w:r w:rsidR="004F2C06" w:rsidRPr="004F2C06">
        <w:rPr>
          <w:rFonts w:hint="eastAsia"/>
        </w:rPr>
        <w:t>全球数字化创新国际中心</w:t>
      </w:r>
      <w:r w:rsidR="004F2C06">
        <w:rPr>
          <w:rFonts w:hint="eastAsia"/>
        </w:rPr>
        <w:t>（</w:t>
      </w:r>
      <w:proofErr w:type="spellStart"/>
      <w:r w:rsidRPr="003A4AA5">
        <w:rPr>
          <w:rFonts w:hint="eastAsia"/>
        </w:rPr>
        <w:t>iCodi</w:t>
      </w:r>
      <w:proofErr w:type="spellEnd"/>
      <w:r w:rsidR="004F2C06">
        <w:rPr>
          <w:rFonts w:hint="eastAsia"/>
        </w:rPr>
        <w:t>）</w:t>
      </w:r>
      <w:r w:rsidRPr="003A4AA5">
        <w:rPr>
          <w:rFonts w:hint="eastAsia"/>
        </w:rPr>
        <w:t>讲习班推出了相关课程。</w:t>
      </w:r>
    </w:p>
    <w:p w14:paraId="50777694" w14:textId="1E94FF8B" w:rsidR="003A4AA5" w:rsidRDefault="003A4AA5" w:rsidP="00E850B0">
      <w:pPr>
        <w:pStyle w:val="enumlev1"/>
        <w:rPr>
          <w:lang w:val="fr-CH"/>
        </w:rPr>
      </w:pPr>
      <w:r w:rsidRPr="00295B44">
        <w:rPr>
          <w:lang w:val="fr-CH"/>
        </w:rPr>
        <w:t>–</w:t>
      </w:r>
      <w:r>
        <w:rPr>
          <w:lang w:val="fr-CH"/>
        </w:rPr>
        <w:tab/>
      </w:r>
      <w:r w:rsidRPr="003A4AA5">
        <w:rPr>
          <w:rFonts w:hint="eastAsia"/>
          <w:lang w:val="fr-CH"/>
        </w:rPr>
        <w:t>在国际电联学院平台上，电信发展局推出了“</w:t>
      </w:r>
      <w:r w:rsidR="00165432">
        <w:rPr>
          <w:lang w:val="fr-CH"/>
        </w:rPr>
        <w:fldChar w:fldCharType="begin"/>
      </w:r>
      <w:r w:rsidR="00165432">
        <w:rPr>
          <w:rFonts w:hint="eastAsia"/>
          <w:lang w:val="fr-CH"/>
        </w:rPr>
        <w:instrText>HYPERLINK "https://academy.itu.int/training-courses/full-catalogue/innovation-ecosystem-101-fundamentals-building-competitive-and-innovative-ict-centric-ecosystems-2"</w:instrText>
      </w:r>
      <w:r w:rsidR="00165432">
        <w:rPr>
          <w:lang w:val="fr-CH"/>
        </w:rPr>
      </w:r>
      <w:r w:rsidR="00165432">
        <w:rPr>
          <w:lang w:val="fr-CH"/>
        </w:rPr>
        <w:fldChar w:fldCharType="separate"/>
      </w:r>
      <w:r w:rsidRPr="00165432">
        <w:rPr>
          <w:rStyle w:val="Hyperlink"/>
          <w:rFonts w:hint="eastAsia"/>
          <w:lang w:val="fr-CH"/>
        </w:rPr>
        <w:t>生态系统</w:t>
      </w:r>
      <w:r w:rsidRPr="00165432">
        <w:rPr>
          <w:rStyle w:val="Hyperlink"/>
          <w:rFonts w:hint="eastAsia"/>
          <w:lang w:val="fr-CH"/>
        </w:rPr>
        <w:t>101</w:t>
      </w:r>
      <w:r w:rsidR="00165432">
        <w:rPr>
          <w:lang w:val="fr-CH"/>
        </w:rPr>
        <w:fldChar w:fldCharType="end"/>
      </w:r>
      <w:r w:rsidRPr="003A4AA5">
        <w:rPr>
          <w:rFonts w:hint="eastAsia"/>
          <w:lang w:val="fr-CH"/>
        </w:rPr>
        <w:t>”、“</w:t>
      </w:r>
      <w:r w:rsidR="00165432">
        <w:rPr>
          <w:lang w:val="fr-CH"/>
        </w:rPr>
        <w:fldChar w:fldCharType="begin"/>
      </w:r>
      <w:r w:rsidR="00165432">
        <w:rPr>
          <w:rFonts w:hint="eastAsia"/>
          <w:lang w:val="fr-CH"/>
        </w:rPr>
        <w:instrText>HYPERLINK "https://academy.itu.int/training-courses/full-catalogue/strategic-foresight-101"</w:instrText>
      </w:r>
      <w:r w:rsidR="00165432">
        <w:rPr>
          <w:lang w:val="fr-CH"/>
        </w:rPr>
      </w:r>
      <w:r w:rsidR="00165432">
        <w:rPr>
          <w:lang w:val="fr-CH"/>
        </w:rPr>
        <w:fldChar w:fldCharType="separate"/>
      </w:r>
      <w:r w:rsidRPr="00165432">
        <w:rPr>
          <w:rStyle w:val="Hyperlink"/>
          <w:rFonts w:hint="eastAsia"/>
          <w:lang w:val="fr-CH"/>
        </w:rPr>
        <w:t>战略</w:t>
      </w:r>
      <w:r w:rsidR="009D1D68">
        <w:rPr>
          <w:rStyle w:val="Hyperlink"/>
          <w:rFonts w:hint="eastAsia"/>
          <w:lang w:val="fr-CH"/>
        </w:rPr>
        <w:t>性</w:t>
      </w:r>
      <w:r w:rsidRPr="00165432">
        <w:rPr>
          <w:rStyle w:val="Hyperlink"/>
          <w:rFonts w:hint="eastAsia"/>
          <w:lang w:val="fr-CH"/>
        </w:rPr>
        <w:t>前瞻</w:t>
      </w:r>
      <w:r w:rsidRPr="00165432">
        <w:rPr>
          <w:rStyle w:val="Hyperlink"/>
          <w:rFonts w:hint="eastAsia"/>
          <w:lang w:val="fr-CH"/>
        </w:rPr>
        <w:t>101</w:t>
      </w:r>
      <w:r w:rsidR="00165432">
        <w:rPr>
          <w:lang w:val="fr-CH"/>
        </w:rPr>
        <w:fldChar w:fldCharType="end"/>
      </w:r>
      <w:r w:rsidRPr="003A4AA5">
        <w:rPr>
          <w:rFonts w:hint="eastAsia"/>
          <w:lang w:val="fr-CH"/>
        </w:rPr>
        <w:t>”、“</w:t>
      </w:r>
      <w:r w:rsidR="00165432">
        <w:rPr>
          <w:lang w:val="fr-CH"/>
        </w:rPr>
        <w:fldChar w:fldCharType="begin"/>
      </w:r>
      <w:r w:rsidR="00165432">
        <w:rPr>
          <w:rFonts w:hint="eastAsia"/>
          <w:lang w:val="fr-CH"/>
        </w:rPr>
        <w:instrText>HYPERLINK "https://academy.itu.int/training-courses/full-catalogue/strategic-foresight-201"</w:instrText>
      </w:r>
      <w:r w:rsidR="00165432">
        <w:rPr>
          <w:lang w:val="fr-CH"/>
        </w:rPr>
      </w:r>
      <w:r w:rsidR="00165432">
        <w:rPr>
          <w:lang w:val="fr-CH"/>
        </w:rPr>
        <w:fldChar w:fldCharType="separate"/>
      </w:r>
      <w:r w:rsidRPr="00165432">
        <w:rPr>
          <w:rStyle w:val="Hyperlink"/>
          <w:rFonts w:hint="eastAsia"/>
          <w:lang w:val="fr-CH"/>
        </w:rPr>
        <w:t>战略</w:t>
      </w:r>
      <w:r w:rsidR="009D1D68">
        <w:rPr>
          <w:rStyle w:val="Hyperlink"/>
          <w:rFonts w:hint="eastAsia"/>
          <w:lang w:val="fr-CH"/>
        </w:rPr>
        <w:t>性</w:t>
      </w:r>
      <w:r w:rsidRPr="00165432">
        <w:rPr>
          <w:rStyle w:val="Hyperlink"/>
          <w:rFonts w:hint="eastAsia"/>
          <w:lang w:val="fr-CH"/>
        </w:rPr>
        <w:t>前瞻</w:t>
      </w:r>
      <w:r w:rsidRPr="00165432">
        <w:rPr>
          <w:rStyle w:val="Hyperlink"/>
          <w:rFonts w:hint="eastAsia"/>
          <w:lang w:val="fr-CH"/>
        </w:rPr>
        <w:t>201</w:t>
      </w:r>
      <w:r w:rsidR="00165432">
        <w:rPr>
          <w:lang w:val="fr-CH"/>
        </w:rPr>
        <w:fldChar w:fldCharType="end"/>
      </w:r>
      <w:r w:rsidRPr="003A4AA5">
        <w:rPr>
          <w:rFonts w:hint="eastAsia"/>
          <w:lang w:val="fr-CH"/>
        </w:rPr>
        <w:t>”和“</w:t>
      </w:r>
      <w:r w:rsidR="00165432">
        <w:rPr>
          <w:lang w:val="fr-CH"/>
        </w:rPr>
        <w:fldChar w:fldCharType="begin"/>
      </w:r>
      <w:r w:rsidR="00165432">
        <w:rPr>
          <w:rFonts w:hint="eastAsia"/>
          <w:lang w:val="fr-CH"/>
        </w:rPr>
        <w:instrText>HYPERLINK "https://academy.itu.int/training-courses/full-catalogue/ecosystem-initiative-development-201"</w:instrText>
      </w:r>
      <w:r w:rsidR="00165432">
        <w:rPr>
          <w:lang w:val="fr-CH"/>
        </w:rPr>
      </w:r>
      <w:r w:rsidR="00165432">
        <w:rPr>
          <w:lang w:val="fr-CH"/>
        </w:rPr>
        <w:fldChar w:fldCharType="separate"/>
      </w:r>
      <w:r w:rsidRPr="00165432">
        <w:rPr>
          <w:rStyle w:val="Hyperlink"/>
          <w:rFonts w:hint="eastAsia"/>
          <w:lang w:val="fr-CH"/>
        </w:rPr>
        <w:t>生态系统举措发展</w:t>
      </w:r>
      <w:r w:rsidRPr="00165432">
        <w:rPr>
          <w:rStyle w:val="Hyperlink"/>
          <w:rFonts w:hint="eastAsia"/>
          <w:lang w:val="fr-CH"/>
        </w:rPr>
        <w:t>201</w:t>
      </w:r>
      <w:r w:rsidR="00165432">
        <w:rPr>
          <w:lang w:val="fr-CH"/>
        </w:rPr>
        <w:fldChar w:fldCharType="end"/>
      </w:r>
      <w:r w:rsidRPr="003A4AA5">
        <w:rPr>
          <w:rFonts w:hint="eastAsia"/>
          <w:lang w:val="fr-CH"/>
        </w:rPr>
        <w:t>”课程。</w:t>
      </w:r>
    </w:p>
    <w:p w14:paraId="6A51002D" w14:textId="79D86E6F" w:rsidR="003A4AA5" w:rsidRDefault="004C0B7C" w:rsidP="00E850B0">
      <w:pPr>
        <w:pStyle w:val="enumlev1"/>
        <w:rPr>
          <w:lang w:val="fr-CH"/>
        </w:rPr>
      </w:pPr>
      <w:r w:rsidRPr="004C0B7C">
        <w:rPr>
          <w:lang w:val="fr-CH"/>
        </w:rPr>
        <w:t>–</w:t>
      </w:r>
      <w:r w:rsidR="003A4AA5">
        <w:rPr>
          <w:lang w:val="fr-CH"/>
        </w:rPr>
        <w:tab/>
      </w:r>
      <w:r w:rsidR="003A4AA5" w:rsidRPr="003A4AA5">
        <w:rPr>
          <w:rFonts w:hint="eastAsia"/>
          <w:lang w:val="fr-CH"/>
        </w:rPr>
        <w:t>通过</w:t>
      </w:r>
      <w:proofErr w:type="spellStart"/>
      <w:r w:rsidR="003A4AA5" w:rsidRPr="003A4AA5">
        <w:rPr>
          <w:rFonts w:hint="eastAsia"/>
          <w:lang w:val="fr-CH"/>
        </w:rPr>
        <w:t>iCodi</w:t>
      </w:r>
      <w:proofErr w:type="spellEnd"/>
      <w:r w:rsidR="003A4AA5" w:rsidRPr="003A4AA5">
        <w:rPr>
          <w:rFonts w:hint="eastAsia"/>
          <w:lang w:val="fr-CH"/>
        </w:rPr>
        <w:t>全球讲习班，</w:t>
      </w:r>
      <w:r w:rsidR="003A4AA5" w:rsidRPr="003A4AA5">
        <w:rPr>
          <w:rFonts w:hint="eastAsia"/>
          <w:lang w:val="fr-CH"/>
        </w:rPr>
        <w:t>BDT</w:t>
      </w:r>
      <w:r w:rsidR="003A4AA5" w:rsidRPr="003A4AA5">
        <w:rPr>
          <w:rFonts w:hint="eastAsia"/>
          <w:lang w:val="fr-CH"/>
        </w:rPr>
        <w:t>提供了一系列关于生态系统举措制定（</w:t>
      </w:r>
      <w:hyperlink r:id="rId39" w:history="1">
        <w:r w:rsidR="003A4AA5" w:rsidRPr="00165432">
          <w:rPr>
            <w:rStyle w:val="Hyperlink"/>
            <w:rFonts w:hint="eastAsia"/>
            <w:lang w:val="fr-CH"/>
          </w:rPr>
          <w:t>2024</w:t>
        </w:r>
        <w:r w:rsidR="003A4AA5" w:rsidRPr="00165432">
          <w:rPr>
            <w:rStyle w:val="Hyperlink"/>
            <w:rFonts w:hint="eastAsia"/>
            <w:lang w:val="fr-CH"/>
          </w:rPr>
          <w:t>年</w:t>
        </w:r>
        <w:r w:rsidR="003A4AA5" w:rsidRPr="00165432">
          <w:rPr>
            <w:rStyle w:val="Hyperlink"/>
            <w:rFonts w:hint="eastAsia"/>
            <w:lang w:val="fr-CH"/>
          </w:rPr>
          <w:t>ICODI</w:t>
        </w:r>
        <w:r w:rsidR="003A4AA5" w:rsidRPr="00165432">
          <w:rPr>
            <w:rStyle w:val="Hyperlink"/>
            <w:rFonts w:hint="eastAsia"/>
            <w:lang w:val="fr-CH"/>
          </w:rPr>
          <w:t>全球讲习班</w:t>
        </w:r>
      </w:hyperlink>
      <w:r w:rsidR="003A4AA5" w:rsidRPr="003A4AA5">
        <w:rPr>
          <w:rFonts w:hint="eastAsia"/>
          <w:lang w:val="fr-CH"/>
        </w:rPr>
        <w:t>和</w:t>
      </w:r>
      <w:hyperlink r:id="rId40" w:history="1">
        <w:r w:rsidR="003A4AA5" w:rsidRPr="00165432">
          <w:rPr>
            <w:rStyle w:val="Hyperlink"/>
            <w:rFonts w:hint="eastAsia"/>
            <w:lang w:val="fr-CH"/>
          </w:rPr>
          <w:t>2025</w:t>
        </w:r>
        <w:r w:rsidR="003A4AA5" w:rsidRPr="00165432">
          <w:rPr>
            <w:rStyle w:val="Hyperlink"/>
            <w:rFonts w:hint="eastAsia"/>
            <w:lang w:val="fr-CH"/>
          </w:rPr>
          <w:t>年</w:t>
        </w:r>
        <w:r w:rsidR="003A4AA5" w:rsidRPr="00165432">
          <w:rPr>
            <w:rStyle w:val="Hyperlink"/>
            <w:rFonts w:hint="eastAsia"/>
            <w:lang w:val="fr-CH"/>
          </w:rPr>
          <w:t>ICODI</w:t>
        </w:r>
        <w:r w:rsidR="003A4AA5" w:rsidRPr="00165432">
          <w:rPr>
            <w:rStyle w:val="Hyperlink"/>
            <w:rFonts w:hint="eastAsia"/>
            <w:lang w:val="fr-CH"/>
          </w:rPr>
          <w:t>全球讲习班</w:t>
        </w:r>
      </w:hyperlink>
      <w:r w:rsidR="003A4AA5" w:rsidRPr="003A4AA5">
        <w:rPr>
          <w:rFonts w:hint="eastAsia"/>
          <w:lang w:val="fr-CH"/>
        </w:rPr>
        <w:t>）、政策实验和战略</w:t>
      </w:r>
      <w:r w:rsidR="004F2C06">
        <w:rPr>
          <w:rFonts w:hint="eastAsia"/>
          <w:lang w:val="fr-CH"/>
        </w:rPr>
        <w:t>前瞻</w:t>
      </w:r>
      <w:r w:rsidR="003A4AA5" w:rsidRPr="003A4AA5">
        <w:rPr>
          <w:rFonts w:hint="eastAsia"/>
          <w:lang w:val="fr-CH"/>
        </w:rPr>
        <w:t>的培训。</w:t>
      </w:r>
    </w:p>
    <w:p w14:paraId="31B190C4" w14:textId="5D6C2EF3" w:rsidR="003A4AA5" w:rsidRDefault="004C0B7C" w:rsidP="00E850B0">
      <w:pPr>
        <w:pStyle w:val="enumlev1"/>
        <w:rPr>
          <w:lang w:val="fr-CH"/>
        </w:rPr>
      </w:pPr>
      <w:r w:rsidRPr="004C0B7C">
        <w:rPr>
          <w:lang w:val="fr-CH"/>
        </w:rPr>
        <w:t>–</w:t>
      </w:r>
      <w:r w:rsidR="003A4AA5">
        <w:rPr>
          <w:lang w:val="fr-CH"/>
        </w:rPr>
        <w:tab/>
      </w:r>
      <w:r w:rsidR="004F2C06" w:rsidRPr="004F2C06">
        <w:rPr>
          <w:rFonts w:hint="eastAsia"/>
          <w:lang w:val="fr-CH"/>
        </w:rPr>
        <w:t>在</w:t>
      </w:r>
      <w:r w:rsidR="00165432">
        <w:fldChar w:fldCharType="begin"/>
      </w:r>
      <w:r w:rsidR="00165432">
        <w:instrText>HYPERLINK "https://www.itu.int/itu-d/meetings/gsr-25/" \l "event-gsr-25"</w:instrText>
      </w:r>
      <w:r w:rsidR="00165432">
        <w:fldChar w:fldCharType="separate"/>
      </w:r>
      <w:r w:rsidR="00165432" w:rsidRPr="001D46F5">
        <w:rPr>
          <w:rStyle w:val="Hyperlink"/>
          <w:rFonts w:cs="Calibri"/>
        </w:rPr>
        <w:t>GSR-25</w:t>
      </w:r>
      <w:r w:rsidR="00165432">
        <w:fldChar w:fldCharType="end"/>
      </w:r>
      <w:r w:rsidR="004F2C06" w:rsidRPr="004F2C06">
        <w:rPr>
          <w:rFonts w:hint="eastAsia"/>
          <w:lang w:val="fr-CH"/>
        </w:rPr>
        <w:t>和</w:t>
      </w:r>
      <w:r w:rsidR="00165432">
        <w:fldChar w:fldCharType="begin"/>
      </w:r>
      <w:r w:rsidR="00165432">
        <w:instrText>HYPERLINK "https://www.itu.int/itu-d/meetings/gif-24/"</w:instrText>
      </w:r>
      <w:r w:rsidR="00165432">
        <w:fldChar w:fldCharType="separate"/>
      </w:r>
      <w:r w:rsidR="00165432" w:rsidRPr="00D00783">
        <w:rPr>
          <w:rStyle w:val="Hyperlink"/>
          <w:rFonts w:cs="Calibri"/>
        </w:rPr>
        <w:t>GIF-24</w:t>
      </w:r>
      <w:r w:rsidR="00165432">
        <w:fldChar w:fldCharType="end"/>
      </w:r>
      <w:r w:rsidR="004F2C06" w:rsidRPr="004F2C06">
        <w:rPr>
          <w:rFonts w:hint="eastAsia"/>
          <w:lang w:val="fr-CH"/>
        </w:rPr>
        <w:t>期间，电信发展局还举办了战略</w:t>
      </w:r>
      <w:r w:rsidR="00EF34F4">
        <w:rPr>
          <w:rFonts w:hint="eastAsia"/>
          <w:lang w:val="fr-CH"/>
        </w:rPr>
        <w:t>性</w:t>
      </w:r>
      <w:r w:rsidR="004F2C06">
        <w:rPr>
          <w:rFonts w:hint="eastAsia"/>
          <w:lang w:val="fr-CH"/>
        </w:rPr>
        <w:t>前瞻</w:t>
      </w:r>
      <w:r w:rsidR="004F2C06" w:rsidRPr="004F2C06">
        <w:rPr>
          <w:rFonts w:hint="eastAsia"/>
          <w:lang w:val="fr-CH"/>
        </w:rPr>
        <w:t>大师班。</w:t>
      </w:r>
    </w:p>
    <w:p w14:paraId="51246500" w14:textId="7815713C" w:rsidR="004F2C06" w:rsidRDefault="004F2C06" w:rsidP="00596E92">
      <w:pPr>
        <w:ind w:firstLineChars="200" w:firstLine="480"/>
      </w:pPr>
      <w:r w:rsidRPr="004F2C06">
        <w:rPr>
          <w:rFonts w:hint="eastAsia"/>
        </w:rPr>
        <w:t>全球</w:t>
      </w:r>
      <w:r w:rsidRPr="004F2C06">
        <w:rPr>
          <w:rFonts w:hint="eastAsia"/>
        </w:rPr>
        <w:t>ICODI</w:t>
      </w:r>
      <w:r w:rsidRPr="004F2C06">
        <w:rPr>
          <w:rFonts w:hint="eastAsia"/>
        </w:rPr>
        <w:t>讲习班得到了</w:t>
      </w:r>
      <w:r w:rsidRPr="004F2C06">
        <w:rPr>
          <w:rFonts w:hint="eastAsia"/>
        </w:rPr>
        <w:t>TDRA</w:t>
      </w:r>
      <w:r w:rsidRPr="004F2C06">
        <w:rPr>
          <w:rFonts w:hint="eastAsia"/>
        </w:rPr>
        <w:t>的</w:t>
      </w:r>
      <w:r w:rsidRPr="004F2C06">
        <w:rPr>
          <w:rFonts w:hint="eastAsia"/>
        </w:rPr>
        <w:t>Partner2Connect</w:t>
      </w:r>
      <w:r w:rsidRPr="004F2C06">
        <w:rPr>
          <w:rFonts w:hint="eastAsia"/>
        </w:rPr>
        <w:t>承诺的支持，</w:t>
      </w:r>
      <w:r>
        <w:rPr>
          <w:rFonts w:hint="eastAsia"/>
        </w:rPr>
        <w:t>该承诺</w:t>
      </w:r>
      <w:r w:rsidRPr="004F2C06">
        <w:rPr>
          <w:rFonts w:hint="eastAsia"/>
        </w:rPr>
        <w:t>投资</w:t>
      </w:r>
      <w:r w:rsidRPr="004F2C06">
        <w:rPr>
          <w:rFonts w:hint="eastAsia"/>
        </w:rPr>
        <w:t>500</w:t>
      </w:r>
      <w:r w:rsidRPr="004F2C06">
        <w:rPr>
          <w:rFonts w:hint="eastAsia"/>
        </w:rPr>
        <w:t>万</w:t>
      </w:r>
      <w:proofErr w:type="gramStart"/>
      <w:r w:rsidRPr="004F2C06">
        <w:rPr>
          <w:rFonts w:hint="eastAsia"/>
        </w:rPr>
        <w:t>迪</w:t>
      </w:r>
      <w:proofErr w:type="gramEnd"/>
      <w:r w:rsidRPr="004F2C06">
        <w:rPr>
          <w:rFonts w:hint="eastAsia"/>
        </w:rPr>
        <w:t>拉</w:t>
      </w:r>
      <w:proofErr w:type="gramStart"/>
      <w:r w:rsidRPr="004F2C06">
        <w:rPr>
          <w:rFonts w:hint="eastAsia"/>
        </w:rPr>
        <w:t>姆</w:t>
      </w:r>
      <w:proofErr w:type="gramEnd"/>
      <w:r w:rsidRPr="004F2C06">
        <w:rPr>
          <w:rFonts w:hint="eastAsia"/>
        </w:rPr>
        <w:t>支持国际电联</w:t>
      </w:r>
      <w:r>
        <w:rPr>
          <w:rFonts w:hint="eastAsia"/>
        </w:rPr>
        <w:t xml:space="preserve"> </w:t>
      </w:r>
      <w:r>
        <w:t>–</w:t>
      </w:r>
      <w:r>
        <w:rPr>
          <w:rFonts w:hint="eastAsia"/>
        </w:rPr>
        <w:t xml:space="preserve"> </w:t>
      </w:r>
      <w:r w:rsidRPr="004F2C06">
        <w:rPr>
          <w:rFonts w:hint="eastAsia"/>
        </w:rPr>
        <w:t>TDRA</w:t>
      </w:r>
      <w:r w:rsidRPr="004F2C06">
        <w:rPr>
          <w:rFonts w:hint="eastAsia"/>
        </w:rPr>
        <w:t>的联合举措，即国际数字创新中心（</w:t>
      </w:r>
      <w:r w:rsidRPr="004F2C06">
        <w:rPr>
          <w:rFonts w:hint="eastAsia"/>
        </w:rPr>
        <w:t>I-</w:t>
      </w:r>
      <w:proofErr w:type="spellStart"/>
      <w:r w:rsidRPr="004F2C06">
        <w:rPr>
          <w:rFonts w:hint="eastAsia"/>
        </w:rPr>
        <w:t>CoDI</w:t>
      </w:r>
      <w:proofErr w:type="spellEnd"/>
      <w:r w:rsidRPr="004F2C06">
        <w:rPr>
          <w:rFonts w:hint="eastAsia"/>
        </w:rPr>
        <w:t>），旨在增强成员国在信息通信技术（</w:t>
      </w:r>
      <w:r w:rsidRPr="004F2C06">
        <w:rPr>
          <w:rFonts w:hint="eastAsia"/>
        </w:rPr>
        <w:t>ICT</w:t>
      </w:r>
      <w:r w:rsidRPr="004F2C06">
        <w:rPr>
          <w:rFonts w:hint="eastAsia"/>
        </w:rPr>
        <w:t>）方面的数字创新能力。</w:t>
      </w:r>
    </w:p>
    <w:p w14:paraId="644D0DAC" w14:textId="16E782F0" w:rsidR="00DF0B5D" w:rsidRPr="008814B4" w:rsidRDefault="00DF0B5D" w:rsidP="008814B4">
      <w:pPr>
        <w:pStyle w:val="Heading1"/>
        <w:rPr>
          <w:sz w:val="24"/>
          <w:szCs w:val="24"/>
        </w:rPr>
      </w:pPr>
      <w:r w:rsidRPr="008814B4">
        <w:rPr>
          <w:rFonts w:hint="eastAsia"/>
          <w:sz w:val="24"/>
          <w:szCs w:val="24"/>
        </w:rPr>
        <w:t>3</w:t>
      </w:r>
      <w:r w:rsidRPr="008814B4">
        <w:rPr>
          <w:sz w:val="24"/>
          <w:szCs w:val="24"/>
        </w:rPr>
        <w:tab/>
      </w:r>
      <w:r w:rsidR="00EF34F4" w:rsidRPr="008814B4">
        <w:rPr>
          <w:rFonts w:hint="eastAsia"/>
          <w:sz w:val="24"/>
          <w:szCs w:val="24"/>
        </w:rPr>
        <w:t>展望未来</w:t>
      </w:r>
    </w:p>
    <w:p w14:paraId="4421CB43" w14:textId="4E1AC625" w:rsidR="004F2C06" w:rsidRDefault="004F2C06" w:rsidP="00596E92">
      <w:pPr>
        <w:ind w:firstLineChars="200" w:firstLine="480"/>
      </w:pPr>
      <w:r>
        <w:rPr>
          <w:rFonts w:hint="eastAsia"/>
        </w:rPr>
        <w:t>电信发展局将继续推进所有联盟</w:t>
      </w:r>
      <w:r w:rsidR="00EF34F4">
        <w:rPr>
          <w:rFonts w:hint="eastAsia"/>
        </w:rPr>
        <w:t>载体</w:t>
      </w:r>
      <w:r>
        <w:rPr>
          <w:rFonts w:hint="eastAsia"/>
        </w:rPr>
        <w:t>的运作，并调动资源来支持各国。许多国家表示有兴趣加入联盟的中心网络，而数字化转型实验室和数字创新委员会将继续根据国际电联的</w:t>
      </w:r>
      <w:r w:rsidR="00EF34F4">
        <w:rPr>
          <w:rFonts w:hint="eastAsia"/>
        </w:rPr>
        <w:t>职权</w:t>
      </w:r>
      <w:r>
        <w:rPr>
          <w:rFonts w:hint="eastAsia"/>
        </w:rPr>
        <w:t>，确保联盟仍然是加速各国数字创新的灵活机制。</w:t>
      </w:r>
    </w:p>
    <w:p w14:paraId="1F3DB090" w14:textId="7430633D" w:rsidR="004F2C06" w:rsidRPr="000666C1" w:rsidRDefault="00EF34F4" w:rsidP="00596E92">
      <w:pPr>
        <w:ind w:firstLineChars="200" w:firstLine="480"/>
      </w:pPr>
      <w:r>
        <w:rPr>
          <w:rFonts w:hint="eastAsia"/>
        </w:rPr>
        <w:t>提</w:t>
      </w:r>
      <w:r w:rsidR="00165432" w:rsidRPr="00165432">
        <w:rPr>
          <w:rFonts w:hint="eastAsia"/>
        </w:rPr>
        <w:t>请成员注意</w:t>
      </w:r>
      <w:proofErr w:type="gramStart"/>
      <w:r w:rsidR="00165432" w:rsidRPr="00165432">
        <w:rPr>
          <w:rFonts w:hint="eastAsia"/>
        </w:rPr>
        <w:t>本</w:t>
      </w:r>
      <w:r>
        <w:rPr>
          <w:rFonts w:hint="eastAsia"/>
        </w:rPr>
        <w:t>情况</w:t>
      </w:r>
      <w:proofErr w:type="gramEnd"/>
      <w:r>
        <w:rPr>
          <w:rFonts w:hint="eastAsia"/>
        </w:rPr>
        <w:t>通报</w:t>
      </w:r>
      <w:r w:rsidR="00165432" w:rsidRPr="00165432">
        <w:rPr>
          <w:rFonts w:hint="eastAsia"/>
        </w:rPr>
        <w:t>文件，了解作为电信发展局新机制的联盟</w:t>
      </w:r>
      <w:r>
        <w:rPr>
          <w:rFonts w:hint="eastAsia"/>
        </w:rPr>
        <w:t>的</w:t>
      </w:r>
      <w:r w:rsidR="00165432" w:rsidRPr="00165432">
        <w:rPr>
          <w:rFonts w:hint="eastAsia"/>
        </w:rPr>
        <w:t>最新进展。</w:t>
      </w:r>
    </w:p>
    <w:p w14:paraId="771E530F" w14:textId="5000988C" w:rsidR="005A56C7" w:rsidRPr="00827D4F" w:rsidRDefault="00827D4F" w:rsidP="000165C5">
      <w:pPr>
        <w:spacing w:before="360"/>
        <w:jc w:val="center"/>
      </w:pPr>
      <w:r>
        <w:t>______________</w:t>
      </w:r>
    </w:p>
    <w:sectPr w:rsidR="005A56C7" w:rsidRPr="00827D4F" w:rsidSect="0039169B">
      <w:headerReference w:type="default" r:id="rId41"/>
      <w:footerReference w:type="even" r:id="rId42"/>
      <w:footerReference w:type="first" r:id="rId43"/>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08EC" w14:textId="77777777" w:rsidR="000149DE" w:rsidRDefault="000149DE">
      <w:r>
        <w:separator/>
      </w:r>
    </w:p>
  </w:endnote>
  <w:endnote w:type="continuationSeparator" w:id="0">
    <w:p w14:paraId="47510110" w14:textId="77777777" w:rsidR="000149DE" w:rsidRDefault="000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29F3B86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9F0264">
      <w:rPr>
        <w:noProof/>
      </w:rPr>
      <w:t>22.10.25</w:t>
    </w:r>
    <w:r>
      <w:fldChar w:fldCharType="end"/>
    </w:r>
    <w:r w:rsidRPr="0041348E">
      <w:rPr>
        <w:lang w:val="en-US"/>
      </w:rPr>
      <w:tab/>
    </w:r>
    <w:r>
      <w:fldChar w:fldCharType="begin"/>
    </w:r>
    <w:r>
      <w:instrText xml:space="preserve"> PRINTDATE \@ DD.MM.YY </w:instrText>
    </w:r>
    <w:r>
      <w:fldChar w:fldCharType="separate"/>
    </w:r>
    <w:r w:rsidR="00EC111E">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rPr>
            <w:t>姓名</w:t>
          </w:r>
          <w:r w:rsidR="00D83BF5" w:rsidRPr="00643AAD">
            <w:rPr>
              <w:sz w:val="18"/>
              <w:szCs w:val="18"/>
              <w:lang w:val="en-US"/>
            </w:rPr>
            <w:t>/</w:t>
          </w:r>
          <w:r w:rsidRPr="00643AAD">
            <w:rPr>
              <w:rFonts w:hint="eastAsia"/>
              <w:sz w:val="18"/>
              <w:szCs w:val="18"/>
              <w:lang w:val="en-US"/>
            </w:rPr>
            <w:t>组织</w:t>
          </w:r>
          <w:r w:rsidR="00D83BF5" w:rsidRPr="00643AAD">
            <w:rPr>
              <w:sz w:val="18"/>
              <w:szCs w:val="18"/>
              <w:lang w:val="en-US"/>
            </w:rPr>
            <w:t>/</w:t>
          </w:r>
          <w:r w:rsidRPr="00643AAD">
            <w:rPr>
              <w:rFonts w:hint="eastAsia"/>
              <w:sz w:val="18"/>
              <w:szCs w:val="18"/>
              <w:lang w:val="en-US"/>
            </w:rPr>
            <w:t>实体：</w:t>
          </w:r>
        </w:p>
      </w:tc>
      <w:tc>
        <w:tcPr>
          <w:tcW w:w="5987" w:type="dxa"/>
          <w:tcBorders>
            <w:top w:val="single" w:sz="4" w:space="0" w:color="000000"/>
          </w:tcBorders>
        </w:tcPr>
        <w:p w14:paraId="5DB182F7" w14:textId="07B8EED1" w:rsidR="00D83BF5" w:rsidRPr="00643AAD" w:rsidRDefault="00295B44" w:rsidP="00D83BF5">
          <w:pPr>
            <w:pStyle w:val="FirstFooter"/>
            <w:tabs>
              <w:tab w:val="left" w:pos="2302"/>
            </w:tabs>
            <w:ind w:left="2302" w:hanging="2302"/>
            <w:rPr>
              <w:sz w:val="18"/>
              <w:szCs w:val="18"/>
              <w:highlight w:val="yellow"/>
              <w:lang w:val="en-US"/>
            </w:rPr>
          </w:pPr>
          <w:bookmarkStart w:id="3" w:name="OrgName"/>
          <w:bookmarkEnd w:id="3"/>
          <w:r w:rsidRPr="00D00783">
            <w:rPr>
              <w:rFonts w:cs="Calibri"/>
              <w:sz w:val="18"/>
              <w:szCs w:val="18"/>
            </w:rPr>
            <w:t>BDT/DKS/DIS</w:t>
          </w:r>
          <w:r w:rsidR="0053695F">
            <w:rPr>
              <w:rFonts w:cs="Calibri" w:hint="eastAsia"/>
              <w:sz w:val="18"/>
              <w:szCs w:val="18"/>
              <w:lang w:val="en-US"/>
            </w:rPr>
            <w:t>负责人</w:t>
          </w:r>
          <w:r w:rsidRPr="00D00783">
            <w:rPr>
              <w:rFonts w:cs="Calibri"/>
              <w:sz w:val="18"/>
              <w:szCs w:val="18"/>
            </w:rPr>
            <w:t>Mohamed Ba</w:t>
          </w:r>
          <w:r>
            <w:rPr>
              <w:rFonts w:cs="Calibri" w:hint="eastAsia"/>
              <w:sz w:val="18"/>
              <w:szCs w:val="18"/>
            </w:rPr>
            <w:t>先生</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rPr>
            <w:t>电话号码：</w:t>
          </w:r>
        </w:p>
      </w:tc>
      <w:tc>
        <w:tcPr>
          <w:tcW w:w="5987" w:type="dxa"/>
        </w:tcPr>
        <w:p w14:paraId="785F616A" w14:textId="45A61CC3" w:rsidR="00D83BF5" w:rsidRPr="00643AAD" w:rsidRDefault="0029651F" w:rsidP="00D83BF5">
          <w:pPr>
            <w:pStyle w:val="FirstFooter"/>
            <w:tabs>
              <w:tab w:val="left" w:pos="2302"/>
            </w:tabs>
            <w:rPr>
              <w:sz w:val="18"/>
              <w:szCs w:val="18"/>
              <w:highlight w:val="yellow"/>
              <w:lang w:val="en-US"/>
            </w:rPr>
          </w:pPr>
          <w:bookmarkStart w:id="4" w:name="PhoneNo"/>
          <w:bookmarkEnd w:id="4"/>
          <w:r w:rsidRPr="00D00783">
            <w:rPr>
              <w:rFonts w:cs="Calibri"/>
              <w:sz w:val="18"/>
              <w:szCs w:val="18"/>
            </w:rPr>
            <w:t>+41 22 730 5338</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rPr>
            <w:t>电子邮件：</w:t>
          </w:r>
        </w:p>
      </w:tc>
      <w:bookmarkStart w:id="5" w:name="Email"/>
      <w:bookmarkEnd w:id="5"/>
      <w:tc>
        <w:tcPr>
          <w:tcW w:w="5987" w:type="dxa"/>
        </w:tcPr>
        <w:p w14:paraId="009A8175" w14:textId="7751F636" w:rsidR="00D83BF5" w:rsidRPr="00643AAD" w:rsidRDefault="0029651F" w:rsidP="00D83BF5">
          <w:pPr>
            <w:pStyle w:val="FirstFooter"/>
            <w:tabs>
              <w:tab w:val="left" w:pos="2302"/>
            </w:tabs>
            <w:rPr>
              <w:sz w:val="18"/>
              <w:szCs w:val="18"/>
              <w:highlight w:val="yellow"/>
              <w:lang w:val="en-US"/>
            </w:rPr>
          </w:pPr>
          <w:r>
            <w:fldChar w:fldCharType="begin"/>
          </w:r>
          <w:r>
            <w:instrText>HYPERLINK "mailto:mohamed.ba@itu.int"</w:instrText>
          </w:r>
          <w:r>
            <w:fldChar w:fldCharType="separate"/>
          </w:r>
          <w:r w:rsidRPr="00D00783">
            <w:rPr>
              <w:rStyle w:val="Hyperlink"/>
              <w:rFonts w:cs="Calibri"/>
              <w:sz w:val="18"/>
              <w:szCs w:val="18"/>
            </w:rPr>
            <w:t>mohamed.ba@itu.int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25F4" w14:textId="77777777" w:rsidR="000149DE" w:rsidRDefault="000149DE">
      <w:r>
        <w:rPr>
          <w:b/>
        </w:rPr>
        <w:t>_______________</w:t>
      </w:r>
    </w:p>
  </w:footnote>
  <w:footnote w:type="continuationSeparator" w:id="0">
    <w:p w14:paraId="622B5F94" w14:textId="77777777" w:rsidR="000149DE" w:rsidRDefault="0001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7C9432A1"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295B44">
      <w:rPr>
        <w:rFonts w:hint="eastAsia"/>
        <w:sz w:val="22"/>
        <w:szCs w:val="22"/>
        <w:lang w:val="es-ES"/>
      </w:rPr>
      <w:t>14</w:t>
    </w:r>
    <w:r w:rsidR="00827D4F" w:rsidRPr="00814CFC">
      <w:rPr>
        <w:sz w:val="22"/>
        <w:szCs w:val="22"/>
        <w:lang w:val="es-ES"/>
      </w:rPr>
      <w:t>-</w:t>
    </w:r>
    <w:r w:rsidR="00827D4F">
      <w:rPr>
        <w:rFonts w:hint="eastAsia"/>
        <w:sz w:val="22"/>
        <w:szCs w:val="22"/>
        <w:lang w:val="es-ES"/>
      </w:rPr>
      <w:t>C</w:t>
    </w:r>
    <w:r w:rsidRPr="00BC0E23">
      <w:rPr>
        <w:sz w:val="22"/>
        <w:szCs w:val="22"/>
        <w:lang w:val="es-ES_tradnl"/>
      </w:rPr>
      <w:tab/>
    </w:r>
    <w:r w:rsidR="007B460E">
      <w:rPr>
        <w:rFonts w:hint="eastAsia"/>
        <w:sz w:val="22"/>
        <w:szCs w:val="22"/>
        <w:lang w:val="es-ES_tradnl"/>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4"/>
  </w:num>
  <w:num w:numId="4" w16cid:durableId="226577952">
    <w:abstractNumId w:val="2"/>
  </w:num>
  <w:num w:numId="5" w16cid:durableId="56237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6BB3"/>
    <w:rsid w:val="00012BE3"/>
    <w:rsid w:val="000149DE"/>
    <w:rsid w:val="000165C5"/>
    <w:rsid w:val="00017314"/>
    <w:rsid w:val="00022A29"/>
    <w:rsid w:val="000355FD"/>
    <w:rsid w:val="0003598A"/>
    <w:rsid w:val="00035FD9"/>
    <w:rsid w:val="00043E99"/>
    <w:rsid w:val="00051E39"/>
    <w:rsid w:val="000666C1"/>
    <w:rsid w:val="00071ACB"/>
    <w:rsid w:val="00075C63"/>
    <w:rsid w:val="00077239"/>
    <w:rsid w:val="00080905"/>
    <w:rsid w:val="000822BE"/>
    <w:rsid w:val="00086491"/>
    <w:rsid w:val="00086D96"/>
    <w:rsid w:val="00091346"/>
    <w:rsid w:val="00092F97"/>
    <w:rsid w:val="000C6C7A"/>
    <w:rsid w:val="000F667A"/>
    <w:rsid w:val="000F73FF"/>
    <w:rsid w:val="00114CF7"/>
    <w:rsid w:val="00123B68"/>
    <w:rsid w:val="00126F2E"/>
    <w:rsid w:val="00146F6F"/>
    <w:rsid w:val="00147DA1"/>
    <w:rsid w:val="00152957"/>
    <w:rsid w:val="00165432"/>
    <w:rsid w:val="00165F90"/>
    <w:rsid w:val="001749BC"/>
    <w:rsid w:val="001774F0"/>
    <w:rsid w:val="00181F8F"/>
    <w:rsid w:val="001875A6"/>
    <w:rsid w:val="00187BD9"/>
    <w:rsid w:val="00190B55"/>
    <w:rsid w:val="00194CFB"/>
    <w:rsid w:val="001A3CFA"/>
    <w:rsid w:val="001B2627"/>
    <w:rsid w:val="001B2ED3"/>
    <w:rsid w:val="001C3B5F"/>
    <w:rsid w:val="001D058F"/>
    <w:rsid w:val="001D6BD7"/>
    <w:rsid w:val="001D7C28"/>
    <w:rsid w:val="002009EA"/>
    <w:rsid w:val="002025F7"/>
    <w:rsid w:val="00202CA0"/>
    <w:rsid w:val="002064B9"/>
    <w:rsid w:val="00206E70"/>
    <w:rsid w:val="002154A6"/>
    <w:rsid w:val="002162CD"/>
    <w:rsid w:val="00217377"/>
    <w:rsid w:val="002255B3"/>
    <w:rsid w:val="002335F6"/>
    <w:rsid w:val="00236E8A"/>
    <w:rsid w:val="00271316"/>
    <w:rsid w:val="00295B44"/>
    <w:rsid w:val="00296313"/>
    <w:rsid w:val="0029651F"/>
    <w:rsid w:val="002B0E90"/>
    <w:rsid w:val="002C5B92"/>
    <w:rsid w:val="002D58BE"/>
    <w:rsid w:val="002F16EC"/>
    <w:rsid w:val="002F415A"/>
    <w:rsid w:val="003013EE"/>
    <w:rsid w:val="00302C2E"/>
    <w:rsid w:val="00350AAA"/>
    <w:rsid w:val="00352220"/>
    <w:rsid w:val="0035787E"/>
    <w:rsid w:val="00377BD3"/>
    <w:rsid w:val="00384088"/>
    <w:rsid w:val="0038489B"/>
    <w:rsid w:val="0039169B"/>
    <w:rsid w:val="003A4AA5"/>
    <w:rsid w:val="003A5F96"/>
    <w:rsid w:val="003A7F8C"/>
    <w:rsid w:val="003B223B"/>
    <w:rsid w:val="003B532E"/>
    <w:rsid w:val="003B6F14"/>
    <w:rsid w:val="003C077D"/>
    <w:rsid w:val="003D0F8B"/>
    <w:rsid w:val="003D65FE"/>
    <w:rsid w:val="003E2066"/>
    <w:rsid w:val="004131D4"/>
    <w:rsid w:val="0041348E"/>
    <w:rsid w:val="00430667"/>
    <w:rsid w:val="00447308"/>
    <w:rsid w:val="004765FF"/>
    <w:rsid w:val="00476E4B"/>
    <w:rsid w:val="00492075"/>
    <w:rsid w:val="004969AD"/>
    <w:rsid w:val="004B13CB"/>
    <w:rsid w:val="004B4FDF"/>
    <w:rsid w:val="004C0B7C"/>
    <w:rsid w:val="004D5D5C"/>
    <w:rsid w:val="004E5027"/>
    <w:rsid w:val="004F136C"/>
    <w:rsid w:val="004F2C06"/>
    <w:rsid w:val="004F50A2"/>
    <w:rsid w:val="0050139F"/>
    <w:rsid w:val="00513155"/>
    <w:rsid w:val="005141CE"/>
    <w:rsid w:val="00521223"/>
    <w:rsid w:val="005223A2"/>
    <w:rsid w:val="00524DF1"/>
    <w:rsid w:val="0053695F"/>
    <w:rsid w:val="005453F3"/>
    <w:rsid w:val="0055140B"/>
    <w:rsid w:val="005532C3"/>
    <w:rsid w:val="00554C4F"/>
    <w:rsid w:val="005551F1"/>
    <w:rsid w:val="00561D72"/>
    <w:rsid w:val="00571F0B"/>
    <w:rsid w:val="0057341D"/>
    <w:rsid w:val="005964AB"/>
    <w:rsid w:val="00596E92"/>
    <w:rsid w:val="005A56C7"/>
    <w:rsid w:val="005B0676"/>
    <w:rsid w:val="005B44F5"/>
    <w:rsid w:val="005C099A"/>
    <w:rsid w:val="005C31A5"/>
    <w:rsid w:val="005E0F53"/>
    <w:rsid w:val="005E10C9"/>
    <w:rsid w:val="005E61DD"/>
    <w:rsid w:val="005E6321"/>
    <w:rsid w:val="005F370C"/>
    <w:rsid w:val="006023DF"/>
    <w:rsid w:val="006068E4"/>
    <w:rsid w:val="00612D56"/>
    <w:rsid w:val="0061320F"/>
    <w:rsid w:val="006140BF"/>
    <w:rsid w:val="00626644"/>
    <w:rsid w:val="0064322F"/>
    <w:rsid w:val="0064367E"/>
    <w:rsid w:val="00643AAD"/>
    <w:rsid w:val="00657DE0"/>
    <w:rsid w:val="00666A09"/>
    <w:rsid w:val="0067199F"/>
    <w:rsid w:val="00685313"/>
    <w:rsid w:val="006A6E9B"/>
    <w:rsid w:val="006B7C2A"/>
    <w:rsid w:val="006C23DA"/>
    <w:rsid w:val="006C2CFE"/>
    <w:rsid w:val="006E3D45"/>
    <w:rsid w:val="007149F9"/>
    <w:rsid w:val="00733A30"/>
    <w:rsid w:val="0074087D"/>
    <w:rsid w:val="00745AEE"/>
    <w:rsid w:val="007479EA"/>
    <w:rsid w:val="00750F10"/>
    <w:rsid w:val="00754754"/>
    <w:rsid w:val="007649F7"/>
    <w:rsid w:val="007742CA"/>
    <w:rsid w:val="007866D5"/>
    <w:rsid w:val="007915D2"/>
    <w:rsid w:val="007B4385"/>
    <w:rsid w:val="007B460E"/>
    <w:rsid w:val="007D06F0"/>
    <w:rsid w:val="007D45E3"/>
    <w:rsid w:val="007D5320"/>
    <w:rsid w:val="007F735C"/>
    <w:rsid w:val="00800972"/>
    <w:rsid w:val="00804475"/>
    <w:rsid w:val="00804A2A"/>
    <w:rsid w:val="00805620"/>
    <w:rsid w:val="00811633"/>
    <w:rsid w:val="00821CEF"/>
    <w:rsid w:val="00827D4F"/>
    <w:rsid w:val="00832828"/>
    <w:rsid w:val="00834DE3"/>
    <w:rsid w:val="0083645A"/>
    <w:rsid w:val="00840B0F"/>
    <w:rsid w:val="00853DF4"/>
    <w:rsid w:val="00861D88"/>
    <w:rsid w:val="00862D17"/>
    <w:rsid w:val="00867413"/>
    <w:rsid w:val="008711AE"/>
    <w:rsid w:val="00872FC8"/>
    <w:rsid w:val="008801D3"/>
    <w:rsid w:val="008814B4"/>
    <w:rsid w:val="008845D0"/>
    <w:rsid w:val="00890524"/>
    <w:rsid w:val="008B43F2"/>
    <w:rsid w:val="008B61EA"/>
    <w:rsid w:val="008B6CFF"/>
    <w:rsid w:val="008E4A61"/>
    <w:rsid w:val="00900967"/>
    <w:rsid w:val="00901526"/>
    <w:rsid w:val="00910B26"/>
    <w:rsid w:val="009274B4"/>
    <w:rsid w:val="00933808"/>
    <w:rsid w:val="00934EA2"/>
    <w:rsid w:val="00944A5C"/>
    <w:rsid w:val="00952A66"/>
    <w:rsid w:val="00954A08"/>
    <w:rsid w:val="009C56E5"/>
    <w:rsid w:val="009D1D68"/>
    <w:rsid w:val="009E5FC8"/>
    <w:rsid w:val="009E687A"/>
    <w:rsid w:val="009F0264"/>
    <w:rsid w:val="00A03C5C"/>
    <w:rsid w:val="00A066F1"/>
    <w:rsid w:val="00A12389"/>
    <w:rsid w:val="00A141AF"/>
    <w:rsid w:val="00A16D29"/>
    <w:rsid w:val="00A20E5E"/>
    <w:rsid w:val="00A22E8C"/>
    <w:rsid w:val="00A24FFD"/>
    <w:rsid w:val="00A30305"/>
    <w:rsid w:val="00A31D2D"/>
    <w:rsid w:val="00A3514E"/>
    <w:rsid w:val="00A414D6"/>
    <w:rsid w:val="00A4600A"/>
    <w:rsid w:val="00A538A6"/>
    <w:rsid w:val="00A54231"/>
    <w:rsid w:val="00A54C25"/>
    <w:rsid w:val="00A705BD"/>
    <w:rsid w:val="00A710E7"/>
    <w:rsid w:val="00A725BC"/>
    <w:rsid w:val="00A7372E"/>
    <w:rsid w:val="00A93B85"/>
    <w:rsid w:val="00AA0222"/>
    <w:rsid w:val="00AA0B18"/>
    <w:rsid w:val="00AA666F"/>
    <w:rsid w:val="00AB4927"/>
    <w:rsid w:val="00AB5398"/>
    <w:rsid w:val="00B004E5"/>
    <w:rsid w:val="00B10248"/>
    <w:rsid w:val="00B15F9D"/>
    <w:rsid w:val="00B57FF3"/>
    <w:rsid w:val="00B639E9"/>
    <w:rsid w:val="00B66BF1"/>
    <w:rsid w:val="00B71EF2"/>
    <w:rsid w:val="00B817CD"/>
    <w:rsid w:val="00B911B2"/>
    <w:rsid w:val="00B951D0"/>
    <w:rsid w:val="00BB29C8"/>
    <w:rsid w:val="00BB3A95"/>
    <w:rsid w:val="00BC0382"/>
    <w:rsid w:val="00BC0E23"/>
    <w:rsid w:val="00BE21EB"/>
    <w:rsid w:val="00BE4F08"/>
    <w:rsid w:val="00C0018F"/>
    <w:rsid w:val="00C01136"/>
    <w:rsid w:val="00C20466"/>
    <w:rsid w:val="00C214ED"/>
    <w:rsid w:val="00C234E6"/>
    <w:rsid w:val="00C324A8"/>
    <w:rsid w:val="00C54517"/>
    <w:rsid w:val="00C63427"/>
    <w:rsid w:val="00C64CD8"/>
    <w:rsid w:val="00C65122"/>
    <w:rsid w:val="00C82641"/>
    <w:rsid w:val="00C92163"/>
    <w:rsid w:val="00C97C68"/>
    <w:rsid w:val="00CA1A47"/>
    <w:rsid w:val="00CC15F7"/>
    <w:rsid w:val="00CC247A"/>
    <w:rsid w:val="00CE5E47"/>
    <w:rsid w:val="00CF020F"/>
    <w:rsid w:val="00CF2B5B"/>
    <w:rsid w:val="00D14CE0"/>
    <w:rsid w:val="00D25151"/>
    <w:rsid w:val="00D36333"/>
    <w:rsid w:val="00D5651D"/>
    <w:rsid w:val="00D74898"/>
    <w:rsid w:val="00D801ED"/>
    <w:rsid w:val="00D83BF5"/>
    <w:rsid w:val="00D925C2"/>
    <w:rsid w:val="00D936BC"/>
    <w:rsid w:val="00D9621A"/>
    <w:rsid w:val="00D96530"/>
    <w:rsid w:val="00D96B4B"/>
    <w:rsid w:val="00DA2345"/>
    <w:rsid w:val="00DA453A"/>
    <w:rsid w:val="00DA7078"/>
    <w:rsid w:val="00DC2FD1"/>
    <w:rsid w:val="00DC4EA1"/>
    <w:rsid w:val="00DC50BD"/>
    <w:rsid w:val="00DD08B4"/>
    <w:rsid w:val="00DD44AF"/>
    <w:rsid w:val="00DD63A5"/>
    <w:rsid w:val="00DE2AC3"/>
    <w:rsid w:val="00DE434C"/>
    <w:rsid w:val="00DE5692"/>
    <w:rsid w:val="00DF0B5D"/>
    <w:rsid w:val="00DF2A05"/>
    <w:rsid w:val="00DF2A6C"/>
    <w:rsid w:val="00DF6F8E"/>
    <w:rsid w:val="00E03C94"/>
    <w:rsid w:val="00E07105"/>
    <w:rsid w:val="00E10362"/>
    <w:rsid w:val="00E1232B"/>
    <w:rsid w:val="00E26226"/>
    <w:rsid w:val="00E4165C"/>
    <w:rsid w:val="00E43A89"/>
    <w:rsid w:val="00E45D05"/>
    <w:rsid w:val="00E55816"/>
    <w:rsid w:val="00E55AEF"/>
    <w:rsid w:val="00E60DB5"/>
    <w:rsid w:val="00E632EC"/>
    <w:rsid w:val="00E65AB8"/>
    <w:rsid w:val="00E850B0"/>
    <w:rsid w:val="00E866EE"/>
    <w:rsid w:val="00E976C1"/>
    <w:rsid w:val="00EA12E5"/>
    <w:rsid w:val="00EB19B2"/>
    <w:rsid w:val="00EC111E"/>
    <w:rsid w:val="00EC3651"/>
    <w:rsid w:val="00ED1A52"/>
    <w:rsid w:val="00ED2457"/>
    <w:rsid w:val="00EE26AA"/>
    <w:rsid w:val="00EE289E"/>
    <w:rsid w:val="00EE7099"/>
    <w:rsid w:val="00EF34F4"/>
    <w:rsid w:val="00F02766"/>
    <w:rsid w:val="00F04067"/>
    <w:rsid w:val="00F05BD4"/>
    <w:rsid w:val="00F11A98"/>
    <w:rsid w:val="00F21A1D"/>
    <w:rsid w:val="00F21BF3"/>
    <w:rsid w:val="00F65C19"/>
    <w:rsid w:val="00F70A12"/>
    <w:rsid w:val="00F9433D"/>
    <w:rsid w:val="00FD2546"/>
    <w:rsid w:val="00FD58D7"/>
    <w:rsid w:val="00FD6EFB"/>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character" w:styleId="UnresolvedMention">
    <w:name w:val="Unresolved Mention"/>
    <w:basedOn w:val="DefaultParagraphFont"/>
    <w:uiPriority w:val="99"/>
    <w:semiHidden/>
    <w:unhideWhenUsed/>
    <w:rsid w:val="0029651F"/>
    <w:rPr>
      <w:color w:val="605E5C"/>
      <w:shd w:val="clear" w:color="auto" w:fill="E1DFDD"/>
    </w:rPr>
  </w:style>
  <w:style w:type="table" w:styleId="TableGrid">
    <w:name w:val="Table Grid"/>
    <w:basedOn w:val="TableNormal"/>
    <w:uiPriority w:val="39"/>
    <w:rsid w:val="000666C1"/>
    <w:rPr>
      <w:rFonts w:ascii="CG Times" w:eastAsia="Times New Roma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D6EFB"/>
    <w:rPr>
      <w:rFonts w:asciiTheme="minorHAnsi" w:hAnsiTheme="minorHAnsi"/>
      <w:sz w:val="24"/>
      <w:lang w:val="en-GB"/>
    </w:rPr>
  </w:style>
  <w:style w:type="character" w:customStyle="1" w:styleId="Link">
    <w:name w:val="Link"/>
    <w:rsid w:val="00B66BF1"/>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itu-d/sites/innovation-alliance/events/news/inaugural-board-meeting/" TargetMode="External"/><Relationship Id="rId26" Type="http://schemas.openxmlformats.org/officeDocument/2006/relationships/hyperlink" Target="https://www.itu.int/itu-d/sites/innovation-alliance/events/news/member-communique-2023-september/" TargetMode="External"/><Relationship Id="rId39" Type="http://schemas.openxmlformats.org/officeDocument/2006/relationships/hyperlink" Target="https://www.itu.int/itu-d/sites/innovation-alliance/events/news/acceleration-centre-event-dubai/" TargetMode="External"/><Relationship Id="rId21" Type="http://schemas.openxmlformats.org/officeDocument/2006/relationships/hyperlink" Target="https://www.itu.int/itu-d/sites/innovation-alliance/third-meeting-of-the-digital-innovation-board/" TargetMode="External"/><Relationship Id="rId34" Type="http://schemas.openxmlformats.org/officeDocument/2006/relationships/hyperlink" Target="https://www.itu.int/itu-d/sites/innovation-alliance/wp-content/uploads/sites/35/2025/10/FBS_-Shaping-the-future-of-startups-and-SMEs_October-2025_Signed-BDTDirector.pdf"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itu-d/sites/innovation-alliance" TargetMode="External"/><Relationship Id="rId29" Type="http://schemas.openxmlformats.org/officeDocument/2006/relationships/hyperlink" Target="https://www.itu.int/itu-d/meetings/gif-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en/ITU-D/Innovation/Pages/RIA/Regional-Initiative-Accelerator.aspx" TargetMode="External"/><Relationship Id="rId32" Type="http://schemas.openxmlformats.org/officeDocument/2006/relationships/hyperlink" Target="https://www.itu.int/en/ITU-D/Innovation/Pages/Strategic%20Foresight/Strategic-Foresight.aspx" TargetMode="External"/><Relationship Id="rId37" Type="http://schemas.openxmlformats.org/officeDocument/2006/relationships/hyperlink" Target="https://www.itu.int/itu-d/sites/innovation-alliance/strategic-foresight-reports/" TargetMode="External"/><Relationship Id="rId40" Type="http://schemas.openxmlformats.org/officeDocument/2006/relationships/hyperlink" Target="https://www.itu.int/itu-d/sites/innovation-alliance/itu-acceleration-centre-meeting/"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en/ITU-D/Innovation/Pages/Global-Innovation-Forum.aspx" TargetMode="External"/><Relationship Id="rId23" Type="http://schemas.openxmlformats.org/officeDocument/2006/relationships/hyperlink" Target="https://www.itu.int/itu-d/sites/innovation-alliance/digital-transformation-lab/" TargetMode="External"/><Relationship Id="rId28" Type="http://schemas.openxmlformats.org/officeDocument/2006/relationships/hyperlink" Target="https://www.itu.int/itu-d/meetings/gif-24/programme/tuesday-29-october/session-details-tuesday/?sessionid=12" TargetMode="External"/><Relationship Id="rId36" Type="http://schemas.openxmlformats.org/officeDocument/2006/relationships/hyperlink" Target="https://www.itu.int/itu-d/sites/innovation-alliance/strategic-foresight-reports/" TargetMode="External"/><Relationship Id="rId10" Type="http://schemas.openxmlformats.org/officeDocument/2006/relationships/footnotes" Target="footnotes.xml"/><Relationship Id="rId19" Type="http://schemas.openxmlformats.org/officeDocument/2006/relationships/hyperlink" Target="https://www.itu.int/itu-d/sites/innovation-alliance/wp-content/uploads/sites/35/2024/12/Second-Meeting-of-the-Digital-Innovation-Board-28-October-2024-Summary.pdf" TargetMode="External"/><Relationship Id="rId31" Type="http://schemas.openxmlformats.org/officeDocument/2006/relationships/hyperlink" Target="https://www.itu.int/itu-d/sites/innovation-alliance/the-expert-networ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Innovation/Pages/Ecosystem-Development-Strategies-and-Roadmaps.aspx" TargetMode="External"/><Relationship Id="rId22" Type="http://schemas.openxmlformats.org/officeDocument/2006/relationships/hyperlink" Target="https://www.itu.int/itu-d/sites/innovation-alliance/wp-content/uploads/sites/35/2025/10/Bridging-the-Digital-Innovation-Divide-Manifesto_Draft_3rdBoardMeeting.CMdocx-final.pdf" TargetMode="External"/><Relationship Id="rId27" Type="http://schemas.openxmlformats.org/officeDocument/2006/relationships/hyperlink" Target="https://www.itu.int/itu-d/sites/innovation-alliance/events/news/acceleration-centre-event-dubai/" TargetMode="External"/><Relationship Id="rId30" Type="http://schemas.openxmlformats.org/officeDocument/2006/relationships/hyperlink" Target="https://www.itu.int/itu-d/sites/innovation-alliance/itu-acceleration-centre-meeting/" TargetMode="External"/><Relationship Id="rId35" Type="http://schemas.openxmlformats.org/officeDocument/2006/relationships/hyperlink" Target="https://www.itu.int/itu-d/sites/innovation-alliance/wp-content/uploads/sites/35/2025/10/FBS_-Shaping-the-future-of-an-African-VC-landscape_Signed-BDTDirector.pdf"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innovation.itu.int/" TargetMode="External"/><Relationship Id="rId25" Type="http://schemas.openxmlformats.org/officeDocument/2006/relationships/hyperlink" Target="https://www.itu.int/itu-d/sites/innovation-alliance/network-of-itu-acceleration-centres/" TargetMode="External"/><Relationship Id="rId33" Type="http://schemas.openxmlformats.org/officeDocument/2006/relationships/hyperlink" Target="https://www.itu.int/itu-d/sites/innovation-alliance/wp-content/uploads/sites/35/2025/10/Shaping-education-for-tomorrow.pdf" TargetMode="External"/><Relationship Id="rId38" Type="http://schemas.openxmlformats.org/officeDocument/2006/relationships/hyperlink" Target="https://www.itu.int/en/ITU-D/Innovation/Pages/Strategic%20Foresight/Strategic-Foresight.aspx" TargetMode="External"/><Relationship Id="rId20" Type="http://schemas.openxmlformats.org/officeDocument/2006/relationships/hyperlink" Target="https://www.itu.int/itu-d/sites/innovation-alliance/wp-content/uploads/sites/35/2024/12/Second-Meeting-of-the-Digital-Innovation-Board-28-October-2024-Summary.pdf"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purl.org/dc/terms/"/>
    <ds:schemaRef ds:uri="996b2e75-67fd-4955-a3b0-5ab9934cb50b"/>
    <ds:schemaRef ds:uri="http://schemas.microsoft.com/office/2006/metadata/properties"/>
    <ds:schemaRef ds:uri="32a1a8c5-2265-4ebc-b7a0-2071e2c5c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5033</Words>
  <Characters>5912</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10924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 Yong</cp:lastModifiedBy>
  <cp:revision>3</cp:revision>
  <cp:lastPrinted>2017-03-10T13:45:00Z</cp:lastPrinted>
  <dcterms:created xsi:type="dcterms:W3CDTF">2025-10-22T14:01:00Z</dcterms:created>
  <dcterms:modified xsi:type="dcterms:W3CDTF">2025-10-22T14:09:00Z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