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4"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8"/>
        <w:gridCol w:w="1691"/>
        <w:gridCol w:w="4962"/>
        <w:gridCol w:w="1559"/>
        <w:gridCol w:w="1420"/>
        <w:gridCol w:w="7"/>
      </w:tblGrid>
      <w:tr w:rsidR="00AD1E92" w:rsidRPr="00783A69" w14:paraId="16B682FE" w14:textId="77777777" w:rsidTr="00FA5E21">
        <w:trPr>
          <w:gridAfter w:val="1"/>
          <w:wAfter w:w="7" w:type="dxa"/>
          <w:cantSplit/>
          <w:trHeight w:val="1310"/>
          <w:jc w:val="center"/>
        </w:trPr>
        <w:tc>
          <w:tcPr>
            <w:tcW w:w="1699" w:type="dxa"/>
            <w:gridSpan w:val="2"/>
            <w:tcBorders>
              <w:bottom w:val="single" w:sz="12" w:space="0" w:color="auto"/>
            </w:tcBorders>
            <w:vAlign w:val="center"/>
          </w:tcPr>
          <w:p w14:paraId="39A5DC5E"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2AA48F11" wp14:editId="06115AF8">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2B03DD43"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4E4C2862" w14:textId="77777777" w:rsidR="00AD1E92" w:rsidRPr="00457D22" w:rsidRDefault="00062F2F" w:rsidP="00AD1E92">
            <w:pPr>
              <w:jc w:val="left"/>
              <w:rPr>
                <w:b/>
                <w:bCs/>
                <w:sz w:val="28"/>
                <w:szCs w:val="28"/>
                <w:rtl/>
                <w:lang w:bidi="ar-EG"/>
              </w:rPr>
            </w:pPr>
            <w:r>
              <w:rPr>
                <w:rFonts w:hint="cs"/>
                <w:b/>
                <w:bCs/>
                <w:sz w:val="26"/>
                <w:szCs w:val="26"/>
                <w:rtl/>
              </w:rPr>
              <w:t xml:space="preserve">باكو، جمهورية أذربيجان، في الفترة من </w:t>
            </w:r>
            <w:r>
              <w:rPr>
                <w:b/>
                <w:bCs/>
                <w:sz w:val="26"/>
                <w:szCs w:val="26"/>
              </w:rPr>
              <w:t>17</w:t>
            </w:r>
            <w:r>
              <w:rPr>
                <w:rFonts w:hint="cs"/>
                <w:b/>
                <w:bCs/>
                <w:sz w:val="26"/>
                <w:szCs w:val="26"/>
                <w:rtl/>
                <w:lang w:bidi="ar-EG"/>
              </w:rPr>
              <w:t xml:space="preserve"> إلى </w:t>
            </w:r>
            <w:r>
              <w:rPr>
                <w:b/>
                <w:bCs/>
                <w:sz w:val="26"/>
                <w:szCs w:val="26"/>
                <w:lang w:bidi="ar-EG"/>
              </w:rPr>
              <w:t>28</w:t>
            </w:r>
            <w:r>
              <w:rPr>
                <w:rFonts w:hint="cs"/>
                <w:b/>
                <w:bCs/>
                <w:sz w:val="26"/>
                <w:szCs w:val="26"/>
                <w:rtl/>
                <w:lang w:bidi="ar-EG"/>
              </w:rPr>
              <w:t xml:space="preserve"> نوفمبر </w:t>
            </w:r>
            <w:r>
              <w:rPr>
                <w:b/>
                <w:bCs/>
                <w:sz w:val="26"/>
                <w:szCs w:val="26"/>
                <w:lang w:bidi="ar-EG"/>
              </w:rPr>
              <w:t>2025</w:t>
            </w:r>
          </w:p>
        </w:tc>
        <w:tc>
          <w:tcPr>
            <w:tcW w:w="1420" w:type="dxa"/>
            <w:tcBorders>
              <w:bottom w:val="single" w:sz="12" w:space="0" w:color="auto"/>
            </w:tcBorders>
            <w:vAlign w:val="center"/>
          </w:tcPr>
          <w:p w14:paraId="5AB617A9"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62DB7CC3" wp14:editId="194E262D">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14C2D6A8" w14:textId="77777777" w:rsidTr="00FA5E21">
        <w:trPr>
          <w:gridAfter w:val="1"/>
          <w:wAfter w:w="7" w:type="dxa"/>
          <w:cantSplit/>
          <w:jc w:val="center"/>
        </w:trPr>
        <w:tc>
          <w:tcPr>
            <w:tcW w:w="6660" w:type="dxa"/>
            <w:gridSpan w:val="3"/>
            <w:tcBorders>
              <w:top w:val="single" w:sz="12" w:space="0" w:color="auto"/>
            </w:tcBorders>
          </w:tcPr>
          <w:p w14:paraId="72CC0085" w14:textId="77777777" w:rsidR="00CA08BA" w:rsidRPr="00783A69" w:rsidRDefault="00CA08BA" w:rsidP="00B93B7B">
            <w:pPr>
              <w:spacing w:before="20" w:after="20" w:line="300" w:lineRule="exact"/>
              <w:rPr>
                <w:b/>
                <w:bCs/>
                <w:rtl/>
                <w:lang w:bidi="ar-EG"/>
              </w:rPr>
            </w:pPr>
          </w:p>
        </w:tc>
        <w:tc>
          <w:tcPr>
            <w:tcW w:w="2979" w:type="dxa"/>
            <w:gridSpan w:val="2"/>
            <w:tcBorders>
              <w:top w:val="single" w:sz="12" w:space="0" w:color="auto"/>
            </w:tcBorders>
          </w:tcPr>
          <w:p w14:paraId="173CDBA4" w14:textId="77777777" w:rsidR="00CA08BA" w:rsidRPr="00C85CB5" w:rsidRDefault="00CA08BA" w:rsidP="00B93B7B">
            <w:pPr>
              <w:spacing w:before="20" w:after="20" w:line="300" w:lineRule="exact"/>
              <w:rPr>
                <w:b/>
                <w:bCs/>
                <w:highlight w:val="yellow"/>
                <w:rtl/>
                <w:lang w:bidi="ar-EG"/>
              </w:rPr>
            </w:pPr>
          </w:p>
        </w:tc>
      </w:tr>
      <w:tr w:rsidR="00783A69" w:rsidRPr="00783A69" w14:paraId="2522DB7F" w14:textId="77777777" w:rsidTr="00FA5E21">
        <w:trPr>
          <w:gridAfter w:val="1"/>
          <w:wAfter w:w="7" w:type="dxa"/>
          <w:cantSplit/>
          <w:jc w:val="center"/>
        </w:trPr>
        <w:tc>
          <w:tcPr>
            <w:tcW w:w="6660" w:type="dxa"/>
            <w:gridSpan w:val="3"/>
          </w:tcPr>
          <w:p w14:paraId="11B1A7BA" w14:textId="77777777" w:rsidR="00783A69" w:rsidRPr="00783A69" w:rsidRDefault="00BE739F" w:rsidP="00111DD8">
            <w:pPr>
              <w:pStyle w:val="Committee"/>
            </w:pPr>
            <w:r>
              <w:rPr>
                <w:rFonts w:hint="cs"/>
                <w:rtl/>
              </w:rPr>
              <w:t>الجلسة العامة</w:t>
            </w:r>
          </w:p>
        </w:tc>
        <w:tc>
          <w:tcPr>
            <w:tcW w:w="2979" w:type="dxa"/>
            <w:gridSpan w:val="2"/>
          </w:tcPr>
          <w:p w14:paraId="677C42FD" w14:textId="72C59EA9" w:rsidR="00783A69" w:rsidRPr="00153471" w:rsidRDefault="00783A69" w:rsidP="006B266A">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FA5E21">
              <w:rPr>
                <w:b/>
                <w:bCs/>
                <w:lang w:bidi="ar-EG"/>
              </w:rPr>
              <w:t>14</w:t>
            </w:r>
            <w:r w:rsidRPr="00153471">
              <w:rPr>
                <w:b/>
                <w:bCs/>
                <w:lang w:bidi="ar-EG"/>
              </w:rPr>
              <w:t>-A</w:t>
            </w:r>
          </w:p>
        </w:tc>
      </w:tr>
      <w:tr w:rsidR="00783A69" w:rsidRPr="00783A69" w14:paraId="36B150D9" w14:textId="77777777" w:rsidTr="00FA5E21">
        <w:trPr>
          <w:gridAfter w:val="1"/>
          <w:wAfter w:w="7" w:type="dxa"/>
          <w:cantSplit/>
          <w:jc w:val="center"/>
        </w:trPr>
        <w:tc>
          <w:tcPr>
            <w:tcW w:w="6660" w:type="dxa"/>
            <w:gridSpan w:val="3"/>
          </w:tcPr>
          <w:p w14:paraId="454B6D14" w14:textId="77777777" w:rsidR="00783A69" w:rsidRPr="00783A69" w:rsidRDefault="00783A69" w:rsidP="00B93B7B">
            <w:pPr>
              <w:spacing w:before="20" w:after="20" w:line="300" w:lineRule="exact"/>
              <w:rPr>
                <w:b/>
                <w:bCs/>
              </w:rPr>
            </w:pPr>
          </w:p>
        </w:tc>
        <w:tc>
          <w:tcPr>
            <w:tcW w:w="2979" w:type="dxa"/>
            <w:gridSpan w:val="2"/>
          </w:tcPr>
          <w:p w14:paraId="79A47F37" w14:textId="3F0BE163" w:rsidR="00783A69" w:rsidRPr="00C85CB5" w:rsidRDefault="00FA5E21" w:rsidP="00B319BC">
            <w:pPr>
              <w:spacing w:before="20" w:after="20" w:line="300" w:lineRule="exact"/>
              <w:rPr>
                <w:b/>
                <w:bCs/>
                <w:highlight w:val="yellow"/>
              </w:rPr>
            </w:pPr>
            <w:r>
              <w:rPr>
                <w:b/>
                <w:bCs/>
                <w:lang w:bidi="ar-EG"/>
              </w:rPr>
              <w:t>13</w:t>
            </w:r>
            <w:r>
              <w:rPr>
                <w:rFonts w:hint="cs"/>
                <w:b/>
                <w:bCs/>
                <w:rtl/>
                <w:lang w:bidi="ar-EG"/>
              </w:rPr>
              <w:t xml:space="preserve"> أكتوبر </w:t>
            </w:r>
            <w:r>
              <w:rPr>
                <w:b/>
                <w:bCs/>
                <w:lang w:bidi="ar-EG"/>
              </w:rPr>
              <w:t>2025</w:t>
            </w:r>
          </w:p>
        </w:tc>
      </w:tr>
      <w:tr w:rsidR="00783A69" w:rsidRPr="00783A69" w14:paraId="6897F734" w14:textId="77777777" w:rsidTr="00FA5E21">
        <w:trPr>
          <w:gridAfter w:val="1"/>
          <w:wAfter w:w="7" w:type="dxa"/>
          <w:cantSplit/>
          <w:jc w:val="center"/>
        </w:trPr>
        <w:tc>
          <w:tcPr>
            <w:tcW w:w="6660" w:type="dxa"/>
            <w:gridSpan w:val="3"/>
          </w:tcPr>
          <w:p w14:paraId="4B777603" w14:textId="77777777" w:rsidR="00783A69" w:rsidRPr="00783A69" w:rsidRDefault="00783A69" w:rsidP="00B93B7B">
            <w:pPr>
              <w:spacing w:before="20" w:after="20" w:line="300" w:lineRule="exact"/>
              <w:rPr>
                <w:b/>
                <w:bCs/>
                <w:lang w:bidi="ar-EG"/>
              </w:rPr>
            </w:pPr>
          </w:p>
        </w:tc>
        <w:tc>
          <w:tcPr>
            <w:tcW w:w="2979" w:type="dxa"/>
            <w:gridSpan w:val="2"/>
          </w:tcPr>
          <w:p w14:paraId="40F7417C" w14:textId="32ADE324"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1F6F4F49" w14:textId="77777777" w:rsidTr="00FA5E21">
        <w:trPr>
          <w:gridAfter w:val="1"/>
          <w:wAfter w:w="7" w:type="dxa"/>
          <w:cantSplit/>
          <w:jc w:val="center"/>
        </w:trPr>
        <w:tc>
          <w:tcPr>
            <w:tcW w:w="9639" w:type="dxa"/>
            <w:gridSpan w:val="5"/>
          </w:tcPr>
          <w:p w14:paraId="28F378D5" w14:textId="2F5F557B" w:rsidR="00783A69" w:rsidRPr="00783A69" w:rsidRDefault="00FA5E21" w:rsidP="00FA5E21">
            <w:pPr>
              <w:pStyle w:val="Source"/>
            </w:pPr>
            <w:r w:rsidRPr="00FA5E21">
              <w:rPr>
                <w:sz w:val="28"/>
                <w:szCs w:val="28"/>
                <w:rtl/>
              </w:rPr>
              <w:t>مدير مكتب تنمية الاتصالات</w:t>
            </w:r>
          </w:p>
        </w:tc>
      </w:tr>
      <w:tr w:rsidR="00783A69" w:rsidRPr="00783A69" w14:paraId="41B6262E" w14:textId="77777777" w:rsidTr="00FA5E21">
        <w:trPr>
          <w:gridAfter w:val="1"/>
          <w:wAfter w:w="7" w:type="dxa"/>
          <w:cantSplit/>
          <w:jc w:val="center"/>
        </w:trPr>
        <w:tc>
          <w:tcPr>
            <w:tcW w:w="9639" w:type="dxa"/>
            <w:gridSpan w:val="5"/>
          </w:tcPr>
          <w:p w14:paraId="0C415713" w14:textId="350FFB90" w:rsidR="00783A69" w:rsidRPr="00783A69" w:rsidRDefault="00FA5E21" w:rsidP="00FA5E21">
            <w:pPr>
              <w:pStyle w:val="Title1"/>
              <w:rPr>
                <w:lang w:bidi="ar-EG"/>
              </w:rPr>
            </w:pPr>
            <w:r w:rsidRPr="00FA5E21">
              <w:rPr>
                <w:rtl/>
              </w:rPr>
              <w:t xml:space="preserve">تقرير عن عمل مكتب تنمية الاتصالات </w:t>
            </w:r>
            <w:r w:rsidR="00111DD8">
              <w:rPr>
                <w:rtl/>
              </w:rPr>
              <w:br/>
            </w:r>
            <w:r w:rsidRPr="00FA5E21">
              <w:rPr>
                <w:rtl/>
              </w:rPr>
              <w:t>بشأن تحالف الابتكار وريادة الأعمال لأغراض التنمية الرقمية</w:t>
            </w:r>
          </w:p>
        </w:tc>
      </w:tr>
      <w:tr w:rsidR="00783A69" w:rsidRPr="00153471" w14:paraId="048E8632" w14:textId="77777777" w:rsidTr="00FA5E21">
        <w:trPr>
          <w:gridBefore w:val="1"/>
          <w:wBefore w:w="8" w:type="dxa"/>
          <w:cantSplit/>
          <w:jc w:val="center"/>
        </w:trPr>
        <w:tc>
          <w:tcPr>
            <w:tcW w:w="9638" w:type="dxa"/>
            <w:gridSpan w:val="5"/>
            <w:tcBorders>
              <w:top w:val="single" w:sz="6" w:space="0" w:color="auto"/>
              <w:left w:val="single" w:sz="6" w:space="0" w:color="auto"/>
              <w:bottom w:val="single" w:sz="6" w:space="0" w:color="auto"/>
              <w:right w:val="single" w:sz="6" w:space="0" w:color="auto"/>
            </w:tcBorders>
          </w:tcPr>
          <w:p w14:paraId="5673774D" w14:textId="1035B092" w:rsidR="009E5762" w:rsidRPr="00350C65" w:rsidRDefault="009E5762" w:rsidP="00FA5E21">
            <w:pPr>
              <w:tabs>
                <w:tab w:val="left" w:pos="2016"/>
                <w:tab w:val="left" w:pos="2299"/>
              </w:tabs>
              <w:rPr>
                <w:rtl/>
              </w:rPr>
            </w:pPr>
            <w:r w:rsidRPr="00350C65">
              <w:rPr>
                <w:rFonts w:hint="cs"/>
                <w:b/>
                <w:bCs/>
                <w:rtl/>
                <w:lang w:bidi="ar-SY"/>
              </w:rPr>
              <w:t>المجال ذو الأولوية</w:t>
            </w:r>
            <w:r w:rsidR="005874F2" w:rsidRPr="00350C65">
              <w:rPr>
                <w:rFonts w:hint="cs"/>
                <w:b/>
                <w:bCs/>
                <w:rtl/>
                <w:lang w:bidi="ar-SY"/>
              </w:rPr>
              <w:t>:</w:t>
            </w:r>
            <w:r w:rsidRPr="00350C65">
              <w:rPr>
                <w:rtl/>
                <w:lang w:bidi="ar-SY"/>
              </w:rPr>
              <w:tab/>
            </w:r>
            <w:r w:rsidRPr="00350C65">
              <w:rPr>
                <w:rFonts w:hint="cs"/>
                <w:rtl/>
              </w:rPr>
              <w:t>-</w:t>
            </w:r>
            <w:r w:rsidRPr="00350C65">
              <w:rPr>
                <w:rtl/>
              </w:rPr>
              <w:tab/>
            </w:r>
            <w:r w:rsidR="00FA5E21" w:rsidRPr="00350C65">
              <w:rPr>
                <w:rtl/>
              </w:rPr>
              <w:t>التحول الرقمي</w:t>
            </w:r>
          </w:p>
          <w:p w14:paraId="26B4AE40" w14:textId="4965D17E" w:rsidR="00783A69" w:rsidRPr="00350C65" w:rsidRDefault="009E5762" w:rsidP="00EE5CF2">
            <w:pPr>
              <w:rPr>
                <w:rtl/>
                <w:lang w:bidi="ar-SY"/>
              </w:rPr>
            </w:pPr>
            <w:r w:rsidRPr="00350C65">
              <w:rPr>
                <w:rFonts w:hint="cs"/>
                <w:b/>
                <w:bCs/>
                <w:rtl/>
                <w:lang w:bidi="ar-SY"/>
              </w:rPr>
              <w:t>ملخص:</w:t>
            </w:r>
          </w:p>
          <w:p w14:paraId="1BF0A3AE" w14:textId="74253E55" w:rsidR="00FA5E21" w:rsidRPr="00350C65" w:rsidRDefault="00FA5E21" w:rsidP="00FA5E21">
            <w:pPr>
              <w:rPr>
                <w:color w:val="000000"/>
                <w:rtl/>
              </w:rPr>
            </w:pPr>
            <w:r w:rsidRPr="00350C65">
              <w:rPr>
                <w:color w:val="000000"/>
                <w:rtl/>
              </w:rPr>
              <w:t>تقدم هذه الوثيقة لمحة عامة عن العمل الذي أنجزه مكتب تنمية الاتصالات</w:t>
            </w:r>
            <w:r w:rsidR="00EE1AE1" w:rsidRPr="00350C65">
              <w:rPr>
                <w:rFonts w:hint="cs"/>
                <w:color w:val="000000"/>
                <w:rtl/>
              </w:rPr>
              <w:t xml:space="preserve"> </w:t>
            </w:r>
            <w:r w:rsidR="00EE1AE1" w:rsidRPr="00350C65">
              <w:rPr>
                <w:color w:val="000000"/>
              </w:rPr>
              <w:t>(BDT)</w:t>
            </w:r>
            <w:r w:rsidRPr="00350C65">
              <w:rPr>
                <w:color w:val="000000"/>
                <w:rtl/>
              </w:rPr>
              <w:t xml:space="preserve"> بشأن الابتكار الرقمي من خلال </w:t>
            </w:r>
            <w:hyperlink r:id="rId10" w:anchor="/ar" w:history="1">
              <w:r w:rsidRPr="00350C65">
                <w:rPr>
                  <w:rStyle w:val="Hyperlink"/>
                  <w:rtl/>
                </w:rPr>
                <w:t>تحالف الابتكار وريادة الأعمال لأغراض التنمية الرقمية</w:t>
              </w:r>
            </w:hyperlink>
            <w:r w:rsidRPr="00350C65">
              <w:rPr>
                <w:color w:val="000000"/>
                <w:rtl/>
              </w:rPr>
              <w:t xml:space="preserve"> منذ المؤتمر العالمي لتنمية الاتصالات عام 2022 حتى الآن.</w:t>
            </w:r>
          </w:p>
          <w:p w14:paraId="79C3FD03" w14:textId="1840DBBC" w:rsidR="00FA5E21" w:rsidRPr="00350C65" w:rsidRDefault="00FA5E21" w:rsidP="00FA5E21">
            <w:pPr>
              <w:rPr>
                <w:color w:val="000000"/>
                <w:rtl/>
              </w:rPr>
            </w:pPr>
            <w:r w:rsidRPr="00350C65">
              <w:rPr>
                <w:color w:val="000000"/>
                <w:rtl/>
              </w:rPr>
              <w:t xml:space="preserve">وتسلط الضوء على الأنشطة والمبادرات والأحداث </w:t>
            </w:r>
            <w:proofErr w:type="spellStart"/>
            <w:r w:rsidRPr="00350C65">
              <w:rPr>
                <w:color w:val="000000"/>
                <w:rtl/>
              </w:rPr>
              <w:t>المضطلع</w:t>
            </w:r>
            <w:proofErr w:type="spellEnd"/>
            <w:r w:rsidRPr="00350C65">
              <w:rPr>
                <w:color w:val="000000"/>
                <w:rtl/>
              </w:rPr>
              <w:t xml:space="preserve"> بها لتعزيز قدرة أعضاء الاتحاد على إدماج الابتكار في مجال الاتصالات/تكنولوجيا المعلومات والاتصالات، فضل</w:t>
            </w:r>
            <w:r w:rsidR="00111DD8" w:rsidRPr="00350C65">
              <w:rPr>
                <w:rFonts w:hint="cs"/>
                <w:color w:val="000000"/>
                <w:rtl/>
              </w:rPr>
              <w:t>اً</w:t>
            </w:r>
            <w:r w:rsidRPr="00350C65">
              <w:rPr>
                <w:color w:val="000000"/>
                <w:rtl/>
              </w:rPr>
              <w:t xml:space="preserve"> عن </w:t>
            </w:r>
            <w:proofErr w:type="spellStart"/>
            <w:r w:rsidRPr="00350C65">
              <w:rPr>
                <w:color w:val="000000"/>
                <w:rtl/>
              </w:rPr>
              <w:t>الرقمنة</w:t>
            </w:r>
            <w:proofErr w:type="spellEnd"/>
            <w:r w:rsidRPr="00350C65">
              <w:rPr>
                <w:color w:val="000000"/>
                <w:rtl/>
              </w:rPr>
              <w:t>، في جداول أعمالهم الإنمائية الوطنية، وتطوير القدرات البشرية والمؤسسية المتعلقة بتطوير الأنظمة الإيكولوجية للابتكار الرقمي.</w:t>
            </w:r>
          </w:p>
          <w:p w14:paraId="6ECE52C6" w14:textId="1EBAF007" w:rsidR="00FA5E21" w:rsidRPr="00350C65" w:rsidRDefault="00FA5E21" w:rsidP="00FA5E21">
            <w:pPr>
              <w:rPr>
                <w:color w:val="000000"/>
                <w:rtl/>
              </w:rPr>
            </w:pPr>
            <w:r w:rsidRPr="00350C65">
              <w:rPr>
                <w:color w:val="000000"/>
                <w:rtl/>
              </w:rPr>
              <w:t xml:space="preserve">ويكمل عمل التحالف، ويبني على، الأنشطة الأخرى لقطاع تنمية الاتصالات في إطار </w:t>
            </w:r>
            <w:hyperlink r:id="rId11" w:history="1">
              <w:r w:rsidRPr="00350C65">
                <w:rPr>
                  <w:rStyle w:val="Hyperlink"/>
                  <w:rtl/>
                </w:rPr>
                <w:t>موضوع الأنظمة الإيكولوجية للابتكار الرقمي</w:t>
              </w:r>
            </w:hyperlink>
            <w:r w:rsidRPr="00350C65">
              <w:rPr>
                <w:color w:val="000000"/>
                <w:rtl/>
              </w:rPr>
              <w:t xml:space="preserve">، مثل </w:t>
            </w:r>
            <w:hyperlink r:id="rId12" w:history="1">
              <w:r w:rsidRPr="00350C65">
                <w:rPr>
                  <w:rStyle w:val="Hyperlink"/>
                  <w:rtl/>
                </w:rPr>
                <w:t>البيانات الوصفية للابتكار الرقمي</w:t>
              </w:r>
            </w:hyperlink>
            <w:r w:rsidRPr="00350C65">
              <w:rPr>
                <w:color w:val="000000"/>
                <w:rtl/>
              </w:rPr>
              <w:t xml:space="preserve"> وأنشطة بناء القدرات و</w:t>
            </w:r>
            <w:hyperlink r:id="rId13" w:history="1">
              <w:r w:rsidRPr="00350C65">
                <w:rPr>
                  <w:rStyle w:val="Hyperlink"/>
                  <w:rtl/>
                </w:rPr>
                <w:t>المنتدى العالمي للابتكار</w:t>
              </w:r>
            </w:hyperlink>
            <w:r w:rsidRPr="00350C65">
              <w:rPr>
                <w:color w:val="000000"/>
                <w:rtl/>
              </w:rPr>
              <w:t>، من بين مواضيع أخرى.</w:t>
            </w:r>
          </w:p>
          <w:p w14:paraId="5CBE03A9" w14:textId="77777777" w:rsidR="00783A69" w:rsidRPr="00350C65" w:rsidRDefault="009E5762" w:rsidP="00EE5CF2">
            <w:pPr>
              <w:rPr>
                <w:b/>
                <w:bCs/>
                <w:rtl/>
                <w:lang w:bidi="ar-SY"/>
              </w:rPr>
            </w:pPr>
            <w:r w:rsidRPr="00350C65">
              <w:rPr>
                <w:rFonts w:hint="cs"/>
                <w:b/>
                <w:bCs/>
                <w:rtl/>
                <w:lang w:bidi="ar-SY"/>
              </w:rPr>
              <w:t>النتائج المتوقعة</w:t>
            </w:r>
            <w:r w:rsidR="005874F2" w:rsidRPr="00350C65">
              <w:rPr>
                <w:rFonts w:hint="cs"/>
                <w:b/>
                <w:bCs/>
                <w:rtl/>
                <w:lang w:bidi="ar-SY"/>
              </w:rPr>
              <w:t>:</w:t>
            </w:r>
          </w:p>
          <w:p w14:paraId="7A6D8B31" w14:textId="77777777" w:rsidR="00FA5E21" w:rsidRPr="00350C65" w:rsidRDefault="00FA5E21" w:rsidP="00FA5E21">
            <w:pPr>
              <w:rPr>
                <w:color w:val="000000"/>
                <w:rtl/>
              </w:rPr>
            </w:pPr>
            <w:r w:rsidRPr="00350C65">
              <w:rPr>
                <w:color w:val="000000"/>
                <w:rtl/>
              </w:rPr>
              <w:t>يدعى المؤتمر العالمي لتنمية الاتصالات إلى أخذ العلم بهذا التقرير وتقديم أي توجيهات يراها مناسبة.</w:t>
            </w:r>
          </w:p>
          <w:p w14:paraId="7D1FD464" w14:textId="77777777" w:rsidR="009E5762" w:rsidRPr="00350C65" w:rsidRDefault="009E5762" w:rsidP="009E5762">
            <w:pPr>
              <w:rPr>
                <w:b/>
                <w:bCs/>
                <w:rtl/>
                <w:lang w:bidi="ar-SY"/>
              </w:rPr>
            </w:pPr>
            <w:r w:rsidRPr="00350C65">
              <w:rPr>
                <w:rFonts w:hint="cs"/>
                <w:b/>
                <w:bCs/>
                <w:rtl/>
                <w:lang w:bidi="ar-SY"/>
              </w:rPr>
              <w:t>المراجع:</w:t>
            </w:r>
          </w:p>
          <w:p w14:paraId="5CC3F557" w14:textId="3EF0C059" w:rsidR="00423EDB" w:rsidRPr="00350C65" w:rsidRDefault="00775F87" w:rsidP="006B266A">
            <w:pPr>
              <w:rPr>
                <w:rtl/>
              </w:rPr>
            </w:pPr>
            <w:hyperlink r:id="rId14" w:anchor="/ar" w:history="1">
              <w:r w:rsidR="00423EDB" w:rsidRPr="00350C65">
                <w:rPr>
                  <w:rStyle w:val="Hyperlink"/>
                  <w:rtl/>
                </w:rPr>
                <w:t>عمل مكتب تنمية الاتصالات بشأن تحالف الابتكار وريادة الأعمال لأغراض التنمية الرقمية</w:t>
              </w:r>
            </w:hyperlink>
          </w:p>
          <w:p w14:paraId="293E361D" w14:textId="5C4E3269" w:rsidR="00783A69" w:rsidRPr="00350C65" w:rsidRDefault="00775F87" w:rsidP="006B266A">
            <w:pPr>
              <w:rPr>
                <w:rtl/>
              </w:rPr>
            </w:pPr>
            <w:hyperlink r:id="rId15" w:history="1">
              <w:r w:rsidR="00423EDB" w:rsidRPr="00350C65">
                <w:rPr>
                  <w:rStyle w:val="Hyperlink"/>
                  <w:rtl/>
                </w:rPr>
                <w:t>عمل مكتب تنمية الاتصالات بشأن الأنظمة الإيكولوجية للابتكار الرقمي</w:t>
              </w:r>
            </w:hyperlink>
          </w:p>
          <w:p w14:paraId="4657DE06" w14:textId="6BB84C50" w:rsidR="00423EDB" w:rsidRPr="00350C65" w:rsidRDefault="00423EDB" w:rsidP="00423EDB">
            <w:pPr>
              <w:rPr>
                <w:rStyle w:val="s22"/>
                <w:rFonts w:ascii="Calibri" w:hAnsi="Calibri" w:cs="Calibri"/>
                <w:color w:val="000000"/>
                <w:rtl/>
                <w:lang w:val="ar-SA" w:eastAsia="zh-TW"/>
              </w:rPr>
            </w:pPr>
            <w:r w:rsidRPr="00350C65">
              <w:rPr>
                <w:color w:val="000000"/>
                <w:rtl/>
              </w:rPr>
              <w:t xml:space="preserve">قرارات </w:t>
            </w:r>
            <w:r w:rsidR="004C0376" w:rsidRPr="00350C65">
              <w:rPr>
                <w:color w:val="000000"/>
                <w:rtl/>
              </w:rPr>
              <w:t>مؤتمر العالمي لتنمية الاتصالات</w:t>
            </w:r>
            <w:r w:rsidR="004C0376" w:rsidRPr="00350C65">
              <w:t xml:space="preserve"> </w:t>
            </w:r>
            <w:hyperlink r:id="rId16" w:history="1">
              <w:r w:rsidRPr="00350C65">
                <w:rPr>
                  <w:rStyle w:val="Hyperlink"/>
                  <w:rtl/>
                </w:rPr>
                <w:t>90</w:t>
              </w:r>
            </w:hyperlink>
            <w:r w:rsidRPr="00350C65">
              <w:rPr>
                <w:color w:val="000000"/>
                <w:rtl/>
              </w:rPr>
              <w:t xml:space="preserve"> و</w:t>
            </w:r>
            <w:hyperlink r:id="rId17" w:history="1">
              <w:r w:rsidRPr="00350C65">
                <w:rPr>
                  <w:rStyle w:val="Hyperlink"/>
                  <w:rtl/>
                </w:rPr>
                <w:t>89</w:t>
              </w:r>
            </w:hyperlink>
            <w:r w:rsidRPr="00350C65">
              <w:rPr>
                <w:color w:val="000000"/>
                <w:rtl/>
              </w:rPr>
              <w:t xml:space="preserve"> </w:t>
            </w:r>
            <w:r w:rsidR="00350C65" w:rsidRPr="00350C65">
              <w:rPr>
                <w:rFonts w:hint="cs"/>
                <w:color w:val="000000"/>
                <w:rtl/>
              </w:rPr>
              <w:t xml:space="preserve">(كيغالي، 2022) </w:t>
            </w:r>
            <w:r w:rsidRPr="00350C65">
              <w:rPr>
                <w:color w:val="000000"/>
                <w:rtl/>
              </w:rPr>
              <w:t>و</w:t>
            </w:r>
            <w:hyperlink r:id="rId18" w:history="1">
              <w:r w:rsidRPr="00350C65">
                <w:rPr>
                  <w:rStyle w:val="Hyperlink"/>
                  <w:rtl/>
                </w:rPr>
                <w:t>85</w:t>
              </w:r>
            </w:hyperlink>
            <w:r w:rsidRPr="00350C65">
              <w:rPr>
                <w:color w:val="000000"/>
                <w:rtl/>
              </w:rPr>
              <w:t xml:space="preserve"> (المراج</w:t>
            </w:r>
            <w:r w:rsidRPr="00350C65">
              <w:rPr>
                <w:rFonts w:hint="cs"/>
                <w:color w:val="000000"/>
                <w:rtl/>
              </w:rPr>
              <w:t>َ</w:t>
            </w:r>
            <w:r w:rsidRPr="00350C65">
              <w:rPr>
                <w:color w:val="000000"/>
                <w:rtl/>
              </w:rPr>
              <w:t>ع في كيغالي، 2022)</w:t>
            </w:r>
          </w:p>
          <w:p w14:paraId="33ED67BE" w14:textId="65834E07" w:rsidR="00423EDB" w:rsidRPr="00350C65" w:rsidRDefault="00423EDB" w:rsidP="00423EDB">
            <w:pPr>
              <w:rPr>
                <w:rtl/>
                <w:lang w:val="ar-SA" w:eastAsia="zh-TW"/>
              </w:rPr>
            </w:pPr>
            <w:r w:rsidRPr="00350C65">
              <w:rPr>
                <w:rFonts w:hint="cs"/>
                <w:rtl/>
                <w:lang w:val="ar-SA" w:eastAsia="zh-TW"/>
              </w:rPr>
              <w:t xml:space="preserve">المبادرات الإقليمية للاتحاد </w:t>
            </w:r>
            <w:r w:rsidRPr="00350C65">
              <w:rPr>
                <w:rtl/>
                <w:lang w:val="ar-SA" w:eastAsia="zh-TW"/>
              </w:rPr>
              <w:t>AFR4 وAMS3 وARB4 وASP4 وCIS3 وCIS5 وEUR5</w:t>
            </w:r>
          </w:p>
          <w:p w14:paraId="4923FC2F" w14:textId="51A3E650" w:rsidR="00423EDB" w:rsidRPr="00350C65" w:rsidRDefault="00423EDB" w:rsidP="00111DD8">
            <w:pPr>
              <w:rPr>
                <w:rtl/>
              </w:rPr>
            </w:pPr>
            <w:r w:rsidRPr="00350C65">
              <w:rPr>
                <w:color w:val="000000"/>
                <w:rtl/>
              </w:rPr>
              <w:t xml:space="preserve">قرار </w:t>
            </w:r>
            <w:r w:rsidR="004C0376" w:rsidRPr="00350C65">
              <w:rPr>
                <w:color w:val="000000"/>
                <w:rtl/>
              </w:rPr>
              <w:t>مؤتمر المندوبين المفوضين</w:t>
            </w:r>
            <w:r w:rsidR="004C0376" w:rsidRPr="00350C65">
              <w:rPr>
                <w:color w:val="000000"/>
                <w:rtl/>
              </w:rPr>
              <w:t xml:space="preserve"> </w:t>
            </w:r>
            <w:r w:rsidRPr="00350C65">
              <w:rPr>
                <w:color w:val="000000"/>
                <w:rtl/>
              </w:rPr>
              <w:t xml:space="preserve">205؛ الخطة الاستراتيجية للاتحاد (قرار </w:t>
            </w:r>
            <w:r w:rsidR="004C0376" w:rsidRPr="00350C65">
              <w:rPr>
                <w:color w:val="000000"/>
                <w:rtl/>
              </w:rPr>
              <w:t>مؤتمر المندوبين المفوضين</w:t>
            </w:r>
            <w:r w:rsidR="004C0376" w:rsidRPr="00350C65">
              <w:rPr>
                <w:color w:val="000000"/>
                <w:rtl/>
              </w:rPr>
              <w:t xml:space="preserve"> </w:t>
            </w:r>
            <w:r w:rsidRPr="00350C65">
              <w:rPr>
                <w:color w:val="000000"/>
                <w:rtl/>
              </w:rPr>
              <w:t>71، المراج</w:t>
            </w:r>
            <w:r w:rsidR="007C74A5" w:rsidRPr="00350C65">
              <w:rPr>
                <w:rFonts w:hint="cs"/>
                <w:color w:val="000000"/>
                <w:rtl/>
              </w:rPr>
              <w:t>َ</w:t>
            </w:r>
            <w:r w:rsidRPr="00350C65">
              <w:rPr>
                <w:color w:val="000000"/>
                <w:rtl/>
              </w:rPr>
              <w:t>ع في</w:t>
            </w:r>
            <w:r w:rsidR="007C74A5" w:rsidRPr="00350C65">
              <w:rPr>
                <w:rFonts w:hint="cs"/>
                <w:color w:val="000000"/>
                <w:rtl/>
              </w:rPr>
              <w:t> </w:t>
            </w:r>
            <w:r w:rsidRPr="00350C65">
              <w:rPr>
                <w:color w:val="000000"/>
                <w:rtl/>
              </w:rPr>
              <w:t>بوخارست، 2022</w:t>
            </w:r>
            <w:r w:rsidR="004C0376" w:rsidRPr="00350C65">
              <w:rPr>
                <w:rFonts w:hint="cs"/>
                <w:color w:val="000000"/>
                <w:rtl/>
              </w:rPr>
              <w:t>)</w:t>
            </w:r>
          </w:p>
        </w:tc>
      </w:tr>
    </w:tbl>
    <w:p w14:paraId="6ABEEDF3" w14:textId="77777777" w:rsidR="00882A17" w:rsidRDefault="00882A17" w:rsidP="00775F87">
      <w:pPr>
        <w:rPr>
          <w:lang w:bidi="ar-EG"/>
        </w:rPr>
      </w:pPr>
      <w:r>
        <w:rPr>
          <w:rtl/>
          <w:lang w:bidi="ar-EG"/>
        </w:rPr>
        <w:br w:type="page"/>
      </w:r>
    </w:p>
    <w:p w14:paraId="3C4C4A7F" w14:textId="1AD90021" w:rsidR="00EE1AE1" w:rsidRPr="00EE1AE1" w:rsidRDefault="00EE1AE1" w:rsidP="00EE1AE1">
      <w:pPr>
        <w:pStyle w:val="Heading1"/>
        <w:rPr>
          <w:rtl/>
        </w:rPr>
      </w:pPr>
      <w:r>
        <w:lastRenderedPageBreak/>
        <w:t>1</w:t>
      </w:r>
      <w:r>
        <w:tab/>
      </w:r>
      <w:r w:rsidR="004C0376">
        <w:rPr>
          <w:rFonts w:hint="cs"/>
          <w:rtl/>
        </w:rPr>
        <w:t>معلومات أساسية</w:t>
      </w:r>
    </w:p>
    <w:p w14:paraId="55D2CDB7" w14:textId="74D6C560" w:rsidR="00EE1AE1" w:rsidRPr="00EE1AE1" w:rsidRDefault="00EE1AE1" w:rsidP="00EE1AE1">
      <w:pPr>
        <w:rPr>
          <w:rtl/>
        </w:rPr>
      </w:pPr>
      <w:r w:rsidRPr="00EE1AE1">
        <w:rPr>
          <w:rtl/>
        </w:rPr>
        <w:t xml:space="preserve">أسس مدير مكتب تنمية الاتصالات تحالف الابتكار وريادة الأعمال لأغراض التنمية الرقمية في 25 يناير 2023 للاستجابة للاحتياجات الكبيرة غير </w:t>
      </w:r>
      <w:proofErr w:type="spellStart"/>
      <w:r w:rsidRPr="00EE1AE1">
        <w:rPr>
          <w:rtl/>
        </w:rPr>
        <w:t>الملباة</w:t>
      </w:r>
      <w:proofErr w:type="spellEnd"/>
      <w:r w:rsidRPr="00EE1AE1">
        <w:rPr>
          <w:rtl/>
        </w:rPr>
        <w:t xml:space="preserve"> لأعضاء الاتحاد في مجال الابتكار، على النحو المنصوص عليه في خطة عمل كيغالي المعتمدة في</w:t>
      </w:r>
      <w:r w:rsidR="001F7167">
        <w:rPr>
          <w:rFonts w:hint="cs"/>
          <w:rtl/>
        </w:rPr>
        <w:t> </w:t>
      </w:r>
      <w:r w:rsidRPr="00EE1AE1">
        <w:rPr>
          <w:rtl/>
        </w:rPr>
        <w:t>المؤتمر العالمي لتنمية الاتصالات عام 2022 (WTDC-22) ونتائج مؤتمر المندوبين المفوضين للاتحاد عام 2022 (PP-22).</w:t>
      </w:r>
    </w:p>
    <w:p w14:paraId="132ACEAF" w14:textId="41A5A148" w:rsidR="00EE1AE1" w:rsidRPr="00EE1AE1" w:rsidRDefault="00EE1AE1" w:rsidP="004C0376">
      <w:pPr>
        <w:rPr>
          <w:rtl/>
        </w:rPr>
      </w:pPr>
      <w:r w:rsidRPr="00EE1AE1">
        <w:rPr>
          <w:rtl/>
        </w:rPr>
        <w:t>ويهدف التحالف إلى بناء "مستقبل رقمي أكثر إنصافا</w:t>
      </w:r>
      <w:r w:rsidR="001F7167">
        <w:rPr>
          <w:rFonts w:hint="cs"/>
          <w:rtl/>
        </w:rPr>
        <w:t>ً</w:t>
      </w:r>
      <w:r w:rsidRPr="00EE1AE1">
        <w:rPr>
          <w:rtl/>
        </w:rPr>
        <w:t xml:space="preserve"> للجميع" وتحقيق نتيجتين من أولويات قطاع تنمية الاتصالات بشأن التحول الرقمي:</w:t>
      </w:r>
    </w:p>
    <w:p w14:paraId="6C47C3F2" w14:textId="61068AE2" w:rsidR="00EE1AE1" w:rsidRPr="00EE1AE1" w:rsidRDefault="00350C65" w:rsidP="001F7167">
      <w:pPr>
        <w:pStyle w:val="enumlev1"/>
        <w:rPr>
          <w:rtl/>
        </w:rPr>
      </w:pPr>
      <w:r>
        <w:rPr>
          <w:rFonts w:hint="cs"/>
          <w:rtl/>
        </w:rPr>
        <w:t>-</w:t>
      </w:r>
      <w:r w:rsidR="001F7167">
        <w:rPr>
          <w:rtl/>
        </w:rPr>
        <w:tab/>
      </w:r>
      <w:r w:rsidR="00EE1AE1" w:rsidRPr="00EE1AE1">
        <w:rPr>
          <w:rtl/>
        </w:rPr>
        <w:t xml:space="preserve">تعزيز قدرة أعضاء الاتحاد على تضمين الخطط الإنمائية الوطنية مسألتي الابتكار في مجال الاتصالات/تكنولوجيا المعلومات والاتصالات، </w:t>
      </w:r>
      <w:proofErr w:type="spellStart"/>
      <w:r w:rsidR="00EE1AE1" w:rsidRPr="00EE1AE1">
        <w:rPr>
          <w:rtl/>
        </w:rPr>
        <w:t>والرقمنة</w:t>
      </w:r>
      <w:proofErr w:type="spellEnd"/>
      <w:r w:rsidR="00EE1AE1" w:rsidRPr="00EE1AE1">
        <w:rPr>
          <w:rtl/>
        </w:rPr>
        <w:t>، وعلى وضع استراتيجيات تشجع على تنفيذ مبادرات للابتكار، بسبل منها إقامة شراكات مع كل من القطاعين العام والخاص ومعهما مجتمعَين.</w:t>
      </w:r>
    </w:p>
    <w:p w14:paraId="183519D8" w14:textId="6374576B" w:rsidR="00EE1AE1" w:rsidRPr="00EE1AE1" w:rsidRDefault="00350C65" w:rsidP="001F7167">
      <w:pPr>
        <w:pStyle w:val="enumlev1"/>
        <w:rPr>
          <w:rtl/>
        </w:rPr>
      </w:pPr>
      <w:r>
        <w:rPr>
          <w:rFonts w:hint="cs"/>
          <w:rtl/>
        </w:rPr>
        <w:t>-</w:t>
      </w:r>
      <w:r w:rsidR="001F7167">
        <w:rPr>
          <w:rtl/>
        </w:rPr>
        <w:tab/>
      </w:r>
      <w:r w:rsidR="00EE1AE1" w:rsidRPr="00EE1AE1">
        <w:rPr>
          <w:rtl/>
        </w:rPr>
        <w:t>تعزيز قدرة أعضاء الاتحاد البشرية والمؤسسية في مجال الاتصالات/تكنولوجيا المعلومات والاتصالات على دعم التحول الرقمي.</w:t>
      </w:r>
    </w:p>
    <w:p w14:paraId="482D41EB" w14:textId="77777777" w:rsidR="00EE1AE1" w:rsidRPr="00EE1AE1" w:rsidRDefault="00EE1AE1" w:rsidP="00EE1AE1">
      <w:pPr>
        <w:rPr>
          <w:rtl/>
        </w:rPr>
      </w:pPr>
      <w:r w:rsidRPr="00EE1AE1">
        <w:rPr>
          <w:rtl/>
        </w:rPr>
        <w:t>ويتماشى عمل التحالف مع:</w:t>
      </w:r>
    </w:p>
    <w:p w14:paraId="0B46B508" w14:textId="3673D34E" w:rsidR="00EE1AE1" w:rsidRPr="00EE1AE1" w:rsidRDefault="00350C65" w:rsidP="00350C65">
      <w:pPr>
        <w:pStyle w:val="enumlev1"/>
        <w:rPr>
          <w:rtl/>
        </w:rPr>
      </w:pPr>
      <w:r>
        <w:rPr>
          <w:rFonts w:hint="cs"/>
          <w:rtl/>
          <w:lang w:bidi="ar-EG"/>
        </w:rPr>
        <w:t>-</w:t>
      </w:r>
      <w:r>
        <w:rPr>
          <w:rtl/>
          <w:lang w:bidi="ar-EG"/>
        </w:rPr>
        <w:tab/>
      </w:r>
      <w:r w:rsidR="00EE1AE1" w:rsidRPr="00EE1AE1">
        <w:rPr>
          <w:rtl/>
        </w:rPr>
        <w:t xml:space="preserve">قرارات </w:t>
      </w:r>
      <w:r>
        <w:rPr>
          <w:rFonts w:hint="cs"/>
          <w:rtl/>
        </w:rPr>
        <w:t>ال</w:t>
      </w:r>
      <w:r w:rsidRPr="00EE1AE1">
        <w:rPr>
          <w:rtl/>
        </w:rPr>
        <w:t xml:space="preserve">مؤتمر العالمي لتنمية الاتصالات </w:t>
      </w:r>
      <w:r w:rsidR="00EE1AE1" w:rsidRPr="00EE1AE1">
        <w:rPr>
          <w:rtl/>
        </w:rPr>
        <w:t xml:space="preserve">90 و89 </w:t>
      </w:r>
      <w:r w:rsidRPr="00EE1AE1">
        <w:rPr>
          <w:rtl/>
        </w:rPr>
        <w:t xml:space="preserve">(كيغالي، 2022) </w:t>
      </w:r>
      <w:r w:rsidR="00EE1AE1" w:rsidRPr="00EE1AE1">
        <w:rPr>
          <w:rtl/>
        </w:rPr>
        <w:t>و85 (</w:t>
      </w:r>
      <w:r>
        <w:rPr>
          <w:rFonts w:hint="cs"/>
          <w:rtl/>
        </w:rPr>
        <w:t xml:space="preserve">المراجَع في </w:t>
      </w:r>
      <w:r w:rsidR="00EE1AE1" w:rsidRPr="00EE1AE1">
        <w:rPr>
          <w:rtl/>
        </w:rPr>
        <w:t>كيغالي، 2022) التي تقدم توجيهات واضحة بشأن دور الابتكار في التحول الرقمي للمجتمع؛</w:t>
      </w:r>
    </w:p>
    <w:p w14:paraId="3BF380BA" w14:textId="7B5F81B5" w:rsidR="001F7167" w:rsidRDefault="00350C65" w:rsidP="00350C65">
      <w:pPr>
        <w:pStyle w:val="enumlev1"/>
        <w:rPr>
          <w:rtl/>
        </w:rPr>
      </w:pPr>
      <w:r>
        <w:rPr>
          <w:rFonts w:hint="cs"/>
          <w:rtl/>
        </w:rPr>
        <w:t>-</w:t>
      </w:r>
      <w:r w:rsidR="001F7167">
        <w:rPr>
          <w:rtl/>
        </w:rPr>
        <w:tab/>
      </w:r>
      <w:r w:rsidR="00EE1AE1" w:rsidRPr="00EE1AE1">
        <w:rPr>
          <w:rtl/>
        </w:rPr>
        <w:t>مبادرات الاتحاد الإقليمية لجميع المناطق، التي تدعو إلى إيلاء المزيد من الاهتمام لهذا المجال؛</w:t>
      </w:r>
    </w:p>
    <w:p w14:paraId="1A42D753" w14:textId="18BE2526" w:rsidR="00EE1AE1" w:rsidRPr="00EE1AE1" w:rsidRDefault="00350C65" w:rsidP="00350C65">
      <w:pPr>
        <w:pStyle w:val="enumlev1"/>
        <w:rPr>
          <w:rtl/>
        </w:rPr>
      </w:pPr>
      <w:r>
        <w:rPr>
          <w:rFonts w:hint="cs"/>
          <w:rtl/>
        </w:rPr>
        <w:t>-</w:t>
      </w:r>
      <w:r w:rsidR="001F7167">
        <w:rPr>
          <w:rtl/>
        </w:rPr>
        <w:tab/>
      </w:r>
      <w:r w:rsidR="00EE1AE1" w:rsidRPr="00EE1AE1">
        <w:rPr>
          <w:rtl/>
        </w:rPr>
        <w:t xml:space="preserve">قرار </w:t>
      </w:r>
      <w:r w:rsidRPr="00EE1AE1">
        <w:rPr>
          <w:rtl/>
        </w:rPr>
        <w:t xml:space="preserve">مؤتمر المندوبين المفوضين </w:t>
      </w:r>
      <w:r w:rsidR="00EE1AE1" w:rsidRPr="00EE1AE1">
        <w:rPr>
          <w:rtl/>
        </w:rPr>
        <w:t>205 بشأن "تشجيع الابتكار القائم على تكنولوجيا المعلومات والاتصالات لدعم الاقتصاد والمجتمع الرقميين" الذي أكد الدور القيادي لمكتب تنمية الاتصالات في الابتكار من أجل التنمية الرقمية؛</w:t>
      </w:r>
    </w:p>
    <w:p w14:paraId="114B551C" w14:textId="1EA49A45" w:rsidR="00EE1AE1" w:rsidRPr="00EE1AE1" w:rsidRDefault="00350C65" w:rsidP="00350C65">
      <w:pPr>
        <w:pStyle w:val="enumlev1"/>
        <w:rPr>
          <w:rtl/>
        </w:rPr>
      </w:pPr>
      <w:r>
        <w:rPr>
          <w:rFonts w:hint="cs"/>
          <w:rtl/>
        </w:rPr>
        <w:t>-</w:t>
      </w:r>
      <w:r w:rsidR="001F7167">
        <w:rPr>
          <w:rtl/>
        </w:rPr>
        <w:tab/>
      </w:r>
      <w:r w:rsidR="00EE1AE1" w:rsidRPr="00EE1AE1">
        <w:rPr>
          <w:rtl/>
        </w:rPr>
        <w:t xml:space="preserve">الخطة الاستراتيجية للاتحاد (قرار </w:t>
      </w:r>
      <w:r w:rsidRPr="00EE1AE1">
        <w:rPr>
          <w:rtl/>
        </w:rPr>
        <w:t>مؤتمر المندوبين المفوضين</w:t>
      </w:r>
      <w:r w:rsidRPr="00EE1AE1">
        <w:rPr>
          <w:rtl/>
        </w:rPr>
        <w:t xml:space="preserve"> </w:t>
      </w:r>
      <w:r w:rsidR="00EE1AE1" w:rsidRPr="00EE1AE1">
        <w:rPr>
          <w:rtl/>
        </w:rPr>
        <w:t>71، المراج</w:t>
      </w:r>
      <w:r w:rsidR="001F7167">
        <w:rPr>
          <w:rFonts w:hint="cs"/>
          <w:rtl/>
        </w:rPr>
        <w:t>َ</w:t>
      </w:r>
      <w:r w:rsidR="00EE1AE1" w:rsidRPr="00EE1AE1">
        <w:rPr>
          <w:rtl/>
        </w:rPr>
        <w:t>ع في بوخارست، 2022).</w:t>
      </w:r>
    </w:p>
    <w:p w14:paraId="120CD15E" w14:textId="342D14D8" w:rsidR="00EE1AE1" w:rsidRPr="00EE1AE1" w:rsidRDefault="00EE1AE1" w:rsidP="00EE1AE1">
      <w:pPr>
        <w:rPr>
          <w:rtl/>
        </w:rPr>
      </w:pPr>
      <w:r w:rsidRPr="00EE1AE1">
        <w:rPr>
          <w:rtl/>
        </w:rPr>
        <w:t xml:space="preserve">وتتمثل </w:t>
      </w:r>
      <w:r w:rsidRPr="00EE1AE1">
        <w:rPr>
          <w:b/>
          <w:bCs/>
          <w:rtl/>
        </w:rPr>
        <w:t>رؤية التحالف</w:t>
      </w:r>
      <w:r w:rsidRPr="00EE1AE1">
        <w:rPr>
          <w:rtl/>
        </w:rPr>
        <w:t xml:space="preserve"> في "دعم أعضاء قطاع تنمية الاتصالات في وضع نُهج جديدة أقدر على الصمود واستشراف المستقبل لضمان قدرتهم على القيادة الآمنة لعالم رقمي متقلب ومنعدم اليقين ومعقد وغامض </w:t>
      </w:r>
      <w:r w:rsidR="001F7167">
        <w:rPr>
          <w:lang w:bidi="ar-EG"/>
        </w:rPr>
        <w:t>(</w:t>
      </w:r>
      <w:r w:rsidRPr="00EE1AE1">
        <w:rPr>
          <w:lang w:val="en-GB" w:bidi="ar-EG"/>
        </w:rPr>
        <w:t>VUCA</w:t>
      </w:r>
      <w:r w:rsidR="001F7167">
        <w:rPr>
          <w:lang w:val="en-GB" w:bidi="ar-EG"/>
        </w:rPr>
        <w:t>)</w:t>
      </w:r>
      <w:r w:rsidRPr="00EE1AE1">
        <w:rPr>
          <w:rtl/>
        </w:rPr>
        <w:t xml:space="preserve"> بشكل متزايد وتحقيق نتائج خطة عمل كيغالي".</w:t>
      </w:r>
    </w:p>
    <w:p w14:paraId="10C8AD7C" w14:textId="408583CD" w:rsidR="00EE1AE1" w:rsidRPr="00EE1AE1" w:rsidRDefault="00EE1AE1" w:rsidP="00EE1AE1">
      <w:pPr>
        <w:rPr>
          <w:spacing w:val="-4"/>
          <w:rtl/>
        </w:rPr>
      </w:pPr>
      <w:r w:rsidRPr="00EE1AE1">
        <w:rPr>
          <w:spacing w:val="-4"/>
          <w:rtl/>
        </w:rPr>
        <w:t xml:space="preserve">وتتمثل </w:t>
      </w:r>
      <w:r w:rsidRPr="00EE1AE1">
        <w:rPr>
          <w:b/>
          <w:bCs/>
          <w:spacing w:val="-4"/>
          <w:rtl/>
        </w:rPr>
        <w:t>رسالة التحالف</w:t>
      </w:r>
      <w:r w:rsidRPr="00EE1AE1">
        <w:rPr>
          <w:spacing w:val="-4"/>
          <w:rtl/>
        </w:rPr>
        <w:t xml:space="preserve"> في "سد فجوة الابتكار الرقمي وتمكين أعضاء قطاع تنمية الاتصالات من التغلب على التحديات التي </w:t>
      </w:r>
      <w:proofErr w:type="spellStart"/>
      <w:r w:rsidRPr="00EE1AE1">
        <w:rPr>
          <w:spacing w:val="-4"/>
          <w:rtl/>
        </w:rPr>
        <w:t>يواجهونها</w:t>
      </w:r>
      <w:proofErr w:type="spellEnd"/>
      <w:r w:rsidRPr="00EE1AE1">
        <w:rPr>
          <w:spacing w:val="-4"/>
          <w:rtl/>
        </w:rPr>
        <w:t xml:space="preserve"> في طريقهم نحو التحول الرقمي وتسريع تأثير أنظمتهم الإيكولوجية على القطاعات الشاملة من أجل بناء مجتمع شامل ومستدام".</w:t>
      </w:r>
    </w:p>
    <w:p w14:paraId="7DB43992" w14:textId="77777777" w:rsidR="00EE1AE1" w:rsidRPr="00EE1AE1" w:rsidRDefault="00EE1AE1" w:rsidP="00EE1AE1">
      <w:pPr>
        <w:rPr>
          <w:rtl/>
        </w:rPr>
      </w:pPr>
      <w:r w:rsidRPr="00EE1AE1">
        <w:rPr>
          <w:rtl/>
        </w:rPr>
        <w:t>ويدعم التحالف البلدان في بناء القدرات المحلية في مجالي الابتكار وريادة الأعمال لتحقيق خمسة أهداف استراتيجية:</w:t>
      </w:r>
    </w:p>
    <w:tbl>
      <w:tblPr>
        <w:tblStyle w:val="TableGrid"/>
        <w:bidiVisual/>
        <w:tblW w:w="5000" w:type="pct"/>
        <w:jc w:val="center"/>
        <w:tblLayout w:type="fixed"/>
        <w:tblLook w:val="04A0" w:firstRow="1" w:lastRow="0" w:firstColumn="1" w:lastColumn="0" w:noHBand="0" w:noVBand="1"/>
      </w:tblPr>
      <w:tblGrid>
        <w:gridCol w:w="3114"/>
        <w:gridCol w:w="6515"/>
      </w:tblGrid>
      <w:tr w:rsidR="00EE1AE1" w:rsidRPr="00350C65" w14:paraId="1108042E" w14:textId="77777777" w:rsidTr="00350C65">
        <w:trPr>
          <w:jc w:val="center"/>
        </w:trPr>
        <w:tc>
          <w:tcPr>
            <w:tcW w:w="3114" w:type="dxa"/>
          </w:tcPr>
          <w:p w14:paraId="061199D7" w14:textId="77777777" w:rsidR="00EE1AE1" w:rsidRPr="00350C65" w:rsidRDefault="00EE1AE1" w:rsidP="00350C65">
            <w:pPr>
              <w:pStyle w:val="Tabletexte"/>
              <w:spacing w:before="80" w:after="80" w:line="300" w:lineRule="exact"/>
              <w:jc w:val="left"/>
              <w:rPr>
                <w:b/>
                <w:bCs/>
                <w:position w:val="2"/>
                <w:sz w:val="22"/>
                <w:szCs w:val="22"/>
                <w:rtl/>
              </w:rPr>
            </w:pPr>
            <w:r w:rsidRPr="00350C65">
              <w:rPr>
                <w:b/>
                <w:bCs/>
                <w:position w:val="2"/>
                <w:sz w:val="22"/>
                <w:szCs w:val="22"/>
                <w:rtl/>
              </w:rPr>
              <w:t>جاهزية إجراء بحوث للاتجاهات</w:t>
            </w:r>
          </w:p>
        </w:tc>
        <w:tc>
          <w:tcPr>
            <w:tcW w:w="6515" w:type="dxa"/>
          </w:tcPr>
          <w:p w14:paraId="6C47940F" w14:textId="68DBD6F7" w:rsidR="00EE1AE1" w:rsidRPr="00350C65" w:rsidRDefault="00EE1AE1" w:rsidP="00350C65">
            <w:pPr>
              <w:pStyle w:val="Tabletexte"/>
              <w:spacing w:before="80" w:after="80" w:line="300" w:lineRule="exact"/>
              <w:rPr>
                <w:position w:val="2"/>
                <w:sz w:val="22"/>
                <w:szCs w:val="22"/>
                <w:rtl/>
              </w:rPr>
            </w:pPr>
            <w:r w:rsidRPr="00350C65">
              <w:rPr>
                <w:position w:val="2"/>
                <w:sz w:val="22"/>
                <w:szCs w:val="22"/>
                <w:rtl/>
              </w:rPr>
              <w:t>تمكِّن البلدان من استباق المستجدات وفهم تطور ديناميات التكنولوجيا والسياسات والابتكار.</w:t>
            </w:r>
          </w:p>
        </w:tc>
      </w:tr>
      <w:tr w:rsidR="00EE1AE1" w:rsidRPr="00350C65" w14:paraId="3877CB37" w14:textId="77777777" w:rsidTr="00350C65">
        <w:trPr>
          <w:jc w:val="center"/>
        </w:trPr>
        <w:tc>
          <w:tcPr>
            <w:tcW w:w="3114" w:type="dxa"/>
          </w:tcPr>
          <w:p w14:paraId="7B950E95" w14:textId="77777777" w:rsidR="00EE1AE1" w:rsidRPr="00350C65" w:rsidRDefault="00EE1AE1" w:rsidP="00350C65">
            <w:pPr>
              <w:pStyle w:val="Tabletexte"/>
              <w:spacing w:before="80" w:after="80" w:line="300" w:lineRule="exact"/>
              <w:jc w:val="left"/>
              <w:rPr>
                <w:b/>
                <w:bCs/>
                <w:position w:val="2"/>
                <w:sz w:val="22"/>
                <w:szCs w:val="22"/>
                <w:rtl/>
              </w:rPr>
            </w:pPr>
            <w:r w:rsidRPr="00350C65">
              <w:rPr>
                <w:b/>
                <w:bCs/>
                <w:position w:val="2"/>
                <w:sz w:val="22"/>
                <w:szCs w:val="22"/>
                <w:rtl/>
              </w:rPr>
              <w:t>الابتكار التكنولوجي المفتوح</w:t>
            </w:r>
          </w:p>
        </w:tc>
        <w:tc>
          <w:tcPr>
            <w:tcW w:w="6515" w:type="dxa"/>
          </w:tcPr>
          <w:p w14:paraId="205D5AF9" w14:textId="77777777" w:rsidR="00EE1AE1" w:rsidRPr="00350C65" w:rsidRDefault="00EE1AE1" w:rsidP="00350C65">
            <w:pPr>
              <w:pStyle w:val="Tabletexte"/>
              <w:spacing w:before="80" w:after="80" w:line="300" w:lineRule="exact"/>
              <w:rPr>
                <w:position w:val="2"/>
                <w:sz w:val="22"/>
                <w:szCs w:val="22"/>
                <w:rtl/>
              </w:rPr>
            </w:pPr>
            <w:r w:rsidRPr="00350C65">
              <w:rPr>
                <w:position w:val="2"/>
                <w:sz w:val="22"/>
                <w:szCs w:val="22"/>
                <w:rtl/>
              </w:rPr>
              <w:t>تحويل الخبرة التقنية التكنولوجية إلى سلع عالمية بالابتكار المفتوح وآليات تعدد أصحاب المصلحة، بما يسرِّع نفاذ الجميع إلى التكنولوجيا الناشئة</w:t>
            </w:r>
            <w:r w:rsidRPr="00350C65">
              <w:rPr>
                <w:position w:val="2"/>
                <w:sz w:val="22"/>
                <w:szCs w:val="22"/>
                <w:cs/>
              </w:rPr>
              <w:t>‎</w:t>
            </w:r>
            <w:r w:rsidRPr="00350C65">
              <w:rPr>
                <w:position w:val="2"/>
                <w:sz w:val="22"/>
                <w:szCs w:val="22"/>
                <w:rtl/>
                <w:cs/>
              </w:rPr>
              <w:t>.</w:t>
            </w:r>
          </w:p>
        </w:tc>
      </w:tr>
      <w:tr w:rsidR="00EE1AE1" w:rsidRPr="00350C65" w14:paraId="474C7ADB" w14:textId="77777777" w:rsidTr="00350C65">
        <w:trPr>
          <w:jc w:val="center"/>
        </w:trPr>
        <w:tc>
          <w:tcPr>
            <w:tcW w:w="3114" w:type="dxa"/>
          </w:tcPr>
          <w:p w14:paraId="66BBBEC4" w14:textId="77777777" w:rsidR="00EE1AE1" w:rsidRPr="00350C65" w:rsidRDefault="00EE1AE1" w:rsidP="00350C65">
            <w:pPr>
              <w:pStyle w:val="Tabletexte"/>
              <w:spacing w:before="80" w:after="80" w:line="300" w:lineRule="exact"/>
              <w:jc w:val="left"/>
              <w:rPr>
                <w:b/>
                <w:bCs/>
                <w:position w:val="2"/>
                <w:sz w:val="22"/>
                <w:szCs w:val="22"/>
                <w:rtl/>
              </w:rPr>
            </w:pPr>
            <w:r w:rsidRPr="00350C65">
              <w:rPr>
                <w:b/>
                <w:bCs/>
                <w:position w:val="2"/>
                <w:sz w:val="22"/>
                <w:szCs w:val="22"/>
                <w:rtl/>
              </w:rPr>
              <w:t>ريادة الأعمال ونمو الشركات الصغيرة والمتوسطة</w:t>
            </w:r>
          </w:p>
        </w:tc>
        <w:tc>
          <w:tcPr>
            <w:tcW w:w="6515" w:type="dxa"/>
          </w:tcPr>
          <w:p w14:paraId="4B925179" w14:textId="77777777" w:rsidR="00EE1AE1" w:rsidRPr="00350C65" w:rsidRDefault="00EE1AE1" w:rsidP="00350C65">
            <w:pPr>
              <w:pStyle w:val="Tabletexte"/>
              <w:spacing w:before="80" w:after="80" w:line="300" w:lineRule="exact"/>
              <w:rPr>
                <w:position w:val="2"/>
                <w:sz w:val="22"/>
                <w:szCs w:val="22"/>
                <w:rtl/>
              </w:rPr>
            </w:pPr>
            <w:r w:rsidRPr="00350C65">
              <w:rPr>
                <w:position w:val="2"/>
                <w:sz w:val="22"/>
                <w:szCs w:val="22"/>
                <w:rtl/>
              </w:rPr>
              <w:t>تسريع الإقبال على ريادة الأعمال القائمة على الابتكار الرقمي وإتاحة الفرص للمواهب لتحقيق الشمول الاجتماعي والاقتصادي في مجتمعاتها.</w:t>
            </w:r>
          </w:p>
        </w:tc>
      </w:tr>
      <w:tr w:rsidR="00EE1AE1" w:rsidRPr="00350C65" w14:paraId="77862873" w14:textId="77777777" w:rsidTr="00350C65">
        <w:trPr>
          <w:jc w:val="center"/>
        </w:trPr>
        <w:tc>
          <w:tcPr>
            <w:tcW w:w="3114" w:type="dxa"/>
          </w:tcPr>
          <w:p w14:paraId="5C11EC9D" w14:textId="35CAF649" w:rsidR="00EE1AE1" w:rsidRPr="00350C65" w:rsidRDefault="00EE1AE1" w:rsidP="00350C65">
            <w:pPr>
              <w:pStyle w:val="Tabletexte"/>
              <w:spacing w:before="80" w:after="80" w:line="300" w:lineRule="exact"/>
              <w:jc w:val="left"/>
              <w:rPr>
                <w:b/>
                <w:bCs/>
                <w:position w:val="2"/>
                <w:sz w:val="22"/>
                <w:szCs w:val="22"/>
                <w:rtl/>
              </w:rPr>
            </w:pPr>
            <w:r w:rsidRPr="00350C65">
              <w:rPr>
                <w:b/>
                <w:bCs/>
                <w:position w:val="2"/>
                <w:sz w:val="22"/>
                <w:szCs w:val="22"/>
                <w:rtl/>
              </w:rPr>
              <w:t>تجريب السياسات</w:t>
            </w:r>
          </w:p>
        </w:tc>
        <w:tc>
          <w:tcPr>
            <w:tcW w:w="6515" w:type="dxa"/>
          </w:tcPr>
          <w:p w14:paraId="36AF20B2" w14:textId="77777777" w:rsidR="00EE1AE1" w:rsidRPr="00350C65" w:rsidRDefault="00EE1AE1" w:rsidP="00350C65">
            <w:pPr>
              <w:pStyle w:val="Tabletexte"/>
              <w:spacing w:before="80" w:after="80" w:line="300" w:lineRule="exact"/>
              <w:rPr>
                <w:position w:val="2"/>
                <w:sz w:val="22"/>
                <w:szCs w:val="22"/>
                <w:rtl/>
              </w:rPr>
            </w:pPr>
            <w:r w:rsidRPr="00350C65">
              <w:rPr>
                <w:position w:val="2"/>
                <w:sz w:val="22"/>
                <w:szCs w:val="22"/>
                <w:rtl/>
              </w:rPr>
              <w:t>وضع سياسات مرنة تقدم لأصحاب المصلحة مساحة آمنة للتجريب وتشجيع الابتكار وجذب الاستثمار في النظام الإيكولوجي الرقمي.</w:t>
            </w:r>
          </w:p>
        </w:tc>
      </w:tr>
      <w:tr w:rsidR="00EE1AE1" w:rsidRPr="00350C65" w14:paraId="17F3E978" w14:textId="77777777" w:rsidTr="00350C65">
        <w:trPr>
          <w:jc w:val="center"/>
        </w:trPr>
        <w:tc>
          <w:tcPr>
            <w:tcW w:w="3114" w:type="dxa"/>
          </w:tcPr>
          <w:p w14:paraId="70CAB12C" w14:textId="77777777" w:rsidR="00EE1AE1" w:rsidRPr="00350C65" w:rsidRDefault="00EE1AE1" w:rsidP="00350C65">
            <w:pPr>
              <w:pStyle w:val="Tabletexte"/>
              <w:spacing w:before="80" w:after="80" w:line="300" w:lineRule="exact"/>
              <w:jc w:val="left"/>
              <w:rPr>
                <w:b/>
                <w:bCs/>
                <w:position w:val="2"/>
                <w:sz w:val="22"/>
                <w:szCs w:val="22"/>
                <w:rtl/>
              </w:rPr>
            </w:pPr>
            <w:r w:rsidRPr="00350C65">
              <w:rPr>
                <w:b/>
                <w:bCs/>
                <w:position w:val="2"/>
                <w:sz w:val="22"/>
                <w:szCs w:val="22"/>
                <w:rtl/>
              </w:rPr>
              <w:t>تسريع مبادرات النظام الإيكولوجي</w:t>
            </w:r>
          </w:p>
        </w:tc>
        <w:tc>
          <w:tcPr>
            <w:tcW w:w="6515" w:type="dxa"/>
          </w:tcPr>
          <w:p w14:paraId="2AFBC651" w14:textId="77777777" w:rsidR="00EE1AE1" w:rsidRPr="00350C65" w:rsidRDefault="00EE1AE1" w:rsidP="00350C65">
            <w:pPr>
              <w:pStyle w:val="Tabletexte"/>
              <w:spacing w:before="80" w:after="80" w:line="300" w:lineRule="exact"/>
              <w:rPr>
                <w:position w:val="2"/>
                <w:sz w:val="22"/>
                <w:szCs w:val="22"/>
                <w:rtl/>
              </w:rPr>
            </w:pPr>
            <w:r w:rsidRPr="00350C65">
              <w:rPr>
                <w:position w:val="2"/>
                <w:sz w:val="22"/>
                <w:szCs w:val="22"/>
                <w:rtl/>
              </w:rPr>
              <w:t>تعزيز التعاون وأوجه التآزر التي تعمل على مقايسة نطاق الابتكارات الرقمية وتحقيق قيمة عبر القطاعات الاقتصادية من أجل اقتصاد رقمي تنافسي.</w:t>
            </w:r>
          </w:p>
        </w:tc>
      </w:tr>
    </w:tbl>
    <w:p w14:paraId="0350647C" w14:textId="22FDA2AD" w:rsidR="00EE1AE1" w:rsidRPr="00EE1AE1" w:rsidRDefault="00EE1AE1" w:rsidP="00350C65">
      <w:pPr>
        <w:spacing w:before="240"/>
        <w:rPr>
          <w:rtl/>
        </w:rPr>
      </w:pPr>
      <w:r w:rsidRPr="00EE1AE1">
        <w:rPr>
          <w:rtl/>
        </w:rPr>
        <w:t xml:space="preserve">وكان التحالف </w:t>
      </w:r>
      <w:r w:rsidRPr="00EE1AE1">
        <w:rPr>
          <w:b/>
          <w:bCs/>
          <w:rtl/>
        </w:rPr>
        <w:t>مبادرة عالمية</w:t>
      </w:r>
      <w:r w:rsidRPr="00EE1AE1">
        <w:rPr>
          <w:rtl/>
        </w:rPr>
        <w:t xml:space="preserve"> لدعم البلدان في مواجهة تحديات وفرص مشهد تكنولوجي وعالمي سريع التطور، في عام 2023.</w:t>
      </w:r>
    </w:p>
    <w:p w14:paraId="3E2B8BE4" w14:textId="77777777" w:rsidR="00EE1AE1" w:rsidRPr="00EE1AE1" w:rsidRDefault="00EE1AE1" w:rsidP="00350C65">
      <w:pPr>
        <w:keepNext/>
        <w:rPr>
          <w:rtl/>
        </w:rPr>
      </w:pPr>
      <w:r w:rsidRPr="00EE1AE1">
        <w:rPr>
          <w:rtl/>
        </w:rPr>
        <w:lastRenderedPageBreak/>
        <w:t xml:space="preserve">ويضطلع التحالف بعمله من خلال </w:t>
      </w:r>
      <w:r w:rsidRPr="00EE1AE1">
        <w:rPr>
          <w:b/>
          <w:bCs/>
          <w:rtl/>
        </w:rPr>
        <w:t>ثلاث وسائل رئيسية</w:t>
      </w:r>
      <w:r w:rsidRPr="00EE1AE1">
        <w:rPr>
          <w:rtl/>
        </w:rPr>
        <w:t>:</w:t>
      </w:r>
    </w:p>
    <w:p w14:paraId="27A26F11" w14:textId="573D3D17" w:rsidR="00EE1AE1" w:rsidRPr="00EE1AE1" w:rsidRDefault="00350C65" w:rsidP="001F7167">
      <w:pPr>
        <w:pStyle w:val="enumlev1"/>
        <w:rPr>
          <w:rtl/>
        </w:rPr>
      </w:pPr>
      <w:r>
        <w:rPr>
          <w:rFonts w:hint="cs"/>
          <w:rtl/>
          <w:lang w:bidi="ar-EG"/>
        </w:rPr>
        <w:t>-</w:t>
      </w:r>
      <w:r w:rsidR="001F7167">
        <w:tab/>
      </w:r>
      <w:r w:rsidR="00EE1AE1" w:rsidRPr="001F7167">
        <w:rPr>
          <w:b/>
          <w:bCs/>
          <w:rtl/>
        </w:rPr>
        <w:t>مجلس الابتكار الرقمي</w:t>
      </w:r>
      <w:r w:rsidR="00EE1AE1" w:rsidRPr="00EE1AE1">
        <w:rPr>
          <w:rtl/>
        </w:rPr>
        <w:t>: يُقدم توجيهات استراتيجية، بما يضمن استمرار توافق التحالف مع أولويات قطاع تنمية الاتصالات وخطط عمله. ويشارك في أنشطة دعوية رفيعة المستوى ويتتبع التقدم المحرز عبر المجالات الرئيسية، في</w:t>
      </w:r>
      <w:r w:rsidR="001F7167">
        <w:rPr>
          <w:rFonts w:hint="cs"/>
          <w:rtl/>
        </w:rPr>
        <w:t> </w:t>
      </w:r>
      <w:r w:rsidR="00EE1AE1" w:rsidRPr="00EE1AE1">
        <w:rPr>
          <w:rtl/>
        </w:rPr>
        <w:t>معرض دعم الحوار العالمي والشراكات لتعزيز الابتكار الرقمي الشامل وريادة الأعمال</w:t>
      </w:r>
      <w:r>
        <w:rPr>
          <w:rFonts w:hint="cs"/>
          <w:rtl/>
        </w:rPr>
        <w:t>؛</w:t>
      </w:r>
    </w:p>
    <w:p w14:paraId="1D8BA35D" w14:textId="13A22E20" w:rsidR="00EE1AE1" w:rsidRPr="00EE1AE1" w:rsidRDefault="00350C65" w:rsidP="001F7167">
      <w:pPr>
        <w:pStyle w:val="enumlev1"/>
        <w:rPr>
          <w:rtl/>
        </w:rPr>
      </w:pPr>
      <w:r>
        <w:rPr>
          <w:rFonts w:hint="cs"/>
          <w:rtl/>
        </w:rPr>
        <w:t>-</w:t>
      </w:r>
      <w:r w:rsidR="001F7167">
        <w:tab/>
      </w:r>
      <w:r w:rsidR="00DB0AFD">
        <w:rPr>
          <w:rFonts w:hint="cs"/>
          <w:rtl/>
        </w:rPr>
        <w:t>و</w:t>
      </w:r>
      <w:r w:rsidR="00EE1AE1" w:rsidRPr="001F7167">
        <w:rPr>
          <w:b/>
          <w:bCs/>
          <w:rtl/>
        </w:rPr>
        <w:t>مختبر التحول الرقمي</w:t>
      </w:r>
      <w:r w:rsidR="00EE1AE1" w:rsidRPr="00EE1AE1">
        <w:rPr>
          <w:rtl/>
        </w:rPr>
        <w:t>: مَرفق افتراضي لبناء قدرات الابتكار. ويُطوّر برامج معرفية ويدعم تصميم وبناء قدرات مراكز التسريع التابعة للاتحاد</w:t>
      </w:r>
      <w:r>
        <w:rPr>
          <w:rFonts w:hint="cs"/>
          <w:rtl/>
        </w:rPr>
        <w:t>؛</w:t>
      </w:r>
    </w:p>
    <w:p w14:paraId="1106E581" w14:textId="46572D9A" w:rsidR="00EE1AE1" w:rsidRPr="00EE1AE1" w:rsidRDefault="00350C65" w:rsidP="001F7167">
      <w:pPr>
        <w:pStyle w:val="enumlev1"/>
        <w:rPr>
          <w:rtl/>
        </w:rPr>
      </w:pPr>
      <w:r>
        <w:rPr>
          <w:rFonts w:hint="cs"/>
          <w:rtl/>
        </w:rPr>
        <w:t>-</w:t>
      </w:r>
      <w:r w:rsidR="001F7167">
        <w:tab/>
      </w:r>
      <w:r w:rsidR="00DB0AFD">
        <w:rPr>
          <w:rFonts w:hint="cs"/>
          <w:rtl/>
        </w:rPr>
        <w:t>و</w:t>
      </w:r>
      <w:r w:rsidR="00EE1AE1" w:rsidRPr="00DF6DE6">
        <w:rPr>
          <w:b/>
          <w:bCs/>
          <w:rtl/>
        </w:rPr>
        <w:t>شبكة مراكز التسريع</w:t>
      </w:r>
      <w:r w:rsidR="00EE1AE1" w:rsidRPr="00EE1AE1">
        <w:rPr>
          <w:rtl/>
        </w:rPr>
        <w:t xml:space="preserve"> </w:t>
      </w:r>
      <w:r w:rsidR="00EE1AE1" w:rsidRPr="00350C65">
        <w:rPr>
          <w:b/>
          <w:bCs/>
          <w:rtl/>
        </w:rPr>
        <w:t>التابعة للاتحاد</w:t>
      </w:r>
      <w:r w:rsidR="00EE1AE1" w:rsidRPr="00EE1AE1">
        <w:rPr>
          <w:rtl/>
        </w:rPr>
        <w:t>: شبكة من المراكز ذات الملكية الوطنية تعزز النظم الإيكولوجية للابتكار على الصعيد العالمي والإقليمي والوطني. وتدعم هذه الشبكة البلدان في الاستفادة من التكنولوجيا والسياسات</w:t>
      </w:r>
      <w:r w:rsidR="00594C9F">
        <w:rPr>
          <w:rFonts w:hint="cs"/>
          <w:rtl/>
        </w:rPr>
        <w:t xml:space="preserve"> </w:t>
      </w:r>
      <w:r w:rsidR="00EE1AE1" w:rsidRPr="00EE1AE1">
        <w:rPr>
          <w:rtl/>
        </w:rPr>
        <w:t>والمبادرات الرائدة في معرض دمج ابتكارات تكنولوجيا المعلومات والاتصالات في برامج التنمية الوطنية وتعزيز ريادة الأعمال التي تُسرّع التحول الرقمي.</w:t>
      </w:r>
    </w:p>
    <w:p w14:paraId="509F3A9D" w14:textId="77777777" w:rsidR="00EE1AE1" w:rsidRPr="00EE1AE1" w:rsidRDefault="00EE1AE1" w:rsidP="00EE1AE1">
      <w:pPr>
        <w:rPr>
          <w:rtl/>
        </w:rPr>
      </w:pPr>
      <w:r w:rsidRPr="00EE1AE1">
        <w:rPr>
          <w:rtl/>
        </w:rPr>
        <w:t>وتُقدّم هذه الآليات مجتمعةً على نحو فعال منتجات وخدمات لأعضاء الاتحاد تُمكّنهم من التكيّف بمزيد من المرونة مع البيئة الرقمية المتغيرة والاستفادة من قيمتها.</w:t>
      </w:r>
    </w:p>
    <w:p w14:paraId="07986E15" w14:textId="77777777" w:rsidR="00EE1AE1" w:rsidRPr="00EE1AE1" w:rsidRDefault="00EE1AE1" w:rsidP="00EE1AE1">
      <w:pPr>
        <w:rPr>
          <w:rtl/>
        </w:rPr>
      </w:pPr>
      <w:r w:rsidRPr="00EE1AE1">
        <w:rPr>
          <w:rtl/>
        </w:rPr>
        <w:t>وتكمن القيمة الفريدة التي يضيفها التحالف في شبكته من المراكز والمعماريات التي تزود البلدان بآلية أو منصة جديدة للشراكات العامة والخاصة والشراكات بين القطاعين العام والخاص مع الموارد والمعارف والفرص في مجال الابتكار الرقمي.</w:t>
      </w:r>
    </w:p>
    <w:p w14:paraId="7DC3D552" w14:textId="244A9D34" w:rsidR="00EE1AE1" w:rsidRPr="00EE1AE1" w:rsidRDefault="00DF6DE6" w:rsidP="00DF6DE6">
      <w:pPr>
        <w:pStyle w:val="Heading1"/>
        <w:rPr>
          <w:rtl/>
        </w:rPr>
      </w:pPr>
      <w:r>
        <w:rPr>
          <w:rFonts w:hint="cs"/>
          <w:rtl/>
        </w:rPr>
        <w:t>2</w:t>
      </w:r>
      <w:r>
        <w:rPr>
          <w:rtl/>
        </w:rPr>
        <w:tab/>
      </w:r>
      <w:r w:rsidR="00EE1AE1" w:rsidRPr="00EE1AE1">
        <w:rPr>
          <w:rtl/>
        </w:rPr>
        <w:t>الأنشطة الرئيسية</w:t>
      </w:r>
    </w:p>
    <w:p w14:paraId="5CDBA5BF" w14:textId="77777777" w:rsidR="00EE1AE1" w:rsidRPr="00EE1AE1" w:rsidRDefault="00EE1AE1" w:rsidP="00EE1AE1">
      <w:pPr>
        <w:rPr>
          <w:rtl/>
        </w:rPr>
      </w:pPr>
      <w:r w:rsidRPr="00EE1AE1">
        <w:rPr>
          <w:rtl/>
        </w:rPr>
        <w:t>بين عامي 2023 و2025، اضطلع مكتب تنمية الاتصالات بأنشطة رئيسية لتفعيل هذا التحالف، وتمكين البلدان من الاستفادة من تأثيره، بما يتماشى مع أولوية قطاع تنمية الاتصالات بشأن التحول الرقمي.</w:t>
      </w:r>
    </w:p>
    <w:p w14:paraId="71726D12" w14:textId="5D7D8FAF" w:rsidR="00EE1AE1" w:rsidRPr="00EE1AE1" w:rsidRDefault="00EE1AE1" w:rsidP="00EE1AE1">
      <w:pPr>
        <w:rPr>
          <w:rtl/>
        </w:rPr>
      </w:pPr>
      <w:r w:rsidRPr="00EE1AE1">
        <w:rPr>
          <w:rtl/>
        </w:rPr>
        <w:t>وفيما يلي بعض التحديثات بشأن الوسائل والمنتجات والخدمات التي يقدمها التحالف.</w:t>
      </w:r>
    </w:p>
    <w:p w14:paraId="4DCF3FD4" w14:textId="0ACE4496" w:rsidR="00EE1AE1" w:rsidRPr="00594C9F" w:rsidRDefault="00DF6DE6" w:rsidP="00594C9F">
      <w:pPr>
        <w:pStyle w:val="Heading2"/>
        <w:rPr>
          <w:rtl/>
        </w:rPr>
      </w:pPr>
      <w:r w:rsidRPr="00594C9F">
        <w:rPr>
          <w:rFonts w:hint="cs"/>
          <w:rtl/>
        </w:rPr>
        <w:t xml:space="preserve"> أ )</w:t>
      </w:r>
      <w:r w:rsidRPr="00594C9F">
        <w:rPr>
          <w:rtl/>
        </w:rPr>
        <w:tab/>
      </w:r>
      <w:r w:rsidR="00EE1AE1" w:rsidRPr="00594C9F">
        <w:rPr>
          <w:rtl/>
        </w:rPr>
        <w:t>مجلس الابتكار الرقمي</w:t>
      </w:r>
      <w:r w:rsidR="00EE1AE1" w:rsidRPr="00594C9F">
        <w:rPr>
          <w:cs/>
        </w:rPr>
        <w:t>‎</w:t>
      </w:r>
    </w:p>
    <w:p w14:paraId="22D07E43" w14:textId="1BC0AC63" w:rsidR="00EE1AE1" w:rsidRPr="00EE1AE1" w:rsidRDefault="00EE1AE1" w:rsidP="00EE1AE1">
      <w:pPr>
        <w:rPr>
          <w:rtl/>
        </w:rPr>
      </w:pPr>
      <w:r w:rsidRPr="00EE1AE1">
        <w:rPr>
          <w:rtl/>
        </w:rPr>
        <w:t xml:space="preserve">يوجه مجلس الابتكار الرقمي عمل التحالف لضمان فعالية التحالف ومساءلته وتقدمه الاستراتيجي فيما يتعلق بخطة عمل المؤتمر العالمي لتنمية الاتصالات مع تسهيل أنشطة المناصرة رفيعة المستوى وإعداد التقارير عن مسارات العمل الرئيسية لتحقيق </w:t>
      </w:r>
      <w:r w:rsidR="00594C9F">
        <w:rPr>
          <w:rFonts w:hint="cs"/>
          <w:rtl/>
          <w:lang w:bidi="ar-EG"/>
        </w:rPr>
        <w:t>الغايات</w:t>
      </w:r>
      <w:r w:rsidRPr="00EE1AE1">
        <w:rPr>
          <w:rtl/>
        </w:rPr>
        <w:t>.</w:t>
      </w:r>
    </w:p>
    <w:p w14:paraId="50DE4290" w14:textId="688E0DCE" w:rsidR="00B92523" w:rsidRDefault="00EE1AE1" w:rsidP="00594C9F">
      <w:pPr>
        <w:rPr>
          <w:rtl/>
        </w:rPr>
      </w:pPr>
      <w:r w:rsidRPr="00EE1AE1">
        <w:rPr>
          <w:rtl/>
        </w:rPr>
        <w:t>ويضم المجلس أفراداً متميزين يعملون بصفاتهم الشخصية ويضمنون تقيد التحالف بمهام الاتحاد وخططه الاستراتيجية وولاية مكتب تنمية الاتصالات.</w:t>
      </w:r>
      <w:r w:rsidRPr="00EE1AE1">
        <w:rPr>
          <w:rtl/>
          <w:cs/>
        </w:rPr>
        <w:t xml:space="preserve"> ويتسم تكوين المجلس بالتنوع</w:t>
      </w:r>
      <w:r w:rsidR="00DF6DE6">
        <w:rPr>
          <w:rFonts w:hint="cs"/>
          <w:rtl/>
          <w:cs/>
        </w:rPr>
        <w:t>،</w:t>
      </w:r>
      <w:r w:rsidRPr="00EE1AE1">
        <w:rPr>
          <w:rtl/>
          <w:cs/>
        </w:rPr>
        <w:t xml:space="preserve"> ويعمل الأعضاء على أساس تطوعي</w:t>
      </w:r>
      <w:r w:rsidR="00DF6DE6">
        <w:rPr>
          <w:rFonts w:hint="cs"/>
          <w:rtl/>
          <w:cs/>
        </w:rPr>
        <w:t>،</w:t>
      </w:r>
      <w:r w:rsidRPr="00EE1AE1">
        <w:rPr>
          <w:rtl/>
          <w:cs/>
        </w:rPr>
        <w:t xml:space="preserve"> ويتحملون نفقات اجتماعات المجلس بأنفسهم. وحتى أكتوبر </w:t>
      </w:r>
      <w:r w:rsidRPr="00EE1AE1">
        <w:rPr>
          <w:rtl/>
        </w:rPr>
        <w:t xml:space="preserve">2025، </w:t>
      </w:r>
      <w:hyperlink r:id="rId19" w:anchor="/ar" w:history="1">
        <w:r w:rsidRPr="00EE1AE1">
          <w:rPr>
            <w:rStyle w:val="Hyperlink"/>
            <w:rtl/>
          </w:rPr>
          <w:t>يعمل 36 فردا</w:t>
        </w:r>
        <w:r w:rsidR="00DF6DE6" w:rsidRPr="00B92523">
          <w:rPr>
            <w:rStyle w:val="Hyperlink"/>
            <w:rFonts w:hint="cs"/>
            <w:rtl/>
          </w:rPr>
          <w:t>ً</w:t>
        </w:r>
        <w:r w:rsidRPr="00EE1AE1">
          <w:rPr>
            <w:rStyle w:val="Hyperlink"/>
            <w:rtl/>
          </w:rPr>
          <w:t xml:space="preserve"> بارزا</w:t>
        </w:r>
        <w:r w:rsidR="00DF6DE6" w:rsidRPr="00B92523">
          <w:rPr>
            <w:rStyle w:val="Hyperlink"/>
            <w:rFonts w:hint="cs"/>
            <w:rtl/>
          </w:rPr>
          <w:t>ً</w:t>
        </w:r>
        <w:r w:rsidRPr="00EE1AE1">
          <w:rPr>
            <w:rStyle w:val="Hyperlink"/>
            <w:rtl/>
          </w:rPr>
          <w:t xml:space="preserve"> كأعضاء في مجلس الابتكار الرقمي</w:t>
        </w:r>
      </w:hyperlink>
      <w:r w:rsidRPr="00EE1AE1">
        <w:rPr>
          <w:rtl/>
        </w:rPr>
        <w:t>.</w:t>
      </w:r>
    </w:p>
    <w:p w14:paraId="179A5613" w14:textId="77777777" w:rsidR="00EE1AE1" w:rsidRPr="00EE1AE1" w:rsidRDefault="00EE1AE1" w:rsidP="00EE1AE1">
      <w:pPr>
        <w:rPr>
          <w:rtl/>
        </w:rPr>
      </w:pPr>
      <w:r w:rsidRPr="00EE1AE1">
        <w:rPr>
          <w:rtl/>
        </w:rPr>
        <w:t>وخلال كل اجتماع من اجتماعات المجلس، يشارك الأعضاء بنشاط من خلال عرض خبراتهم واقتراح مبادرات مستقبلية وتقديم الدعم لمشاريع التحالف واقتراح خطوات عملية لتحقيق التقدم وإعادة تأكيد التزامهم بالنهوض بولاية الاتحاد.</w:t>
      </w:r>
    </w:p>
    <w:p w14:paraId="4BEEFA8B" w14:textId="39009578" w:rsidR="00DF6DE6" w:rsidRDefault="00EE1AE1" w:rsidP="00EE1AE1">
      <w:pPr>
        <w:rPr>
          <w:rtl/>
        </w:rPr>
      </w:pPr>
      <w:r w:rsidRPr="00EE1AE1">
        <w:rPr>
          <w:rtl/>
        </w:rPr>
        <w:t xml:space="preserve">وعُقد </w:t>
      </w:r>
      <w:hyperlink r:id="rId20" w:anchor="/ar" w:history="1">
        <w:r w:rsidRPr="00EE1AE1">
          <w:rPr>
            <w:rStyle w:val="Hyperlink"/>
            <w:rtl/>
          </w:rPr>
          <w:t>الاجتماع الافتتاحي للجنة الابتكار الرقمي</w:t>
        </w:r>
      </w:hyperlink>
      <w:r w:rsidRPr="00EE1AE1">
        <w:rPr>
          <w:rtl/>
        </w:rPr>
        <w:t xml:space="preserve"> في الفترة من 19 إلى 20 مارس 2024 في جنيف، سويسرا. </w:t>
      </w:r>
      <w:hyperlink r:id="rId21" w:history="1">
        <w:r w:rsidRPr="00594C9F">
          <w:rPr>
            <w:rStyle w:val="Hyperlink"/>
            <w:rtl/>
          </w:rPr>
          <w:t>وكنتيجة للاجتماع</w:t>
        </w:r>
      </w:hyperlink>
      <w:r w:rsidRPr="00EE1AE1">
        <w:rPr>
          <w:rtl/>
        </w:rPr>
        <w:t>، وضع أعضاء مجلس الإدارة الأساس لعمليات التحالف، ووضعوا خطة عمل ومقاييس تأثير إجمالية، ووضعوا استراتيجية للنهوض بالابتكار الرقمي العالمي.</w:t>
      </w:r>
    </w:p>
    <w:p w14:paraId="6F42279A" w14:textId="744B701C" w:rsidR="00DF6DE6" w:rsidRDefault="00EE1AE1" w:rsidP="00EE1AE1">
      <w:pPr>
        <w:rPr>
          <w:rtl/>
        </w:rPr>
      </w:pPr>
      <w:r w:rsidRPr="00EE1AE1">
        <w:rPr>
          <w:rtl/>
        </w:rPr>
        <w:t xml:space="preserve">وعُقد </w:t>
      </w:r>
      <w:hyperlink r:id="rId22" w:history="1">
        <w:r w:rsidRPr="00EE1AE1">
          <w:rPr>
            <w:rStyle w:val="Hyperlink"/>
            <w:rtl/>
          </w:rPr>
          <w:t>الاجتماع الثاني لمجلس الابتكار الرقمي</w:t>
        </w:r>
      </w:hyperlink>
      <w:r w:rsidRPr="00EE1AE1">
        <w:rPr>
          <w:rtl/>
        </w:rPr>
        <w:t xml:space="preserve"> في 28 أكتوبر 2024، على هامش </w:t>
      </w:r>
      <w:hyperlink r:id="rId23" w:anchor="/ar" w:history="1">
        <w:r w:rsidRPr="00EE1AE1">
          <w:rPr>
            <w:rStyle w:val="Hyperlink"/>
            <w:rtl/>
          </w:rPr>
          <w:t>المنتدى العالمي للابتكار عام 2024</w:t>
        </w:r>
      </w:hyperlink>
      <w:r w:rsidRPr="00EE1AE1">
        <w:rPr>
          <w:rtl/>
        </w:rPr>
        <w:t xml:space="preserve"> في فاليتا، مالطة. واستعرض أعضاء المجلس التقدم المحرز في تنفيذ التوصيات المعتمدة في الاجتماع الأول للمجلس. و</w:t>
      </w:r>
      <w:hyperlink r:id="rId24" w:history="1">
        <w:r w:rsidRPr="00EE1AE1">
          <w:rPr>
            <w:rStyle w:val="Hyperlink"/>
            <w:rtl/>
          </w:rPr>
          <w:t>وافق المجلس</w:t>
        </w:r>
      </w:hyperlink>
      <w:r w:rsidRPr="00EE1AE1">
        <w:rPr>
          <w:rtl/>
        </w:rPr>
        <w:t xml:space="preserve"> خلال هذا الاجتماع على خطة العمل الشاملة للفترة 2024-2026 والتي تتمحور حول هدفين أساسيين (سلسلة الاستشراف والنظام الإيكولوجي للشراكات)، وأقر إطلاق </w:t>
      </w:r>
      <w:hyperlink r:id="rId25" w:anchor="/ar" w:history="1">
        <w:r w:rsidRPr="00EE1AE1">
          <w:rPr>
            <w:rStyle w:val="Hyperlink"/>
            <w:rtl/>
          </w:rPr>
          <w:t>مُسرّع المبادرات الإقليمية</w:t>
        </w:r>
      </w:hyperlink>
      <w:r w:rsidRPr="00EE1AE1">
        <w:rPr>
          <w:rtl/>
        </w:rPr>
        <w:t>، ووافق على إطلاق شبكة خبراء لدعم عمل المجلس.</w:t>
      </w:r>
    </w:p>
    <w:p w14:paraId="44EB2021" w14:textId="215696D8" w:rsidR="00DF6DE6" w:rsidRDefault="00EE1AE1" w:rsidP="00EE1AE1">
      <w:pPr>
        <w:rPr>
          <w:rtl/>
        </w:rPr>
      </w:pPr>
      <w:r w:rsidRPr="00EE1AE1">
        <w:rPr>
          <w:rtl/>
        </w:rPr>
        <w:t xml:space="preserve">وعُقد </w:t>
      </w:r>
      <w:hyperlink r:id="rId26" w:history="1">
        <w:r w:rsidRPr="00EE1AE1">
          <w:rPr>
            <w:rStyle w:val="Hyperlink"/>
            <w:rtl/>
          </w:rPr>
          <w:t>الاجتماع الثالث لمجلس الابتكار الرقمي</w:t>
        </w:r>
      </w:hyperlink>
      <w:r w:rsidRPr="00EE1AE1">
        <w:rPr>
          <w:rtl/>
        </w:rPr>
        <w:t xml:space="preserve"> في الفترة من 1 إلى 2 أكتوبر 2025 في سانتو </w:t>
      </w:r>
      <w:proofErr w:type="spellStart"/>
      <w:r w:rsidRPr="00EE1AE1">
        <w:rPr>
          <w:rtl/>
        </w:rPr>
        <w:t>دومينغو</w:t>
      </w:r>
      <w:proofErr w:type="spellEnd"/>
      <w:r w:rsidRPr="00EE1AE1">
        <w:rPr>
          <w:rtl/>
        </w:rPr>
        <w:t xml:space="preserve">، الجمهورية </w:t>
      </w:r>
      <w:proofErr w:type="spellStart"/>
      <w:r w:rsidRPr="00EE1AE1">
        <w:rPr>
          <w:rtl/>
        </w:rPr>
        <w:t>الدومينيكية</w:t>
      </w:r>
      <w:proofErr w:type="spellEnd"/>
      <w:r w:rsidRPr="00EE1AE1">
        <w:rPr>
          <w:rtl/>
        </w:rPr>
        <w:t>. واجتمع أعضاء المجلس لاستعراض التقدم المحرز في مبادرات التحالف، بما في ذلك تشغيل شبكة الخبراء والمراكز وخطة العمل الإجمالية. ووافق المجلس أيضا</w:t>
      </w:r>
      <w:r w:rsidR="00AE4849">
        <w:rPr>
          <w:rFonts w:hint="cs"/>
          <w:rtl/>
        </w:rPr>
        <w:t>ً</w:t>
      </w:r>
      <w:r w:rsidRPr="00EE1AE1">
        <w:rPr>
          <w:rtl/>
        </w:rPr>
        <w:t xml:space="preserve"> على إطلاق </w:t>
      </w:r>
      <w:hyperlink r:id="rId27" w:anchor="/ar" w:history="1">
        <w:r w:rsidRPr="00EE1AE1">
          <w:rPr>
            <w:rStyle w:val="Hyperlink"/>
            <w:rtl/>
          </w:rPr>
          <w:t>خمسة تقارير استشراف استراتيجية</w:t>
        </w:r>
      </w:hyperlink>
      <w:r w:rsidRPr="00EE1AE1">
        <w:rPr>
          <w:rtl/>
        </w:rPr>
        <w:t xml:space="preserve"> وأخذ علما</w:t>
      </w:r>
      <w:r w:rsidR="00AE4849">
        <w:rPr>
          <w:rFonts w:hint="cs"/>
          <w:rtl/>
        </w:rPr>
        <w:t>ً</w:t>
      </w:r>
      <w:r w:rsidRPr="00EE1AE1">
        <w:rPr>
          <w:rtl/>
        </w:rPr>
        <w:t xml:space="preserve"> بالتقدم المحرز في تطوير نظام إيكولوجي للشراكات.</w:t>
      </w:r>
    </w:p>
    <w:p w14:paraId="2B72A7CB" w14:textId="386B4A2A" w:rsidR="00B92523" w:rsidRPr="00B92523" w:rsidRDefault="00EE1AE1" w:rsidP="00EE1AE1">
      <w:pPr>
        <w:rPr>
          <w:spacing w:val="-2"/>
          <w:rtl/>
        </w:rPr>
      </w:pPr>
      <w:r w:rsidRPr="00EE1AE1">
        <w:rPr>
          <w:spacing w:val="-2"/>
          <w:rtl/>
        </w:rPr>
        <w:t xml:space="preserve">وبالإضافة إلى ذلك، </w:t>
      </w:r>
      <w:hyperlink r:id="rId28" w:history="1">
        <w:r w:rsidRPr="00EE1AE1">
          <w:rPr>
            <w:rStyle w:val="Hyperlink"/>
            <w:spacing w:val="-2"/>
            <w:rtl/>
          </w:rPr>
          <w:t>أقر المجلس</w:t>
        </w:r>
      </w:hyperlink>
      <w:r w:rsidRPr="00EE1AE1">
        <w:rPr>
          <w:spacing w:val="-2"/>
          <w:rtl/>
        </w:rPr>
        <w:t xml:space="preserve"> </w:t>
      </w:r>
      <w:hyperlink r:id="rId29" w:history="1">
        <w:r w:rsidRPr="00EE1AE1">
          <w:rPr>
            <w:rStyle w:val="Hyperlink"/>
            <w:spacing w:val="-2"/>
            <w:rtl/>
          </w:rPr>
          <w:t>إعلان سد الفجوة في الابتكار الرقمي</w:t>
        </w:r>
      </w:hyperlink>
      <w:r w:rsidRPr="00EE1AE1">
        <w:rPr>
          <w:spacing w:val="-2"/>
          <w:rtl/>
        </w:rPr>
        <w:t>، إلى جانب مجموعة من النتائج المتعلقة بتقدم وسائل التحالف.</w:t>
      </w:r>
    </w:p>
    <w:p w14:paraId="7AACFD10" w14:textId="6672DD2E" w:rsidR="00EE1AE1" w:rsidRPr="00EE1AE1" w:rsidRDefault="00EE1AE1" w:rsidP="00EE1AE1">
      <w:pPr>
        <w:rPr>
          <w:rtl/>
        </w:rPr>
      </w:pPr>
      <w:r w:rsidRPr="00EE1AE1">
        <w:rPr>
          <w:rtl/>
        </w:rPr>
        <w:lastRenderedPageBreak/>
        <w:t>ويمثل هذا البيان التزاما</w:t>
      </w:r>
      <w:r w:rsidR="00594C9F">
        <w:rPr>
          <w:rFonts w:hint="cs"/>
          <w:rtl/>
        </w:rPr>
        <w:t>ً</w:t>
      </w:r>
      <w:r w:rsidRPr="00EE1AE1">
        <w:rPr>
          <w:rtl/>
        </w:rPr>
        <w:t xml:space="preserve"> من أعضاء التحالف برسم مسارات جديدة في التنمية الرقمية وتأكيد دور التحالف كمنصة تعزز نهجا</w:t>
      </w:r>
      <w:r w:rsidR="00985351">
        <w:rPr>
          <w:rFonts w:hint="cs"/>
          <w:rtl/>
        </w:rPr>
        <w:t>ً</w:t>
      </w:r>
      <w:r w:rsidRPr="00EE1AE1">
        <w:rPr>
          <w:rtl/>
        </w:rPr>
        <w:t xml:space="preserve"> جديدا</w:t>
      </w:r>
      <w:r w:rsidR="009E1AD8">
        <w:rPr>
          <w:rFonts w:hint="cs"/>
          <w:rtl/>
        </w:rPr>
        <w:t>ً</w:t>
      </w:r>
      <w:r w:rsidRPr="00EE1AE1">
        <w:rPr>
          <w:rtl/>
        </w:rPr>
        <w:t xml:space="preserve"> لبناء قدرات محلية للابتكار وريادة الأعمال في كل مكان - مما يضمن استمرار التقدم وتناقله.</w:t>
      </w:r>
    </w:p>
    <w:p w14:paraId="597537DC" w14:textId="0C71B2D7" w:rsidR="00EE1AE1" w:rsidRPr="00EE1AE1" w:rsidRDefault="00E10D3C" w:rsidP="00E10D3C">
      <w:pPr>
        <w:pStyle w:val="Heading2"/>
        <w:rPr>
          <w:rtl/>
        </w:rPr>
      </w:pPr>
      <w:r>
        <w:rPr>
          <w:rFonts w:hint="cs"/>
          <w:rtl/>
        </w:rPr>
        <w:t>ب)</w:t>
      </w:r>
      <w:r>
        <w:rPr>
          <w:rtl/>
        </w:rPr>
        <w:tab/>
      </w:r>
      <w:r w:rsidR="00EE1AE1" w:rsidRPr="00EE1AE1">
        <w:rPr>
          <w:rtl/>
        </w:rPr>
        <w:t>مختبر التحول الرقمي</w:t>
      </w:r>
    </w:p>
    <w:p w14:paraId="00ECE63E" w14:textId="6C3FDDD3" w:rsidR="00EE1AE1" w:rsidRPr="00EE1AE1" w:rsidRDefault="00EE1AE1" w:rsidP="00EE1AE1">
      <w:pPr>
        <w:rPr>
          <w:rtl/>
        </w:rPr>
      </w:pPr>
      <w:r w:rsidRPr="00EE1AE1">
        <w:rPr>
          <w:rtl/>
        </w:rPr>
        <w:t xml:space="preserve">يضطلع </w:t>
      </w:r>
      <w:hyperlink r:id="rId30" w:anchor="/ar" w:history="1">
        <w:r w:rsidRPr="00EE1AE1">
          <w:rPr>
            <w:rStyle w:val="Hyperlink"/>
            <w:rtl/>
          </w:rPr>
          <w:t>مختبر التحول الرقمي</w:t>
        </w:r>
      </w:hyperlink>
      <w:r w:rsidRPr="00EE1AE1">
        <w:rPr>
          <w:rtl/>
        </w:rPr>
        <w:t>، بوصفه إحدى الوسائل الرئيسية للتحالف، بدور مزدوج يتمثل في دعم تصميم وتنفيذ عمل شبكة مراكز التسريع وتقديم المساعدة التقنية للبلدان التي تلتمس دعم مكتب تنمية الاتصالات في مجال الابتكار وريادة الأعمال ضمن التحالف.</w:t>
      </w:r>
    </w:p>
    <w:p w14:paraId="1B497A8B" w14:textId="0528F6DB" w:rsidR="00EE1AE1" w:rsidRPr="00EE1AE1" w:rsidRDefault="00EE1AE1" w:rsidP="00EE1AE1">
      <w:pPr>
        <w:rPr>
          <w:rtl/>
        </w:rPr>
      </w:pPr>
      <w:r w:rsidRPr="00EE1AE1">
        <w:rPr>
          <w:rtl/>
        </w:rPr>
        <w:t xml:space="preserve">ويُنشئ مختبر التحول الرقمي (DT </w:t>
      </w:r>
      <w:proofErr w:type="spellStart"/>
      <w:r w:rsidRPr="00EE1AE1">
        <w:rPr>
          <w:rtl/>
        </w:rPr>
        <w:t>Lab</w:t>
      </w:r>
      <w:proofErr w:type="spellEnd"/>
      <w:r w:rsidRPr="00EE1AE1">
        <w:rPr>
          <w:rtl/>
        </w:rPr>
        <w:t>) برامج معرفية للابتكار لتعزيز قدرات شبكة مراكز التسريع ودعم المراكز في إطلاق مبادراتها المتعلقة بالسياسات والنظام الإيكولوجي. وللمنتدى دور مزدوج يتمثل في الاستفادة من المعارف المكتسبة من خلال التحالف لدعم مكتب تنمية الاتصالات في تسريع التنمية الرقمية وتعزيز التعاون بين أصحاب المصلحة.</w:t>
      </w:r>
    </w:p>
    <w:p w14:paraId="6CEEEBCE" w14:textId="77777777" w:rsidR="00EE1AE1" w:rsidRPr="00EE1AE1" w:rsidRDefault="00EE1AE1" w:rsidP="00EE1AE1">
      <w:pPr>
        <w:rPr>
          <w:rtl/>
        </w:rPr>
      </w:pPr>
      <w:r w:rsidRPr="00EE1AE1">
        <w:rPr>
          <w:rtl/>
        </w:rPr>
        <w:t>وبتمويل من وزارة الشؤون الداخلية والاتصالات اليابانية، وضع مختبر التحول الرقمي ثمانية أدلة إرشادية للتحالف. وتشمل هذه الأدلة دليل الاستشراف الاستراتيجي، ودليل تطوير مبادرات النظام الإيكولوجي، ودليل الابتكار التكنولوجي المفتوح، ودليل تجريب السياسات، ودليل نمو الشركات الصغيرة والمتوسطة وريادة الأعمال.</w:t>
      </w:r>
    </w:p>
    <w:p w14:paraId="24D923DA" w14:textId="77777777" w:rsidR="00EE1AE1" w:rsidRPr="00EE1AE1" w:rsidRDefault="00EE1AE1" w:rsidP="00EE1AE1">
      <w:pPr>
        <w:rPr>
          <w:rtl/>
        </w:rPr>
      </w:pPr>
      <w:r w:rsidRPr="00EE1AE1">
        <w:rPr>
          <w:rtl/>
        </w:rPr>
        <w:t>‏وقد صُممت الأدلة والأدوات ذات الصلة لتستخدمها هذه المراكز، ولكن تمكن إعادة توظيفها أيضاً لتقديم خدمات جديدة إلى مكتب تنمية الاتصالات. ولدليلين شاملين أعدهما مختبر التحول الرقمي صلة وثيقة بأي مركز يهدف إلى ضمان المرونة والاستدامة التشغيلية.</w:t>
      </w:r>
    </w:p>
    <w:p w14:paraId="3941348B" w14:textId="77777777" w:rsidR="00EE1AE1" w:rsidRPr="00EE1AE1" w:rsidRDefault="00EE1AE1" w:rsidP="00EE1AE1">
      <w:pPr>
        <w:rPr>
          <w:rtl/>
        </w:rPr>
      </w:pPr>
      <w:r w:rsidRPr="00EE1AE1">
        <w:rPr>
          <w:rtl/>
        </w:rPr>
        <w:t>ونتيجة لذلك، شرع مختبر التحول الرقمي في تطوير الخدمات ونشرها، بما في ذلك تعزيز ممارسات الاتحاد الاستشرافية الاستراتيجية، ودعم المكاتب الإقليمية للاتحاد من خلال تطوير خدمة مقهى الابتكار، وغيرها. وقد حظيت هذه الخدمات باهتمام كبير من البلدان.</w:t>
      </w:r>
    </w:p>
    <w:p w14:paraId="158983E0" w14:textId="13F6DE3B" w:rsidR="00EE1AE1" w:rsidRPr="00EE1AE1" w:rsidRDefault="00EE1AE1" w:rsidP="00EE1AE1">
      <w:pPr>
        <w:rPr>
          <w:rtl/>
        </w:rPr>
      </w:pPr>
      <w:r w:rsidRPr="00EE1AE1">
        <w:rPr>
          <w:rtl/>
        </w:rPr>
        <w:t>ويتعاون مختبر التحول الرقمي مع مركز الابتكار في مكتب منطقة جنوب آسيا التابع للاتحاد لدعم تقديم الخدمات، بما في ذلك مقاهي الابتكار، وقد طوّر مشروعا</w:t>
      </w:r>
      <w:r w:rsidR="00E10D3C">
        <w:rPr>
          <w:rFonts w:hint="cs"/>
          <w:rtl/>
        </w:rPr>
        <w:t>ً</w:t>
      </w:r>
      <w:r w:rsidRPr="00EE1AE1">
        <w:rPr>
          <w:rtl/>
        </w:rPr>
        <w:t xml:space="preserve"> تجريبيا</w:t>
      </w:r>
      <w:r w:rsidR="00E10D3C">
        <w:rPr>
          <w:rFonts w:hint="cs"/>
          <w:rtl/>
        </w:rPr>
        <w:t>ً</w:t>
      </w:r>
      <w:r w:rsidRPr="00EE1AE1">
        <w:rPr>
          <w:rtl/>
        </w:rPr>
        <w:t xml:space="preserve"> </w:t>
      </w:r>
      <w:hyperlink r:id="rId31" w:anchor="/ar" w:history="1">
        <w:r w:rsidRPr="00594C9F">
          <w:rPr>
            <w:rStyle w:val="Hyperlink"/>
            <w:rtl/>
          </w:rPr>
          <w:t>لمسرع المبادرات الإقليمية</w:t>
        </w:r>
      </w:hyperlink>
      <w:r w:rsidRPr="00EE1AE1">
        <w:rPr>
          <w:rtl/>
        </w:rPr>
        <w:t xml:space="preserve"> كجزء من مشروع ممول من وزارة الصناعة وتكنولوجيا المعلومات الصينية</w:t>
      </w:r>
      <w:r w:rsidR="00594C9F">
        <w:rPr>
          <w:rFonts w:hint="cs"/>
          <w:rtl/>
        </w:rPr>
        <w:t>.</w:t>
      </w:r>
    </w:p>
    <w:p w14:paraId="5794F7DF" w14:textId="77777777" w:rsidR="00EE1AE1" w:rsidRPr="00EE1AE1" w:rsidRDefault="00EE1AE1" w:rsidP="00EE1AE1">
      <w:pPr>
        <w:rPr>
          <w:rtl/>
        </w:rPr>
      </w:pPr>
      <w:r w:rsidRPr="00EE1AE1">
        <w:rPr>
          <w:rtl/>
        </w:rPr>
        <w:t>وبالإضافة إلى ذلك، دعم مختبر التحول الرقمي المكتب الإقليمي للدول العربية من خلال تيسير آلية تجريبية تهدف إلى تشكيل المبادرات الإقليمية المقبلة في الدول العربية من خلال استخدام منهجية الاستشراف المستقبلي.</w:t>
      </w:r>
    </w:p>
    <w:p w14:paraId="08F61B81" w14:textId="4D1D6661" w:rsidR="00EE1AE1" w:rsidRPr="00EE1AE1" w:rsidRDefault="00E10D3C" w:rsidP="00E10D3C">
      <w:pPr>
        <w:pStyle w:val="Heading2"/>
        <w:rPr>
          <w:rtl/>
        </w:rPr>
      </w:pPr>
      <w:r>
        <w:rPr>
          <w:rFonts w:hint="cs"/>
          <w:rtl/>
        </w:rPr>
        <w:t>ج)</w:t>
      </w:r>
      <w:r>
        <w:rPr>
          <w:rtl/>
        </w:rPr>
        <w:tab/>
      </w:r>
      <w:r w:rsidR="00EE1AE1" w:rsidRPr="00EE1AE1">
        <w:rPr>
          <w:rtl/>
        </w:rPr>
        <w:t>شبكة مراكز التسريع</w:t>
      </w:r>
    </w:p>
    <w:p w14:paraId="6489D025" w14:textId="0F8C4F58" w:rsidR="00EE1AE1" w:rsidRPr="00EE1AE1" w:rsidRDefault="00EE1AE1" w:rsidP="00EE1AE1">
      <w:pPr>
        <w:rPr>
          <w:rtl/>
        </w:rPr>
      </w:pPr>
      <w:r w:rsidRPr="00EE1AE1">
        <w:rPr>
          <w:rtl/>
        </w:rPr>
        <w:t xml:space="preserve">تعزز </w:t>
      </w:r>
      <w:hyperlink r:id="rId32" w:anchor="/ar" w:history="1">
        <w:r w:rsidRPr="00EE1AE1">
          <w:rPr>
            <w:rStyle w:val="Hyperlink"/>
            <w:rtl/>
          </w:rPr>
          <w:t>شبكة مراكز التسريع</w:t>
        </w:r>
      </w:hyperlink>
      <w:r w:rsidRPr="00EE1AE1">
        <w:rPr>
          <w:rtl/>
        </w:rPr>
        <w:t xml:space="preserve"> التابعة للاتحاد قدرات الابتكار العالمية والإقليمية والوطنية، وتستفيد من تطوير التكنولوجيا والسياسات والمبادرات الرائدة في معرض تعزيز الابتكار وريادة الأعمال على الصعيد المحلي لتسريع التحول الرقمي.</w:t>
      </w:r>
    </w:p>
    <w:p w14:paraId="160302B2" w14:textId="33DF1097" w:rsidR="00EE1AE1" w:rsidRPr="00EE1AE1" w:rsidRDefault="00EE1AE1" w:rsidP="00EE1AE1">
      <w:pPr>
        <w:rPr>
          <w:spacing w:val="-2"/>
          <w:rtl/>
        </w:rPr>
      </w:pPr>
      <w:r w:rsidRPr="00EE1AE1">
        <w:rPr>
          <w:spacing w:val="-2"/>
          <w:rtl/>
        </w:rPr>
        <w:t xml:space="preserve">وفي عام 2024، اختار مكتب تنمية الاتصالات </w:t>
      </w:r>
      <w:hyperlink r:id="rId33" w:anchor="/ar" w:history="1">
        <w:r w:rsidRPr="00EE1AE1">
          <w:rPr>
            <w:rStyle w:val="Hyperlink"/>
            <w:spacing w:val="-2"/>
            <w:rtl/>
          </w:rPr>
          <w:t>17 منظمة لاستضافة المراكز</w:t>
        </w:r>
      </w:hyperlink>
      <w:r w:rsidRPr="00EE1AE1">
        <w:rPr>
          <w:spacing w:val="-2"/>
          <w:rtl/>
        </w:rPr>
        <w:t>. ويُتطلب من كل المنظمات المضيفة المختارة ما يلي:</w:t>
      </w:r>
      <w:r w:rsidR="00E10D3C" w:rsidRPr="00E10D3C">
        <w:rPr>
          <w:spacing w:val="-2"/>
          <w:rtl/>
        </w:rPr>
        <w:t xml:space="preserve"> </w:t>
      </w:r>
    </w:p>
    <w:p w14:paraId="0C8B25AF" w14:textId="35C8E5DA" w:rsidR="00EE1AE1" w:rsidRPr="00EE1AE1" w:rsidRDefault="00594C9F" w:rsidP="00E10D3C">
      <w:pPr>
        <w:pStyle w:val="enumlev1"/>
        <w:rPr>
          <w:rtl/>
        </w:rPr>
      </w:pPr>
      <w:r>
        <w:rPr>
          <w:rFonts w:hint="cs"/>
          <w:rtl/>
        </w:rPr>
        <w:t>-</w:t>
      </w:r>
      <w:r w:rsidR="00E10D3C">
        <w:rPr>
          <w:rtl/>
        </w:rPr>
        <w:tab/>
      </w:r>
      <w:r w:rsidR="00EE1AE1" w:rsidRPr="00EE1AE1">
        <w:rPr>
          <w:rtl/>
        </w:rPr>
        <w:t>توقيع اتفاق تعاون مع مكتب تنمية الاتصالات لتنظيم سلوك مركزها وعلاقته بالاتحاد،</w:t>
      </w:r>
    </w:p>
    <w:p w14:paraId="513154D5" w14:textId="679698C1" w:rsidR="00EE1AE1" w:rsidRPr="00EE1AE1" w:rsidRDefault="00594C9F" w:rsidP="00E10D3C">
      <w:pPr>
        <w:pStyle w:val="enumlev1"/>
        <w:rPr>
          <w:rtl/>
        </w:rPr>
      </w:pPr>
      <w:r>
        <w:rPr>
          <w:rFonts w:hint="cs"/>
          <w:rtl/>
        </w:rPr>
        <w:t>-</w:t>
      </w:r>
      <w:r w:rsidR="00E10D3C">
        <w:rPr>
          <w:rtl/>
        </w:rPr>
        <w:tab/>
      </w:r>
      <w:r>
        <w:rPr>
          <w:rFonts w:hint="cs"/>
          <w:rtl/>
        </w:rPr>
        <w:t>و</w:t>
      </w:r>
      <w:r w:rsidR="00EE1AE1" w:rsidRPr="00EE1AE1">
        <w:rPr>
          <w:rtl/>
        </w:rPr>
        <w:t>امتلاك الدعم المالي والسياسي الكافي لبدء مسيرة التحول،</w:t>
      </w:r>
    </w:p>
    <w:p w14:paraId="6C905A4D" w14:textId="176F011A" w:rsidR="00EE1AE1" w:rsidRPr="00EE1AE1" w:rsidRDefault="00594C9F" w:rsidP="00E10D3C">
      <w:pPr>
        <w:pStyle w:val="enumlev1"/>
        <w:rPr>
          <w:rtl/>
        </w:rPr>
      </w:pPr>
      <w:r>
        <w:rPr>
          <w:rFonts w:hint="cs"/>
          <w:rtl/>
        </w:rPr>
        <w:t>-</w:t>
      </w:r>
      <w:r w:rsidR="00E10D3C">
        <w:rPr>
          <w:rtl/>
        </w:rPr>
        <w:tab/>
      </w:r>
      <w:r>
        <w:rPr>
          <w:rFonts w:hint="cs"/>
          <w:rtl/>
        </w:rPr>
        <w:t>و</w:t>
      </w:r>
      <w:r w:rsidR="00EE1AE1" w:rsidRPr="00EE1AE1">
        <w:rPr>
          <w:rtl/>
        </w:rPr>
        <w:t>المشاركة في عملية التصميم والحصول على دعم بناء القدرات من الاتحاد فيما يتعلق بالأدلة الإرشادية التي تستهدف تحقيق أهدافها الاستراتيجية المرجوة.</w:t>
      </w:r>
    </w:p>
    <w:p w14:paraId="78E51D87" w14:textId="77777777" w:rsidR="00EE1AE1" w:rsidRPr="00EE1AE1" w:rsidRDefault="00EE1AE1" w:rsidP="00EE1AE1">
      <w:pPr>
        <w:rPr>
          <w:rtl/>
        </w:rPr>
      </w:pPr>
      <w:r w:rsidRPr="00EE1AE1">
        <w:rPr>
          <w:rtl/>
        </w:rPr>
        <w:t>وبعض المراكز تعمل بالفعل وتتلقى المساعدة والمتابعة لضمان الالتزام بالمتطلبات ونشر خدماتها. ومن المهم الإشارة إلى أن هذه المراكز تدشَّن تبعاً لسرعة إجراءات كل منها وحالما تفي بالمتطلبات التي حددها الاتحاد.</w:t>
      </w:r>
    </w:p>
    <w:p w14:paraId="08AAB111" w14:textId="77777777" w:rsidR="00EE1AE1" w:rsidRPr="00EE1AE1" w:rsidRDefault="00EE1AE1" w:rsidP="00EE1AE1">
      <w:pPr>
        <w:rPr>
          <w:rtl/>
        </w:rPr>
      </w:pPr>
      <w:r w:rsidRPr="00EE1AE1">
        <w:rPr>
          <w:rtl/>
        </w:rPr>
        <w:t>ويدعم مكتب تنمية الاتصالات اجتماع المراكز لتمكينها من تلقي بناء القدرات في إطار نهج التحالف وتناقل الممارسات وتناقل الخبرات وإقامة الشراكات:</w:t>
      </w:r>
    </w:p>
    <w:p w14:paraId="175797BE" w14:textId="021074DD" w:rsidR="00EE1AE1" w:rsidRPr="00EE1AE1" w:rsidRDefault="00594C9F" w:rsidP="00E315F9">
      <w:pPr>
        <w:pStyle w:val="enumlev1"/>
        <w:rPr>
          <w:rtl/>
        </w:rPr>
      </w:pPr>
      <w:r>
        <w:rPr>
          <w:rFonts w:hint="cs"/>
          <w:rtl/>
        </w:rPr>
        <w:t>-</w:t>
      </w:r>
      <w:r w:rsidR="00E315F9">
        <w:rPr>
          <w:rtl/>
        </w:rPr>
        <w:tab/>
      </w:r>
      <w:r w:rsidR="00EE1AE1" w:rsidRPr="00EE1AE1">
        <w:rPr>
          <w:rtl/>
        </w:rPr>
        <w:t>و</w:t>
      </w:r>
      <w:r w:rsidR="00E315F9">
        <w:rPr>
          <w:rFonts w:hint="cs"/>
          <w:rtl/>
        </w:rPr>
        <w:t xml:space="preserve">قد </w:t>
      </w:r>
      <w:r w:rsidR="00EE1AE1" w:rsidRPr="00EE1AE1">
        <w:rPr>
          <w:rtl/>
        </w:rPr>
        <w:t xml:space="preserve">عُقد </w:t>
      </w:r>
      <w:hyperlink r:id="rId34" w:anchor="/ar" w:history="1">
        <w:r w:rsidR="00EE1AE1" w:rsidRPr="00EE1AE1">
          <w:rPr>
            <w:rStyle w:val="Hyperlink"/>
            <w:rtl/>
            <w:lang w:bidi="ar-SA"/>
          </w:rPr>
          <w:t>الاجتماع الأول لشبكة مراكز التسريع</w:t>
        </w:r>
      </w:hyperlink>
      <w:r w:rsidR="00EE1AE1" w:rsidRPr="00EE1AE1">
        <w:rPr>
          <w:rtl/>
        </w:rPr>
        <w:t xml:space="preserve"> في الفترة من 4 إلى 8 مارس 2024 في دبي، الإمارات العربية المتحدة. وخلال هذا </w:t>
      </w:r>
      <w:hyperlink r:id="rId35" w:anchor="/ar" w:history="1">
        <w:r w:rsidR="00EE1AE1" w:rsidRPr="00E315F9">
          <w:rPr>
            <w:rStyle w:val="Hyperlink"/>
            <w:rtl/>
          </w:rPr>
          <w:t>الاجتماع الافتتاحي</w:t>
        </w:r>
      </w:hyperlink>
      <w:r w:rsidR="00EE1AE1" w:rsidRPr="00EE1AE1">
        <w:rPr>
          <w:rtl/>
        </w:rPr>
        <w:t>، تمكنت المراكز من فهم التصميم والإطار التشغيلي، وتحديد مجالات التعاون، والشروع في أنشطة بناء القدرات اللازمة لتفعيل تقديم الخدمات في مجالي الاستشراف الاستراتيجي وتطوير مبادرات النظام</w:t>
      </w:r>
      <w:r w:rsidR="00E315F9">
        <w:rPr>
          <w:rFonts w:hint="cs"/>
          <w:rtl/>
        </w:rPr>
        <w:t> </w:t>
      </w:r>
      <w:r w:rsidR="00EE1AE1" w:rsidRPr="00EE1AE1">
        <w:rPr>
          <w:rtl/>
        </w:rPr>
        <w:t>الإيكولوجي.</w:t>
      </w:r>
    </w:p>
    <w:p w14:paraId="16652134" w14:textId="4C3F9ABB" w:rsidR="00EE1AE1" w:rsidRPr="00EE1AE1" w:rsidRDefault="00E315F9" w:rsidP="00E315F9">
      <w:pPr>
        <w:pStyle w:val="enumlev1"/>
        <w:rPr>
          <w:rtl/>
        </w:rPr>
      </w:pPr>
      <w:r>
        <w:rPr>
          <w:rtl/>
        </w:rPr>
        <w:lastRenderedPageBreak/>
        <w:t>̶</w:t>
      </w:r>
      <w:r>
        <w:rPr>
          <w:rtl/>
        </w:rPr>
        <w:tab/>
      </w:r>
      <w:r w:rsidR="00EE1AE1" w:rsidRPr="00EE1AE1">
        <w:rPr>
          <w:rtl/>
        </w:rPr>
        <w:t xml:space="preserve">ونُظم </w:t>
      </w:r>
      <w:hyperlink r:id="rId36" w:anchor="/ar" w:history="1">
        <w:r w:rsidR="00EE1AE1" w:rsidRPr="00E315F9">
          <w:rPr>
            <w:rStyle w:val="Hyperlink"/>
            <w:rtl/>
          </w:rPr>
          <w:t>الاجتماع الثاني لشبكة مراكز التسريع</w:t>
        </w:r>
      </w:hyperlink>
      <w:r w:rsidR="00EE1AE1" w:rsidRPr="00EE1AE1">
        <w:rPr>
          <w:rtl/>
        </w:rPr>
        <w:t xml:space="preserve"> في الفترة من 28 إلى 30 أكتوبر 2024 في فاليتا، مالطة، خلال </w:t>
      </w:r>
      <w:hyperlink r:id="rId37" w:anchor="/ar" w:history="1">
        <w:r w:rsidR="00EE1AE1" w:rsidRPr="00E315F9">
          <w:rPr>
            <w:rStyle w:val="Hyperlink"/>
            <w:rtl/>
          </w:rPr>
          <w:t>منتدى الابتكار العالمي عام 2024</w:t>
        </w:r>
      </w:hyperlink>
      <w:r w:rsidR="00EE1AE1" w:rsidRPr="00EE1AE1">
        <w:rPr>
          <w:rtl/>
        </w:rPr>
        <w:t>. وخلال هذا الاجتماع، اجتمع ممثلون عن المراكز لاستعراض التقدم المحرز والوقوف على التحديات واستكشاف الحلول الكفيلة بضمان استدامة المراكز ومواءمتها مع المبادرات الإقليمية للاتحاد.</w:t>
      </w:r>
    </w:p>
    <w:p w14:paraId="40B77ED0" w14:textId="421516C9" w:rsidR="00EE1AE1" w:rsidRPr="00EE1AE1" w:rsidRDefault="00E315F9" w:rsidP="00E315F9">
      <w:pPr>
        <w:pStyle w:val="enumlev1"/>
        <w:rPr>
          <w:rtl/>
        </w:rPr>
      </w:pPr>
      <w:r>
        <w:rPr>
          <w:rtl/>
        </w:rPr>
        <w:t>̶</w:t>
      </w:r>
      <w:r>
        <w:rPr>
          <w:rtl/>
        </w:rPr>
        <w:tab/>
      </w:r>
      <w:r w:rsidR="00EE1AE1" w:rsidRPr="00EE1AE1">
        <w:rPr>
          <w:rtl/>
        </w:rPr>
        <w:t xml:space="preserve">وعُقد </w:t>
      </w:r>
      <w:hyperlink r:id="rId38" w:anchor="/ar" w:history="1">
        <w:r w:rsidR="00EE1AE1" w:rsidRPr="00E315F9">
          <w:rPr>
            <w:rStyle w:val="Hyperlink"/>
            <w:rtl/>
          </w:rPr>
          <w:t>الاجتماع الثالث لشبكة مراكز التسريع</w:t>
        </w:r>
      </w:hyperlink>
      <w:r w:rsidR="00EE1AE1" w:rsidRPr="00EE1AE1">
        <w:rPr>
          <w:rtl/>
        </w:rPr>
        <w:t xml:space="preserve"> في الفترة من 18 إلى 22 أغسطس 2025 في دبي، الإمارات العربية المتحدة. وخلال هذا الاجتماع، استعرضت المراكز التقدم المحرز في تفعيل أنشطتها، واستكشفت فرص التعاون مع المراكز الأخرى في الشبكة، وعززت قدراتها في مجال تجريب السياسات لتحسين تقديم الخدمات.</w:t>
      </w:r>
    </w:p>
    <w:p w14:paraId="5A88D0DF" w14:textId="402E48AA" w:rsidR="00EE1AE1" w:rsidRPr="00EE1AE1" w:rsidRDefault="00E315F9" w:rsidP="00E315F9">
      <w:pPr>
        <w:pStyle w:val="Heading2"/>
        <w:rPr>
          <w:rtl/>
        </w:rPr>
      </w:pPr>
      <w:r>
        <w:rPr>
          <w:rFonts w:hint="cs"/>
          <w:rtl/>
        </w:rPr>
        <w:t>د )</w:t>
      </w:r>
      <w:r>
        <w:rPr>
          <w:rtl/>
        </w:rPr>
        <w:tab/>
      </w:r>
      <w:r w:rsidR="00EE1AE1" w:rsidRPr="00EE1AE1">
        <w:rPr>
          <w:rtl/>
        </w:rPr>
        <w:t>شبكة الخبراء</w:t>
      </w:r>
    </w:p>
    <w:p w14:paraId="4DC1D6A6" w14:textId="5BDB2B7C" w:rsidR="00EE1AE1" w:rsidRPr="00EE1AE1" w:rsidRDefault="00EE1AE1" w:rsidP="00EE1AE1">
      <w:pPr>
        <w:rPr>
          <w:rtl/>
        </w:rPr>
      </w:pPr>
      <w:r w:rsidRPr="00EE1AE1">
        <w:rPr>
          <w:rtl/>
        </w:rPr>
        <w:t xml:space="preserve">في يوليو 2025، أطلق مكتب تنمية الاتصالات </w:t>
      </w:r>
      <w:hyperlink r:id="rId39" w:anchor="/ar" w:history="1">
        <w:r w:rsidRPr="00EE1AE1">
          <w:rPr>
            <w:rStyle w:val="Hyperlink"/>
            <w:rtl/>
          </w:rPr>
          <w:t>شبكة الخبراء</w:t>
        </w:r>
      </w:hyperlink>
      <w:r w:rsidRPr="00EE1AE1">
        <w:rPr>
          <w:rtl/>
        </w:rPr>
        <w:t xml:space="preserve"> التابعة </w:t>
      </w:r>
      <w:hyperlink r:id="rId40" w:anchor="/ar" w:history="1">
        <w:r w:rsidRPr="00155ADE">
          <w:rPr>
            <w:rStyle w:val="Hyperlink"/>
            <w:rtl/>
          </w:rPr>
          <w:t>لتحالف الابتكار وريادة الأعمال من أجل التنمية الرقمية</w:t>
        </w:r>
      </w:hyperlink>
      <w:r w:rsidRPr="00EE1AE1">
        <w:rPr>
          <w:rtl/>
        </w:rPr>
        <w:t>. وشبكة الخبراء هي مجتمع تعاوني عالمي مدفوع بالخبرات وييسر النفاذ إلى المعارف والأدوات والتعلم من الأقران وفرص التعاون والعمل المشترك. وتجمع الشبكة بين أكثر من 75 خبيرا</w:t>
      </w:r>
      <w:r w:rsidR="00E315F9">
        <w:rPr>
          <w:rFonts w:hint="cs"/>
          <w:rtl/>
        </w:rPr>
        <w:t>ً</w:t>
      </w:r>
      <w:r w:rsidRPr="00EE1AE1">
        <w:rPr>
          <w:rtl/>
        </w:rPr>
        <w:t xml:space="preserve"> من شبكة مراكز التسريع، ومجلس الابتكار الرقمي، ومختبر التحول الرقمي، فضلا</w:t>
      </w:r>
      <w:r w:rsidR="00E315F9">
        <w:rPr>
          <w:rFonts w:hint="cs"/>
          <w:rtl/>
        </w:rPr>
        <w:t>ً</w:t>
      </w:r>
      <w:r w:rsidRPr="00EE1AE1">
        <w:rPr>
          <w:rtl/>
        </w:rPr>
        <w:t xml:space="preserve"> عن خبراء آخرين في مجالات تعاون محددة لدعم تنفيذ قرارات مجلس الابتكار الرقمي من خلال التعاون وشحذ الأفكار وتبادل المعارف.</w:t>
      </w:r>
    </w:p>
    <w:p w14:paraId="20547DC4" w14:textId="78F41D74" w:rsidR="00EE1AE1" w:rsidRPr="00EE1AE1" w:rsidRDefault="00EE1AE1" w:rsidP="00EE1AE1">
      <w:pPr>
        <w:rPr>
          <w:rtl/>
        </w:rPr>
      </w:pPr>
      <w:r w:rsidRPr="00EE1AE1">
        <w:rPr>
          <w:rtl/>
        </w:rPr>
        <w:t xml:space="preserve">ويعمل هؤلاء الخبراء عبر </w:t>
      </w:r>
      <w:proofErr w:type="gramStart"/>
      <w:r w:rsidRPr="00EE1AE1">
        <w:rPr>
          <w:rtl/>
        </w:rPr>
        <w:t>سبعة</w:t>
      </w:r>
      <w:proofErr w:type="gramEnd"/>
      <w:r w:rsidRPr="00EE1AE1">
        <w:rPr>
          <w:rtl/>
        </w:rPr>
        <w:t xml:space="preserve"> مجالات تعاون تتماشى مع الأهداف الاستراتيجية للتحالف، ويشرف على كل منها مجموعة من أعضاء المجلس المهتمين بهذا المجال المحدد من الخبرة. ومجالات التعاون السبعة هي </w:t>
      </w:r>
      <w:r w:rsidRPr="00EE1AE1">
        <w:rPr>
          <w:b/>
          <w:bCs/>
          <w:rtl/>
        </w:rPr>
        <w:t>الاستشراف الاستراتيجي، وتطوير مبادرات النظام الإيكولوجي، وتجريب السياسات، ونمو الشركات الناشئة والشركات الصغيرة والمتوسطة، والابتكار التكنولوجي المفتوح، وتعبئة الموارد، والاتصالات الاستراتيجية</w:t>
      </w:r>
      <w:r w:rsidRPr="00EE1AE1">
        <w:rPr>
          <w:rtl/>
        </w:rPr>
        <w:t>.</w:t>
      </w:r>
    </w:p>
    <w:p w14:paraId="64698B69" w14:textId="1633C040" w:rsidR="00EE1AE1" w:rsidRPr="00EE1AE1" w:rsidRDefault="00EE1AE1" w:rsidP="00EE1AE1">
      <w:pPr>
        <w:rPr>
          <w:rtl/>
        </w:rPr>
      </w:pPr>
      <w:r w:rsidRPr="00EE1AE1">
        <w:rPr>
          <w:rtl/>
        </w:rPr>
        <w:t xml:space="preserve">وخلال </w:t>
      </w:r>
      <w:hyperlink r:id="rId41" w:anchor="/ar" w:history="1">
        <w:r w:rsidRPr="00EE1AE1">
          <w:rPr>
            <w:rStyle w:val="Hyperlink"/>
            <w:rtl/>
          </w:rPr>
          <w:t>الاجتماع الثالث لمجلس الابتكار الرقمي</w:t>
        </w:r>
      </w:hyperlink>
      <w:r w:rsidRPr="00EE1AE1">
        <w:rPr>
          <w:rtl/>
        </w:rPr>
        <w:t xml:space="preserve">، عرض الخبراء طموحاتهم والتحديات التي </w:t>
      </w:r>
      <w:proofErr w:type="spellStart"/>
      <w:r w:rsidRPr="00EE1AE1">
        <w:rPr>
          <w:rtl/>
        </w:rPr>
        <w:t>يواجهونها</w:t>
      </w:r>
      <w:proofErr w:type="spellEnd"/>
      <w:r w:rsidRPr="00EE1AE1">
        <w:rPr>
          <w:rtl/>
        </w:rPr>
        <w:t xml:space="preserve"> في مجالات تعاونهم، وتلقوا توجيهات واضحة من أعضاء المجلس لتعزيز تأثير التحالف. وستوجه خطط العمل الملموسة هذه جهودهم الرامية إلى مواصلة تقوية التحالف.</w:t>
      </w:r>
    </w:p>
    <w:p w14:paraId="401638BA" w14:textId="0162FA7A" w:rsidR="00EE1AE1" w:rsidRPr="00EE1AE1" w:rsidRDefault="005F0E2D" w:rsidP="005F0E2D">
      <w:pPr>
        <w:pStyle w:val="Heading2"/>
        <w:rPr>
          <w:rtl/>
        </w:rPr>
      </w:pPr>
      <w:r>
        <w:rPr>
          <w:rFonts w:hint="cs"/>
          <w:rtl/>
        </w:rPr>
        <w:t>هـ )</w:t>
      </w:r>
      <w:r>
        <w:rPr>
          <w:rtl/>
        </w:rPr>
        <w:tab/>
      </w:r>
      <w:r w:rsidR="00EE1AE1" w:rsidRPr="00EE1AE1">
        <w:rPr>
          <w:rtl/>
        </w:rPr>
        <w:t>سلسلة تقارير الاستشراف الموجزة</w:t>
      </w:r>
    </w:p>
    <w:p w14:paraId="2F8AFB88" w14:textId="349CAA5B" w:rsidR="00EE1AE1" w:rsidRPr="00EE1AE1" w:rsidRDefault="00EE1AE1" w:rsidP="00EE1AE1">
      <w:pPr>
        <w:rPr>
          <w:rtl/>
        </w:rPr>
      </w:pPr>
      <w:r w:rsidRPr="00EE1AE1">
        <w:rPr>
          <w:rtl/>
        </w:rPr>
        <w:t>تماشيا</w:t>
      </w:r>
      <w:r w:rsidR="005F0E2D">
        <w:rPr>
          <w:rFonts w:hint="cs"/>
          <w:rtl/>
        </w:rPr>
        <w:t>ً</w:t>
      </w:r>
      <w:r w:rsidRPr="00EE1AE1">
        <w:rPr>
          <w:rtl/>
        </w:rPr>
        <w:t xml:space="preserve"> مع مسار عمل سلسلة تقارير الاستشراف الاستراتيجي الموجزة من مجلس الابتكار الرقمي، طور مكتب تنمية الاتصالات وأطلق قدرات جديدة في مجال الاستشراف الاستراتيجي لمساعدة أعضاء الاتحاد على بناء القدرات في مجال التفكير المستقبلي والبقاء في طليعة التطور.</w:t>
      </w:r>
    </w:p>
    <w:p w14:paraId="01E06095" w14:textId="379597B2" w:rsidR="00EE1AE1" w:rsidRPr="00EE1AE1" w:rsidRDefault="00EE1AE1" w:rsidP="00EE1AE1">
      <w:pPr>
        <w:rPr>
          <w:rtl/>
        </w:rPr>
      </w:pPr>
      <w:r w:rsidRPr="00EE1AE1">
        <w:rPr>
          <w:rtl/>
        </w:rPr>
        <w:t xml:space="preserve">وفي اجتماع المجلس في أكتوبر 2025، صدرت خمسة تقارير ضمن </w:t>
      </w:r>
      <w:hyperlink r:id="rId42" w:anchor="/ar" w:history="1">
        <w:r w:rsidRPr="00EE1AE1">
          <w:rPr>
            <w:rStyle w:val="Hyperlink"/>
            <w:rtl/>
          </w:rPr>
          <w:t>سلسلة تقارير الاستشراف الموجزة</w:t>
        </w:r>
      </w:hyperlink>
      <w:r w:rsidRPr="00EE1AE1">
        <w:rPr>
          <w:rtl/>
        </w:rPr>
        <w:t>:</w:t>
      </w:r>
    </w:p>
    <w:p w14:paraId="17E5F53F" w14:textId="107D0F82" w:rsidR="00EE1AE1" w:rsidRPr="00EE1AE1" w:rsidRDefault="005F0E2D" w:rsidP="005F0E2D">
      <w:pPr>
        <w:pStyle w:val="enumlev1"/>
        <w:rPr>
          <w:u w:val="single"/>
          <w:rtl/>
          <w:lang w:bidi="ar-SA"/>
        </w:rPr>
      </w:pPr>
      <w:r>
        <w:rPr>
          <w:rFonts w:hint="cs"/>
          <w:rtl/>
          <w:lang w:val="en-GB"/>
        </w:rPr>
        <w:t>1</w:t>
      </w:r>
      <w:r>
        <w:rPr>
          <w:rtl/>
          <w:lang w:val="en-GB"/>
        </w:rPr>
        <w:tab/>
      </w:r>
      <w:hyperlink r:id="rId43" w:history="1">
        <w:r w:rsidR="00EE1AE1" w:rsidRPr="00EE1AE1">
          <w:rPr>
            <w:rStyle w:val="Hyperlink"/>
            <w:rtl/>
            <w:lang w:bidi="ar-SA"/>
          </w:rPr>
          <w:t>صياغة التعليم للغد،</w:t>
        </w:r>
      </w:hyperlink>
    </w:p>
    <w:p w14:paraId="6BFE1F71" w14:textId="0F31EC23" w:rsidR="00EE1AE1" w:rsidRPr="00EE1AE1" w:rsidRDefault="005F0E2D" w:rsidP="005F0E2D">
      <w:pPr>
        <w:pStyle w:val="enumlev1"/>
        <w:rPr>
          <w:u w:val="single"/>
          <w:rtl/>
          <w:lang w:bidi="ar-SA"/>
        </w:rPr>
      </w:pPr>
      <w:r>
        <w:rPr>
          <w:rFonts w:hint="cs"/>
          <w:rtl/>
          <w:lang w:val="en-GB"/>
        </w:rPr>
        <w:t>2</w:t>
      </w:r>
      <w:r>
        <w:rPr>
          <w:rtl/>
          <w:lang w:val="en-GB"/>
        </w:rPr>
        <w:tab/>
      </w:r>
      <w:r w:rsidR="00155ADE">
        <w:rPr>
          <w:rFonts w:hint="cs"/>
          <w:rtl/>
          <w:lang w:val="en-GB" w:bidi="ar-EG"/>
        </w:rPr>
        <w:t>و</w:t>
      </w:r>
      <w:hyperlink r:id="rId44" w:history="1">
        <w:r w:rsidR="00EE1AE1" w:rsidRPr="00EE1AE1">
          <w:rPr>
            <w:rStyle w:val="Hyperlink"/>
            <w:rtl/>
            <w:lang w:bidi="ar-SA"/>
          </w:rPr>
          <w:t>صياغة مستقبل الشركات الناشئة والشركات الصغيرة والمتوسطة،</w:t>
        </w:r>
      </w:hyperlink>
    </w:p>
    <w:p w14:paraId="0F0933AE" w14:textId="093CAC2C" w:rsidR="00EE1AE1" w:rsidRPr="00EE1AE1" w:rsidRDefault="005F0E2D" w:rsidP="005F0E2D">
      <w:pPr>
        <w:pStyle w:val="enumlev1"/>
        <w:rPr>
          <w:u w:val="single"/>
          <w:rtl/>
          <w:lang w:bidi="ar-SA"/>
        </w:rPr>
      </w:pPr>
      <w:r>
        <w:rPr>
          <w:rFonts w:hint="cs"/>
          <w:rtl/>
          <w:lang w:val="en-GB"/>
        </w:rPr>
        <w:t>3</w:t>
      </w:r>
      <w:r>
        <w:rPr>
          <w:rtl/>
          <w:lang w:val="en-GB"/>
        </w:rPr>
        <w:tab/>
      </w:r>
      <w:r w:rsidR="00155ADE">
        <w:rPr>
          <w:rFonts w:hint="cs"/>
          <w:rtl/>
          <w:lang w:val="en-GB"/>
        </w:rPr>
        <w:t>و</w:t>
      </w:r>
      <w:hyperlink r:id="rId45" w:history="1">
        <w:r w:rsidR="00EE1AE1" w:rsidRPr="00EE1AE1">
          <w:rPr>
            <w:rStyle w:val="Hyperlink"/>
            <w:rtl/>
            <w:lang w:bidi="ar-SA"/>
          </w:rPr>
          <w:t>صياغة مستقبل المشهد الأفريقي لرأس المال الاستثماري،</w:t>
        </w:r>
      </w:hyperlink>
    </w:p>
    <w:p w14:paraId="6F1056FA" w14:textId="77A5C2F6" w:rsidR="00EE1AE1" w:rsidRPr="00EE1AE1" w:rsidRDefault="005F0E2D" w:rsidP="005F0E2D">
      <w:pPr>
        <w:pStyle w:val="enumlev1"/>
        <w:rPr>
          <w:u w:val="single"/>
          <w:rtl/>
          <w:lang w:bidi="ar-SA"/>
        </w:rPr>
      </w:pPr>
      <w:r>
        <w:rPr>
          <w:rFonts w:hint="cs"/>
          <w:rtl/>
          <w:lang w:val="en-GB"/>
        </w:rPr>
        <w:t>4</w:t>
      </w:r>
      <w:r>
        <w:rPr>
          <w:rtl/>
          <w:lang w:val="en-GB"/>
        </w:rPr>
        <w:tab/>
      </w:r>
      <w:r w:rsidR="00155ADE">
        <w:rPr>
          <w:rFonts w:hint="cs"/>
          <w:rtl/>
          <w:lang w:val="en-GB"/>
        </w:rPr>
        <w:t>و</w:t>
      </w:r>
      <w:hyperlink r:id="rId46" w:anchor="/ar" w:history="1">
        <w:r w:rsidR="00EE1AE1" w:rsidRPr="00EE1AE1">
          <w:rPr>
            <w:rStyle w:val="Hyperlink"/>
            <w:rtl/>
            <w:lang w:bidi="ar-SA"/>
          </w:rPr>
          <w:t>إنشاء مدن أذكى،</w:t>
        </w:r>
      </w:hyperlink>
    </w:p>
    <w:p w14:paraId="60E59A92" w14:textId="2D35534D" w:rsidR="00EE1AE1" w:rsidRPr="00EE1AE1" w:rsidRDefault="005F0E2D" w:rsidP="005F0E2D">
      <w:pPr>
        <w:pStyle w:val="enumlev1"/>
        <w:rPr>
          <w:u w:val="single"/>
          <w:rtl/>
          <w:lang w:bidi="ar-SA"/>
        </w:rPr>
      </w:pPr>
      <w:r>
        <w:rPr>
          <w:rFonts w:hint="cs"/>
          <w:rtl/>
          <w:lang w:val="en-GB"/>
        </w:rPr>
        <w:t>5</w:t>
      </w:r>
      <w:r>
        <w:rPr>
          <w:rtl/>
          <w:lang w:val="en-GB"/>
        </w:rPr>
        <w:tab/>
      </w:r>
      <w:r w:rsidR="00155ADE">
        <w:rPr>
          <w:rFonts w:hint="cs"/>
          <w:rtl/>
          <w:lang w:val="en-GB"/>
        </w:rPr>
        <w:t>و</w:t>
      </w:r>
      <w:hyperlink r:id="rId47" w:anchor="/ar" w:history="1">
        <w:r w:rsidR="00EE1AE1" w:rsidRPr="00EE1AE1">
          <w:rPr>
            <w:rStyle w:val="Hyperlink"/>
            <w:rtl/>
            <w:lang w:bidi="ar-SA"/>
          </w:rPr>
          <w:t>تحويل الرعاية الصحية للغد</w:t>
        </w:r>
        <w:r w:rsidR="00EE1AE1" w:rsidRPr="00EE1AE1">
          <w:rPr>
            <w:rStyle w:val="Hyperlink"/>
            <w:lang w:val="en-GB" w:bidi="ar-EG"/>
          </w:rPr>
          <w:t>.</w:t>
        </w:r>
      </w:hyperlink>
    </w:p>
    <w:p w14:paraId="6367C6A7" w14:textId="58A3447B" w:rsidR="00EE1AE1" w:rsidRPr="00EE1AE1" w:rsidRDefault="00EE1AE1" w:rsidP="00EE1AE1">
      <w:pPr>
        <w:rPr>
          <w:rtl/>
        </w:rPr>
      </w:pPr>
      <w:r w:rsidRPr="00EE1AE1">
        <w:rPr>
          <w:rtl/>
        </w:rPr>
        <w:t xml:space="preserve">تعتمد منهجية مكتب تنمية الاتصالات في استشراف المستقبل على دليل </w:t>
      </w:r>
      <w:hyperlink r:id="rId48" w:anchor="/ar" w:history="1">
        <w:r w:rsidRPr="00EE1AE1">
          <w:rPr>
            <w:rStyle w:val="Hyperlink"/>
            <w:rtl/>
          </w:rPr>
          <w:t>الاستشراف الاستراتيجي</w:t>
        </w:r>
      </w:hyperlink>
      <w:r w:rsidRPr="00EE1AE1">
        <w:rPr>
          <w:rtl/>
        </w:rPr>
        <w:t>، وهي تدعم أعضاء الاتحاد في تسريع التحول الرقمي، وتشجيع الابتكار، ومواءمة برامج التنمية الوطنية مع الرؤى المستقبلية</w:t>
      </w:r>
      <w:r w:rsidR="00155ADE">
        <w:rPr>
          <w:rFonts w:hint="cs"/>
          <w:rtl/>
        </w:rPr>
        <w:t>.</w:t>
      </w:r>
    </w:p>
    <w:p w14:paraId="1F3CD8ED" w14:textId="72695973" w:rsidR="00EE1AE1" w:rsidRPr="00EE1AE1" w:rsidRDefault="005F0E2D" w:rsidP="005F0E2D">
      <w:pPr>
        <w:pStyle w:val="Heading2"/>
        <w:rPr>
          <w:rtl/>
        </w:rPr>
      </w:pPr>
      <w:r>
        <w:rPr>
          <w:rFonts w:hint="cs"/>
          <w:rtl/>
        </w:rPr>
        <w:t>و )</w:t>
      </w:r>
      <w:r>
        <w:rPr>
          <w:rtl/>
        </w:rPr>
        <w:tab/>
      </w:r>
      <w:r w:rsidR="00EE1AE1" w:rsidRPr="00EE1AE1">
        <w:rPr>
          <w:rtl/>
        </w:rPr>
        <w:t>مسرِّع المبادرات الإقليمية</w:t>
      </w:r>
    </w:p>
    <w:p w14:paraId="7C5AB0EB" w14:textId="73CF92FD" w:rsidR="00EE1AE1" w:rsidRPr="00EE1AE1" w:rsidRDefault="00EE1AE1" w:rsidP="00EE1AE1">
      <w:pPr>
        <w:rPr>
          <w:rtl/>
        </w:rPr>
      </w:pPr>
      <w:r w:rsidRPr="00EE1AE1">
        <w:rPr>
          <w:rtl/>
        </w:rPr>
        <w:t xml:space="preserve">بدعم مالي من وزارة الصناعة وتكنولوجيا المعلومات </w:t>
      </w:r>
      <w:r w:rsidR="005F0E2D">
        <w:t>(</w:t>
      </w:r>
      <w:r w:rsidRPr="00EE1AE1">
        <w:rPr>
          <w:lang w:val="en-GB" w:bidi="ar-EG"/>
        </w:rPr>
        <w:t>MIIT</w:t>
      </w:r>
      <w:r w:rsidR="005F0E2D">
        <w:t>)</w:t>
      </w:r>
      <w:r w:rsidRPr="00EE1AE1">
        <w:rPr>
          <w:rtl/>
        </w:rPr>
        <w:t xml:space="preserve"> في الصين، أنشأ مكتب تنمية الاتصالات </w:t>
      </w:r>
      <w:hyperlink r:id="rId49" w:anchor="/ar" w:history="1">
        <w:r w:rsidRPr="00EE1AE1">
          <w:rPr>
            <w:rStyle w:val="Hyperlink"/>
            <w:rtl/>
          </w:rPr>
          <w:t>مسرع المبادرات الإقليمية</w:t>
        </w:r>
      </w:hyperlink>
      <w:r w:rsidR="00155ADE">
        <w:rPr>
          <w:rFonts w:hint="cs"/>
          <w:rtl/>
        </w:rPr>
        <w:t> </w:t>
      </w:r>
      <w:r w:rsidRPr="00EE1AE1">
        <w:rPr>
          <w:rtl/>
        </w:rPr>
        <w:t>(</w:t>
      </w:r>
      <w:r w:rsidRPr="00EE1AE1">
        <w:rPr>
          <w:lang w:val="en-GB" w:bidi="ar-EG"/>
        </w:rPr>
        <w:t>RIA</w:t>
      </w:r>
      <w:r w:rsidRPr="00EE1AE1">
        <w:rPr>
          <w:rtl/>
        </w:rPr>
        <w:t>) لتعزيز قدرة المكاتب الإقليمية للاتحاد على معالجة الأولويات الإقليمية على نحو فعال بتجريب نهج جديد يعمل مع أعضاء الاتحاد في مناطق كل منها لتسريع تحويل المبادرات الإقليمية إلى مشاريع قابلة للتمويل</w:t>
      </w:r>
      <w:r w:rsidR="00155ADE">
        <w:rPr>
          <w:rFonts w:hint="cs"/>
          <w:rtl/>
        </w:rPr>
        <w:t>.</w:t>
      </w:r>
    </w:p>
    <w:p w14:paraId="3E4229BF" w14:textId="7F211819" w:rsidR="00EE1AE1" w:rsidRPr="00EE1AE1" w:rsidRDefault="00EE1AE1" w:rsidP="00EE1AE1">
      <w:pPr>
        <w:rPr>
          <w:rtl/>
        </w:rPr>
      </w:pPr>
      <w:r w:rsidRPr="00EE1AE1">
        <w:rPr>
          <w:rtl/>
        </w:rPr>
        <w:t xml:space="preserve">واستضاف مكتب تنمية الاتصالات ورشة العمل التجريبية الأولى لمسرع المبادرات الإقليمية في الفترة من </w:t>
      </w:r>
      <w:hyperlink r:id="rId50" w:history="1">
        <w:r w:rsidRPr="00EE1AE1">
          <w:rPr>
            <w:rStyle w:val="Hyperlink"/>
            <w:rtl/>
          </w:rPr>
          <w:t xml:space="preserve">3 إلى 5 فبراير 2025 في </w:t>
        </w:r>
        <w:proofErr w:type="spellStart"/>
        <w:r w:rsidRPr="00EE1AE1">
          <w:rPr>
            <w:rStyle w:val="Hyperlink"/>
            <w:rtl/>
          </w:rPr>
          <w:t>بودغوريكا</w:t>
        </w:r>
        <w:proofErr w:type="spellEnd"/>
        <w:r w:rsidRPr="00EE1AE1">
          <w:rPr>
            <w:rStyle w:val="Hyperlink"/>
            <w:rtl/>
          </w:rPr>
          <w:t>، الجبل الأسود</w:t>
        </w:r>
      </w:hyperlink>
      <w:r w:rsidRPr="00EE1AE1">
        <w:rPr>
          <w:rtl/>
        </w:rPr>
        <w:t>. وقد جمع هذا الحدث ممثلين عن خمسة بلدان في غرب البلقان للمشاركة في تصميم خمسة مشاريع والتحقق من صحتها بقيمة إجمالية قدرها 20 مليون دولار أمريكي.</w:t>
      </w:r>
    </w:p>
    <w:p w14:paraId="0B486054" w14:textId="105FA469" w:rsidR="00EE1AE1" w:rsidRPr="00EE1AE1" w:rsidRDefault="00EE1AE1" w:rsidP="00EE1AE1">
      <w:pPr>
        <w:rPr>
          <w:rtl/>
        </w:rPr>
      </w:pPr>
      <w:r w:rsidRPr="00EE1AE1">
        <w:rPr>
          <w:rtl/>
        </w:rPr>
        <w:lastRenderedPageBreak/>
        <w:t xml:space="preserve">واستضاف مكتب تنمية الاتصالات ورشة العمل التجريبية المقبلة بشأن مسرع المبادرات الإقليمية في الفترة من </w:t>
      </w:r>
      <w:hyperlink r:id="rId51" w:history="1">
        <w:r w:rsidRPr="00EE1AE1">
          <w:rPr>
            <w:rStyle w:val="Hyperlink"/>
            <w:rtl/>
          </w:rPr>
          <w:t>28 إلى 30 أبريل 2025 في شنجن</w:t>
        </w:r>
        <w:r w:rsidR="00155ADE">
          <w:rPr>
            <w:rStyle w:val="Hyperlink"/>
            <w:rFonts w:hint="cs"/>
            <w:rtl/>
          </w:rPr>
          <w:t xml:space="preserve">، </w:t>
        </w:r>
        <w:r w:rsidRPr="00EE1AE1">
          <w:rPr>
            <w:rStyle w:val="Hyperlink"/>
            <w:rtl/>
          </w:rPr>
          <w:t>الصين</w:t>
        </w:r>
      </w:hyperlink>
      <w:r w:rsidRPr="00EE1AE1">
        <w:rPr>
          <w:rtl/>
        </w:rPr>
        <w:t>. وقد ضمّ هذا الحدث ممثلين من 10 بلدان آسيوية للمشاركة في تصميم مخططات المشروع والتحقق من صحتها لتسريع التحول الرقمي.</w:t>
      </w:r>
    </w:p>
    <w:p w14:paraId="72A4251E" w14:textId="77777777" w:rsidR="00EE1AE1" w:rsidRPr="00EE1AE1" w:rsidRDefault="00EE1AE1" w:rsidP="00EE1AE1">
      <w:pPr>
        <w:rPr>
          <w:rtl/>
        </w:rPr>
      </w:pPr>
      <w:r w:rsidRPr="00EE1AE1">
        <w:rPr>
          <w:rtl/>
        </w:rPr>
        <w:t>ويتواصل تطوير واختبار مسرع المبادرات الإقليمي، وقد خُصص تمويل من وزارة الصناعة وتكنولوجيا المعلومات لتوسيع نطاق التنفيذ التجريبي بمجرد الموافقة على المبادرات الإقليمية الجديدة في باكو.</w:t>
      </w:r>
    </w:p>
    <w:p w14:paraId="1E30EF5B" w14:textId="11DCD760" w:rsidR="00EE1AE1" w:rsidRPr="00EE1AE1" w:rsidRDefault="000E78F0" w:rsidP="000E78F0">
      <w:pPr>
        <w:pStyle w:val="Heading2"/>
        <w:rPr>
          <w:rtl/>
        </w:rPr>
      </w:pPr>
      <w:r>
        <w:rPr>
          <w:rFonts w:hint="cs"/>
          <w:rtl/>
          <w:lang w:bidi="ar-EG"/>
        </w:rPr>
        <w:t>ز )</w:t>
      </w:r>
      <w:r>
        <w:rPr>
          <w:rtl/>
          <w:lang w:bidi="ar-EG"/>
        </w:rPr>
        <w:tab/>
      </w:r>
      <w:r w:rsidR="00EE1AE1" w:rsidRPr="00EE1AE1">
        <w:rPr>
          <w:rtl/>
        </w:rPr>
        <w:t>بناء القدرات لدى تحالف الابتكار</w:t>
      </w:r>
    </w:p>
    <w:p w14:paraId="565B287C" w14:textId="4F738559" w:rsidR="00EE1AE1" w:rsidRPr="00EE1AE1" w:rsidRDefault="00EE1AE1" w:rsidP="00EE1AE1">
      <w:pPr>
        <w:rPr>
          <w:rtl/>
        </w:rPr>
      </w:pPr>
      <w:r w:rsidRPr="00EE1AE1">
        <w:rPr>
          <w:rtl/>
        </w:rPr>
        <w:t>وضع مكتب تنمية الاتصالات إطار كفاءة لبناء القدرات بشأن موضوع الابتكار وريادة الأعمال، إلى جانب منهاج دراسي ذي صلة يجري نشره من خلال منصة أكاديمية الاتحاد وورش عمل المركز الدولي للابتكار الرقمي</w:t>
      </w:r>
      <w:r w:rsidR="00DE199F">
        <w:rPr>
          <w:rFonts w:hint="cs"/>
          <w:rtl/>
        </w:rPr>
        <w:t xml:space="preserve"> </w:t>
      </w:r>
      <w:r w:rsidR="00DE199F">
        <w:rPr>
          <w:lang w:bidi="ar-EG"/>
        </w:rPr>
        <w:t>(</w:t>
      </w:r>
      <w:proofErr w:type="spellStart"/>
      <w:r w:rsidR="00DE199F">
        <w:rPr>
          <w:lang w:bidi="ar-EG"/>
        </w:rPr>
        <w:t>iCodi</w:t>
      </w:r>
      <w:proofErr w:type="spellEnd"/>
      <w:r w:rsidR="00DE199F">
        <w:rPr>
          <w:lang w:bidi="ar-EG"/>
        </w:rPr>
        <w:t>)</w:t>
      </w:r>
      <w:r w:rsidRPr="00EE1AE1">
        <w:rPr>
          <w:rtl/>
        </w:rPr>
        <w:t xml:space="preserve"> التي تنظمها هيئة تنظيم الاتصالات والحكومة الرقمية (</w:t>
      </w:r>
      <w:r w:rsidRPr="00EE1AE1">
        <w:rPr>
          <w:lang w:val="en-GB" w:bidi="ar-EG"/>
        </w:rPr>
        <w:t>TDRA</w:t>
      </w:r>
      <w:r w:rsidRPr="00EE1AE1">
        <w:rPr>
          <w:rtl/>
        </w:rPr>
        <w:t>) بالإمارات العربية المتحدة وخلال أحداث عالمية.</w:t>
      </w:r>
    </w:p>
    <w:p w14:paraId="022D0042" w14:textId="70892CBF" w:rsidR="00EE1AE1" w:rsidRPr="00EE1AE1" w:rsidRDefault="00DE199F" w:rsidP="00DE199F">
      <w:pPr>
        <w:pStyle w:val="enumlev1"/>
        <w:rPr>
          <w:rtl/>
        </w:rPr>
      </w:pPr>
      <w:r>
        <w:rPr>
          <w:rtl/>
        </w:rPr>
        <w:t>̶</w:t>
      </w:r>
      <w:r>
        <w:tab/>
      </w:r>
      <w:r w:rsidR="00EE1AE1" w:rsidRPr="00EE1AE1">
        <w:rPr>
          <w:rtl/>
        </w:rPr>
        <w:t xml:space="preserve">وعلى منصة أكاديمية الاتحاد، أطلق مكتب تنمية الاتصالات </w:t>
      </w:r>
      <w:hyperlink r:id="rId52" w:anchor="/ar" w:history="1">
        <w:r w:rsidR="00EE1AE1" w:rsidRPr="00775F87">
          <w:rPr>
            <w:rStyle w:val="Hyperlink"/>
            <w:rtl/>
          </w:rPr>
          <w:t>دورات دراسية</w:t>
        </w:r>
        <w:r w:rsidRPr="00775F87">
          <w:rPr>
            <w:rStyle w:val="Hyperlink"/>
            <w:rFonts w:hint="cs"/>
            <w:rtl/>
          </w:rPr>
          <w:t>ً</w:t>
        </w:r>
        <w:r w:rsidR="00EE1AE1" w:rsidRPr="00775F87">
          <w:rPr>
            <w:rStyle w:val="Hyperlink"/>
            <w:rtl/>
          </w:rPr>
          <w:t xml:space="preserve"> أساسية</w:t>
        </w:r>
        <w:r w:rsidRPr="00775F87">
          <w:rPr>
            <w:rStyle w:val="Hyperlink"/>
            <w:rFonts w:hint="cs"/>
            <w:rtl/>
          </w:rPr>
          <w:t>ً</w:t>
        </w:r>
        <w:r w:rsidR="00EE1AE1" w:rsidRPr="00775F87">
          <w:rPr>
            <w:rStyle w:val="Hyperlink"/>
            <w:rtl/>
          </w:rPr>
          <w:t xml:space="preserve"> (101) عن النظام الإيكولوجي</w:t>
        </w:r>
      </w:hyperlink>
      <w:r w:rsidR="00EE1AE1" w:rsidRPr="00EE1AE1">
        <w:rPr>
          <w:rtl/>
        </w:rPr>
        <w:t xml:space="preserve"> و</w:t>
      </w:r>
      <w:hyperlink r:id="rId53" w:anchor="/ar" w:history="1">
        <w:r w:rsidR="00EE1AE1" w:rsidRPr="00DE199F">
          <w:rPr>
            <w:rStyle w:val="Hyperlink"/>
            <w:rtl/>
          </w:rPr>
          <w:t>الاستشراف الاستراتيجي</w:t>
        </w:r>
      </w:hyperlink>
      <w:r w:rsidR="00EE1AE1" w:rsidRPr="00EE1AE1">
        <w:rPr>
          <w:rtl/>
        </w:rPr>
        <w:t xml:space="preserve"> و</w:t>
      </w:r>
      <w:hyperlink r:id="rId54" w:anchor="/ar" w:history="1">
        <w:r w:rsidR="00EE1AE1" w:rsidRPr="00DE199F">
          <w:rPr>
            <w:rStyle w:val="Hyperlink"/>
            <w:rtl/>
          </w:rPr>
          <w:t>دورات دراسية متوسطة المستوى (201) عن الاستشراف الاستراتيجي</w:t>
        </w:r>
      </w:hyperlink>
      <w:r w:rsidR="00EE1AE1" w:rsidRPr="00EE1AE1">
        <w:rPr>
          <w:rtl/>
        </w:rPr>
        <w:t xml:space="preserve"> و</w:t>
      </w:r>
      <w:hyperlink r:id="rId55" w:anchor="/ar" w:history="1">
        <w:r w:rsidR="00EE1AE1" w:rsidRPr="00DE199F">
          <w:rPr>
            <w:rStyle w:val="Hyperlink"/>
            <w:rtl/>
          </w:rPr>
          <w:t>تطوير مبادرة النظام الإيكولوجي</w:t>
        </w:r>
      </w:hyperlink>
      <w:r>
        <w:rPr>
          <w:rFonts w:hint="cs"/>
          <w:rtl/>
        </w:rPr>
        <w:t>.</w:t>
      </w:r>
    </w:p>
    <w:p w14:paraId="136F83F9" w14:textId="1CC0D988" w:rsidR="00EE1AE1" w:rsidRPr="00EE1AE1" w:rsidRDefault="00DE199F" w:rsidP="00DE199F">
      <w:pPr>
        <w:pStyle w:val="enumlev1"/>
        <w:rPr>
          <w:rtl/>
        </w:rPr>
      </w:pPr>
      <w:r>
        <w:rPr>
          <w:rtl/>
        </w:rPr>
        <w:t>̶</w:t>
      </w:r>
      <w:r>
        <w:tab/>
      </w:r>
      <w:r w:rsidR="00EE1AE1" w:rsidRPr="00EE1AE1">
        <w:rPr>
          <w:rtl/>
        </w:rPr>
        <w:t xml:space="preserve">ومن خلال ورش العمل العالمية للمركز الدولي للابتكار الرقمي </w:t>
      </w:r>
      <w:r>
        <w:rPr>
          <w:lang w:bidi="ar-EG"/>
        </w:rPr>
        <w:t>(</w:t>
      </w:r>
      <w:proofErr w:type="spellStart"/>
      <w:r>
        <w:rPr>
          <w:lang w:bidi="ar-EG"/>
        </w:rPr>
        <w:t>iCodi</w:t>
      </w:r>
      <w:proofErr w:type="spellEnd"/>
      <w:r>
        <w:rPr>
          <w:lang w:bidi="ar-EG"/>
        </w:rPr>
        <w:t>)</w:t>
      </w:r>
      <w:r w:rsidR="00EE1AE1" w:rsidRPr="00EE1AE1">
        <w:rPr>
          <w:rtl/>
        </w:rPr>
        <w:t>، قدم مكتب تنمية الاتصالات سلسلة من الدورات التدريبية على تطوير مبادرات النظام الإيكولوجي (</w:t>
      </w:r>
      <w:hyperlink r:id="rId56" w:anchor="/ar" w:history="1">
        <w:r w:rsidR="00EE1AE1" w:rsidRPr="00DE199F">
          <w:rPr>
            <w:rStyle w:val="Hyperlink"/>
            <w:rtl/>
          </w:rPr>
          <w:t>ورشة العمل العالمية للمركز الدولي للابتكار الرقمي عام</w:t>
        </w:r>
        <w:r w:rsidR="00775F87">
          <w:rPr>
            <w:rStyle w:val="Hyperlink"/>
            <w:rFonts w:hint="cs"/>
            <w:rtl/>
          </w:rPr>
          <w:t> </w:t>
        </w:r>
        <w:r w:rsidR="00EE1AE1" w:rsidRPr="00DE199F">
          <w:rPr>
            <w:rStyle w:val="Hyperlink"/>
            <w:rtl/>
          </w:rPr>
          <w:t>2024</w:t>
        </w:r>
      </w:hyperlink>
      <w:r w:rsidR="00EE1AE1" w:rsidRPr="00EE1AE1">
        <w:rPr>
          <w:rtl/>
        </w:rPr>
        <w:t xml:space="preserve"> و</w:t>
      </w:r>
      <w:hyperlink r:id="rId57" w:anchor="/ar" w:history="1">
        <w:r w:rsidR="00EE1AE1" w:rsidRPr="00DB0AFD">
          <w:rPr>
            <w:rStyle w:val="Hyperlink"/>
            <w:rtl/>
          </w:rPr>
          <w:t>ورشة عمل العالمية للمركز الدولي للابتكار الرقمي عام 2025</w:t>
        </w:r>
      </w:hyperlink>
      <w:r w:rsidR="00EE1AE1" w:rsidRPr="00EE1AE1">
        <w:rPr>
          <w:rtl/>
        </w:rPr>
        <w:t>) وتجريب السياسات والاستشراف الاستراتيجي.</w:t>
      </w:r>
    </w:p>
    <w:p w14:paraId="3826B071" w14:textId="06ECE0BB" w:rsidR="00EE1AE1" w:rsidRPr="00EE1AE1" w:rsidRDefault="00DE199F" w:rsidP="00DE199F">
      <w:pPr>
        <w:pStyle w:val="enumlev1"/>
        <w:rPr>
          <w:rtl/>
        </w:rPr>
      </w:pPr>
      <w:r>
        <w:rPr>
          <w:rtl/>
        </w:rPr>
        <w:t>̶</w:t>
      </w:r>
      <w:r>
        <w:tab/>
      </w:r>
      <w:r w:rsidR="00EE1AE1" w:rsidRPr="00EE1AE1">
        <w:rPr>
          <w:rtl/>
        </w:rPr>
        <w:t xml:space="preserve">وفي </w:t>
      </w:r>
      <w:hyperlink r:id="rId58" w:anchor="/ar" w:history="1">
        <w:r w:rsidR="00EE1AE1" w:rsidRPr="00775F87">
          <w:rPr>
            <w:rStyle w:val="Hyperlink"/>
            <w:rtl/>
          </w:rPr>
          <w:t>الندوة العالمية لمنظمي الاتصالات عام 2025 (GSR-25)</w:t>
        </w:r>
      </w:hyperlink>
      <w:r w:rsidR="00EE1AE1" w:rsidRPr="00EE1AE1">
        <w:rPr>
          <w:rtl/>
        </w:rPr>
        <w:t xml:space="preserve"> و</w:t>
      </w:r>
      <w:hyperlink r:id="rId59" w:anchor="/ar" w:history="1">
        <w:r w:rsidR="00EE1AE1" w:rsidRPr="00775F87">
          <w:rPr>
            <w:rStyle w:val="Hyperlink"/>
            <w:rtl/>
          </w:rPr>
          <w:t>المنتدى العالمي للابتكار عام 2024 (GIF-24)</w:t>
        </w:r>
      </w:hyperlink>
      <w:r w:rsidR="00EE1AE1" w:rsidRPr="00EE1AE1">
        <w:rPr>
          <w:rtl/>
        </w:rPr>
        <w:t>، عقد مكتب تنمية الاتصالات أيضا فصولاً دراسية متقدمة في الاستشراف الاستراتيجي.</w:t>
      </w:r>
    </w:p>
    <w:p w14:paraId="3F4BA662" w14:textId="75B6C2F1" w:rsidR="00EE1AE1" w:rsidRPr="00EE1AE1" w:rsidRDefault="00EE1AE1" w:rsidP="00EE1AE1">
      <w:pPr>
        <w:rPr>
          <w:rtl/>
        </w:rPr>
      </w:pPr>
      <w:r w:rsidRPr="00EE1AE1">
        <w:rPr>
          <w:rtl/>
        </w:rPr>
        <w:t xml:space="preserve">ودُعمت ورش العمل العالمية للمركز الدولي للابتكار الرقمي </w:t>
      </w:r>
      <w:r w:rsidR="00DB0AFD">
        <w:rPr>
          <w:lang w:bidi="ar-EG"/>
        </w:rPr>
        <w:t>(</w:t>
      </w:r>
      <w:r w:rsidR="00775F87">
        <w:rPr>
          <w:lang w:bidi="ar-EG"/>
        </w:rPr>
        <w:t>ICODI</w:t>
      </w:r>
      <w:r w:rsidR="00DB0AFD">
        <w:rPr>
          <w:lang w:bidi="ar-EG"/>
        </w:rPr>
        <w:t>)</w:t>
      </w:r>
      <w:r w:rsidRPr="00EE1AE1">
        <w:rPr>
          <w:rtl/>
        </w:rPr>
        <w:t xml:space="preserve"> بتعهد في إطار مبادرة الشراكة من أجل التوصيل (Partner2Connect) لاستثمار 5 ملايين درهم إماراتي لدعم المبادرة المشتركة بين الاتحاد وهيئة تنظيم الاتصالات والحكومة الرقمية (</w:t>
      </w:r>
      <w:r w:rsidRPr="00EE1AE1">
        <w:rPr>
          <w:lang w:val="en-GB" w:bidi="ar-EG"/>
        </w:rPr>
        <w:t>TDRA</w:t>
      </w:r>
      <w:r w:rsidRPr="00EE1AE1">
        <w:rPr>
          <w:rtl/>
        </w:rPr>
        <w:t>)، وهي المركز الدولي للابتكار الرقمي (</w:t>
      </w:r>
      <w:r w:rsidRPr="00EE1AE1">
        <w:rPr>
          <w:lang w:val="en-GB" w:bidi="ar-EG"/>
        </w:rPr>
        <w:t>I-</w:t>
      </w:r>
      <w:proofErr w:type="spellStart"/>
      <w:r w:rsidRPr="00EE1AE1">
        <w:rPr>
          <w:lang w:val="en-GB" w:bidi="ar-EG"/>
        </w:rPr>
        <w:t>CoDI</w:t>
      </w:r>
      <w:proofErr w:type="spellEnd"/>
      <w:r w:rsidRPr="00EE1AE1">
        <w:rPr>
          <w:rtl/>
        </w:rPr>
        <w:t>)، بهدف تمكين الدول الأعضاء من</w:t>
      </w:r>
      <w:r w:rsidRPr="00EE1AE1">
        <w:rPr>
          <w:lang w:val="en-GB" w:bidi="ar-EG"/>
        </w:rPr>
        <w:t xml:space="preserve"> </w:t>
      </w:r>
      <w:r w:rsidRPr="00EE1AE1">
        <w:rPr>
          <w:rtl/>
        </w:rPr>
        <w:t>الابتكار الرقمي في مجال تكنولوجيا المعلومات والاتصالات (</w:t>
      </w:r>
      <w:r w:rsidRPr="00EE1AE1">
        <w:rPr>
          <w:lang w:val="en-GB" w:bidi="ar-EG"/>
        </w:rPr>
        <w:t>ICT</w:t>
      </w:r>
      <w:r w:rsidRPr="00EE1AE1">
        <w:rPr>
          <w:rtl/>
        </w:rPr>
        <w:t>).</w:t>
      </w:r>
    </w:p>
    <w:p w14:paraId="543AD471" w14:textId="70FBCAF7" w:rsidR="00EE1AE1" w:rsidRPr="00EE1AE1" w:rsidRDefault="00DB0AFD" w:rsidP="00DB0AFD">
      <w:pPr>
        <w:pStyle w:val="Heading1"/>
        <w:rPr>
          <w:rtl/>
        </w:rPr>
      </w:pPr>
      <w:r>
        <w:rPr>
          <w:lang w:bidi="ar-EG"/>
        </w:rPr>
        <w:t>3</w:t>
      </w:r>
      <w:r>
        <w:rPr>
          <w:lang w:bidi="ar-EG"/>
        </w:rPr>
        <w:tab/>
      </w:r>
      <w:r w:rsidR="00EE1AE1" w:rsidRPr="00EE1AE1">
        <w:rPr>
          <w:rtl/>
        </w:rPr>
        <w:t>آفاق المستقبل</w:t>
      </w:r>
    </w:p>
    <w:p w14:paraId="6FF4E0E5" w14:textId="6A8CC11F" w:rsidR="00EE1AE1" w:rsidRPr="00EE1AE1" w:rsidRDefault="00EE1AE1" w:rsidP="00EE1AE1">
      <w:pPr>
        <w:rPr>
          <w:rtl/>
        </w:rPr>
      </w:pPr>
      <w:r w:rsidRPr="00EE1AE1">
        <w:rPr>
          <w:rtl/>
        </w:rPr>
        <w:t>‏سيواصل مكتب تنمية الاتصالات تفعيل جميع أذرع "تحالف الابتكار وريادة الأعمال لأغراض التنمية"، وتعبئة الموارد، لدعم البلدان. وأعربت العديد من البلدان عن اهتمامها بالانضمام إلى شبكة مراكز التحالف، بينما يواصل مختبر التحول الرقمي ومجلس الابتكار الرقمي العمل على ضمان بقاء</w:t>
      </w:r>
      <w:r w:rsidR="00DB0AFD">
        <w:rPr>
          <w:rFonts w:hint="cs"/>
          <w:rtl/>
          <w:lang w:bidi="ar-EG"/>
        </w:rPr>
        <w:t xml:space="preserve"> </w:t>
      </w:r>
      <w:r w:rsidRPr="00EE1AE1">
        <w:rPr>
          <w:rtl/>
        </w:rPr>
        <w:t>التحالف آلية مرنة لتسريع الابتكار الرقمي في البلدان، بما يتماشى مع ولاية الاتحاد الدولي للاتصالات.</w:t>
      </w:r>
    </w:p>
    <w:p w14:paraId="206495F9" w14:textId="2999935B" w:rsidR="00EE1AE1" w:rsidRPr="00775F87" w:rsidRDefault="00EE1AE1" w:rsidP="00EE1AE1">
      <w:pPr>
        <w:rPr>
          <w:spacing w:val="-4"/>
          <w:rtl/>
        </w:rPr>
      </w:pPr>
      <w:r w:rsidRPr="00775F87">
        <w:rPr>
          <w:spacing w:val="-4"/>
          <w:rtl/>
        </w:rPr>
        <w:t xml:space="preserve">ويُرجى من الأعضاء الاطلاع على وثيقة </w:t>
      </w:r>
      <w:r w:rsidR="00775F87" w:rsidRPr="00775F87">
        <w:rPr>
          <w:rFonts w:hint="cs"/>
          <w:spacing w:val="-4"/>
          <w:rtl/>
        </w:rPr>
        <w:t xml:space="preserve">المعلومات </w:t>
      </w:r>
      <w:r w:rsidR="00775F87" w:rsidRPr="00775F87">
        <w:rPr>
          <w:spacing w:val="-4"/>
          <w:rtl/>
        </w:rPr>
        <w:t xml:space="preserve">هذه </w:t>
      </w:r>
      <w:r w:rsidRPr="00775F87">
        <w:rPr>
          <w:spacing w:val="-4"/>
          <w:rtl/>
        </w:rPr>
        <w:t>بشأن التقدم المحرز في التحالف كآلية جديدة ضمن مكتب تنمية الاتصالات.</w:t>
      </w:r>
    </w:p>
    <w:p w14:paraId="04BB9089"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60"/>
      <w:footerReference w:type="first" r:id="rId6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46BB" w14:textId="77777777" w:rsidR="00FA5E21" w:rsidRDefault="00FA5E21" w:rsidP="006C3242">
      <w:pPr>
        <w:spacing w:before="0" w:line="240" w:lineRule="auto"/>
      </w:pPr>
      <w:r>
        <w:separator/>
      </w:r>
    </w:p>
  </w:endnote>
  <w:endnote w:type="continuationSeparator" w:id="0">
    <w:p w14:paraId="0FEFF011" w14:textId="77777777" w:rsidR="00FA5E21" w:rsidRDefault="00FA5E2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13D506F1" w14:textId="77777777" w:rsidTr="00031158">
      <w:tc>
        <w:tcPr>
          <w:tcW w:w="991" w:type="dxa"/>
          <w:tcBorders>
            <w:top w:val="single" w:sz="4" w:space="0" w:color="auto"/>
            <w:left w:val="nil"/>
            <w:bottom w:val="nil"/>
            <w:right w:val="nil"/>
          </w:tcBorders>
          <w:shd w:val="clear" w:color="auto" w:fill="FFFFFF" w:themeFill="background1"/>
          <w:hideMark/>
        </w:tcPr>
        <w:p w14:paraId="084AFEAD"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4018EFFD"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17BB9F25" w14:textId="653931BB" w:rsidR="00AD1E92" w:rsidRPr="00AD1E92" w:rsidRDefault="00FA5E21" w:rsidP="00FA5E21">
          <w:pPr>
            <w:spacing w:before="60" w:after="40" w:line="260" w:lineRule="exact"/>
            <w:rPr>
              <w:position w:val="2"/>
              <w:sz w:val="18"/>
              <w:szCs w:val="18"/>
              <w:lang w:val="en-GB"/>
            </w:rPr>
          </w:pPr>
          <w:r w:rsidRPr="00FA5E21">
            <w:rPr>
              <w:position w:val="2"/>
              <w:sz w:val="18"/>
              <w:szCs w:val="18"/>
              <w:rtl/>
              <w:lang w:val="en-GB"/>
            </w:rPr>
            <w:t xml:space="preserve">السيد محمد </w:t>
          </w:r>
          <w:proofErr w:type="spellStart"/>
          <w:r w:rsidRPr="00FA5E21">
            <w:rPr>
              <w:position w:val="2"/>
              <w:sz w:val="18"/>
              <w:szCs w:val="18"/>
              <w:rtl/>
              <w:lang w:val="en-GB"/>
            </w:rPr>
            <w:t>با</w:t>
          </w:r>
          <w:proofErr w:type="spellEnd"/>
          <w:r w:rsidRPr="00FA5E21">
            <w:rPr>
              <w:position w:val="2"/>
              <w:sz w:val="18"/>
              <w:szCs w:val="18"/>
              <w:rtl/>
              <w:lang w:val="en-GB"/>
            </w:rPr>
            <w:t xml:space="preserve">، رئيس خدمة، </w:t>
          </w:r>
          <w:r w:rsidRPr="00FA5E21">
            <w:rPr>
              <w:position w:val="2"/>
              <w:sz w:val="18"/>
              <w:szCs w:val="18"/>
              <w:lang w:val="en-GB"/>
            </w:rPr>
            <w:t>BDT/DKS/DIS</w:t>
          </w:r>
        </w:p>
      </w:tc>
    </w:tr>
    <w:tr w:rsidR="00AD1E92" w:rsidRPr="00AD1E92" w14:paraId="7BF8CA46" w14:textId="77777777" w:rsidTr="00031158">
      <w:tc>
        <w:tcPr>
          <w:tcW w:w="991" w:type="dxa"/>
        </w:tcPr>
        <w:p w14:paraId="6E77FD60"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0C404410"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187FDAC7" w14:textId="73334D29" w:rsidR="00AD1E92" w:rsidRPr="00AD1E92" w:rsidRDefault="007C74A5" w:rsidP="00AD1E92">
          <w:pPr>
            <w:spacing w:before="60" w:after="40" w:line="260" w:lineRule="exact"/>
            <w:rPr>
              <w:position w:val="2"/>
              <w:sz w:val="18"/>
              <w:szCs w:val="18"/>
              <w:lang w:val="en-GB"/>
            </w:rPr>
          </w:pPr>
          <w:r w:rsidRPr="00D00783">
            <w:rPr>
              <w:rFonts w:cs="Calibri"/>
              <w:sz w:val="18"/>
              <w:szCs w:val="18"/>
            </w:rPr>
            <w:t>+41 22 730 5338</w:t>
          </w:r>
        </w:p>
      </w:tc>
    </w:tr>
    <w:tr w:rsidR="00AD1E92" w:rsidRPr="00AD1E92" w14:paraId="0EE8CF91" w14:textId="77777777" w:rsidTr="00031158">
      <w:tc>
        <w:tcPr>
          <w:tcW w:w="991" w:type="dxa"/>
        </w:tcPr>
        <w:p w14:paraId="1274D24C"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26B4729F"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739DFC66" w14:textId="71866658" w:rsidR="00AD1E92" w:rsidRPr="00AD1E92" w:rsidRDefault="00775F87" w:rsidP="00AD1E92">
          <w:pPr>
            <w:spacing w:before="60" w:after="40" w:line="260" w:lineRule="exact"/>
            <w:rPr>
              <w:position w:val="2"/>
              <w:sz w:val="18"/>
              <w:szCs w:val="18"/>
              <w:rtl/>
              <w:lang w:val="fr-FR" w:bidi="ar-EG"/>
            </w:rPr>
          </w:pPr>
          <w:hyperlink r:id="rId1" w:history="1">
            <w:r w:rsidR="007C74A5" w:rsidRPr="00D00783">
              <w:rPr>
                <w:rStyle w:val="Hyperlink"/>
                <w:rFonts w:cs="Calibri"/>
                <w:sz w:val="18"/>
                <w:szCs w:val="18"/>
              </w:rPr>
              <w:t>mohamed.ba@itu.int</w:t>
            </w:r>
          </w:hyperlink>
        </w:p>
      </w:tc>
    </w:tr>
  </w:tbl>
  <w:bookmarkStart w:id="2" w:name="_Hlk56495155"/>
  <w:p w14:paraId="146FA08E" w14:textId="77777777" w:rsidR="009E5762" w:rsidRPr="009E5762" w:rsidRDefault="009E5762"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r w:rsidRPr="009E5762">
      <w:rPr>
        <w:rFonts w:ascii="Calibri" w:eastAsia="Times New Roman" w:hAnsi="Calibri" w:cs="Times New Roman"/>
        <w:sz w:val="20"/>
        <w:szCs w:val="20"/>
        <w:lang w:val="en-GB" w:eastAsia="en-US"/>
      </w:rPr>
      <w:fldChar w:fldCharType="begin"/>
    </w:r>
    <w:r w:rsidRPr="009E5762">
      <w:rPr>
        <w:rFonts w:ascii="Calibri" w:eastAsia="Times New Roman" w:hAnsi="Calibri" w:cs="Times New Roman"/>
        <w:sz w:val="20"/>
        <w:szCs w:val="20"/>
        <w:lang w:val="en-GB" w:eastAsia="en-US"/>
      </w:rPr>
      <w:instrText>HYPERLINK "https://www.itu.int/en/ITU-D/Conferences/WTDC/WTDC25/Pages/default.aspx"</w:instrText>
    </w:r>
    <w:r w:rsidRPr="009E5762">
      <w:rPr>
        <w:rFonts w:ascii="Calibri" w:eastAsia="Times New Roman" w:hAnsi="Calibri" w:cs="Times New Roman"/>
        <w:sz w:val="20"/>
        <w:szCs w:val="20"/>
        <w:lang w:val="en-GB" w:eastAsia="en-US"/>
      </w:rPr>
      <w:fldChar w:fldCharType="separate"/>
    </w:r>
    <w:r w:rsidRPr="009E5762">
      <w:rPr>
        <w:rFonts w:ascii="Calibri" w:eastAsia="Times New Roman" w:hAnsi="Calibri" w:cs="Times New Roman"/>
        <w:color w:val="0000FF"/>
        <w:sz w:val="20"/>
        <w:szCs w:val="20"/>
        <w:u w:val="single"/>
        <w:lang w:val="en-GB" w:eastAsia="en-US"/>
      </w:rPr>
      <w:t>WTDC-25</w:t>
    </w:r>
    <w:r w:rsidRPr="009E5762">
      <w:rPr>
        <w:rFonts w:ascii="Calibri" w:eastAsia="Times New Roman" w:hAnsi="Calibri" w:cs="Times New Roman"/>
        <w:caps/>
        <w:sz w:val="20"/>
        <w:szCs w:val="20"/>
        <w:lang w:val="en-GB" w:eastAsia="en-US"/>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3DF3" w14:textId="77777777" w:rsidR="00FA5E21" w:rsidRDefault="00FA5E21" w:rsidP="006C3242">
      <w:pPr>
        <w:spacing w:before="0" w:line="240" w:lineRule="auto"/>
      </w:pPr>
      <w:r>
        <w:separator/>
      </w:r>
    </w:p>
  </w:footnote>
  <w:footnote w:type="continuationSeparator" w:id="0">
    <w:p w14:paraId="17E51947" w14:textId="77777777" w:rsidR="00FA5E21" w:rsidRDefault="00FA5E2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6D96E911" w14:textId="64361298"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1" w:name="DocNo2"/>
        <w:bookmarkEnd w:id="1"/>
        <w:r w:rsidR="006B266A">
          <w:rPr>
            <w:sz w:val="20"/>
            <w:szCs w:val="20"/>
            <w:lang w:val="es-ES_tradnl"/>
          </w:rPr>
          <w:t>5</w:t>
        </w:r>
        <w:r w:rsidR="004F0F62" w:rsidRPr="004F0F62">
          <w:rPr>
            <w:sz w:val="20"/>
            <w:szCs w:val="20"/>
            <w:lang w:val="es-ES_tradnl"/>
          </w:rPr>
          <w:t>/</w:t>
        </w:r>
        <w:r w:rsidR="00EE1AE1">
          <w:rPr>
            <w:sz w:val="20"/>
            <w:szCs w:val="20"/>
            <w:lang w:val="es-ES_tradnl"/>
          </w:rPr>
          <w:t>14</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08BA"/>
    <w:multiLevelType w:val="hybridMultilevel"/>
    <w:tmpl w:val="D5D87720"/>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352A77"/>
    <w:multiLevelType w:val="hybridMultilevel"/>
    <w:tmpl w:val="07802FE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51521A"/>
    <w:multiLevelType w:val="hybridMultilevel"/>
    <w:tmpl w:val="A2BED28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BF69DD"/>
    <w:multiLevelType w:val="hybridMultilevel"/>
    <w:tmpl w:val="139E1004"/>
    <w:lvl w:ilvl="0" w:tplc="08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855E2A"/>
    <w:multiLevelType w:val="hybridMultilevel"/>
    <w:tmpl w:val="A2D428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33754"/>
    <w:multiLevelType w:val="hybridMultilevel"/>
    <w:tmpl w:val="0C4E646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2E10DE"/>
    <w:multiLevelType w:val="hybridMultilevel"/>
    <w:tmpl w:val="63DA099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9831918"/>
    <w:multiLevelType w:val="hybridMultilevel"/>
    <w:tmpl w:val="E4681DD6"/>
    <w:lvl w:ilvl="0" w:tplc="E8BAB078">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2112626550">
    <w:abstractNumId w:val="9"/>
  </w:num>
  <w:num w:numId="2" w16cid:durableId="832186998">
    <w:abstractNumId w:val="7"/>
  </w:num>
  <w:num w:numId="3" w16cid:durableId="1781297541">
    <w:abstractNumId w:val="6"/>
  </w:num>
  <w:num w:numId="4" w16cid:durableId="520977955">
    <w:abstractNumId w:val="5"/>
  </w:num>
  <w:num w:numId="5" w16cid:durableId="1450858114">
    <w:abstractNumId w:val="4"/>
  </w:num>
  <w:num w:numId="6" w16cid:durableId="1919896766">
    <w:abstractNumId w:val="8"/>
  </w:num>
  <w:num w:numId="7" w16cid:durableId="1912691808">
    <w:abstractNumId w:val="3"/>
  </w:num>
  <w:num w:numId="8" w16cid:durableId="1212578462">
    <w:abstractNumId w:val="2"/>
  </w:num>
  <w:num w:numId="9" w16cid:durableId="1725257498">
    <w:abstractNumId w:val="1"/>
  </w:num>
  <w:num w:numId="10" w16cid:durableId="60447407">
    <w:abstractNumId w:val="0"/>
  </w:num>
  <w:num w:numId="11" w16cid:durableId="1145199912">
    <w:abstractNumId w:val="12"/>
  </w:num>
  <w:num w:numId="12" w16cid:durableId="840508163">
    <w:abstractNumId w:val="17"/>
    <w:lvlOverride w:ilvl="0">
      <w:lvl w:ilvl="0" w:tplc="0809000F">
        <w:start w:val="1"/>
        <w:numFmt w:val="decimal"/>
        <w:lvlText w:val="%1."/>
        <w:lvlJc w:val="left"/>
        <w:pPr>
          <w:ind w:left="720" w:hanging="360"/>
        </w:pPr>
        <w:rPr>
          <w:rFonts w:cs="Times New Roman" w:hint="default"/>
        </w:rPr>
      </w:lvl>
    </w:lvlOverride>
  </w:num>
  <w:num w:numId="13" w16cid:durableId="108621865">
    <w:abstractNumId w:val="18"/>
    <w:lvlOverride w:ilvl="0">
      <w:lvl w:ilvl="0" w:tplc="E8BAB078">
        <w:start w:val="1"/>
        <w:numFmt w:val="lowerLetter"/>
        <w:lvlText w:val="%1."/>
        <w:lvlJc w:val="left"/>
        <w:pPr>
          <w:ind w:left="360" w:hanging="360"/>
        </w:pPr>
        <w:rPr>
          <w:rFonts w:cs="Times New Roman"/>
        </w:rPr>
      </w:lvl>
    </w:lvlOverride>
  </w:num>
  <w:num w:numId="14" w16cid:durableId="587537816">
    <w:abstractNumId w:val="14"/>
    <w:lvlOverride w:ilvl="0">
      <w:lvl w:ilvl="0" w:tplc="0809000F">
        <w:start w:val="1"/>
        <w:numFmt w:val="decimal"/>
        <w:lvlText w:val="%1."/>
        <w:lvlJc w:val="left"/>
        <w:pPr>
          <w:ind w:left="720" w:hanging="360"/>
        </w:pPr>
        <w:rPr>
          <w:rFonts w:cs="Times New Roman" w:hint="default"/>
        </w:rPr>
      </w:lvl>
    </w:lvlOverride>
  </w:num>
  <w:num w:numId="15" w16cid:durableId="959654829">
    <w:abstractNumId w:val="10"/>
    <w:lvlOverride w:ilvl="0">
      <w:lvl w:ilvl="0" w:tplc="93E6492E">
        <w:start w:val="1"/>
        <w:numFmt w:val="bullet"/>
        <w:lvlText w:val=""/>
        <w:lvlJc w:val="left"/>
        <w:pPr>
          <w:ind w:left="720" w:hanging="360"/>
        </w:pPr>
        <w:rPr>
          <w:rFonts w:ascii="Symbol" w:hAnsi="Symbol" w:hint="default"/>
        </w:rPr>
      </w:lvl>
    </w:lvlOverride>
  </w:num>
  <w:num w:numId="16" w16cid:durableId="699088031">
    <w:abstractNumId w:val="13"/>
    <w:lvlOverride w:ilvl="0">
      <w:lvl w:ilvl="0" w:tplc="93E6492E">
        <w:start w:val="1"/>
        <w:numFmt w:val="bullet"/>
        <w:lvlText w:val=""/>
        <w:lvlJc w:val="left"/>
        <w:pPr>
          <w:ind w:left="720" w:hanging="360"/>
        </w:pPr>
        <w:rPr>
          <w:rFonts w:ascii="Symbol" w:hAnsi="Symbol" w:hint="default"/>
        </w:rPr>
      </w:lvl>
    </w:lvlOverride>
  </w:num>
  <w:num w:numId="17" w16cid:durableId="815344817">
    <w:abstractNumId w:val="16"/>
    <w:lvlOverride w:ilvl="0">
      <w:lvl w:ilvl="0" w:tplc="93E6492E">
        <w:start w:val="1"/>
        <w:numFmt w:val="bullet"/>
        <w:lvlText w:val=""/>
        <w:lvlJc w:val="left"/>
        <w:pPr>
          <w:ind w:left="720" w:hanging="360"/>
        </w:pPr>
        <w:rPr>
          <w:rFonts w:ascii="Symbol" w:hAnsi="Symbol" w:hint="default"/>
        </w:rPr>
      </w:lvl>
    </w:lvlOverride>
  </w:num>
  <w:num w:numId="18" w16cid:durableId="624391335">
    <w:abstractNumId w:val="11"/>
    <w:lvlOverride w:ilvl="0">
      <w:lvl w:ilvl="0" w:tplc="93E6492E">
        <w:start w:val="1"/>
        <w:numFmt w:val="bullet"/>
        <w:lvlText w:val=""/>
        <w:lvlJc w:val="left"/>
        <w:pPr>
          <w:ind w:left="720" w:hanging="360"/>
        </w:pPr>
        <w:rPr>
          <w:rFonts w:ascii="Symbol" w:hAnsi="Symbol" w:hint="default"/>
        </w:rPr>
      </w:lvl>
    </w:lvlOverride>
  </w:num>
  <w:num w:numId="19" w16cid:durableId="1918394203">
    <w:abstractNumId w:val="15"/>
    <w:lvlOverride w:ilvl="0">
      <w:lvl w:ilvl="0" w:tplc="93E6492E">
        <w:start w:val="1"/>
        <w:numFmt w:val="bullet"/>
        <w:lvlText w:val=""/>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21"/>
    <w:rsid w:val="00026D7C"/>
    <w:rsid w:val="00062F2F"/>
    <w:rsid w:val="0006468A"/>
    <w:rsid w:val="00090574"/>
    <w:rsid w:val="000A13B7"/>
    <w:rsid w:val="000C1C0E"/>
    <w:rsid w:val="000C548A"/>
    <w:rsid w:val="000E78F0"/>
    <w:rsid w:val="00111DD8"/>
    <w:rsid w:val="00145668"/>
    <w:rsid w:val="00153471"/>
    <w:rsid w:val="00155ADE"/>
    <w:rsid w:val="0019128D"/>
    <w:rsid w:val="001C0169"/>
    <w:rsid w:val="001D1D50"/>
    <w:rsid w:val="001D6745"/>
    <w:rsid w:val="001E446E"/>
    <w:rsid w:val="001F7167"/>
    <w:rsid w:val="0021016E"/>
    <w:rsid w:val="002154EE"/>
    <w:rsid w:val="002276D2"/>
    <w:rsid w:val="0023283D"/>
    <w:rsid w:val="0026373E"/>
    <w:rsid w:val="00271C43"/>
    <w:rsid w:val="00290728"/>
    <w:rsid w:val="002978F4"/>
    <w:rsid w:val="002B028D"/>
    <w:rsid w:val="002D695E"/>
    <w:rsid w:val="002E308E"/>
    <w:rsid w:val="002E6541"/>
    <w:rsid w:val="00317741"/>
    <w:rsid w:val="00334924"/>
    <w:rsid w:val="003409BC"/>
    <w:rsid w:val="00350C65"/>
    <w:rsid w:val="00352462"/>
    <w:rsid w:val="00357185"/>
    <w:rsid w:val="00383829"/>
    <w:rsid w:val="003971E3"/>
    <w:rsid w:val="003C4402"/>
    <w:rsid w:val="003F4B29"/>
    <w:rsid w:val="004200BD"/>
    <w:rsid w:val="00423EDB"/>
    <w:rsid w:val="0042686F"/>
    <w:rsid w:val="004317D8"/>
    <w:rsid w:val="00434183"/>
    <w:rsid w:val="00443869"/>
    <w:rsid w:val="00447F32"/>
    <w:rsid w:val="00457D22"/>
    <w:rsid w:val="004A0B7B"/>
    <w:rsid w:val="004C0376"/>
    <w:rsid w:val="004E11DC"/>
    <w:rsid w:val="004F0F62"/>
    <w:rsid w:val="004F3C48"/>
    <w:rsid w:val="00506E94"/>
    <w:rsid w:val="00525DDD"/>
    <w:rsid w:val="005409AC"/>
    <w:rsid w:val="0055516A"/>
    <w:rsid w:val="0058491B"/>
    <w:rsid w:val="005874F2"/>
    <w:rsid w:val="00592EA5"/>
    <w:rsid w:val="00594C9F"/>
    <w:rsid w:val="005A3170"/>
    <w:rsid w:val="005B2C89"/>
    <w:rsid w:val="005C0C76"/>
    <w:rsid w:val="005D610E"/>
    <w:rsid w:val="005D63D6"/>
    <w:rsid w:val="005E1E6D"/>
    <w:rsid w:val="005F0E2D"/>
    <w:rsid w:val="00603A1D"/>
    <w:rsid w:val="006128FC"/>
    <w:rsid w:val="00642763"/>
    <w:rsid w:val="00677396"/>
    <w:rsid w:val="0069200F"/>
    <w:rsid w:val="006A5FEC"/>
    <w:rsid w:val="006A65CB"/>
    <w:rsid w:val="006B266A"/>
    <w:rsid w:val="006C3242"/>
    <w:rsid w:val="006C7CC0"/>
    <w:rsid w:val="006E4285"/>
    <w:rsid w:val="006F63F7"/>
    <w:rsid w:val="007025C7"/>
    <w:rsid w:val="00706D7A"/>
    <w:rsid w:val="00722F0D"/>
    <w:rsid w:val="0074420E"/>
    <w:rsid w:val="0074742E"/>
    <w:rsid w:val="00747A70"/>
    <w:rsid w:val="00775F87"/>
    <w:rsid w:val="00783A69"/>
    <w:rsid w:val="00783E26"/>
    <w:rsid w:val="007A1D77"/>
    <w:rsid w:val="007B4FA0"/>
    <w:rsid w:val="007C3BC7"/>
    <w:rsid w:val="007C3BCD"/>
    <w:rsid w:val="007C74A5"/>
    <w:rsid w:val="007D345C"/>
    <w:rsid w:val="007D4ACF"/>
    <w:rsid w:val="007F0787"/>
    <w:rsid w:val="00810B7B"/>
    <w:rsid w:val="0082358A"/>
    <w:rsid w:val="008235CD"/>
    <w:rsid w:val="008247DE"/>
    <w:rsid w:val="00840B10"/>
    <w:rsid w:val="00842E20"/>
    <w:rsid w:val="008513CB"/>
    <w:rsid w:val="00855F97"/>
    <w:rsid w:val="008562F3"/>
    <w:rsid w:val="00874F08"/>
    <w:rsid w:val="00882A17"/>
    <w:rsid w:val="008A7F84"/>
    <w:rsid w:val="0091702E"/>
    <w:rsid w:val="00923B0C"/>
    <w:rsid w:val="0094021C"/>
    <w:rsid w:val="0094065A"/>
    <w:rsid w:val="00952F86"/>
    <w:rsid w:val="00957084"/>
    <w:rsid w:val="00982B28"/>
    <w:rsid w:val="00983DA5"/>
    <w:rsid w:val="00985351"/>
    <w:rsid w:val="009D313F"/>
    <w:rsid w:val="009E1AD8"/>
    <w:rsid w:val="009E5762"/>
    <w:rsid w:val="00A15396"/>
    <w:rsid w:val="00A24359"/>
    <w:rsid w:val="00A47A5A"/>
    <w:rsid w:val="00A6683B"/>
    <w:rsid w:val="00A97F94"/>
    <w:rsid w:val="00AA7EA2"/>
    <w:rsid w:val="00AD1E92"/>
    <w:rsid w:val="00AE4849"/>
    <w:rsid w:val="00B03099"/>
    <w:rsid w:val="00B05BC8"/>
    <w:rsid w:val="00B319BC"/>
    <w:rsid w:val="00B64B47"/>
    <w:rsid w:val="00B92523"/>
    <w:rsid w:val="00B93B7B"/>
    <w:rsid w:val="00BC4B48"/>
    <w:rsid w:val="00BE739F"/>
    <w:rsid w:val="00C002DE"/>
    <w:rsid w:val="00C53BF8"/>
    <w:rsid w:val="00C56B5F"/>
    <w:rsid w:val="00C66157"/>
    <w:rsid w:val="00C674FE"/>
    <w:rsid w:val="00C67501"/>
    <w:rsid w:val="00C75633"/>
    <w:rsid w:val="00C85CB5"/>
    <w:rsid w:val="00CA08BA"/>
    <w:rsid w:val="00CE2EE1"/>
    <w:rsid w:val="00CE3349"/>
    <w:rsid w:val="00CE36E5"/>
    <w:rsid w:val="00CF27F5"/>
    <w:rsid w:val="00CF3FFD"/>
    <w:rsid w:val="00CF4342"/>
    <w:rsid w:val="00D10CCF"/>
    <w:rsid w:val="00D77D0F"/>
    <w:rsid w:val="00D8311F"/>
    <w:rsid w:val="00D84440"/>
    <w:rsid w:val="00DA1CF0"/>
    <w:rsid w:val="00DB0AFD"/>
    <w:rsid w:val="00DC1E02"/>
    <w:rsid w:val="00DC24B4"/>
    <w:rsid w:val="00DC5FB0"/>
    <w:rsid w:val="00DE199F"/>
    <w:rsid w:val="00DF16DC"/>
    <w:rsid w:val="00DF6DE6"/>
    <w:rsid w:val="00E10D3C"/>
    <w:rsid w:val="00E315F9"/>
    <w:rsid w:val="00E43176"/>
    <w:rsid w:val="00E45211"/>
    <w:rsid w:val="00E473C5"/>
    <w:rsid w:val="00E92863"/>
    <w:rsid w:val="00EB796D"/>
    <w:rsid w:val="00EE1AE1"/>
    <w:rsid w:val="00EE5CF2"/>
    <w:rsid w:val="00F058DC"/>
    <w:rsid w:val="00F24FC4"/>
    <w:rsid w:val="00F2676C"/>
    <w:rsid w:val="00F43D01"/>
    <w:rsid w:val="00F77022"/>
    <w:rsid w:val="00F84366"/>
    <w:rsid w:val="00F85089"/>
    <w:rsid w:val="00F974C5"/>
    <w:rsid w:val="00FA5E21"/>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6D595"/>
  <w15:chartTrackingRefBased/>
  <w15:docId w15:val="{E651E076-C05C-4425-8106-F861A14A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FA5E21"/>
    <w:rPr>
      <w:color w:val="605E5C"/>
      <w:shd w:val="clear" w:color="auto" w:fill="E1DFDD"/>
    </w:rPr>
  </w:style>
  <w:style w:type="character" w:customStyle="1" w:styleId="s22">
    <w:name w:val="s22"/>
    <w:basedOn w:val="DefaultParagraphFont"/>
    <w:rsid w:val="00423EDB"/>
    <w:rPr>
      <w:rFonts w:cs="Times New Roman"/>
    </w:rPr>
  </w:style>
  <w:style w:type="paragraph" w:customStyle="1" w:styleId="s21">
    <w:name w:val="s21"/>
    <w:basedOn w:val="Normal"/>
    <w:rsid w:val="00423EDB"/>
    <w:pPr>
      <w:tabs>
        <w:tab w:val="clear" w:pos="794"/>
      </w:tabs>
      <w:bidi w:val="0"/>
      <w:spacing w:before="100" w:beforeAutospacing="1" w:after="100" w:afterAutospacing="1" w:line="240" w:lineRule="auto"/>
      <w:jc w:val="left"/>
    </w:pPr>
    <w:rPr>
      <w:rFonts w:ascii="Calibri" w:eastAsia="Times New Roman" w:hAnsi="Calibri" w:cs="Calibri"/>
      <w:lang w:val="en-GB" w:eastAsia="en-GB"/>
    </w:rPr>
  </w:style>
  <w:style w:type="paragraph" w:customStyle="1" w:styleId="Committee">
    <w:name w:val="Committee"/>
    <w:basedOn w:val="Normal"/>
    <w:rsid w:val="00111DD8"/>
    <w:pPr>
      <w:spacing w:before="20" w:after="20" w:line="300" w:lineRule="exact"/>
    </w:pPr>
    <w:rPr>
      <w:b/>
      <w:b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ar/ITU-D/Innovation/Pages/Global-Innovation-Forum.aspx" TargetMode="External"/><Relationship Id="rId18" Type="http://schemas.openxmlformats.org/officeDocument/2006/relationships/hyperlink" Target="https://www.itu.int/pub/D-RES-D.85-2022" TargetMode="External"/><Relationship Id="rId26" Type="http://schemas.openxmlformats.org/officeDocument/2006/relationships/hyperlink" Target="https://www.itu.int/itu-d/sites/innovation-alliance/third-meeting-of-the-digital-innovation-board/" TargetMode="External"/><Relationship Id="rId39" Type="http://schemas.openxmlformats.org/officeDocument/2006/relationships/hyperlink" Target="https://www.itu.int/itu-d/sites/innovation-alliance/the-expert-network/" TargetMode="External"/><Relationship Id="rId21" Type="http://schemas.openxmlformats.org/officeDocument/2006/relationships/hyperlink" Target="https://www.itu.int/itu-d/sites/innovation-alliance/wp-content/uploads/sites/35/2024/05/Inaugural_Meeting_of_the_Digital_Innovation_Board_-_Summary_rev1.pdf" TargetMode="External"/><Relationship Id="rId34" Type="http://schemas.openxmlformats.org/officeDocument/2006/relationships/hyperlink" Target="https://www.itu.int/itu-d/sites/innovation-alliance/events/news/acceleration-centre-event-dubai/" TargetMode="External"/><Relationship Id="rId42" Type="http://schemas.openxmlformats.org/officeDocument/2006/relationships/hyperlink" Target="https://www.itu.int/en/ITU-D/Innovation/Pages/Strategic%20Foresight/Strategic-Foresight.aspx" TargetMode="External"/><Relationship Id="rId47" Type="http://schemas.openxmlformats.org/officeDocument/2006/relationships/hyperlink" Target="https://www.itu.int/itu-d/sites/innovation-alliance/strategic-foresight-reports/" TargetMode="External"/><Relationship Id="rId50" Type="http://schemas.openxmlformats.org/officeDocument/2006/relationships/hyperlink" Target="https://www.itu.int/en/ITU-D/Regional-Presence/Europe/Documents/Publications/2025/RIA%20EUR_Montenegro_Event%20Report_CLEAN%20(002).pdf" TargetMode="External"/><Relationship Id="rId55" Type="http://schemas.openxmlformats.org/officeDocument/2006/relationships/hyperlink" Target="https://academy.itu.int/training-courses/full-catalogue/ecosystem-initiative-development-20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pub/D-RES-D.90-2022" TargetMode="External"/><Relationship Id="rId29" Type="http://schemas.openxmlformats.org/officeDocument/2006/relationships/hyperlink" Target="https://www.itu.int/itu-d/sites/innovation-alliance/wp-content/uploads/sites/35/2025/10/Bridging-the-Digital-Innovation-Divide-Manifesto_Draft_3rdBoardMeeting.CMdocx-final.pdf" TargetMode="External"/><Relationship Id="rId11" Type="http://schemas.openxmlformats.org/officeDocument/2006/relationships/hyperlink" Target="https://www.itu.int/itu-d/sites/innovation/ar/" TargetMode="External"/><Relationship Id="rId24" Type="http://schemas.openxmlformats.org/officeDocument/2006/relationships/hyperlink" Target="https://www.itu.int/itu-d/sites/innovation-alliance/wp-content/uploads/sites/35/2024/12/Second-Meeting-of-the-Digital-Innovation-Board-28-October-2024-Summary.pdf" TargetMode="External"/><Relationship Id="rId32" Type="http://schemas.openxmlformats.org/officeDocument/2006/relationships/hyperlink" Target="https://www.itu.int/itu-d/sites/innovation-alliance/network-of-itu-acceleration-centres/" TargetMode="External"/><Relationship Id="rId37" Type="http://schemas.openxmlformats.org/officeDocument/2006/relationships/hyperlink" Target="https://www.itu.int/itu-d/meetings/gif-24/" TargetMode="External"/><Relationship Id="rId40" Type="http://schemas.openxmlformats.org/officeDocument/2006/relationships/hyperlink" Target="https://www.itu.int/itu-d/sites/innovation-alliance/" TargetMode="External"/><Relationship Id="rId45" Type="http://schemas.openxmlformats.org/officeDocument/2006/relationships/hyperlink" Target="https://www.itu.int/itu-d/sites/innovation-alliance/wp-content/uploads/sites/35/2025/10/FBS_-Shaping-the-future-of-an-African-VC-landscape_Signed-BDTDirector.pdf" TargetMode="External"/><Relationship Id="rId53" Type="http://schemas.openxmlformats.org/officeDocument/2006/relationships/hyperlink" Target="https://academy.itu.int/training-courses/full-catalogue/strategic-foresight-101" TargetMode="External"/><Relationship Id="rId58" Type="http://schemas.openxmlformats.org/officeDocument/2006/relationships/hyperlink" Target="https://www.itu.int/itu-d/meetings/gsr-25/"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itu.int/itu-d/sites/innovation-alliance/events/news/announcement-board/" TargetMode="External"/><Relationship Id="rId14" Type="http://schemas.openxmlformats.org/officeDocument/2006/relationships/hyperlink" Target="https://www.itu.int/itu-d/sites/innovation-alliance/" TargetMode="External"/><Relationship Id="rId22" Type="http://schemas.openxmlformats.org/officeDocument/2006/relationships/hyperlink" Target="https://www.itu.int/itu-d/sites/innovation-alliance/wp-content/uploads/sites/35/2024/12/Second-Meeting-of-the-Digital-Innovation-Board-28-October-2024-Summary.pdf" TargetMode="External"/><Relationship Id="rId27" Type="http://schemas.openxmlformats.org/officeDocument/2006/relationships/hyperlink" Target="https://www.itu.int/itu-d/sites/innovation-alliance/strategic-foresight-reports/" TargetMode="External"/><Relationship Id="rId30" Type="http://schemas.openxmlformats.org/officeDocument/2006/relationships/hyperlink" Target="https://www.itu.int/itu-d/sites/innovation-alliance/digital-transformation-lab/" TargetMode="External"/><Relationship Id="rId35" Type="http://schemas.openxmlformats.org/officeDocument/2006/relationships/hyperlink" Target="https://www.itu.int/itu-d/sites/innovation-alliance/events/news/acceleration-centre-event-dubai/" TargetMode="External"/><Relationship Id="rId43" Type="http://schemas.openxmlformats.org/officeDocument/2006/relationships/hyperlink" Target="https://www.itu.int/itu-d/sites/innovation-alliance/wp-content/uploads/sites/35/2025/10/Shaping-education-for-tomorrow.pdf" TargetMode="External"/><Relationship Id="rId48" Type="http://schemas.openxmlformats.org/officeDocument/2006/relationships/hyperlink" Target="https://www.itu.int/en/ITU-D/Innovation/Pages/Strategic%20Foresight/Strategic-Foresight.aspx" TargetMode="External"/><Relationship Id="rId56" Type="http://schemas.openxmlformats.org/officeDocument/2006/relationships/hyperlink" Target="https://www.itu.int/itu-d/sites/innovation-alliance/events/news/acceleration-centre-event-dubai/" TargetMode="External"/><Relationship Id="rId8" Type="http://schemas.openxmlformats.org/officeDocument/2006/relationships/image" Target="media/image1.png"/><Relationship Id="rId51" Type="http://schemas.openxmlformats.org/officeDocument/2006/relationships/hyperlink" Target="https://www.itu.int/en/ITU-D/Innovation/Documents/RIA/RIA%20ASP_Shenzhen_Event%20Report_version%204.pdf" TargetMode="External"/><Relationship Id="rId3" Type="http://schemas.openxmlformats.org/officeDocument/2006/relationships/styles" Target="styles.xml"/><Relationship Id="rId12" Type="http://schemas.openxmlformats.org/officeDocument/2006/relationships/hyperlink" Target="https://www.itu.int/ar/ITU-D/Innovation/Pages/Ecosystem-Development-Strategies-and-Roadmaps.aspx" TargetMode="External"/><Relationship Id="rId17" Type="http://schemas.openxmlformats.org/officeDocument/2006/relationships/hyperlink" Target="https://www.itu.int/pub/D-RES-D.89-2022" TargetMode="External"/><Relationship Id="rId25" Type="http://schemas.openxmlformats.org/officeDocument/2006/relationships/hyperlink" Target="https://www.itu.int/en/ITU-D/Innovation/Pages/RIA/Regional-Initiative-Accelerator.aspx" TargetMode="External"/><Relationship Id="rId33" Type="http://schemas.openxmlformats.org/officeDocument/2006/relationships/hyperlink" Target="https://www.itu.int/itu-d/sites/innovation-alliance/events/news/member-communique-2023-september/" TargetMode="External"/><Relationship Id="rId38" Type="http://schemas.openxmlformats.org/officeDocument/2006/relationships/hyperlink" Target="https://www.itu.int/itu-d/sites/innovation-alliance/itu-acceleration-centre-meeting/" TargetMode="External"/><Relationship Id="rId46" Type="http://schemas.openxmlformats.org/officeDocument/2006/relationships/hyperlink" Target="https://www.itu.int/itu-d/sites/innovation-alliance/strategic-foresight-reports/" TargetMode="External"/><Relationship Id="rId59" Type="http://schemas.openxmlformats.org/officeDocument/2006/relationships/hyperlink" Target="https://www.itu.int/itu-d/meetings/gif-24/" TargetMode="External"/><Relationship Id="rId20" Type="http://schemas.openxmlformats.org/officeDocument/2006/relationships/hyperlink" Target="https://www.itu.int/itu-d/sites/innovation-alliance/events/news/inaugural-board-meeting/" TargetMode="External"/><Relationship Id="rId41" Type="http://schemas.openxmlformats.org/officeDocument/2006/relationships/hyperlink" Target="https://www.itu.int/itu-d/sites/innovation-alliance/third-meeting-of-the-digital-innovation-board/" TargetMode="External"/><Relationship Id="rId54" Type="http://schemas.openxmlformats.org/officeDocument/2006/relationships/hyperlink" Target="https://academy.itu.int/training-courses/full-catalogue/strategic-foresight-20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itu-d/sites/innovation/ar/" TargetMode="External"/><Relationship Id="rId23" Type="http://schemas.openxmlformats.org/officeDocument/2006/relationships/hyperlink" Target="https://www.itu.int/itu-d/meetings/gif-24/" TargetMode="External"/><Relationship Id="rId28" Type="http://schemas.openxmlformats.org/officeDocument/2006/relationships/hyperlink" Target="https://www.itu.int/itu-d/sites/innovation-alliance/wp-content/uploads/sites/35/2025/10/BDT-Member-Communique-3rd-digital-innovation-board-meeting.pdf" TargetMode="External"/><Relationship Id="rId36" Type="http://schemas.openxmlformats.org/officeDocument/2006/relationships/hyperlink" Target="https://www.itu.int/itu-d/meetings/gif-24/programme/tuesday-29-october/session-details-tuesday/?sessionid=12" TargetMode="External"/><Relationship Id="rId49" Type="http://schemas.openxmlformats.org/officeDocument/2006/relationships/hyperlink" Target="https://www.itu.int/en/ITU-D/Innovation/Pages/RIA/Regional-Initiative-Accelerator.aspx" TargetMode="External"/><Relationship Id="rId57" Type="http://schemas.openxmlformats.org/officeDocument/2006/relationships/hyperlink" Target="https://www.itu.int/itu-d/sites/innovation-alliance/itu-acceleration-centre-meeting/" TargetMode="External"/><Relationship Id="rId10" Type="http://schemas.openxmlformats.org/officeDocument/2006/relationships/hyperlink" Target="https://www.itu.int/itu-d/sites/innovation-alliance/" TargetMode="External"/><Relationship Id="rId31" Type="http://schemas.openxmlformats.org/officeDocument/2006/relationships/hyperlink" Target="https://www.itu.int/en/ITU-D/Innovation/Pages/RIA/Regional-Initiative-Accelerator.aspx" TargetMode="External"/><Relationship Id="rId44" Type="http://schemas.openxmlformats.org/officeDocument/2006/relationships/hyperlink" Target="https://www.itu.int/itu-d/sites/innovation-alliance/wp-content/uploads/sites/35/2025/10/FBS_-Shaping-the-future-of-startups-and-SMEs_October-2025_Signed-BDTDirector.pdf" TargetMode="External"/><Relationship Id="rId52" Type="http://schemas.openxmlformats.org/officeDocument/2006/relationships/hyperlink" Target="https://academy.itu.int/training-courses/full-catalogue/innovation-ecosystem-101-fundamentals-building-competitive-and-innovative-ict-centric-ecosystems-2"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mohamed.ba@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PA_WTDC-25.dotx</Template>
  <TotalTime>15</TotalTime>
  <Pages>6</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GE</cp:lastModifiedBy>
  <cp:revision>3</cp:revision>
  <dcterms:created xsi:type="dcterms:W3CDTF">2025-10-15T08:58:00Z</dcterms:created>
  <dcterms:modified xsi:type="dcterms:W3CDTF">2025-10-15T09:11:00Z</dcterms:modified>
</cp:coreProperties>
</file>