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CC5FE3" w14:paraId="5A258D02" w14:textId="77777777" w:rsidTr="00A023EF">
        <w:trPr>
          <w:cantSplit/>
          <w:trHeight w:val="1134"/>
        </w:trPr>
        <w:tc>
          <w:tcPr>
            <w:tcW w:w="1560" w:type="dxa"/>
          </w:tcPr>
          <w:p w14:paraId="3B87B5F2" w14:textId="77777777" w:rsidR="00F55058" w:rsidRPr="00CC5FE3" w:rsidRDefault="00076615" w:rsidP="006C5E3F">
            <w:pPr>
              <w:tabs>
                <w:tab w:val="clear" w:pos="1134"/>
              </w:tabs>
              <w:ind w:left="34"/>
              <w:rPr>
                <w:b/>
                <w:bCs/>
                <w:szCs w:val="24"/>
                <w:lang w:val="es-ES"/>
              </w:rPr>
            </w:pPr>
            <w:r w:rsidRPr="00CC5FE3">
              <w:rPr>
                <w:noProof/>
                <w:lang w:val="es-ES" w:eastAsia="zh-CN"/>
              </w:rPr>
              <w:drawing>
                <wp:inline distT="0" distB="0" distL="0" distR="0" wp14:anchorId="25EB4A6A" wp14:editId="4E928F3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605BCAAC" w14:textId="1383831D" w:rsidR="00F55058" w:rsidRPr="00CC5FE3" w:rsidRDefault="00F55058" w:rsidP="00F55058">
            <w:pPr>
              <w:tabs>
                <w:tab w:val="clear" w:pos="1134"/>
              </w:tabs>
              <w:spacing w:before="240" w:after="48" w:line="240" w:lineRule="atLeast"/>
              <w:ind w:left="34"/>
              <w:rPr>
                <w:rFonts w:cstheme="minorHAnsi"/>
                <w:b/>
                <w:bCs/>
                <w:lang w:val="es-ES"/>
              </w:rPr>
            </w:pPr>
            <w:r w:rsidRPr="00CC5FE3">
              <w:rPr>
                <w:b/>
                <w:bCs/>
                <w:sz w:val="32"/>
                <w:szCs w:val="32"/>
                <w:lang w:val="es-ES"/>
              </w:rPr>
              <w:t>Conferencia Mundial de Desarrollo de las Telecomunicaciones de 2025 (CMDT-25)</w:t>
            </w:r>
            <w:r w:rsidRPr="00CC5FE3">
              <w:rPr>
                <w:b/>
                <w:bCs/>
                <w:sz w:val="32"/>
                <w:szCs w:val="32"/>
                <w:lang w:val="es-ES"/>
              </w:rPr>
              <w:br/>
            </w:r>
            <w:r w:rsidR="00CC5FE3" w:rsidRPr="00CC5FE3">
              <w:rPr>
                <w:b/>
                <w:bCs/>
                <w:lang w:val="es-ES"/>
              </w:rPr>
              <w:t>Bakú</w:t>
            </w:r>
            <w:r w:rsidRPr="00CC5FE3">
              <w:rPr>
                <w:b/>
                <w:bCs/>
                <w:lang w:val="es-ES"/>
              </w:rPr>
              <w:t>, República de Azerbaiyán,</w:t>
            </w:r>
            <w:r w:rsidRPr="00CC5FE3">
              <w:rPr>
                <w:b/>
                <w:bCs/>
                <w:szCs w:val="24"/>
                <w:lang w:val="es-ES"/>
              </w:rPr>
              <w:t xml:space="preserve"> </w:t>
            </w:r>
            <w:r w:rsidRPr="00CC5FE3">
              <w:rPr>
                <w:b/>
                <w:bCs/>
                <w:lang w:val="es-ES"/>
              </w:rPr>
              <w:t>17</w:t>
            </w:r>
            <w:r w:rsidR="00F9616C" w:rsidRPr="00CC5FE3">
              <w:rPr>
                <w:sz w:val="18"/>
                <w:szCs w:val="18"/>
                <w:lang w:val="es-ES"/>
              </w:rPr>
              <w:t>-</w:t>
            </w:r>
            <w:r w:rsidRPr="00CC5FE3">
              <w:rPr>
                <w:b/>
                <w:bCs/>
                <w:lang w:val="es-ES"/>
              </w:rPr>
              <w:t>28 de noviembre de 2025</w:t>
            </w:r>
          </w:p>
        </w:tc>
        <w:tc>
          <w:tcPr>
            <w:tcW w:w="1842" w:type="dxa"/>
          </w:tcPr>
          <w:p w14:paraId="3C7B1D73" w14:textId="77777777" w:rsidR="00F55058" w:rsidRPr="00CC5FE3" w:rsidRDefault="00076615" w:rsidP="006C5E3F">
            <w:pPr>
              <w:tabs>
                <w:tab w:val="clear" w:pos="1134"/>
              </w:tabs>
              <w:spacing w:line="240" w:lineRule="atLeast"/>
              <w:ind w:left="34"/>
              <w:jc w:val="right"/>
              <w:rPr>
                <w:rFonts w:cstheme="minorHAnsi"/>
                <w:b/>
                <w:bCs/>
                <w:lang w:val="es-ES"/>
              </w:rPr>
            </w:pPr>
            <w:bookmarkStart w:id="0" w:name="ditulogo"/>
            <w:bookmarkEnd w:id="0"/>
            <w:r w:rsidRPr="00CC5FE3">
              <w:rPr>
                <w:noProof/>
                <w:sz w:val="32"/>
                <w:szCs w:val="32"/>
                <w:lang w:val="es-ES"/>
              </w:rPr>
              <w:drawing>
                <wp:inline distT="0" distB="0" distL="0" distR="0" wp14:anchorId="678CE820" wp14:editId="23B207D7">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C5FE3" w14:paraId="1A012530" w14:textId="77777777" w:rsidTr="00A023EF">
        <w:trPr>
          <w:cantSplit/>
        </w:trPr>
        <w:tc>
          <w:tcPr>
            <w:tcW w:w="6530" w:type="dxa"/>
            <w:gridSpan w:val="2"/>
            <w:tcBorders>
              <w:top w:val="single" w:sz="12" w:space="0" w:color="auto"/>
            </w:tcBorders>
          </w:tcPr>
          <w:p w14:paraId="6D9F6376" w14:textId="77777777" w:rsidR="00D83BF5" w:rsidRPr="00CC5FE3"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16B788A0" w14:textId="77777777" w:rsidR="00D83BF5" w:rsidRPr="00CC5FE3" w:rsidRDefault="00D83BF5" w:rsidP="00B951D0">
            <w:pPr>
              <w:spacing w:before="0" w:line="240" w:lineRule="atLeast"/>
              <w:rPr>
                <w:rFonts w:cstheme="minorHAnsi"/>
                <w:sz w:val="20"/>
                <w:lang w:val="es-ES"/>
              </w:rPr>
            </w:pPr>
          </w:p>
        </w:tc>
      </w:tr>
      <w:tr w:rsidR="007A1872" w:rsidRPr="00CC5FE3" w14:paraId="650221C8" w14:textId="77777777" w:rsidTr="00A023EF">
        <w:trPr>
          <w:cantSplit/>
          <w:trHeight w:val="23"/>
        </w:trPr>
        <w:tc>
          <w:tcPr>
            <w:tcW w:w="6530" w:type="dxa"/>
            <w:gridSpan w:val="2"/>
            <w:shd w:val="clear" w:color="auto" w:fill="auto"/>
          </w:tcPr>
          <w:p w14:paraId="38FC6BB8" w14:textId="77777777" w:rsidR="007A1872" w:rsidRPr="00CC5FE3" w:rsidRDefault="007A1872" w:rsidP="0003264C">
            <w:pPr>
              <w:tabs>
                <w:tab w:val="left" w:pos="851"/>
              </w:tabs>
              <w:spacing w:before="0" w:line="240" w:lineRule="atLeast"/>
              <w:rPr>
                <w:rFonts w:cstheme="minorHAnsi"/>
                <w:b/>
                <w:szCs w:val="24"/>
                <w:lang w:val="es-ES"/>
              </w:rPr>
            </w:pPr>
            <w:bookmarkStart w:id="2" w:name="dnum" w:colFirst="1" w:colLast="1"/>
            <w:bookmarkStart w:id="3" w:name="dmeeting" w:colFirst="0" w:colLast="0"/>
            <w:bookmarkEnd w:id="1"/>
            <w:r w:rsidRPr="00CC5FE3">
              <w:rPr>
                <w:rFonts w:cstheme="minorHAnsi"/>
                <w:b/>
                <w:szCs w:val="24"/>
                <w:lang w:val="es-ES"/>
              </w:rPr>
              <w:t>SESIÓN PLENARIA</w:t>
            </w:r>
          </w:p>
        </w:tc>
        <w:tc>
          <w:tcPr>
            <w:tcW w:w="3251" w:type="dxa"/>
            <w:gridSpan w:val="2"/>
          </w:tcPr>
          <w:p w14:paraId="46BD3E0C" w14:textId="36FD36C4" w:rsidR="007A1872" w:rsidRPr="00CC5FE3" w:rsidRDefault="007A1872" w:rsidP="0003264C">
            <w:pPr>
              <w:tabs>
                <w:tab w:val="left" w:pos="851"/>
              </w:tabs>
              <w:spacing w:before="0" w:line="240" w:lineRule="atLeast"/>
              <w:rPr>
                <w:rFonts w:cstheme="minorHAnsi"/>
                <w:b/>
                <w:szCs w:val="24"/>
                <w:lang w:val="es-ES"/>
              </w:rPr>
            </w:pPr>
            <w:r w:rsidRPr="00CC5FE3">
              <w:rPr>
                <w:rFonts w:cstheme="minorHAnsi"/>
                <w:b/>
                <w:szCs w:val="24"/>
                <w:lang w:val="es-ES"/>
              </w:rPr>
              <w:t xml:space="preserve">Documento </w:t>
            </w:r>
            <w:r w:rsidR="001451CC" w:rsidRPr="00CC5FE3">
              <w:rPr>
                <w:rFonts w:cstheme="minorHAnsi"/>
                <w:b/>
                <w:szCs w:val="24"/>
                <w:lang w:val="es-ES"/>
              </w:rPr>
              <w:t>WTDC-25/</w:t>
            </w:r>
            <w:r w:rsidR="000B7E7B" w:rsidRPr="00CC5FE3">
              <w:rPr>
                <w:rFonts w:cstheme="minorHAnsi"/>
                <w:b/>
                <w:szCs w:val="24"/>
                <w:lang w:val="es-ES"/>
              </w:rPr>
              <w:t>12</w:t>
            </w:r>
            <w:r w:rsidRPr="00CC5FE3">
              <w:rPr>
                <w:rFonts w:cstheme="minorHAnsi"/>
                <w:b/>
                <w:szCs w:val="24"/>
                <w:lang w:val="es-ES"/>
              </w:rPr>
              <w:t>-S</w:t>
            </w:r>
          </w:p>
        </w:tc>
      </w:tr>
      <w:tr w:rsidR="007A1872" w:rsidRPr="00CC5FE3" w14:paraId="0959646A" w14:textId="77777777" w:rsidTr="00A023EF">
        <w:trPr>
          <w:cantSplit/>
          <w:trHeight w:val="23"/>
        </w:trPr>
        <w:tc>
          <w:tcPr>
            <w:tcW w:w="6530" w:type="dxa"/>
            <w:gridSpan w:val="2"/>
            <w:shd w:val="clear" w:color="auto" w:fill="auto"/>
          </w:tcPr>
          <w:p w14:paraId="1DD6E42E" w14:textId="77777777" w:rsidR="007A1872" w:rsidRPr="00CC5FE3" w:rsidRDefault="007A1872" w:rsidP="007A1872">
            <w:pPr>
              <w:tabs>
                <w:tab w:val="left" w:pos="851"/>
              </w:tabs>
              <w:spacing w:before="0" w:line="240" w:lineRule="atLeast"/>
              <w:rPr>
                <w:rFonts w:cstheme="minorHAnsi"/>
                <w:b/>
                <w:szCs w:val="24"/>
                <w:lang w:val="es-ES"/>
              </w:rPr>
            </w:pPr>
            <w:bookmarkStart w:id="4" w:name="ddate" w:colFirst="1" w:colLast="1"/>
            <w:bookmarkStart w:id="5" w:name="dblank" w:colFirst="0" w:colLast="0"/>
            <w:bookmarkEnd w:id="2"/>
            <w:bookmarkEnd w:id="3"/>
          </w:p>
        </w:tc>
        <w:tc>
          <w:tcPr>
            <w:tcW w:w="3251" w:type="dxa"/>
            <w:gridSpan w:val="2"/>
          </w:tcPr>
          <w:p w14:paraId="57FC691D" w14:textId="705CC1DC" w:rsidR="007A1872" w:rsidRPr="00CC5FE3" w:rsidRDefault="000B7E7B" w:rsidP="007A1872">
            <w:pPr>
              <w:spacing w:before="0" w:line="240" w:lineRule="atLeast"/>
              <w:rPr>
                <w:rFonts w:cstheme="minorHAnsi"/>
                <w:b/>
                <w:szCs w:val="24"/>
                <w:lang w:val="es-ES"/>
              </w:rPr>
            </w:pPr>
            <w:r w:rsidRPr="00CC5FE3">
              <w:rPr>
                <w:rFonts w:cstheme="minorHAnsi"/>
                <w:b/>
                <w:szCs w:val="24"/>
                <w:lang w:val="es-ES"/>
              </w:rPr>
              <w:t xml:space="preserve">30 de septiembre </w:t>
            </w:r>
            <w:r w:rsidR="007A1872" w:rsidRPr="00CC5FE3">
              <w:rPr>
                <w:rFonts w:cstheme="minorHAnsi"/>
                <w:b/>
                <w:szCs w:val="24"/>
                <w:lang w:val="es-ES"/>
              </w:rPr>
              <w:t>de 2025</w:t>
            </w:r>
          </w:p>
        </w:tc>
      </w:tr>
      <w:tr w:rsidR="007A1872" w:rsidRPr="00CC5FE3" w14:paraId="132D73C2" w14:textId="77777777" w:rsidTr="00A023EF">
        <w:trPr>
          <w:cantSplit/>
          <w:trHeight w:val="23"/>
        </w:trPr>
        <w:tc>
          <w:tcPr>
            <w:tcW w:w="6530" w:type="dxa"/>
            <w:gridSpan w:val="2"/>
            <w:shd w:val="clear" w:color="auto" w:fill="auto"/>
          </w:tcPr>
          <w:p w14:paraId="456DF90B" w14:textId="77777777" w:rsidR="007A1872" w:rsidRPr="00CC5FE3" w:rsidRDefault="007A1872" w:rsidP="007A1872">
            <w:pPr>
              <w:tabs>
                <w:tab w:val="left" w:pos="851"/>
              </w:tabs>
              <w:spacing w:before="0" w:line="240" w:lineRule="atLeast"/>
              <w:rPr>
                <w:rFonts w:cstheme="minorHAnsi"/>
                <w:b/>
                <w:szCs w:val="24"/>
                <w:lang w:val="es-ES"/>
              </w:rPr>
            </w:pPr>
            <w:bookmarkStart w:id="6" w:name="dbluepink" w:colFirst="0" w:colLast="0"/>
            <w:bookmarkStart w:id="7" w:name="dorlang" w:colFirst="1" w:colLast="1"/>
            <w:bookmarkEnd w:id="4"/>
            <w:bookmarkEnd w:id="5"/>
          </w:p>
        </w:tc>
        <w:tc>
          <w:tcPr>
            <w:tcW w:w="3251" w:type="dxa"/>
            <w:gridSpan w:val="2"/>
          </w:tcPr>
          <w:p w14:paraId="26F8003A" w14:textId="77777777" w:rsidR="007A1872" w:rsidRPr="00CC5FE3" w:rsidRDefault="007A1872" w:rsidP="007A1872">
            <w:pPr>
              <w:tabs>
                <w:tab w:val="left" w:pos="993"/>
              </w:tabs>
              <w:spacing w:before="0"/>
              <w:rPr>
                <w:rFonts w:cstheme="minorHAnsi"/>
                <w:b/>
                <w:szCs w:val="24"/>
                <w:lang w:val="es-ES"/>
              </w:rPr>
            </w:pPr>
            <w:r w:rsidRPr="00CC5FE3">
              <w:rPr>
                <w:rFonts w:cstheme="minorHAnsi"/>
                <w:b/>
                <w:szCs w:val="24"/>
                <w:lang w:val="es-ES"/>
              </w:rPr>
              <w:t>Original: inglés</w:t>
            </w:r>
          </w:p>
        </w:tc>
      </w:tr>
      <w:tr w:rsidR="007A1872" w:rsidRPr="00CC5FE3" w14:paraId="19FDD29A" w14:textId="77777777" w:rsidTr="00A023EF">
        <w:trPr>
          <w:cantSplit/>
          <w:trHeight w:val="23"/>
        </w:trPr>
        <w:tc>
          <w:tcPr>
            <w:tcW w:w="9781" w:type="dxa"/>
            <w:gridSpan w:val="4"/>
            <w:shd w:val="clear" w:color="auto" w:fill="auto"/>
          </w:tcPr>
          <w:p w14:paraId="51BEA647" w14:textId="4E9007DD" w:rsidR="007A1872" w:rsidRPr="00CC5FE3" w:rsidRDefault="000B7E7B" w:rsidP="007A1872">
            <w:pPr>
              <w:pStyle w:val="Source"/>
              <w:spacing w:before="240" w:after="240"/>
              <w:rPr>
                <w:lang w:val="es-ES"/>
              </w:rPr>
            </w:pPr>
            <w:r w:rsidRPr="00CC5FE3">
              <w:rPr>
                <w:lang w:val="es-ES" w:eastAsia="ko-KR"/>
              </w:rPr>
              <w:t>Presidente de la Comisión de Estudio 2 del UIT-D</w:t>
            </w:r>
          </w:p>
        </w:tc>
      </w:tr>
      <w:tr w:rsidR="007A1872" w:rsidRPr="00CC5FE3" w14:paraId="44E280E7" w14:textId="77777777" w:rsidTr="00A023EF">
        <w:trPr>
          <w:cantSplit/>
          <w:trHeight w:val="23"/>
        </w:trPr>
        <w:tc>
          <w:tcPr>
            <w:tcW w:w="9781" w:type="dxa"/>
            <w:gridSpan w:val="4"/>
            <w:shd w:val="clear" w:color="auto" w:fill="auto"/>
            <w:vAlign w:val="center"/>
          </w:tcPr>
          <w:p w14:paraId="39852B7F" w14:textId="6501A1DF" w:rsidR="007A1872" w:rsidRPr="00CC5FE3" w:rsidRDefault="000B7E7B" w:rsidP="007A1872">
            <w:pPr>
              <w:pStyle w:val="Title1"/>
              <w:spacing w:before="120" w:after="120"/>
              <w:rPr>
                <w:lang w:val="es-ES"/>
              </w:rPr>
            </w:pPr>
            <w:r w:rsidRPr="00CC5FE3">
              <w:rPr>
                <w:szCs w:val="28"/>
                <w:lang w:val="es-ES"/>
              </w:rPr>
              <w:t>Informe sobre las actividades de la comisión de estudio 2 del uit</w:t>
            </w:r>
            <w:r w:rsidRPr="00CC5FE3">
              <w:rPr>
                <w:szCs w:val="28"/>
                <w:lang w:val="es-ES"/>
              </w:rPr>
              <w:noBreakHyphen/>
              <w:t>d durante el octavo periodo de estudios entre</w:t>
            </w:r>
            <w:r w:rsidRPr="00CC5FE3">
              <w:rPr>
                <w:szCs w:val="28"/>
                <w:lang w:val="es-ES"/>
              </w:rPr>
              <w:br/>
              <w:t>la cmdt-22 y la cmdt-25</w:t>
            </w:r>
          </w:p>
        </w:tc>
      </w:tr>
      <w:tr w:rsidR="007A1872" w:rsidRPr="00CC5FE3" w14:paraId="5323F945" w14:textId="77777777" w:rsidTr="00A023EF">
        <w:trPr>
          <w:cantSplit/>
          <w:trHeight w:val="23"/>
        </w:trPr>
        <w:tc>
          <w:tcPr>
            <w:tcW w:w="9781" w:type="dxa"/>
            <w:gridSpan w:val="4"/>
            <w:shd w:val="clear" w:color="auto" w:fill="auto"/>
          </w:tcPr>
          <w:p w14:paraId="4077E89F" w14:textId="0AABE1A0" w:rsidR="007A1872" w:rsidRPr="00CC5FE3" w:rsidRDefault="007A1872" w:rsidP="007A1872">
            <w:pPr>
              <w:pStyle w:val="Title2"/>
              <w:spacing w:before="240"/>
              <w:rPr>
                <w:lang w:val="es-ES"/>
              </w:rPr>
            </w:pPr>
          </w:p>
        </w:tc>
      </w:tr>
      <w:tr w:rsidR="007A1872" w:rsidRPr="00CC5FE3" w14:paraId="04C3596F" w14:textId="77777777" w:rsidTr="00A023EF">
        <w:trPr>
          <w:cantSplit/>
          <w:trHeight w:val="23"/>
        </w:trPr>
        <w:tc>
          <w:tcPr>
            <w:tcW w:w="9781" w:type="dxa"/>
            <w:gridSpan w:val="4"/>
            <w:shd w:val="clear" w:color="auto" w:fill="auto"/>
          </w:tcPr>
          <w:p w14:paraId="261EC048" w14:textId="77777777" w:rsidR="007A1872" w:rsidRPr="00CC5FE3" w:rsidRDefault="007A1872" w:rsidP="007A1872">
            <w:pPr>
              <w:pStyle w:val="Title2"/>
              <w:spacing w:before="240"/>
              <w:rPr>
                <w:lang w:val="es-ES"/>
              </w:rPr>
            </w:pPr>
          </w:p>
        </w:tc>
      </w:tr>
      <w:bookmarkEnd w:id="6"/>
      <w:bookmarkEnd w:id="7"/>
      <w:tr w:rsidR="00A023EF" w:rsidRPr="00CC5FE3" w14:paraId="4D2778D5"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19ADF246" w14:textId="454F9426" w:rsidR="00A023EF" w:rsidRPr="00CC5FE3" w:rsidRDefault="00A023EF" w:rsidP="000B7E7B">
            <w:pPr>
              <w:pStyle w:val="Title1"/>
              <w:tabs>
                <w:tab w:val="clear" w:pos="1134"/>
                <w:tab w:val="clear" w:pos="1871"/>
                <w:tab w:val="left" w:pos="1985"/>
              </w:tabs>
              <w:spacing w:before="120"/>
              <w:jc w:val="left"/>
              <w:rPr>
                <w:lang w:val="es-ES"/>
              </w:rPr>
            </w:pPr>
            <w:r w:rsidRPr="00CC5FE3">
              <w:rPr>
                <w:rFonts w:cs="Times New Roman Bold"/>
                <w:b/>
                <w:bCs/>
                <w:caps w:val="0"/>
                <w:sz w:val="24"/>
                <w:szCs w:val="24"/>
                <w:lang w:val="es-ES"/>
              </w:rPr>
              <w:t>Área prioritaria:</w:t>
            </w:r>
            <w:r w:rsidRPr="00CC5FE3">
              <w:rPr>
                <w:rFonts w:cs="Times New Roman Bold"/>
                <w:caps w:val="0"/>
                <w:sz w:val="24"/>
                <w:szCs w:val="24"/>
                <w:lang w:val="es-ES"/>
              </w:rPr>
              <w:t xml:space="preserve"> </w:t>
            </w:r>
            <w:r w:rsidR="000B7E7B" w:rsidRPr="00CC5FE3">
              <w:rPr>
                <w:rFonts w:cs="Times New Roman Bold"/>
                <w:caps w:val="0"/>
                <w:sz w:val="24"/>
                <w:szCs w:val="24"/>
                <w:lang w:val="es-ES"/>
              </w:rPr>
              <w:t>Cuestiones de la Comisión de Estudio</w:t>
            </w:r>
          </w:p>
          <w:p w14:paraId="4134265F" w14:textId="77777777" w:rsidR="00A023EF" w:rsidRPr="00CC5FE3" w:rsidRDefault="00A023EF" w:rsidP="008D4F56">
            <w:pPr>
              <w:spacing w:after="120"/>
              <w:rPr>
                <w:b/>
                <w:bCs/>
                <w:szCs w:val="24"/>
                <w:lang w:val="es-ES"/>
              </w:rPr>
            </w:pPr>
            <w:r w:rsidRPr="00CC5FE3">
              <w:rPr>
                <w:b/>
                <w:bCs/>
                <w:szCs w:val="24"/>
                <w:lang w:val="es-ES"/>
              </w:rPr>
              <w:t>Resumen:</w:t>
            </w:r>
          </w:p>
          <w:p w14:paraId="08B0D42C" w14:textId="5A94F7A0" w:rsidR="00A023EF" w:rsidRPr="00CC5FE3" w:rsidRDefault="000B7E7B" w:rsidP="008D4F56">
            <w:pPr>
              <w:spacing w:after="120"/>
              <w:rPr>
                <w:szCs w:val="24"/>
                <w:lang w:val="es-ES"/>
              </w:rPr>
            </w:pPr>
            <w:r w:rsidRPr="00CC5FE3">
              <w:rPr>
                <w:lang w:val="es-ES"/>
              </w:rPr>
              <w:t>En el presente informe se resumen las actividades llevadas a cabo por la Comisión de Estudio</w:t>
            </w:r>
            <w:r w:rsidR="00312D78" w:rsidRPr="00CC5FE3">
              <w:rPr>
                <w:lang w:val="es-ES"/>
              </w:rPr>
              <w:t> </w:t>
            </w:r>
            <w:r w:rsidRPr="00CC5FE3">
              <w:rPr>
                <w:lang w:val="es-ES"/>
              </w:rPr>
              <w:t>2 durante el octavo periodo de estudios.</w:t>
            </w:r>
          </w:p>
          <w:p w14:paraId="02C83E4E" w14:textId="77777777" w:rsidR="00A023EF" w:rsidRPr="00CC5FE3" w:rsidRDefault="00A023EF" w:rsidP="008D4F56">
            <w:pPr>
              <w:spacing w:after="120"/>
              <w:rPr>
                <w:b/>
                <w:bCs/>
                <w:szCs w:val="24"/>
                <w:lang w:val="es-ES"/>
              </w:rPr>
            </w:pPr>
            <w:r w:rsidRPr="00CC5FE3">
              <w:rPr>
                <w:b/>
                <w:bCs/>
                <w:szCs w:val="24"/>
                <w:lang w:val="es-ES"/>
              </w:rPr>
              <w:t>Resultados previstos:</w:t>
            </w:r>
          </w:p>
          <w:p w14:paraId="570AF127" w14:textId="3C49AA9F" w:rsidR="00A023EF" w:rsidRPr="00CC5FE3" w:rsidRDefault="000B7E7B" w:rsidP="008D4F56">
            <w:pPr>
              <w:spacing w:after="120"/>
              <w:rPr>
                <w:szCs w:val="24"/>
                <w:lang w:val="es-ES"/>
              </w:rPr>
            </w:pPr>
            <w:r w:rsidRPr="00CC5FE3">
              <w:rPr>
                <w:lang w:val="es-ES" w:eastAsia="ko-KR"/>
              </w:rPr>
              <w:t>Se invita a la CMDT-25 a tomar nota del presente documento.</w:t>
            </w:r>
          </w:p>
          <w:p w14:paraId="59D25590" w14:textId="77777777" w:rsidR="00A023EF" w:rsidRPr="00CC5FE3" w:rsidRDefault="00A023EF" w:rsidP="008D4F56">
            <w:pPr>
              <w:spacing w:after="120"/>
              <w:rPr>
                <w:b/>
                <w:bCs/>
                <w:szCs w:val="24"/>
                <w:lang w:val="es-ES"/>
              </w:rPr>
            </w:pPr>
            <w:r w:rsidRPr="00CC5FE3">
              <w:rPr>
                <w:b/>
                <w:bCs/>
                <w:szCs w:val="24"/>
                <w:lang w:val="es-ES"/>
              </w:rPr>
              <w:t>Referencias:</w:t>
            </w:r>
          </w:p>
          <w:p w14:paraId="75295179" w14:textId="2125B645" w:rsidR="00A023EF" w:rsidRPr="00CC5FE3" w:rsidRDefault="00895CEE" w:rsidP="008D4F56">
            <w:pPr>
              <w:rPr>
                <w:lang w:val="es-ES"/>
              </w:rPr>
            </w:pPr>
            <w:hyperlink r:id="rId14" w:history="1">
              <w:r w:rsidR="000B7E7B" w:rsidRPr="00CC5FE3">
                <w:rPr>
                  <w:rStyle w:val="Hyperlink"/>
                  <w:szCs w:val="18"/>
                  <w:lang w:val="es-ES"/>
                </w:rPr>
                <w:t>TDAG</w:t>
              </w:r>
              <w:r w:rsidR="000B7E7B" w:rsidRPr="00CC5FE3">
                <w:rPr>
                  <w:rStyle w:val="Hyperlink"/>
                  <w:rFonts w:eastAsia="Malgun Gothic"/>
                  <w:szCs w:val="18"/>
                  <w:lang w:val="es-ES" w:eastAsia="ko-KR"/>
                </w:rPr>
                <w:t>-23</w:t>
              </w:r>
              <w:r w:rsidR="000B7E7B" w:rsidRPr="00CC5FE3">
                <w:rPr>
                  <w:rStyle w:val="Hyperlink"/>
                  <w:szCs w:val="18"/>
                  <w:lang w:val="es-ES"/>
                </w:rPr>
                <w:t>/6</w:t>
              </w:r>
            </w:hyperlink>
            <w:r w:rsidR="000B7E7B" w:rsidRPr="00CC5FE3">
              <w:rPr>
                <w:rFonts w:eastAsia="Malgun Gothic"/>
                <w:szCs w:val="18"/>
                <w:lang w:val="es-ES" w:eastAsia="ko-KR"/>
              </w:rPr>
              <w:t xml:space="preserve"> (2023)</w:t>
            </w:r>
            <w:r w:rsidR="000B7E7B" w:rsidRPr="00CC5FE3">
              <w:rPr>
                <w:szCs w:val="18"/>
                <w:lang w:val="es-ES"/>
              </w:rPr>
              <w:t xml:space="preserve">, </w:t>
            </w:r>
            <w:hyperlink r:id="rId15" w:history="1">
              <w:r w:rsidR="000B7E7B" w:rsidRPr="00CC5FE3">
                <w:rPr>
                  <w:rStyle w:val="Hyperlink"/>
                  <w:szCs w:val="18"/>
                  <w:lang w:val="es-ES"/>
                </w:rPr>
                <w:t>TDAG</w:t>
              </w:r>
              <w:r w:rsidR="000B7E7B" w:rsidRPr="00CC5FE3">
                <w:rPr>
                  <w:rStyle w:val="Hyperlink"/>
                  <w:rFonts w:eastAsia="Malgun Gothic"/>
                  <w:szCs w:val="18"/>
                  <w:lang w:val="es-ES" w:eastAsia="ko-KR"/>
                </w:rPr>
                <w:t>-24</w:t>
              </w:r>
              <w:r w:rsidR="000B7E7B" w:rsidRPr="00CC5FE3">
                <w:rPr>
                  <w:rStyle w:val="Hyperlink"/>
                  <w:szCs w:val="18"/>
                  <w:lang w:val="es-ES"/>
                </w:rPr>
                <w:t>/6</w:t>
              </w:r>
            </w:hyperlink>
            <w:r w:rsidR="000B7E7B" w:rsidRPr="00CC5FE3">
              <w:rPr>
                <w:rFonts w:eastAsia="Malgun Gothic"/>
                <w:szCs w:val="18"/>
                <w:lang w:val="es-ES" w:eastAsia="ko-KR"/>
              </w:rPr>
              <w:t xml:space="preserve"> (2024), </w:t>
            </w:r>
            <w:hyperlink r:id="rId16" w:history="1">
              <w:r w:rsidR="000B7E7B" w:rsidRPr="00CC5FE3">
                <w:rPr>
                  <w:rStyle w:val="Hyperlink"/>
                  <w:rFonts w:eastAsia="Malgun Gothic"/>
                  <w:szCs w:val="18"/>
                  <w:lang w:val="es-ES" w:eastAsia="ko-KR"/>
                </w:rPr>
                <w:t>TDAG-25/7</w:t>
              </w:r>
            </w:hyperlink>
            <w:r w:rsidR="000B7E7B" w:rsidRPr="00CC5FE3">
              <w:rPr>
                <w:rFonts w:eastAsia="Malgun Gothic"/>
                <w:szCs w:val="18"/>
                <w:lang w:val="es-ES" w:eastAsia="ko-KR"/>
              </w:rPr>
              <w:t xml:space="preserve"> (2025), </w:t>
            </w:r>
            <w:hyperlink r:id="rId17" w:history="1">
              <w:r w:rsidR="000B7E7B" w:rsidRPr="00CC5FE3">
                <w:rPr>
                  <w:rStyle w:val="Hyperlink"/>
                  <w:szCs w:val="22"/>
                  <w:lang w:val="es-ES"/>
                </w:rPr>
                <w:t>2/REP/</w:t>
              </w:r>
              <w:r w:rsidR="000B7E7B" w:rsidRPr="00CC5FE3">
                <w:rPr>
                  <w:rStyle w:val="Hyperlink"/>
                  <w:rFonts w:eastAsia="Malgun Gothic"/>
                  <w:szCs w:val="22"/>
                  <w:lang w:val="es-ES" w:eastAsia="ko-KR"/>
                </w:rPr>
                <w:t>8</w:t>
              </w:r>
            </w:hyperlink>
            <w:r w:rsidR="000B7E7B" w:rsidRPr="00CC5FE3">
              <w:rPr>
                <w:szCs w:val="22"/>
                <w:lang w:val="es-ES"/>
              </w:rPr>
              <w:t xml:space="preserve"> (202</w:t>
            </w:r>
            <w:r w:rsidR="000B7E7B" w:rsidRPr="00CC5FE3">
              <w:rPr>
                <w:rFonts w:eastAsia="Malgun Gothic"/>
                <w:szCs w:val="22"/>
                <w:lang w:val="es-ES" w:eastAsia="ko-KR"/>
              </w:rPr>
              <w:t>2</w:t>
            </w:r>
            <w:r w:rsidR="000B7E7B" w:rsidRPr="00CC5FE3">
              <w:rPr>
                <w:szCs w:val="22"/>
                <w:lang w:val="es-ES"/>
              </w:rPr>
              <w:t>)</w:t>
            </w:r>
            <w:r w:rsidR="000B7E7B" w:rsidRPr="00CC5FE3">
              <w:rPr>
                <w:rFonts w:eastAsia="Malgun Gothic"/>
                <w:szCs w:val="22"/>
                <w:lang w:val="es-ES" w:eastAsia="ko-KR"/>
              </w:rPr>
              <w:t xml:space="preserve">, </w:t>
            </w:r>
            <w:hyperlink r:id="rId18" w:history="1">
              <w:r w:rsidR="000B7E7B" w:rsidRPr="00CC5FE3">
                <w:rPr>
                  <w:rStyle w:val="Hyperlink"/>
                  <w:szCs w:val="22"/>
                  <w:lang w:val="es-ES"/>
                </w:rPr>
                <w:t>2/REP/</w:t>
              </w:r>
              <w:r w:rsidR="000B7E7B" w:rsidRPr="00CC5FE3">
                <w:rPr>
                  <w:rStyle w:val="Hyperlink"/>
                  <w:rFonts w:eastAsia="Malgun Gothic"/>
                  <w:szCs w:val="22"/>
                  <w:lang w:val="es-ES" w:eastAsia="ko-KR"/>
                </w:rPr>
                <w:t>9</w:t>
              </w:r>
            </w:hyperlink>
            <w:r w:rsidR="000B7E7B" w:rsidRPr="00CC5FE3">
              <w:rPr>
                <w:szCs w:val="22"/>
                <w:lang w:val="es-ES"/>
              </w:rPr>
              <w:t xml:space="preserve"> (202</w:t>
            </w:r>
            <w:r w:rsidR="000B7E7B" w:rsidRPr="00CC5FE3">
              <w:rPr>
                <w:rFonts w:eastAsia="Malgun Gothic"/>
                <w:szCs w:val="22"/>
                <w:lang w:val="es-ES" w:eastAsia="ko-KR"/>
              </w:rPr>
              <w:t>3</w:t>
            </w:r>
            <w:r w:rsidR="000B7E7B" w:rsidRPr="00CC5FE3">
              <w:rPr>
                <w:szCs w:val="22"/>
                <w:lang w:val="es-ES"/>
              </w:rPr>
              <w:t>)</w:t>
            </w:r>
            <w:r w:rsidR="000B7E7B" w:rsidRPr="00CC5FE3">
              <w:rPr>
                <w:rFonts w:eastAsia="Malgun Gothic"/>
                <w:szCs w:val="22"/>
                <w:lang w:val="es-ES" w:eastAsia="ko-KR"/>
              </w:rPr>
              <w:t xml:space="preserve">, </w:t>
            </w:r>
            <w:hyperlink r:id="rId19" w:history="1">
              <w:r w:rsidR="000B7E7B" w:rsidRPr="00CC5FE3">
                <w:rPr>
                  <w:rStyle w:val="Hyperlink"/>
                  <w:rFonts w:eastAsia="Malgun Gothic"/>
                  <w:szCs w:val="22"/>
                  <w:lang w:val="es-ES" w:eastAsia="ko-KR"/>
                </w:rPr>
                <w:t>2/REP/17</w:t>
              </w:r>
            </w:hyperlink>
            <w:r w:rsidR="000B7E7B" w:rsidRPr="00CC5FE3">
              <w:rPr>
                <w:rFonts w:eastAsia="Malgun Gothic"/>
                <w:szCs w:val="22"/>
                <w:lang w:val="es-ES" w:eastAsia="ko-KR"/>
              </w:rPr>
              <w:t xml:space="preserve"> (2024), </w:t>
            </w:r>
            <w:hyperlink r:id="rId20" w:history="1">
              <w:r w:rsidR="000B7E7B" w:rsidRPr="00CC5FE3">
                <w:rPr>
                  <w:rStyle w:val="Hyperlink"/>
                  <w:rFonts w:eastAsia="Malgun Gothic"/>
                  <w:szCs w:val="22"/>
                  <w:lang w:val="es-ES" w:eastAsia="ko-KR"/>
                </w:rPr>
                <w:t>2/REP/25</w:t>
              </w:r>
            </w:hyperlink>
            <w:r w:rsidR="000B7E7B" w:rsidRPr="00CC5FE3">
              <w:rPr>
                <w:rFonts w:eastAsia="Malgun Gothic"/>
                <w:szCs w:val="22"/>
                <w:lang w:val="es-ES" w:eastAsia="ko-KR"/>
              </w:rPr>
              <w:t xml:space="preserve"> (2025)</w:t>
            </w:r>
          </w:p>
        </w:tc>
      </w:tr>
    </w:tbl>
    <w:p w14:paraId="7E53502D" w14:textId="77777777" w:rsidR="00A023EF" w:rsidRPr="00CC5FE3" w:rsidRDefault="00A023EF" w:rsidP="00A023EF">
      <w:pPr>
        <w:rPr>
          <w:lang w:val="es-ES"/>
        </w:rPr>
      </w:pPr>
    </w:p>
    <w:p w14:paraId="5D37D584" w14:textId="77777777" w:rsidR="00A023EF" w:rsidRPr="00CC5FE3" w:rsidRDefault="00A023EF">
      <w:pPr>
        <w:tabs>
          <w:tab w:val="clear" w:pos="1134"/>
          <w:tab w:val="clear" w:pos="1871"/>
          <w:tab w:val="clear" w:pos="2268"/>
        </w:tabs>
        <w:overflowPunct/>
        <w:autoSpaceDE/>
        <w:autoSpaceDN/>
        <w:adjustRightInd/>
        <w:spacing w:before="0"/>
        <w:textAlignment w:val="auto"/>
        <w:rPr>
          <w:lang w:val="es-ES"/>
        </w:rPr>
      </w:pPr>
      <w:r w:rsidRPr="00CC5FE3">
        <w:rPr>
          <w:lang w:val="es-ES"/>
        </w:rPr>
        <w:br w:type="page"/>
      </w:r>
    </w:p>
    <w:p w14:paraId="27EAD1F3" w14:textId="77777777" w:rsidR="000B7E7B" w:rsidRPr="00CC5FE3" w:rsidRDefault="000B7E7B" w:rsidP="00312D78">
      <w:pPr>
        <w:pStyle w:val="Headingb"/>
        <w:rPr>
          <w:lang w:val="es-ES"/>
        </w:rPr>
      </w:pPr>
      <w:r w:rsidRPr="00CC5FE3">
        <w:rPr>
          <w:lang w:val="es-ES"/>
        </w:rPr>
        <w:lastRenderedPageBreak/>
        <w:t>Introducción</w:t>
      </w:r>
    </w:p>
    <w:p w14:paraId="768517CA" w14:textId="3AB01A71" w:rsidR="000B7E7B" w:rsidRPr="00CC5FE3" w:rsidRDefault="000B7E7B" w:rsidP="00312D78">
      <w:pPr>
        <w:rPr>
          <w:lang w:val="es-ES"/>
        </w:rPr>
      </w:pPr>
      <w:r w:rsidRPr="00CC5FE3">
        <w:rPr>
          <w:lang w:val="es-ES"/>
        </w:rPr>
        <w:t>El informe abarca el octavo periodo de estudios de la Comisión de Estudio 2 del UIT-D. La CE</w:t>
      </w:r>
      <w:r w:rsidR="00312D78" w:rsidRPr="00CC5FE3">
        <w:rPr>
          <w:lang w:val="es-ES"/>
        </w:rPr>
        <w:t> </w:t>
      </w:r>
      <w:r w:rsidRPr="00CC5FE3">
        <w:rPr>
          <w:lang w:val="es-ES"/>
        </w:rPr>
        <w:t>2 concluyó sus trabajos en su cuarta y última reunión, celebrada en Ginebral del 5 al 9 de mayo de</w:t>
      </w:r>
      <w:r w:rsidR="00312D78" w:rsidRPr="00CC5FE3">
        <w:rPr>
          <w:lang w:val="es-ES"/>
        </w:rPr>
        <w:t> </w:t>
      </w:r>
      <w:r w:rsidRPr="00CC5FE3">
        <w:rPr>
          <w:lang w:val="es-ES"/>
        </w:rPr>
        <w:t>2025, en la que se aprobaron los informes de resultados de las siete Cuestiones. El periodo de estudio 2022</w:t>
      </w:r>
      <w:r w:rsidR="00312D78" w:rsidRPr="00CC5FE3">
        <w:rPr>
          <w:lang w:val="es-ES"/>
        </w:rPr>
        <w:noBreakHyphen/>
      </w:r>
      <w:r w:rsidRPr="00CC5FE3">
        <w:rPr>
          <w:lang w:val="es-ES"/>
        </w:rPr>
        <w:t>2025 de la CE</w:t>
      </w:r>
      <w:r w:rsidR="00312D78" w:rsidRPr="00CC5FE3">
        <w:rPr>
          <w:lang w:val="es-ES"/>
        </w:rPr>
        <w:t> </w:t>
      </w:r>
      <w:r w:rsidRPr="00CC5FE3">
        <w:rPr>
          <w:lang w:val="es-ES"/>
        </w:rPr>
        <w:t>2 concluyó hasta la fecha:</w:t>
      </w:r>
    </w:p>
    <w:p w14:paraId="6AEE8948" w14:textId="376AB290" w:rsidR="000B7E7B" w:rsidRPr="00CC5FE3" w:rsidRDefault="00312D78" w:rsidP="00312D78">
      <w:pPr>
        <w:pStyle w:val="enumlev1"/>
        <w:rPr>
          <w:lang w:val="es-ES"/>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dos productos intermedios</w:t>
      </w:r>
      <w:r w:rsidR="000B7E7B" w:rsidRPr="00CC5FE3">
        <w:rPr>
          <w:rStyle w:val="FootnoteReference"/>
          <w:lang w:val="es-ES"/>
        </w:rPr>
        <w:footnoteReference w:id="1"/>
      </w:r>
      <w:r w:rsidR="000B7E7B" w:rsidRPr="00CC5FE3">
        <w:rPr>
          <w:rFonts w:eastAsia="Malgun Gothic"/>
          <w:lang w:val="es-ES" w:eastAsia="ko-KR"/>
        </w:rPr>
        <w:t>:</w:t>
      </w:r>
    </w:p>
    <w:p w14:paraId="5C157462" w14:textId="29B9CDD6" w:rsidR="000B7E7B" w:rsidRPr="00CC5FE3" w:rsidRDefault="00312D78" w:rsidP="00312D78">
      <w:pPr>
        <w:pStyle w:val="enumlev2"/>
        <w:rPr>
          <w:lang w:val="es-ES"/>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Prácticas para garantizar la cibeseguridad (por la Cuestión 3/2), publicado en</w:t>
      </w:r>
      <w:r w:rsidRPr="00CC5FE3">
        <w:rPr>
          <w:rFonts w:eastAsia="Malgun Gothic"/>
          <w:lang w:val="es-ES" w:eastAsia="ko-KR"/>
        </w:rPr>
        <w:t> </w:t>
      </w:r>
      <w:r w:rsidR="000B7E7B" w:rsidRPr="00CC5FE3">
        <w:rPr>
          <w:rFonts w:eastAsia="Malgun Gothic"/>
          <w:lang w:val="es-ES" w:eastAsia="ko-KR"/>
        </w:rPr>
        <w:t>2024</w:t>
      </w:r>
      <w:r w:rsidRPr="00CC5FE3">
        <w:rPr>
          <w:rFonts w:eastAsia="Malgun Gothic"/>
          <w:lang w:val="es-ES" w:eastAsia="ko-KR"/>
        </w:rPr>
        <w:t>.</w:t>
      </w:r>
    </w:p>
    <w:p w14:paraId="3E1EBCBA" w14:textId="581A5765" w:rsidR="000B7E7B" w:rsidRPr="00CC5FE3" w:rsidRDefault="00312D78" w:rsidP="00312D78">
      <w:pPr>
        <w:pStyle w:val="enumlev2"/>
        <w:rPr>
          <w:lang w:val="es-ES"/>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Ciberseguridad 5G (por la Cuestión 3/2), publicado en 2025</w:t>
      </w:r>
      <w:r w:rsidRPr="00CC5FE3">
        <w:rPr>
          <w:rFonts w:eastAsia="Malgun Gothic"/>
          <w:lang w:val="es-ES" w:eastAsia="ko-KR"/>
        </w:rPr>
        <w:t>;</w:t>
      </w:r>
    </w:p>
    <w:p w14:paraId="3C3AFF57" w14:textId="1EEB3D4B" w:rsidR="000B7E7B" w:rsidRPr="00CC5FE3" w:rsidRDefault="00312D78" w:rsidP="00312D78">
      <w:pPr>
        <w:pStyle w:val="enumlev1"/>
        <w:rPr>
          <w:lang w:val="es-ES"/>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 xml:space="preserve">cuatro </w:t>
      </w:r>
      <w:r w:rsidR="00CC5FE3" w:rsidRPr="00CC5FE3">
        <w:rPr>
          <w:rFonts w:eastAsia="Malgun Gothic"/>
          <w:lang w:val="es-ES" w:eastAsia="ko-KR"/>
        </w:rPr>
        <w:t>reuniones</w:t>
      </w:r>
      <w:r w:rsidR="000B7E7B" w:rsidRPr="00CC5FE3">
        <w:rPr>
          <w:rFonts w:eastAsia="Malgun Gothic"/>
          <w:lang w:val="es-ES" w:eastAsia="ko-KR"/>
        </w:rPr>
        <w:t xml:space="preserve"> anuales de la Comisión de Estudio desde 2022 hasta 2025</w:t>
      </w:r>
      <w:r w:rsidRPr="00CC5FE3">
        <w:rPr>
          <w:rFonts w:eastAsia="Malgun Gothic"/>
          <w:lang w:val="es-ES" w:eastAsia="ko-KR"/>
        </w:rPr>
        <w:t>;</w:t>
      </w:r>
    </w:p>
    <w:p w14:paraId="3E62894B" w14:textId="2291BA1C" w:rsidR="000B7E7B" w:rsidRPr="00CC5FE3" w:rsidRDefault="00312D78" w:rsidP="00312D78">
      <w:pPr>
        <w:pStyle w:val="enumlev1"/>
        <w:rPr>
          <w:lang w:val="es-ES"/>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 xml:space="preserve">dos </w:t>
      </w:r>
      <w:r w:rsidR="000B7E7B" w:rsidRPr="00CC5FE3">
        <w:rPr>
          <w:lang w:val="es-ES"/>
        </w:rPr>
        <w:t>reuniones anuales a nivel de Grupos de Relator para las Cuestiones (RGQ) en 2023 y 2024</w:t>
      </w:r>
      <w:r w:rsidRPr="00CC5FE3">
        <w:rPr>
          <w:lang w:val="es-ES"/>
        </w:rPr>
        <w:t>;</w:t>
      </w:r>
    </w:p>
    <w:p w14:paraId="6539D02B" w14:textId="72E44E65" w:rsidR="000B7E7B" w:rsidRPr="00CC5FE3" w:rsidRDefault="00312D78" w:rsidP="00312D78">
      <w:pPr>
        <w:pStyle w:val="enumlev1"/>
        <w:rPr>
          <w:lang w:val="es-ES"/>
        </w:rPr>
      </w:pPr>
      <w:r w:rsidRPr="00CC5FE3">
        <w:rPr>
          <w:lang w:val="es-ES"/>
        </w:rPr>
        <w:t>–</w:t>
      </w:r>
      <w:r w:rsidRPr="00CC5FE3">
        <w:rPr>
          <w:lang w:val="es-ES"/>
        </w:rPr>
        <w:tab/>
      </w:r>
      <w:r w:rsidR="000B7E7B" w:rsidRPr="00CC5FE3">
        <w:rPr>
          <w:lang w:val="es-ES"/>
        </w:rPr>
        <w:t>entrevistas en video realizadas por dos (co)rrelatores de productos intermedios</w:t>
      </w:r>
      <w:r w:rsidR="000B7E7B" w:rsidRPr="00CC5FE3">
        <w:rPr>
          <w:rStyle w:val="FootnoteReference"/>
          <w:lang w:val="es-ES"/>
        </w:rPr>
        <w:footnoteReference w:id="2"/>
      </w:r>
      <w:r w:rsidRPr="00CC5FE3">
        <w:rPr>
          <w:lang w:val="es-ES"/>
        </w:rPr>
        <w:t>;</w:t>
      </w:r>
    </w:p>
    <w:p w14:paraId="75F3FE39" w14:textId="3BA07F6A" w:rsidR="000B7E7B" w:rsidRPr="00CC5FE3" w:rsidRDefault="00312D78" w:rsidP="00312D78">
      <w:pPr>
        <w:pStyle w:val="enumlev1"/>
        <w:rPr>
          <w:rStyle w:val="FootnoteReference"/>
          <w:szCs w:val="24"/>
          <w:lang w:val="es-ES"/>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17 talleres y otros eventos</w:t>
      </w:r>
      <w:r w:rsidR="000B7E7B" w:rsidRPr="00CC5FE3">
        <w:rPr>
          <w:rStyle w:val="FootnoteReference"/>
          <w:lang w:val="es-ES"/>
        </w:rPr>
        <w:footnoteReference w:id="3"/>
      </w:r>
      <w:r w:rsidR="000B7E7B" w:rsidRPr="00CC5FE3">
        <w:rPr>
          <w:rFonts w:eastAsia="Malgun Gothic"/>
          <w:lang w:val="es-ES" w:eastAsia="ko-KR"/>
        </w:rPr>
        <w:t xml:space="preserve"> celebrados </w:t>
      </w:r>
      <w:proofErr w:type="gramStart"/>
      <w:r w:rsidR="000B7E7B" w:rsidRPr="00CC5FE3">
        <w:rPr>
          <w:rFonts w:eastAsia="Malgun Gothic"/>
          <w:lang w:val="es-ES" w:eastAsia="ko-KR"/>
        </w:rPr>
        <w:t>conjuntamente con</w:t>
      </w:r>
      <w:proofErr w:type="gramEnd"/>
      <w:r w:rsidR="000B7E7B" w:rsidRPr="00CC5FE3">
        <w:rPr>
          <w:rFonts w:eastAsia="Malgun Gothic"/>
          <w:lang w:val="es-ES" w:eastAsia="ko-KR"/>
        </w:rPr>
        <w:t xml:space="preserve"> las reuniones de los Grupos de Relator</w:t>
      </w:r>
      <w:r w:rsidRPr="00CC5FE3">
        <w:rPr>
          <w:rFonts w:eastAsia="Malgun Gothic"/>
          <w:lang w:val="es-ES" w:eastAsia="ko-KR"/>
        </w:rPr>
        <w:t>.</w:t>
      </w:r>
    </w:p>
    <w:p w14:paraId="2C6CD389" w14:textId="37FFECAC" w:rsidR="000B7E7B" w:rsidRPr="00CC5FE3" w:rsidRDefault="000B7E7B" w:rsidP="00312D78">
      <w:pPr>
        <w:rPr>
          <w:lang w:val="es-ES"/>
        </w:rPr>
      </w:pPr>
      <w:r w:rsidRPr="00CC5FE3">
        <w:rPr>
          <w:lang w:val="es-ES"/>
        </w:rPr>
        <w:t>Un taller regional</w:t>
      </w:r>
      <w:r w:rsidRPr="00CC5FE3">
        <w:rPr>
          <w:rStyle w:val="FootnoteReference"/>
          <w:lang w:val="es-ES"/>
        </w:rPr>
        <w:footnoteReference w:id="4"/>
      </w:r>
      <w:r w:rsidRPr="00CC5FE3">
        <w:rPr>
          <w:lang w:val="es-ES"/>
        </w:rPr>
        <w:t xml:space="preserve"> sobre sensibilización de los consumidores celebrado del 18 al 20 de junio de</w:t>
      </w:r>
      <w:r w:rsidR="00312D78" w:rsidRPr="00CC5FE3">
        <w:rPr>
          <w:lang w:val="es-ES"/>
        </w:rPr>
        <w:t> </w:t>
      </w:r>
      <w:r w:rsidRPr="00CC5FE3">
        <w:rPr>
          <w:lang w:val="es-ES"/>
        </w:rPr>
        <w:t>2024 en Brasilia y organizado por Anatel, en colaboración con la CE</w:t>
      </w:r>
      <w:r w:rsidR="00312D78" w:rsidRPr="00CC5FE3">
        <w:rPr>
          <w:lang w:val="es-ES"/>
        </w:rPr>
        <w:t> </w:t>
      </w:r>
      <w:r w:rsidRPr="00CC5FE3">
        <w:rPr>
          <w:lang w:val="es-ES"/>
        </w:rPr>
        <w:t>1 del UIT</w:t>
      </w:r>
      <w:r w:rsidR="00312D78" w:rsidRPr="00CC5FE3">
        <w:rPr>
          <w:lang w:val="es-ES"/>
        </w:rPr>
        <w:noBreakHyphen/>
      </w:r>
      <w:r w:rsidRPr="00CC5FE3">
        <w:rPr>
          <w:lang w:val="es-ES"/>
        </w:rPr>
        <w:t>D y la Oficina Regional de la UIT para las Américas.</w:t>
      </w:r>
    </w:p>
    <w:p w14:paraId="65FBE7F0" w14:textId="5410590C" w:rsidR="000B7E7B" w:rsidRPr="00CC5FE3" w:rsidRDefault="00312D78" w:rsidP="00312D78">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113 declaraciones de coordinación recibidas (a nivel de la CE 2 y los Grupos de Relator para las Cuestiones)</w:t>
      </w:r>
      <w:r w:rsidRPr="00CC5FE3">
        <w:rPr>
          <w:rFonts w:eastAsia="Malgun Gothic"/>
          <w:lang w:val="es-ES" w:eastAsia="ko-KR"/>
        </w:rPr>
        <w:t>.</w:t>
      </w:r>
    </w:p>
    <w:p w14:paraId="0BFDD2BC" w14:textId="17111422" w:rsidR="000B7E7B" w:rsidRPr="00CC5FE3" w:rsidRDefault="00312D78" w:rsidP="00312D78">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27 declaraciones de coordinación enviadas (a nivel de la CE 2 y los Grupos de Relator para las Cuestiones)</w:t>
      </w:r>
      <w:r w:rsidRPr="00CC5FE3">
        <w:rPr>
          <w:rFonts w:eastAsia="Malgun Gothic"/>
          <w:lang w:val="es-ES" w:eastAsia="ko-KR"/>
        </w:rPr>
        <w:t>.</w:t>
      </w:r>
    </w:p>
    <w:p w14:paraId="238A2308" w14:textId="37D8565D" w:rsidR="000B7E7B" w:rsidRPr="00CC5FE3" w:rsidRDefault="00312D78" w:rsidP="00312D78">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482 contribuciones únicas (Miembros, equipos de dirección de la CE</w:t>
      </w:r>
      <w:r w:rsidRPr="00CC5FE3">
        <w:rPr>
          <w:rFonts w:eastAsia="Malgun Gothic"/>
          <w:lang w:val="es-ES" w:eastAsia="ko-KR"/>
        </w:rPr>
        <w:t> </w:t>
      </w:r>
      <w:r w:rsidR="000B7E7B" w:rsidRPr="00CC5FE3">
        <w:rPr>
          <w:rFonts w:eastAsia="Malgun Gothic"/>
          <w:lang w:val="es-ES" w:eastAsia="ko-KR"/>
        </w:rPr>
        <w:t>2 y UIT) recibidas.</w:t>
      </w:r>
    </w:p>
    <w:p w14:paraId="056EAE3F" w14:textId="4BA02FB3" w:rsidR="000B7E7B" w:rsidRPr="00CC5FE3" w:rsidRDefault="00312D78" w:rsidP="00312D78">
      <w:pPr>
        <w:pStyle w:val="enumlev1"/>
        <w:rPr>
          <w:lang w:val="es-ES"/>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 xml:space="preserve">269 </w:t>
      </w:r>
      <w:r w:rsidR="000B7E7B" w:rsidRPr="00CC5FE3">
        <w:rPr>
          <w:lang w:val="es-ES"/>
        </w:rPr>
        <w:t>participantes como máximo en la sesión plenaria de la CE 2 (primera reunión en</w:t>
      </w:r>
      <w:r w:rsidRPr="00CC5FE3">
        <w:rPr>
          <w:lang w:val="es-ES"/>
        </w:rPr>
        <w:t> </w:t>
      </w:r>
      <w:r w:rsidR="000B7E7B" w:rsidRPr="00CC5FE3">
        <w:rPr>
          <w:lang w:val="es-ES"/>
        </w:rPr>
        <w:t>2022)</w:t>
      </w:r>
      <w:r w:rsidRPr="00CC5FE3">
        <w:rPr>
          <w:lang w:val="es-ES"/>
        </w:rPr>
        <w:t>.</w:t>
      </w:r>
    </w:p>
    <w:p w14:paraId="021F4D2E" w14:textId="2A62BAF1" w:rsidR="000B7E7B" w:rsidRPr="00CC5FE3" w:rsidRDefault="00312D78" w:rsidP="00312D78">
      <w:pPr>
        <w:pStyle w:val="enumlev1"/>
        <w:rPr>
          <w:lang w:val="es-ES"/>
        </w:rPr>
      </w:pPr>
      <w:r w:rsidRPr="00CC5FE3">
        <w:rPr>
          <w:lang w:val="es-ES"/>
        </w:rPr>
        <w:t>–</w:t>
      </w:r>
      <w:r w:rsidRPr="00CC5FE3">
        <w:rPr>
          <w:lang w:val="es-ES"/>
        </w:rPr>
        <w:tab/>
      </w:r>
      <w:r w:rsidR="000B7E7B" w:rsidRPr="00CC5FE3">
        <w:rPr>
          <w:lang w:val="es-ES"/>
        </w:rPr>
        <w:t>45 % de participación femenina como máximo en la sesión plenaria de la CE</w:t>
      </w:r>
      <w:r w:rsidRPr="00CC5FE3">
        <w:rPr>
          <w:lang w:val="es-ES"/>
        </w:rPr>
        <w:t> </w:t>
      </w:r>
      <w:r w:rsidR="000B7E7B" w:rsidRPr="00CC5FE3">
        <w:rPr>
          <w:lang w:val="es-ES"/>
        </w:rPr>
        <w:t>2 (segunda reunión en 2023)</w:t>
      </w:r>
      <w:r w:rsidRPr="00CC5FE3">
        <w:rPr>
          <w:lang w:val="es-ES"/>
        </w:rPr>
        <w:t>.</w:t>
      </w:r>
    </w:p>
    <w:p w14:paraId="05E08A39" w14:textId="3022318D" w:rsidR="000B7E7B" w:rsidRPr="00CC5FE3" w:rsidRDefault="00312D78" w:rsidP="00312D78">
      <w:pPr>
        <w:pStyle w:val="enumlev1"/>
        <w:rPr>
          <w:lang w:val="es-ES"/>
        </w:rPr>
      </w:pPr>
      <w:r w:rsidRPr="00CC5FE3">
        <w:rPr>
          <w:lang w:val="es-ES"/>
        </w:rPr>
        <w:t>–</w:t>
      </w:r>
      <w:r w:rsidRPr="00CC5FE3">
        <w:rPr>
          <w:lang w:val="es-ES"/>
        </w:rPr>
        <w:tab/>
      </w:r>
      <w:r w:rsidR="000B7E7B" w:rsidRPr="00CC5FE3">
        <w:rPr>
          <w:lang w:val="es-ES"/>
        </w:rPr>
        <w:t>2</w:t>
      </w:r>
      <w:r w:rsidR="000B7E7B" w:rsidRPr="00CC5FE3">
        <w:rPr>
          <w:rFonts w:eastAsia="Malgun Gothic"/>
          <w:lang w:val="es-ES" w:eastAsia="ko-KR"/>
        </w:rPr>
        <w:t>21</w:t>
      </w:r>
      <w:r w:rsidR="000B7E7B" w:rsidRPr="00CC5FE3">
        <w:rPr>
          <w:lang w:val="es-ES"/>
        </w:rPr>
        <w:t xml:space="preserve"> participantes como máximo en la reunión a nivel del Grupo de Relator para la Cuestión (</w:t>
      </w:r>
      <w:r w:rsidR="000B7E7B" w:rsidRPr="00CC5FE3">
        <w:rPr>
          <w:rFonts w:eastAsia="Malgun Gothic"/>
          <w:lang w:val="es-ES" w:eastAsia="ko-KR"/>
        </w:rPr>
        <w:t>segunda reunión en</w:t>
      </w:r>
      <w:r w:rsidR="000B7E7B" w:rsidRPr="00CC5FE3">
        <w:rPr>
          <w:lang w:val="es-ES"/>
        </w:rPr>
        <w:t xml:space="preserve"> 202</w:t>
      </w:r>
      <w:r w:rsidR="000B7E7B" w:rsidRPr="00CC5FE3">
        <w:rPr>
          <w:rFonts w:eastAsia="Malgun Gothic"/>
          <w:lang w:val="es-ES" w:eastAsia="ko-KR"/>
        </w:rPr>
        <w:t>4</w:t>
      </w:r>
      <w:r w:rsidR="000B7E7B" w:rsidRPr="00CC5FE3">
        <w:rPr>
          <w:lang w:val="es-ES"/>
        </w:rPr>
        <w:t>)</w:t>
      </w:r>
      <w:r w:rsidRPr="00CC5FE3">
        <w:rPr>
          <w:lang w:val="es-ES"/>
        </w:rPr>
        <w:t>.</w:t>
      </w:r>
    </w:p>
    <w:p w14:paraId="12235C24" w14:textId="173ACBBF" w:rsidR="000B7E7B" w:rsidRPr="00CC5FE3" w:rsidRDefault="00312D78" w:rsidP="00312D78">
      <w:pPr>
        <w:pStyle w:val="enumlev1"/>
        <w:rPr>
          <w:lang w:val="es-ES"/>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38 </w:t>
      </w:r>
      <w:r w:rsidR="000B7E7B" w:rsidRPr="00CC5FE3">
        <w:rPr>
          <w:lang w:val="es-ES"/>
        </w:rPr>
        <w:t>% de participación femenina como máximo en la reunión a nivel del Grupo de Relator para la Cuestión (</w:t>
      </w:r>
      <w:r w:rsidR="000B7E7B" w:rsidRPr="00CC5FE3">
        <w:rPr>
          <w:rFonts w:eastAsia="Malgun Gothic"/>
          <w:lang w:val="es-ES" w:eastAsia="ko-KR"/>
        </w:rPr>
        <w:t>segunda reunión en</w:t>
      </w:r>
      <w:r w:rsidR="000B7E7B" w:rsidRPr="00CC5FE3">
        <w:rPr>
          <w:lang w:val="es-ES"/>
        </w:rPr>
        <w:t xml:space="preserve"> 202</w:t>
      </w:r>
      <w:r w:rsidR="000B7E7B" w:rsidRPr="00CC5FE3">
        <w:rPr>
          <w:rFonts w:eastAsia="Malgun Gothic"/>
          <w:lang w:val="es-ES" w:eastAsia="ko-KR"/>
        </w:rPr>
        <w:t>4</w:t>
      </w:r>
      <w:r w:rsidR="000B7E7B" w:rsidRPr="00CC5FE3">
        <w:rPr>
          <w:lang w:val="es-ES"/>
        </w:rPr>
        <w:t>)</w:t>
      </w:r>
      <w:r w:rsidRPr="00CC5FE3">
        <w:rPr>
          <w:lang w:val="es-ES"/>
        </w:rPr>
        <w:t>.</w:t>
      </w:r>
    </w:p>
    <w:p w14:paraId="71929AB8" w14:textId="352A2F9C" w:rsidR="000B7E7B" w:rsidRPr="00CC5FE3" w:rsidRDefault="00312D78" w:rsidP="00312D78">
      <w:pPr>
        <w:pStyle w:val="enumlev1"/>
        <w:rPr>
          <w:lang w:val="es-ES"/>
        </w:rPr>
      </w:pPr>
      <w:r w:rsidRPr="00CC5FE3">
        <w:rPr>
          <w:lang w:val="es-ES"/>
        </w:rPr>
        <w:t>–</w:t>
      </w:r>
      <w:r w:rsidRPr="00CC5FE3">
        <w:rPr>
          <w:lang w:val="es-ES"/>
        </w:rPr>
        <w:tab/>
        <w:t>E</w:t>
      </w:r>
      <w:r w:rsidR="000B7E7B" w:rsidRPr="00CC5FE3">
        <w:rPr>
          <w:lang w:val="es-ES"/>
        </w:rPr>
        <w:t xml:space="preserve">l </w:t>
      </w:r>
      <w:r w:rsidR="000B7E7B" w:rsidRPr="00CC5FE3">
        <w:rPr>
          <w:rFonts w:eastAsia="Malgun Gothic"/>
          <w:lang w:val="es-ES" w:eastAsia="ko-KR"/>
        </w:rPr>
        <w:t>equipo de dirección de la CE 2 contribuyó a los trabajos de la UIT, incluidas las representaciones en varios eventos.</w:t>
      </w:r>
    </w:p>
    <w:p w14:paraId="20468B01" w14:textId="77777777" w:rsidR="000B7E7B" w:rsidRPr="00CC5FE3" w:rsidRDefault="000B7E7B" w:rsidP="00312D78">
      <w:pPr>
        <w:pStyle w:val="Headingb"/>
        <w:rPr>
          <w:lang w:val="es-ES"/>
        </w:rPr>
      </w:pPr>
      <w:r w:rsidRPr="00CC5FE3">
        <w:rPr>
          <w:lang w:val="es-ES"/>
        </w:rPr>
        <w:lastRenderedPageBreak/>
        <w:t>Mandato y resultados</w:t>
      </w:r>
    </w:p>
    <w:p w14:paraId="4D4F74DD" w14:textId="7E3F18A5" w:rsidR="000B7E7B" w:rsidRPr="00CC5FE3" w:rsidRDefault="000B7E7B" w:rsidP="000B7E7B">
      <w:pPr>
        <w:rPr>
          <w:lang w:val="es-ES"/>
        </w:rPr>
      </w:pPr>
      <w:r w:rsidRPr="00CC5FE3">
        <w:rPr>
          <w:lang w:val="es-ES"/>
        </w:rPr>
        <w:t>La Comisión de Estudio 2 (CE 2) se creó de conformidad con la Resolución 2 (Rev. Kigali, 2022) de la</w:t>
      </w:r>
      <w:r w:rsidR="00531DAF" w:rsidRPr="00CC5FE3">
        <w:rPr>
          <w:lang w:val="es-ES"/>
        </w:rPr>
        <w:t> </w:t>
      </w:r>
      <w:r w:rsidRPr="00CC5FE3">
        <w:rPr>
          <w:lang w:val="es-ES"/>
        </w:rPr>
        <w:t>CMDT para estudiar Cuestiones y asuntos relativos a la transformación digital. Esta Comisión es responsable de siete temas sustantivos de estudio de la utilización y repercusión de las TIC en los ámbitos de</w:t>
      </w:r>
      <w:r w:rsidR="00531DAF" w:rsidRPr="00CC5FE3">
        <w:rPr>
          <w:lang w:val="es-ES"/>
        </w:rPr>
        <w:t>:</w:t>
      </w:r>
      <w:r w:rsidRPr="00CC5FE3">
        <w:rPr>
          <w:lang w:val="es-ES"/>
        </w:rPr>
        <w:t xml:space="preserve"> 1) las ciudades y comunidades inteligentes y sostenibles, 2) los servicios y aplicaciones electrónicos, 3) la ciberseguridad, 4) la conformidad e interoperabilidad, la falsificación de equipos de TIC y el robo de dispositivos móviles, 5) la adopción de las telecomunicaciones/TIC y mejora de las calificaciones digitales, 6) el medio ambiente, y 7) la exposición de las personas a los campos electromagnéticos. Además, en cumplimiento de su mandato, la CE</w:t>
      </w:r>
      <w:r w:rsidR="00531DAF" w:rsidRPr="00CC5FE3">
        <w:rPr>
          <w:lang w:val="es-ES"/>
        </w:rPr>
        <w:t> </w:t>
      </w:r>
      <w:r w:rsidRPr="00CC5FE3">
        <w:rPr>
          <w:lang w:val="es-ES"/>
        </w:rPr>
        <w:t>2 tiene en cuenta los trabajos de otros Sectores de la UIT y organizaciones pertinentes, así como las prioridades de los países en desarrollo.</w:t>
      </w:r>
    </w:p>
    <w:p w14:paraId="33FFBBCB" w14:textId="77777777" w:rsidR="000B7E7B" w:rsidRPr="00CC5FE3" w:rsidRDefault="000B7E7B" w:rsidP="00531DAF">
      <w:pPr>
        <w:rPr>
          <w:lang w:val="es-ES"/>
        </w:rPr>
      </w:pPr>
      <w:r w:rsidRPr="00CC5FE3">
        <w:rPr>
          <w:lang w:val="es-ES"/>
        </w:rPr>
        <w:t>Los títulos oficiales de las Cuestiones de la Comisión 2 son los siguientes:</w:t>
      </w:r>
    </w:p>
    <w:p w14:paraId="74D41BB5" w14:textId="77777777" w:rsidR="000B7E7B" w:rsidRPr="00CC5FE3" w:rsidRDefault="000B7E7B" w:rsidP="000B7E7B">
      <w:pPr>
        <w:pStyle w:val="enumlev1"/>
        <w:rPr>
          <w:lang w:val="es-ES"/>
        </w:rPr>
      </w:pPr>
      <w:r w:rsidRPr="00CC5FE3">
        <w:rPr>
          <w:lang w:val="es-ES"/>
        </w:rPr>
        <w:t>–</w:t>
      </w:r>
      <w:r w:rsidRPr="00CC5FE3">
        <w:rPr>
          <w:lang w:val="es-ES"/>
        </w:rPr>
        <w:tab/>
      </w:r>
      <w:r w:rsidRPr="00CC5FE3">
        <w:rPr>
          <w:b/>
          <w:bCs/>
          <w:lang w:val="es-ES"/>
        </w:rPr>
        <w:t>Cuestión 1/2</w:t>
      </w:r>
      <w:r w:rsidRPr="00CC5FE3">
        <w:rPr>
          <w:lang w:val="es-ES"/>
        </w:rPr>
        <w:t>: Ciudades y comunidades inteligentes y sostenibles</w:t>
      </w:r>
    </w:p>
    <w:p w14:paraId="0837DB1B" w14:textId="77777777" w:rsidR="000B7E7B" w:rsidRPr="00CC5FE3" w:rsidRDefault="000B7E7B" w:rsidP="000B7E7B">
      <w:pPr>
        <w:pStyle w:val="enumlev1"/>
        <w:rPr>
          <w:lang w:val="es-ES"/>
        </w:rPr>
      </w:pPr>
      <w:r w:rsidRPr="00CC5FE3">
        <w:rPr>
          <w:lang w:val="es-ES"/>
        </w:rPr>
        <w:t>–</w:t>
      </w:r>
      <w:r w:rsidRPr="00CC5FE3">
        <w:rPr>
          <w:lang w:val="es-ES"/>
        </w:rPr>
        <w:tab/>
      </w:r>
      <w:r w:rsidRPr="00CC5FE3">
        <w:rPr>
          <w:b/>
          <w:bCs/>
          <w:lang w:val="es-ES"/>
        </w:rPr>
        <w:t>Cuestión 2/2</w:t>
      </w:r>
      <w:r w:rsidRPr="00CC5FE3">
        <w:rPr>
          <w:lang w:val="es-ES"/>
        </w:rPr>
        <w:t>: Tecnologías propicias para los servicios y las aplicaciones electrónicos, entre otros, la cibersalud y la ciberenseñanza</w:t>
      </w:r>
    </w:p>
    <w:p w14:paraId="61DD4118" w14:textId="77777777" w:rsidR="000B7E7B" w:rsidRPr="00CC5FE3" w:rsidRDefault="000B7E7B" w:rsidP="000B7E7B">
      <w:pPr>
        <w:pStyle w:val="enumlev1"/>
        <w:rPr>
          <w:lang w:val="es-ES"/>
        </w:rPr>
      </w:pPr>
      <w:r w:rsidRPr="00CC5FE3">
        <w:rPr>
          <w:lang w:val="es-ES"/>
        </w:rPr>
        <w:t>–</w:t>
      </w:r>
      <w:r w:rsidRPr="00CC5FE3">
        <w:rPr>
          <w:lang w:val="es-ES"/>
        </w:rPr>
        <w:tab/>
      </w:r>
      <w:r w:rsidRPr="00CC5FE3">
        <w:rPr>
          <w:b/>
          <w:bCs/>
          <w:lang w:val="es-ES"/>
        </w:rPr>
        <w:t>Cuestión 3/2</w:t>
      </w:r>
      <w:r w:rsidRPr="00CC5FE3">
        <w:rPr>
          <w:lang w:val="es-ES"/>
        </w:rPr>
        <w:t>: Seguridad en las redes de información y comunicación: prácticas idóneas para el desarrollo de una cultura de ciberseguridad</w:t>
      </w:r>
    </w:p>
    <w:p w14:paraId="00172EF5" w14:textId="77777777" w:rsidR="000B7E7B" w:rsidRPr="00CC5FE3" w:rsidRDefault="000B7E7B" w:rsidP="000B7E7B">
      <w:pPr>
        <w:pStyle w:val="enumlev1"/>
        <w:rPr>
          <w:lang w:val="es-ES"/>
        </w:rPr>
      </w:pPr>
      <w:r w:rsidRPr="00CC5FE3">
        <w:rPr>
          <w:lang w:val="es-ES"/>
        </w:rPr>
        <w:t>–</w:t>
      </w:r>
      <w:r w:rsidRPr="00CC5FE3">
        <w:rPr>
          <w:lang w:val="es-ES"/>
        </w:rPr>
        <w:tab/>
      </w:r>
      <w:r w:rsidRPr="00CC5FE3">
        <w:rPr>
          <w:b/>
          <w:bCs/>
          <w:lang w:val="es-ES"/>
        </w:rPr>
        <w:t>Cuestión 4/2:</w:t>
      </w:r>
      <w:r w:rsidRPr="00CC5FE3">
        <w:rPr>
          <w:lang w:val="es-ES"/>
        </w:rPr>
        <w:t xml:space="preserve"> Equipos de telecomunicaciones/TIC: conformidad e interoperabilidad y lucha contra la falsificación y el robo de dispositivos móviles</w:t>
      </w:r>
    </w:p>
    <w:p w14:paraId="14711C70" w14:textId="77777777" w:rsidR="000B7E7B" w:rsidRPr="00CC5FE3" w:rsidRDefault="000B7E7B" w:rsidP="000B7E7B">
      <w:pPr>
        <w:pStyle w:val="enumlev1"/>
        <w:rPr>
          <w:lang w:val="es-ES"/>
        </w:rPr>
      </w:pPr>
      <w:r w:rsidRPr="00CC5FE3">
        <w:rPr>
          <w:lang w:val="es-ES"/>
        </w:rPr>
        <w:t>–</w:t>
      </w:r>
      <w:r w:rsidRPr="00CC5FE3">
        <w:rPr>
          <w:lang w:val="es-ES"/>
        </w:rPr>
        <w:tab/>
      </w:r>
      <w:r w:rsidRPr="00CC5FE3">
        <w:rPr>
          <w:b/>
          <w:bCs/>
          <w:lang w:val="es-ES"/>
        </w:rPr>
        <w:t>Cuestión 5/2</w:t>
      </w:r>
      <w:r w:rsidRPr="00CC5FE3">
        <w:rPr>
          <w:lang w:val="es-ES"/>
        </w:rPr>
        <w:t>: Adopción de las telecomunicaciones/TIC y mejora de las competencias digitales</w:t>
      </w:r>
    </w:p>
    <w:p w14:paraId="525CA757" w14:textId="77777777" w:rsidR="000B7E7B" w:rsidRPr="00CC5FE3" w:rsidRDefault="000B7E7B" w:rsidP="000B7E7B">
      <w:pPr>
        <w:pStyle w:val="enumlev1"/>
        <w:rPr>
          <w:lang w:val="es-ES"/>
        </w:rPr>
      </w:pPr>
      <w:r w:rsidRPr="00CC5FE3">
        <w:rPr>
          <w:lang w:val="es-ES"/>
        </w:rPr>
        <w:t>–</w:t>
      </w:r>
      <w:r w:rsidRPr="00CC5FE3">
        <w:rPr>
          <w:lang w:val="es-ES"/>
        </w:rPr>
        <w:tab/>
      </w:r>
      <w:r w:rsidRPr="00CC5FE3">
        <w:rPr>
          <w:b/>
          <w:bCs/>
          <w:lang w:val="es-ES"/>
        </w:rPr>
        <w:t>Cuestión 6/2</w:t>
      </w:r>
      <w:r w:rsidRPr="00CC5FE3">
        <w:rPr>
          <w:lang w:val="es-ES"/>
        </w:rPr>
        <w:t>: Las TIC y el medio ambiente</w:t>
      </w:r>
    </w:p>
    <w:p w14:paraId="478C9402" w14:textId="77777777" w:rsidR="000B7E7B" w:rsidRPr="00CC5FE3" w:rsidRDefault="000B7E7B" w:rsidP="000B7E7B">
      <w:pPr>
        <w:pStyle w:val="enumlev1"/>
        <w:rPr>
          <w:lang w:val="es-ES"/>
        </w:rPr>
      </w:pPr>
      <w:r w:rsidRPr="00CC5FE3">
        <w:rPr>
          <w:lang w:val="es-ES"/>
        </w:rPr>
        <w:t>–</w:t>
      </w:r>
      <w:r w:rsidRPr="00CC5FE3">
        <w:rPr>
          <w:lang w:val="es-ES"/>
        </w:rPr>
        <w:tab/>
      </w:r>
      <w:r w:rsidRPr="00CC5FE3">
        <w:rPr>
          <w:b/>
          <w:bCs/>
          <w:lang w:val="es-ES"/>
        </w:rPr>
        <w:t>Cuestión 7/2</w:t>
      </w:r>
      <w:r w:rsidRPr="00CC5FE3">
        <w:rPr>
          <w:lang w:val="es-ES"/>
        </w:rPr>
        <w:t>: Estrategias y políticas relativas a la exposición de las personas a los campos electromagnéticos</w:t>
      </w:r>
    </w:p>
    <w:p w14:paraId="7716EB76" w14:textId="60662622" w:rsidR="000B7E7B" w:rsidRPr="00CC5FE3" w:rsidRDefault="000B7E7B" w:rsidP="000B7E7B">
      <w:pPr>
        <w:rPr>
          <w:lang w:val="es-ES"/>
        </w:rPr>
      </w:pPr>
      <w:r w:rsidRPr="00CC5FE3">
        <w:rPr>
          <w:lang w:val="es-ES"/>
        </w:rPr>
        <w:t xml:space="preserve">Las definiciones de las Cuestiones, que comprenden, en particular, la exposición del problema, la descripción de los resultados esperados y el plan de trabajo inicial con la planificación necesaria para lograr esos resultados, figuran en el Documento </w:t>
      </w:r>
      <w:hyperlink r:id="rId21" w:history="1">
        <w:r w:rsidRPr="00CC5FE3">
          <w:rPr>
            <w:rStyle w:val="Hyperlink"/>
            <w:lang w:val="es-ES"/>
          </w:rPr>
          <w:t>2/2</w:t>
        </w:r>
      </w:hyperlink>
      <w:r w:rsidRPr="00CC5FE3">
        <w:rPr>
          <w:lang w:val="es-ES"/>
        </w:rPr>
        <w:t>, disponible en el sitio web de la Comisión de Estudio</w:t>
      </w:r>
      <w:r w:rsidR="00531DAF" w:rsidRPr="00CC5FE3">
        <w:rPr>
          <w:lang w:val="es-ES"/>
        </w:rPr>
        <w:t> </w:t>
      </w:r>
      <w:r w:rsidRPr="00CC5FE3">
        <w:rPr>
          <w:lang w:val="es-ES"/>
        </w:rPr>
        <w:t>2.</w:t>
      </w:r>
    </w:p>
    <w:p w14:paraId="45540CCC" w14:textId="77777777" w:rsidR="000B7E7B" w:rsidRPr="00CC5FE3" w:rsidRDefault="000B7E7B" w:rsidP="000B7E7B">
      <w:pPr>
        <w:spacing w:after="120"/>
        <w:rPr>
          <w:rFonts w:eastAsia="Malgun Gothic"/>
          <w:lang w:val="es-ES" w:eastAsia="ko-KR"/>
        </w:rPr>
      </w:pPr>
      <w:r w:rsidRPr="00CC5FE3">
        <w:rPr>
          <w:rFonts w:eastAsia="Malgun Gothic"/>
          <w:lang w:val="es-ES" w:eastAsia="ko-KR"/>
        </w:rPr>
        <w:t>La CE 2 concluyó su labor en su cuarta y última reunión, celebrada del 5 al 9 de mayo de 2025, en la que se aprobaron los informes de resultados de las siete Cuestiones de estudio.</w:t>
      </w:r>
    </w:p>
    <w:p w14:paraId="447BBC8F" w14:textId="77777777" w:rsidR="000B7E7B" w:rsidRPr="00CC5FE3" w:rsidRDefault="000B7E7B" w:rsidP="00531DAF">
      <w:pPr>
        <w:pStyle w:val="Headingb"/>
        <w:rPr>
          <w:lang w:val="es-ES"/>
        </w:rPr>
      </w:pPr>
      <w:r w:rsidRPr="00CC5FE3">
        <w:rPr>
          <w:lang w:val="es-ES"/>
        </w:rPr>
        <w:t>Equipo de dirección de la Comisión de Estudio 2</w:t>
      </w:r>
    </w:p>
    <w:p w14:paraId="59FD9A9B" w14:textId="77777777" w:rsidR="000B7E7B" w:rsidRPr="00CC5FE3" w:rsidRDefault="000B7E7B" w:rsidP="000B7E7B">
      <w:pPr>
        <w:rPr>
          <w:lang w:val="es-ES"/>
        </w:rPr>
      </w:pPr>
      <w:r w:rsidRPr="00CC5FE3">
        <w:rPr>
          <w:lang w:val="es-ES"/>
        </w:rPr>
        <w:t>La CMDT-22 designó el equipo de dirección de la CE 2 para el octavo periodo de estudios (2022</w:t>
      </w:r>
      <w:r w:rsidRPr="00CC5FE3">
        <w:rPr>
          <w:lang w:val="es-ES"/>
        </w:rPr>
        <w:noBreakHyphen/>
        <w:t>2025): el Sr. Fadel Digham (Egipto) actuó como Presidente; contó con la eficaz asistencia de los siguientes Vicepresidentes:</w:t>
      </w:r>
    </w:p>
    <w:p w14:paraId="1CC75C87" w14:textId="77777777" w:rsidR="000B7E7B" w:rsidRPr="00CC5FE3" w:rsidRDefault="000B7E7B" w:rsidP="000B7E7B">
      <w:pPr>
        <w:pStyle w:val="enumlev1"/>
        <w:rPr>
          <w:lang w:val="es-ES"/>
        </w:rPr>
      </w:pPr>
      <w:r w:rsidRPr="00CC5FE3">
        <w:rPr>
          <w:lang w:val="es-ES"/>
        </w:rPr>
        <w:t>–</w:t>
      </w:r>
      <w:r w:rsidRPr="00CC5FE3">
        <w:rPr>
          <w:lang w:val="es-ES"/>
        </w:rPr>
        <w:tab/>
        <w:t>Sr. Abdelaziz Alzarooni (Emiratos Árabes Unidos) (ARB)</w:t>
      </w:r>
    </w:p>
    <w:p w14:paraId="27357100" w14:textId="77777777" w:rsidR="000B7E7B" w:rsidRPr="00CC5FE3" w:rsidRDefault="000B7E7B" w:rsidP="000B7E7B">
      <w:pPr>
        <w:pStyle w:val="enumlev1"/>
        <w:rPr>
          <w:lang w:val="es-ES"/>
        </w:rPr>
      </w:pPr>
      <w:r w:rsidRPr="00CC5FE3">
        <w:rPr>
          <w:lang w:val="es-ES"/>
        </w:rPr>
        <w:t>–</w:t>
      </w:r>
      <w:r w:rsidRPr="00CC5FE3">
        <w:rPr>
          <w:lang w:val="es-ES"/>
        </w:rPr>
        <w:tab/>
        <w:t>Sra. Zainab Ardo (Nigeria) (AFR)</w:t>
      </w:r>
    </w:p>
    <w:p w14:paraId="483CCB31" w14:textId="77777777" w:rsidR="000B7E7B" w:rsidRPr="00CC5FE3" w:rsidRDefault="000B7E7B" w:rsidP="000B7E7B">
      <w:pPr>
        <w:pStyle w:val="enumlev1"/>
        <w:rPr>
          <w:lang w:val="es-ES"/>
        </w:rPr>
      </w:pPr>
      <w:r w:rsidRPr="00CC5FE3">
        <w:rPr>
          <w:lang w:val="es-ES"/>
        </w:rPr>
        <w:t>–</w:t>
      </w:r>
      <w:r w:rsidRPr="00CC5FE3">
        <w:rPr>
          <w:lang w:val="es-ES"/>
        </w:rPr>
        <w:tab/>
        <w:t>Sr. Javokhir Aripov (Uzbekistán) (CEI)</w:t>
      </w:r>
    </w:p>
    <w:p w14:paraId="5F4BE77F" w14:textId="77777777" w:rsidR="000B7E7B" w:rsidRPr="00CC5FE3" w:rsidRDefault="000B7E7B" w:rsidP="000B7E7B">
      <w:pPr>
        <w:pStyle w:val="enumlev1"/>
        <w:rPr>
          <w:lang w:val="es-ES"/>
        </w:rPr>
      </w:pPr>
      <w:r w:rsidRPr="00CC5FE3">
        <w:rPr>
          <w:lang w:val="es-ES"/>
        </w:rPr>
        <w:t>–</w:t>
      </w:r>
      <w:r w:rsidRPr="00CC5FE3">
        <w:rPr>
          <w:lang w:val="es-ES"/>
        </w:rPr>
        <w:tab/>
        <w:t>Sra. Carmen Madalina Clapon (Rumania) (EUR)</w:t>
      </w:r>
    </w:p>
    <w:p w14:paraId="7DFCE506" w14:textId="77777777" w:rsidR="000B7E7B" w:rsidRPr="00CC5FE3" w:rsidRDefault="000B7E7B" w:rsidP="000B7E7B">
      <w:pPr>
        <w:pStyle w:val="enumlev1"/>
        <w:rPr>
          <w:lang w:val="es-ES"/>
        </w:rPr>
      </w:pPr>
      <w:r w:rsidRPr="00CC5FE3">
        <w:rPr>
          <w:lang w:val="es-ES"/>
        </w:rPr>
        <w:t>–</w:t>
      </w:r>
      <w:r w:rsidRPr="00CC5FE3">
        <w:rPr>
          <w:lang w:val="es-ES"/>
        </w:rPr>
        <w:tab/>
        <w:t>Sr. Mushfig Guluyev (Azerbaiyán) (CEI)</w:t>
      </w:r>
    </w:p>
    <w:p w14:paraId="69EB1AFA" w14:textId="77777777" w:rsidR="000B7E7B" w:rsidRPr="00CC5FE3" w:rsidRDefault="000B7E7B" w:rsidP="000B7E7B">
      <w:pPr>
        <w:pStyle w:val="enumlev1"/>
        <w:rPr>
          <w:lang w:val="es-ES"/>
        </w:rPr>
      </w:pPr>
      <w:r w:rsidRPr="00CC5FE3">
        <w:rPr>
          <w:lang w:val="es-ES"/>
        </w:rPr>
        <w:t>–</w:t>
      </w:r>
      <w:r w:rsidRPr="00CC5FE3">
        <w:rPr>
          <w:lang w:val="es-ES"/>
        </w:rPr>
        <w:tab/>
        <w:t>Sr. Hideo Imanaka (Japón) (ASP)</w:t>
      </w:r>
    </w:p>
    <w:p w14:paraId="7B76D623" w14:textId="77777777" w:rsidR="000B7E7B" w:rsidRPr="00CC5FE3" w:rsidRDefault="000B7E7B" w:rsidP="000B7E7B">
      <w:pPr>
        <w:pStyle w:val="enumlev1"/>
        <w:rPr>
          <w:lang w:val="es-ES"/>
        </w:rPr>
      </w:pPr>
      <w:r w:rsidRPr="00CC5FE3">
        <w:rPr>
          <w:lang w:val="es-ES"/>
        </w:rPr>
        <w:t>–</w:t>
      </w:r>
      <w:r w:rsidRPr="00CC5FE3">
        <w:rPr>
          <w:lang w:val="es-ES"/>
        </w:rPr>
        <w:tab/>
        <w:t>Sra. Mina Seonmin Jun (República de Corea) (ASP)</w:t>
      </w:r>
    </w:p>
    <w:p w14:paraId="1901FD72" w14:textId="77777777" w:rsidR="000B7E7B" w:rsidRPr="00CC5FE3" w:rsidRDefault="000B7E7B" w:rsidP="000B7E7B">
      <w:pPr>
        <w:pStyle w:val="enumlev1"/>
        <w:rPr>
          <w:lang w:val="es-ES"/>
        </w:rPr>
      </w:pPr>
      <w:r w:rsidRPr="00CC5FE3">
        <w:rPr>
          <w:lang w:val="es-ES"/>
        </w:rPr>
        <w:lastRenderedPageBreak/>
        <w:t>–</w:t>
      </w:r>
      <w:r w:rsidRPr="00CC5FE3">
        <w:rPr>
          <w:lang w:val="es-ES"/>
        </w:rPr>
        <w:tab/>
        <w:t>Sr. Mohamed Lamine Minthe (Guinea) (AFR)</w:t>
      </w:r>
    </w:p>
    <w:p w14:paraId="7C64B449" w14:textId="77777777" w:rsidR="000B7E7B" w:rsidRPr="00CC5FE3" w:rsidRDefault="000B7E7B" w:rsidP="000B7E7B">
      <w:pPr>
        <w:pStyle w:val="enumlev1"/>
        <w:rPr>
          <w:lang w:val="es-ES"/>
        </w:rPr>
      </w:pPr>
      <w:r w:rsidRPr="00CC5FE3">
        <w:rPr>
          <w:lang w:val="es-ES"/>
        </w:rPr>
        <w:t>–</w:t>
      </w:r>
      <w:r w:rsidRPr="00CC5FE3">
        <w:rPr>
          <w:lang w:val="es-ES"/>
        </w:rPr>
        <w:tab/>
        <w:t>Sr. Víctor Antonio Martínez Sánchez (Paraguay) (AMS)</w:t>
      </w:r>
    </w:p>
    <w:p w14:paraId="3E65455D" w14:textId="77777777" w:rsidR="000B7E7B" w:rsidRPr="00CC5FE3" w:rsidRDefault="000B7E7B" w:rsidP="000B7E7B">
      <w:pPr>
        <w:pStyle w:val="enumlev1"/>
        <w:rPr>
          <w:lang w:val="es-ES"/>
        </w:rPr>
      </w:pPr>
      <w:r w:rsidRPr="00CC5FE3">
        <w:rPr>
          <w:lang w:val="es-ES"/>
        </w:rPr>
        <w:t>–</w:t>
      </w:r>
      <w:r w:rsidRPr="00CC5FE3">
        <w:rPr>
          <w:lang w:val="es-ES"/>
        </w:rPr>
        <w:tab/>
        <w:t>Sr. Tongning Wu (China) (ASP)</w:t>
      </w:r>
    </w:p>
    <w:p w14:paraId="4E22C98A" w14:textId="77777777" w:rsidR="000B7E7B" w:rsidRPr="00CC5FE3" w:rsidRDefault="000B7E7B" w:rsidP="000B7E7B">
      <w:pPr>
        <w:pStyle w:val="enumlev1"/>
        <w:rPr>
          <w:lang w:val="es-ES"/>
        </w:rPr>
      </w:pPr>
      <w:r w:rsidRPr="00CC5FE3">
        <w:rPr>
          <w:lang w:val="es-ES"/>
        </w:rPr>
        <w:t>–</w:t>
      </w:r>
      <w:r w:rsidRPr="00CC5FE3">
        <w:rPr>
          <w:lang w:val="es-ES"/>
        </w:rPr>
        <w:tab/>
        <w:t>Sr. Dominique Würges (Francia) (EUR)</w:t>
      </w:r>
    </w:p>
    <w:p w14:paraId="279A9B49" w14:textId="77777777" w:rsidR="000B7E7B" w:rsidRPr="00CC5FE3" w:rsidRDefault="000B7E7B" w:rsidP="000B7E7B">
      <w:pPr>
        <w:rPr>
          <w:lang w:val="es-ES"/>
        </w:rPr>
      </w:pPr>
      <w:r w:rsidRPr="00CC5FE3">
        <w:rPr>
          <w:lang w:val="es-ES"/>
        </w:rPr>
        <w:t>Dimitieron</w:t>
      </w:r>
      <w:r w:rsidRPr="00CC5FE3">
        <w:rPr>
          <w:rStyle w:val="FootnoteReference"/>
          <w:rFonts w:eastAsia="Malgun Gothic"/>
          <w:lang w:val="es-ES" w:eastAsia="ko-KR"/>
        </w:rPr>
        <w:footnoteReference w:id="5"/>
      </w:r>
      <w:r w:rsidRPr="00CC5FE3">
        <w:rPr>
          <w:lang w:val="es-ES"/>
        </w:rPr>
        <w:t xml:space="preserve"> durante este periodo de estudios:</w:t>
      </w:r>
    </w:p>
    <w:p w14:paraId="7144056D" w14:textId="77777777" w:rsidR="000B7E7B" w:rsidRPr="00CC5FE3" w:rsidRDefault="000B7E7B" w:rsidP="000B7E7B">
      <w:pPr>
        <w:pStyle w:val="enumlev1"/>
        <w:rPr>
          <w:b/>
          <w:bCs/>
          <w:lang w:val="es-ES"/>
        </w:rPr>
      </w:pPr>
      <w:r w:rsidRPr="00CC5FE3">
        <w:rPr>
          <w:lang w:val="es-ES"/>
        </w:rPr>
        <w:t>–</w:t>
      </w:r>
      <w:r w:rsidRPr="00CC5FE3">
        <w:rPr>
          <w:lang w:val="es-ES"/>
        </w:rPr>
        <w:tab/>
        <w:t>Sra. Alina Modan (Rumania) (EUR)</w:t>
      </w:r>
    </w:p>
    <w:p w14:paraId="5991127E" w14:textId="77777777" w:rsidR="000B7E7B" w:rsidRPr="00CC5FE3" w:rsidRDefault="000B7E7B" w:rsidP="000B7E7B">
      <w:pPr>
        <w:pStyle w:val="enumlev1"/>
        <w:rPr>
          <w:lang w:val="es-ES"/>
        </w:rPr>
      </w:pPr>
      <w:r w:rsidRPr="00CC5FE3">
        <w:rPr>
          <w:lang w:val="es-ES"/>
        </w:rPr>
        <w:t>–</w:t>
      </w:r>
      <w:r w:rsidRPr="00CC5FE3">
        <w:rPr>
          <w:lang w:val="es-ES"/>
        </w:rPr>
        <w:tab/>
        <w:t>Sr. Diyor Rajabov (Uzbekistán) (CEI)</w:t>
      </w:r>
    </w:p>
    <w:p w14:paraId="2D7F5B31" w14:textId="760CE56A" w:rsidR="000B7E7B" w:rsidRPr="00CC5FE3" w:rsidRDefault="000B7E7B" w:rsidP="000B7E7B">
      <w:pPr>
        <w:rPr>
          <w:lang w:val="es-ES"/>
        </w:rPr>
      </w:pPr>
      <w:r w:rsidRPr="00CC5FE3">
        <w:rPr>
          <w:lang w:val="es-ES"/>
        </w:rPr>
        <w:t xml:space="preserve">La relación de nombramientos de Presidente, Vicepresidentes, Relatores y Vicerrelatores de las Cuestiones de la Comisión de Estudio 2 del UIT-D y su participación durante este periodo de estudios figura en el </w:t>
      </w:r>
      <w:r w:rsidRPr="00CC5FE3">
        <w:rPr>
          <w:b/>
          <w:bCs/>
          <w:lang w:val="es-ES"/>
        </w:rPr>
        <w:t>Anexo</w:t>
      </w:r>
      <w:r w:rsidR="00531DAF" w:rsidRPr="00CC5FE3">
        <w:rPr>
          <w:lang w:val="es-ES"/>
        </w:rPr>
        <w:t>.</w:t>
      </w:r>
    </w:p>
    <w:p w14:paraId="09DA4477" w14:textId="77777777" w:rsidR="000B7E7B" w:rsidRPr="00CC5FE3" w:rsidRDefault="000B7E7B" w:rsidP="008B4A39">
      <w:pPr>
        <w:pStyle w:val="Headingb"/>
        <w:rPr>
          <w:rFonts w:eastAsia="Malgun Gothic"/>
          <w:lang w:val="es-ES" w:eastAsia="ko-KR"/>
        </w:rPr>
      </w:pPr>
      <w:r w:rsidRPr="00CC5FE3">
        <w:rPr>
          <w:lang w:val="es-ES"/>
        </w:rPr>
        <w:t>Participación y documentos (20</w:t>
      </w:r>
      <w:r w:rsidRPr="00CC5FE3">
        <w:rPr>
          <w:rFonts w:eastAsia="Malgun Gothic"/>
          <w:lang w:val="es-ES" w:eastAsia="ko-KR"/>
        </w:rPr>
        <w:t>22</w:t>
      </w:r>
      <w:r w:rsidRPr="00CC5FE3">
        <w:rPr>
          <w:lang w:val="es-ES"/>
        </w:rPr>
        <w:t>-202</w:t>
      </w:r>
      <w:r w:rsidRPr="00CC5FE3">
        <w:rPr>
          <w:rFonts w:eastAsia="Malgun Gothic"/>
          <w:lang w:val="es-ES" w:eastAsia="ko-KR"/>
        </w:rPr>
        <w:t>5</w:t>
      </w:r>
      <w:r w:rsidRPr="00CC5FE3">
        <w:rPr>
          <w:lang w:val="es-ES"/>
        </w:rPr>
        <w:t>)</w:t>
      </w:r>
    </w:p>
    <w:p w14:paraId="15813EA8" w14:textId="177390FE" w:rsidR="000B7E7B" w:rsidRPr="00895CEE" w:rsidRDefault="008B4A39" w:rsidP="00895CEE">
      <w:pPr>
        <w:pStyle w:val="Heading1"/>
        <w:rPr>
          <w:rFonts w:eastAsia="Malgun Gothic"/>
        </w:rPr>
      </w:pPr>
      <w:r w:rsidRPr="00895CEE">
        <w:t>1</w:t>
      </w:r>
      <w:r w:rsidRPr="00895CEE">
        <w:tab/>
      </w:r>
      <w:r w:rsidR="000B7E7B" w:rsidRPr="00895CEE">
        <w:t>Participa</w:t>
      </w:r>
      <w:r w:rsidR="000B7E7B" w:rsidRPr="00895CEE">
        <w:rPr>
          <w:rFonts w:eastAsia="Malgun Gothic" w:hint="eastAsia"/>
        </w:rPr>
        <w:t>nt</w:t>
      </w:r>
      <w:r w:rsidR="000B7E7B" w:rsidRPr="00895CEE">
        <w:rPr>
          <w:rFonts w:eastAsia="Malgun Gothic"/>
        </w:rPr>
        <w:t>e</w:t>
      </w:r>
      <w:r w:rsidR="000B7E7B" w:rsidRPr="00895CEE">
        <w:rPr>
          <w:rFonts w:eastAsia="Malgun Gothic" w:hint="eastAsia"/>
        </w:rPr>
        <w:t>s</w:t>
      </w:r>
    </w:p>
    <w:p w14:paraId="1A4D7A11" w14:textId="4FAD1042" w:rsidR="000B7E7B" w:rsidRPr="00CC5FE3" w:rsidRDefault="000B7E7B" w:rsidP="008B4A39">
      <w:pPr>
        <w:spacing w:after="240"/>
        <w:rPr>
          <w:rFonts w:eastAsia="Malgun Gothic" w:cstheme="minorHAnsi"/>
          <w:szCs w:val="24"/>
          <w:lang w:val="es-ES" w:eastAsia="ko-KR"/>
        </w:rPr>
      </w:pPr>
      <w:r w:rsidRPr="00CC5FE3">
        <w:rPr>
          <w:rFonts w:eastAsia="Malgun Gothic" w:cstheme="minorHAnsi"/>
          <w:szCs w:val="24"/>
          <w:lang w:val="es-ES" w:eastAsia="ko-KR"/>
        </w:rPr>
        <w:t xml:space="preserve">Un total de 1 252 participantes asistieron a las </w:t>
      </w:r>
      <w:r w:rsidR="00CC5FE3" w:rsidRPr="00CC5FE3">
        <w:rPr>
          <w:rFonts w:eastAsia="Malgun Gothic" w:cstheme="minorHAnsi"/>
          <w:szCs w:val="24"/>
          <w:lang w:val="es-ES" w:eastAsia="ko-KR"/>
        </w:rPr>
        <w:t>reuniones</w:t>
      </w:r>
      <w:r w:rsidRPr="00CC5FE3">
        <w:rPr>
          <w:rFonts w:eastAsia="Malgun Gothic" w:cstheme="minorHAnsi"/>
          <w:szCs w:val="24"/>
          <w:lang w:val="es-ES" w:eastAsia="ko-KR"/>
        </w:rPr>
        <w:t xml:space="preserve"> de la CE 2 y de los Grupos de Relator durante este </w:t>
      </w:r>
      <w:r w:rsidR="00CC5FE3" w:rsidRPr="00CC5FE3">
        <w:rPr>
          <w:rFonts w:eastAsia="Malgun Gothic" w:cstheme="minorHAnsi"/>
          <w:szCs w:val="24"/>
          <w:lang w:val="es-ES" w:eastAsia="ko-KR"/>
        </w:rPr>
        <w:t>periodo</w:t>
      </w:r>
      <w:r w:rsidRPr="00CC5FE3">
        <w:rPr>
          <w:rFonts w:eastAsia="Malgun Gothic" w:cstheme="minorHAnsi"/>
          <w:szCs w:val="24"/>
          <w:lang w:val="es-ES" w:eastAsia="ko-KR"/>
        </w:rPr>
        <w:t xml:space="preserve"> de estudios. En el </w:t>
      </w:r>
      <w:r w:rsidRPr="00CC5FE3">
        <w:rPr>
          <w:rFonts w:eastAsia="Malgun Gothic" w:cstheme="minorHAnsi"/>
          <w:b/>
          <w:bCs/>
          <w:szCs w:val="24"/>
          <w:lang w:val="es-ES" w:eastAsia="ko-KR"/>
        </w:rPr>
        <w:t>Cuadro 1</w:t>
      </w:r>
      <w:r w:rsidRPr="00CC5FE3">
        <w:rPr>
          <w:rFonts w:eastAsia="Malgun Gothic" w:cstheme="minorHAnsi"/>
          <w:szCs w:val="24"/>
          <w:lang w:val="es-ES" w:eastAsia="ko-KR"/>
        </w:rPr>
        <w:t xml:space="preserve"> figura el número de participantes y países representados en cada evento de la CE 2 del periodo de estudios. En cada evento de la CE</w:t>
      </w:r>
      <w:r w:rsidR="008B4A39" w:rsidRPr="00CC5FE3">
        <w:rPr>
          <w:rFonts w:eastAsia="Malgun Gothic" w:cstheme="minorHAnsi"/>
          <w:szCs w:val="24"/>
          <w:lang w:val="es-ES" w:eastAsia="ko-KR"/>
        </w:rPr>
        <w:t> </w:t>
      </w:r>
      <w:r w:rsidRPr="00CC5FE3">
        <w:rPr>
          <w:rFonts w:eastAsia="Malgun Gothic" w:cstheme="minorHAnsi"/>
          <w:szCs w:val="24"/>
          <w:lang w:val="es-ES" w:eastAsia="ko-KR"/>
        </w:rPr>
        <w:t>2 se reunieron por término medio unos 209 participantes de 54 países por reunión.</w:t>
      </w:r>
    </w:p>
    <w:p w14:paraId="29509925" w14:textId="77777777" w:rsidR="000B7E7B" w:rsidRPr="00CC5FE3" w:rsidRDefault="000B7E7B" w:rsidP="000B7E7B">
      <w:pPr>
        <w:jc w:val="center"/>
        <w:rPr>
          <w:rFonts w:eastAsia="Malgun Gothic"/>
          <w:lang w:val="es-ES" w:eastAsia="ko-KR"/>
        </w:rPr>
      </w:pPr>
      <w:r w:rsidRPr="00CC5FE3">
        <w:rPr>
          <w:rFonts w:eastAsia="Malgun Gothic"/>
          <w:noProof/>
          <w:lang w:val="es-ES"/>
        </w:rPr>
        <w:drawing>
          <wp:inline distT="0" distB="0" distL="0" distR="0" wp14:anchorId="659DC124" wp14:editId="7007601C">
            <wp:extent cx="6120765" cy="1251585"/>
            <wp:effectExtent l="0" t="0" r="0" b="5715"/>
            <wp:docPr id="312141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41271" name=""/>
                    <pic:cNvPicPr/>
                  </pic:nvPicPr>
                  <pic:blipFill>
                    <a:blip r:embed="rId22"/>
                    <a:stretch>
                      <a:fillRect/>
                    </a:stretch>
                  </pic:blipFill>
                  <pic:spPr>
                    <a:xfrm>
                      <a:off x="0" y="0"/>
                      <a:ext cx="6120765" cy="1251585"/>
                    </a:xfrm>
                    <a:prstGeom prst="rect">
                      <a:avLst/>
                    </a:prstGeom>
                  </pic:spPr>
                </pic:pic>
              </a:graphicData>
            </a:graphic>
          </wp:inline>
        </w:drawing>
      </w:r>
    </w:p>
    <w:p w14:paraId="140FF869" w14:textId="0A539481" w:rsidR="000B7E7B" w:rsidRPr="00CC5FE3" w:rsidRDefault="000B7E7B" w:rsidP="008B4A39">
      <w:pPr>
        <w:pStyle w:val="TableNotitle"/>
        <w:rPr>
          <w:rFonts w:asciiTheme="minorHAnsi" w:eastAsia="Malgun Gothic" w:hAnsiTheme="minorHAnsi" w:cstheme="minorHAnsi"/>
          <w:lang w:val="es-ES" w:eastAsia="ko-KR"/>
        </w:rPr>
      </w:pPr>
      <w:r w:rsidRPr="00CC5FE3">
        <w:rPr>
          <w:rFonts w:asciiTheme="minorHAnsi" w:hAnsiTheme="minorHAnsi" w:cstheme="minorHAnsi"/>
          <w:lang w:val="es-ES"/>
        </w:rPr>
        <w:t>Cuadro 1 – Participación en las reuniones de la CE 2 y de los</w:t>
      </w:r>
      <w:r w:rsidR="008B4A39" w:rsidRPr="00CC5FE3">
        <w:rPr>
          <w:rFonts w:asciiTheme="minorHAnsi" w:hAnsiTheme="minorHAnsi" w:cstheme="minorHAnsi"/>
          <w:lang w:val="es-ES"/>
        </w:rPr>
        <w:br/>
      </w:r>
      <w:r w:rsidRPr="00CC5FE3">
        <w:rPr>
          <w:rFonts w:asciiTheme="minorHAnsi" w:hAnsiTheme="minorHAnsi" w:cstheme="minorHAnsi"/>
          <w:lang w:val="es-ES"/>
        </w:rPr>
        <w:t>Grupos de Relator durante el periodo de estudios</w:t>
      </w:r>
    </w:p>
    <w:p w14:paraId="43B99110" w14:textId="354E989D" w:rsidR="000B7E7B" w:rsidRPr="00CC5FE3" w:rsidRDefault="000B7E7B" w:rsidP="000B7E7B">
      <w:pPr>
        <w:rPr>
          <w:rFonts w:eastAsia="Malgun Gothic" w:cstheme="minorHAnsi"/>
          <w:szCs w:val="24"/>
          <w:lang w:val="es-ES" w:eastAsia="ko-KR"/>
        </w:rPr>
      </w:pPr>
      <w:r w:rsidRPr="00CC5FE3">
        <w:rPr>
          <w:rFonts w:eastAsia="Malgun Gothic" w:cstheme="minorHAnsi"/>
          <w:szCs w:val="24"/>
          <w:lang w:val="es-ES" w:eastAsia="ko-KR"/>
        </w:rPr>
        <w:t xml:space="preserve">En la </w:t>
      </w:r>
      <w:r w:rsidRPr="00CC5FE3">
        <w:rPr>
          <w:rFonts w:eastAsia="Malgun Gothic" w:cstheme="minorHAnsi"/>
          <w:b/>
          <w:bCs/>
          <w:szCs w:val="24"/>
          <w:lang w:val="es-ES" w:eastAsia="ko-KR"/>
        </w:rPr>
        <w:t>Figura 1</w:t>
      </w:r>
      <w:r w:rsidRPr="00CC5FE3">
        <w:rPr>
          <w:rFonts w:eastAsia="Malgun Gothic" w:cstheme="minorHAnsi"/>
          <w:szCs w:val="24"/>
          <w:lang w:val="es-ES" w:eastAsia="ko-KR"/>
        </w:rPr>
        <w:t xml:space="preserve"> se presenta la evolución del número de participantes desde el periodo de estudios anterior</w:t>
      </w:r>
      <w:r w:rsidRPr="00CC5FE3">
        <w:rPr>
          <w:rStyle w:val="FootnoteReference"/>
          <w:rFonts w:eastAsia="Malgun Gothic" w:cstheme="minorHAnsi"/>
          <w:lang w:val="es-ES" w:eastAsia="ko-KR"/>
        </w:rPr>
        <w:footnoteReference w:id="6"/>
      </w:r>
      <w:r w:rsidRPr="00CC5FE3">
        <w:rPr>
          <w:rFonts w:eastAsia="Malgun Gothic" w:cstheme="minorHAnsi"/>
          <w:szCs w:val="24"/>
          <w:lang w:val="es-ES" w:eastAsia="ko-KR"/>
        </w:rPr>
        <w:t>. El número de participantes incrementó significativamente durante este periodo de estudios en comparación con el anterior (total 1 003; promedio: 125 por reunión), esto se debe en gran parte al aumento de participantes a distancia desde la pandemia de COVID-19. Las cifras de</w:t>
      </w:r>
      <w:r w:rsidR="008B4A39" w:rsidRPr="00CC5FE3">
        <w:rPr>
          <w:rFonts w:eastAsia="Malgun Gothic" w:cstheme="minorHAnsi"/>
          <w:szCs w:val="24"/>
          <w:lang w:val="es-ES" w:eastAsia="ko-KR"/>
        </w:rPr>
        <w:t> </w:t>
      </w:r>
      <w:r w:rsidRPr="00CC5FE3">
        <w:rPr>
          <w:rFonts w:eastAsia="Malgun Gothic" w:cstheme="minorHAnsi"/>
          <w:szCs w:val="24"/>
          <w:lang w:val="es-ES" w:eastAsia="ko-KR"/>
        </w:rPr>
        <w:t>2022 y 2025 son inferiores a las de 2023 y 2024, ya que no se organizaron reuniones separadas de Grupos de Relator debido a las CMDT.</w:t>
      </w:r>
    </w:p>
    <w:p w14:paraId="40FEE024" w14:textId="77777777" w:rsidR="000B7E7B" w:rsidRPr="00CC5FE3" w:rsidRDefault="000B7E7B" w:rsidP="00B720A7">
      <w:pPr>
        <w:pStyle w:val="Figure"/>
        <w:rPr>
          <w:rFonts w:eastAsia="Malgun Gothic"/>
          <w:lang w:val="es-ES" w:eastAsia="ko-KR"/>
        </w:rPr>
      </w:pPr>
      <w:r w:rsidRPr="00CC5FE3">
        <w:rPr>
          <w:rFonts w:eastAsia="Malgun Gothic"/>
          <w:noProof/>
          <w:lang w:val="es-ES" w:eastAsia="ko-KR"/>
        </w:rPr>
        <w:lastRenderedPageBreak/>
        <w:drawing>
          <wp:inline distT="0" distB="0" distL="0" distR="0" wp14:anchorId="65FF10CC" wp14:editId="560C8DBD">
            <wp:extent cx="4079042" cy="2389293"/>
            <wp:effectExtent l="0" t="0" r="0" b="0"/>
            <wp:docPr id="1061668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40" cy="2399074"/>
                    </a:xfrm>
                    <a:prstGeom prst="rect">
                      <a:avLst/>
                    </a:prstGeom>
                    <a:noFill/>
                  </pic:spPr>
                </pic:pic>
              </a:graphicData>
            </a:graphic>
          </wp:inline>
        </w:drawing>
      </w:r>
    </w:p>
    <w:p w14:paraId="0CE989F1" w14:textId="2DB17889" w:rsidR="000B7E7B" w:rsidRPr="00CC5FE3" w:rsidRDefault="000B7E7B" w:rsidP="00B720A7">
      <w:pPr>
        <w:pStyle w:val="FigureNotitle"/>
        <w:rPr>
          <w:rFonts w:asciiTheme="minorHAnsi" w:eastAsia="Malgun Gothic" w:hAnsiTheme="minorHAnsi" w:cstheme="minorHAnsi"/>
          <w:lang w:val="es-ES" w:eastAsia="ko-KR"/>
        </w:rPr>
      </w:pPr>
      <w:r w:rsidRPr="00CC5FE3">
        <w:rPr>
          <w:rFonts w:asciiTheme="minorHAnsi" w:hAnsiTheme="minorHAnsi" w:cstheme="minorHAnsi"/>
          <w:lang w:val="es-ES"/>
        </w:rPr>
        <w:t>Figura 1 – Evolución del número de participantes de la CE 2 por año</w:t>
      </w:r>
    </w:p>
    <w:p w14:paraId="765D9340" w14:textId="54E644C2" w:rsidR="000B7E7B" w:rsidRPr="00CC5FE3" w:rsidRDefault="000B7E7B" w:rsidP="000B7E7B">
      <w:pPr>
        <w:rPr>
          <w:rFonts w:eastAsia="Malgun Gothic" w:cstheme="minorHAnsi"/>
          <w:szCs w:val="24"/>
          <w:lang w:val="es-ES" w:eastAsia="ko-KR"/>
        </w:rPr>
      </w:pPr>
      <w:r w:rsidRPr="00CC5FE3">
        <w:rPr>
          <w:rFonts w:eastAsia="Malgun Gothic" w:cstheme="minorHAnsi"/>
          <w:szCs w:val="24"/>
          <w:lang w:val="es-ES" w:eastAsia="ko-KR"/>
        </w:rPr>
        <w:t xml:space="preserve">En la </w:t>
      </w:r>
      <w:r w:rsidRPr="00CC5FE3">
        <w:rPr>
          <w:rFonts w:eastAsia="Malgun Gothic" w:cstheme="minorHAnsi"/>
          <w:b/>
          <w:bCs/>
          <w:szCs w:val="24"/>
          <w:lang w:val="es-ES" w:eastAsia="ko-KR"/>
        </w:rPr>
        <w:t xml:space="preserve">Figura 2 </w:t>
      </w:r>
      <w:r w:rsidRPr="00CC5FE3">
        <w:rPr>
          <w:rFonts w:eastAsia="Malgun Gothic" w:cstheme="minorHAnsi"/>
          <w:szCs w:val="24"/>
          <w:lang w:val="es-ES" w:eastAsia="ko-KR"/>
        </w:rPr>
        <w:t>se muestra la evolución de la tasa de participación de las mujeres con respecto al periodo de estudios anterior. El porcentaje de mujeres participantes se situó en un promedio de</w:t>
      </w:r>
      <w:r w:rsidR="00813D95" w:rsidRPr="00CC5FE3">
        <w:rPr>
          <w:rFonts w:eastAsia="Malgun Gothic" w:cstheme="minorHAnsi"/>
          <w:szCs w:val="24"/>
          <w:lang w:val="es-ES" w:eastAsia="ko-KR"/>
        </w:rPr>
        <w:t> </w:t>
      </w:r>
      <w:r w:rsidRPr="00CC5FE3">
        <w:rPr>
          <w:rFonts w:eastAsia="Malgun Gothic" w:cstheme="minorHAnsi"/>
          <w:szCs w:val="24"/>
          <w:lang w:val="es-ES" w:eastAsia="ko-KR"/>
        </w:rPr>
        <w:t>40 % por reunión, cifra superior a la del anterior periodo de estudios (promedio del 32 % por reunión).</w:t>
      </w:r>
    </w:p>
    <w:p w14:paraId="7F1E357D" w14:textId="77777777" w:rsidR="000B7E7B" w:rsidRPr="00CC5FE3" w:rsidRDefault="000B7E7B" w:rsidP="00B720A7">
      <w:pPr>
        <w:pStyle w:val="Figure"/>
        <w:rPr>
          <w:rFonts w:eastAsia="Malgun Gothic"/>
          <w:lang w:val="es-ES" w:eastAsia="ko-KR"/>
        </w:rPr>
      </w:pPr>
      <w:r w:rsidRPr="00CC5FE3">
        <w:rPr>
          <w:rFonts w:eastAsia="Malgun Gothic"/>
          <w:noProof/>
          <w:lang w:val="es-ES" w:eastAsia="ko-KR"/>
        </w:rPr>
        <w:drawing>
          <wp:inline distT="0" distB="0" distL="0" distR="0" wp14:anchorId="4589EA49" wp14:editId="5E8C3D7E">
            <wp:extent cx="4034009" cy="2598631"/>
            <wp:effectExtent l="0" t="0" r="5080" b="0"/>
            <wp:docPr id="135118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65479" cy="2618903"/>
                    </a:xfrm>
                    <a:prstGeom prst="rect">
                      <a:avLst/>
                    </a:prstGeom>
                    <a:noFill/>
                  </pic:spPr>
                </pic:pic>
              </a:graphicData>
            </a:graphic>
          </wp:inline>
        </w:drawing>
      </w:r>
    </w:p>
    <w:p w14:paraId="44F6EA2E" w14:textId="77777777" w:rsidR="000B7E7B" w:rsidRPr="00CC5FE3" w:rsidRDefault="000B7E7B" w:rsidP="00B720A7">
      <w:pPr>
        <w:pStyle w:val="FigureNotitle"/>
        <w:rPr>
          <w:rFonts w:asciiTheme="minorHAnsi" w:hAnsiTheme="minorHAnsi"/>
          <w:bCs/>
          <w:lang w:val="es-ES"/>
        </w:rPr>
      </w:pPr>
      <w:r w:rsidRPr="00CC5FE3">
        <w:rPr>
          <w:rFonts w:asciiTheme="minorHAnsi" w:hAnsiTheme="minorHAnsi"/>
          <w:bCs/>
          <w:lang w:val="es-ES"/>
        </w:rPr>
        <w:t>Figura 2 – Evolución de la tasa de participación de mujeres (2018-2025)</w:t>
      </w:r>
    </w:p>
    <w:p w14:paraId="4F82C498" w14:textId="547D96AD" w:rsidR="000B7E7B" w:rsidRPr="00CC5FE3" w:rsidRDefault="000B7E7B" w:rsidP="000B7E7B">
      <w:pPr>
        <w:rPr>
          <w:rFonts w:eastAsia="Malgun Gothic" w:cstheme="minorBidi"/>
          <w:lang w:val="es-ES" w:eastAsia="ko-KR"/>
        </w:rPr>
      </w:pPr>
      <w:r w:rsidRPr="00CC5FE3">
        <w:rPr>
          <w:rFonts w:eastAsia="Malgun Gothic" w:cstheme="minorBidi"/>
          <w:lang w:val="es-ES" w:eastAsia="ko-KR"/>
        </w:rPr>
        <w:t xml:space="preserve">En la </w:t>
      </w:r>
      <w:r w:rsidRPr="00CC5FE3">
        <w:rPr>
          <w:rFonts w:eastAsia="Malgun Gothic" w:cstheme="minorBidi"/>
          <w:b/>
          <w:bCs/>
          <w:lang w:val="es-ES" w:eastAsia="ko-KR"/>
        </w:rPr>
        <w:t>Figura 3</w:t>
      </w:r>
      <w:r w:rsidRPr="00CC5FE3">
        <w:rPr>
          <w:rFonts w:eastAsia="Malgun Gothic" w:cstheme="minorBidi"/>
          <w:lang w:val="es-ES" w:eastAsia="ko-KR"/>
        </w:rPr>
        <w:t xml:space="preserve"> se muestra la distribución regional de todos los participantes. La mayoría de los participantes fueron de las regiones de África y Asia y el Pacífico, seguido por las Américas, Europa, los Estados Árabes y la CEI. La distribución es similar al periodo de estudios anterior, con pequeños cambios (el mayor incremento en África con +6 %, y la mayor reducción en las Américas con </w:t>
      </w:r>
      <w:r w:rsidR="00B720A7" w:rsidRPr="00CC5FE3">
        <w:rPr>
          <w:rFonts w:eastAsia="Malgun Gothic" w:cstheme="minorBidi"/>
          <w:lang w:val="es-ES" w:eastAsia="ko-KR"/>
        </w:rPr>
        <w:t>–</w:t>
      </w:r>
      <w:r w:rsidRPr="00CC5FE3">
        <w:rPr>
          <w:rFonts w:eastAsia="Malgun Gothic" w:cstheme="minorBidi"/>
          <w:lang w:val="es-ES" w:eastAsia="ko-KR"/>
        </w:rPr>
        <w:t>4 %).</w:t>
      </w:r>
    </w:p>
    <w:p w14:paraId="66BCEBE9" w14:textId="2B968449" w:rsidR="000B7E7B" w:rsidRPr="00CC5FE3" w:rsidRDefault="00FA6A3B" w:rsidP="00B720A7">
      <w:pPr>
        <w:pStyle w:val="Figure"/>
        <w:rPr>
          <w:rFonts w:eastAsia="Malgun Gothic"/>
          <w:lang w:val="es-ES" w:eastAsia="ko-KR"/>
        </w:rPr>
      </w:pPr>
      <w:r w:rsidRPr="00CC5FE3">
        <w:rPr>
          <w:rFonts w:eastAsia="Malgun Gothic"/>
          <w:noProof/>
          <w:lang w:val="es-ES" w:eastAsia="ko-KR"/>
        </w:rPr>
        <w:lastRenderedPageBreak/>
        <w:drawing>
          <wp:inline distT="0" distB="0" distL="0" distR="0" wp14:anchorId="485DC0FB" wp14:editId="7EA2A8C7">
            <wp:extent cx="3931496" cy="2490478"/>
            <wp:effectExtent l="0" t="0" r="0" b="5080"/>
            <wp:docPr id="4" name="Picture 4" descr="A pie chart with different colors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e chart with different colors with Crust in the background&#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963161" cy="2510537"/>
                    </a:xfrm>
                    <a:prstGeom prst="rect">
                      <a:avLst/>
                    </a:prstGeom>
                  </pic:spPr>
                </pic:pic>
              </a:graphicData>
            </a:graphic>
          </wp:inline>
        </w:drawing>
      </w:r>
    </w:p>
    <w:p w14:paraId="78B32AAC" w14:textId="63052659" w:rsidR="000B7E7B" w:rsidRPr="00CC5FE3" w:rsidRDefault="000B7E7B" w:rsidP="00B720A7">
      <w:pPr>
        <w:pStyle w:val="FigureNotitle"/>
        <w:rPr>
          <w:rFonts w:asciiTheme="minorHAnsi" w:hAnsiTheme="minorHAnsi"/>
          <w:bCs/>
          <w:lang w:val="es-ES"/>
        </w:rPr>
      </w:pPr>
      <w:r w:rsidRPr="00CC5FE3">
        <w:rPr>
          <w:rFonts w:asciiTheme="minorHAnsi" w:hAnsiTheme="minorHAnsi"/>
          <w:bCs/>
          <w:lang w:val="es-ES"/>
        </w:rPr>
        <w:t>Figura 3 – Distribución de los participantes en la Comisión de Estudio 2 por región</w:t>
      </w:r>
    </w:p>
    <w:p w14:paraId="0C79114F" w14:textId="77777777" w:rsidR="000B7E7B" w:rsidRPr="00CC5FE3" w:rsidRDefault="000B7E7B" w:rsidP="000B7E7B">
      <w:pPr>
        <w:rPr>
          <w:rFonts w:eastAsia="Malgun Gothic" w:cstheme="minorHAnsi"/>
          <w:szCs w:val="24"/>
          <w:lang w:val="es-ES" w:eastAsia="ko-KR"/>
        </w:rPr>
      </w:pPr>
      <w:r w:rsidRPr="00CC5FE3">
        <w:rPr>
          <w:rFonts w:eastAsia="Malgun Gothic" w:cstheme="minorHAnsi"/>
          <w:szCs w:val="24"/>
          <w:lang w:val="es-ES" w:eastAsia="ko-KR"/>
        </w:rPr>
        <w:t xml:space="preserve">En la </w:t>
      </w:r>
      <w:r w:rsidRPr="00CC5FE3">
        <w:rPr>
          <w:rFonts w:eastAsia="Malgun Gothic" w:cstheme="minorHAnsi"/>
          <w:b/>
          <w:bCs/>
          <w:szCs w:val="24"/>
          <w:lang w:val="es-ES" w:eastAsia="ko-KR"/>
        </w:rPr>
        <w:t xml:space="preserve">Figura 4 </w:t>
      </w:r>
      <w:r w:rsidRPr="00CC5FE3">
        <w:rPr>
          <w:rFonts w:eastAsia="Malgun Gothic" w:cstheme="minorHAnsi"/>
          <w:szCs w:val="24"/>
          <w:lang w:val="es-ES" w:eastAsia="ko-KR"/>
        </w:rPr>
        <w:t>se presenta la distribución de participantes por tipo de miembro. Como en el periodo de estudios anterior, la mayoría de los participantes procedían de los Estados Miembro, seguidos por los Miembros de Sector. El número de participantes de Instituciones Académicas y Miembros Asociados del UIT-D fue inferior al 5 %.</w:t>
      </w:r>
    </w:p>
    <w:p w14:paraId="1B99AAE4" w14:textId="77777777" w:rsidR="000B7E7B" w:rsidRPr="00CC5FE3" w:rsidRDefault="000B7E7B" w:rsidP="00B720A7">
      <w:pPr>
        <w:pStyle w:val="Figure"/>
        <w:rPr>
          <w:rFonts w:eastAsia="Malgun Gothic"/>
          <w:lang w:val="es-ES" w:eastAsia="ko-KR"/>
        </w:rPr>
      </w:pPr>
      <w:r w:rsidRPr="00CC5FE3">
        <w:rPr>
          <w:rFonts w:eastAsia="Malgun Gothic"/>
          <w:noProof/>
          <w:lang w:val="es-ES" w:eastAsia="ko-KR"/>
        </w:rPr>
        <w:drawing>
          <wp:inline distT="0" distB="0" distL="0" distR="0" wp14:anchorId="64A29643" wp14:editId="4C6B8013">
            <wp:extent cx="3657600" cy="2572349"/>
            <wp:effectExtent l="0" t="0" r="0" b="0"/>
            <wp:docPr id="1575769847" name="Picture 1"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69847" name="Picture 1" descr="A pie chart with different colored circles&#10;&#10;AI-generated content may be incorrect."/>
                    <pic:cNvPicPr/>
                  </pic:nvPicPr>
                  <pic:blipFill>
                    <a:blip r:embed="rId26"/>
                    <a:stretch>
                      <a:fillRect/>
                    </a:stretch>
                  </pic:blipFill>
                  <pic:spPr>
                    <a:xfrm>
                      <a:off x="0" y="0"/>
                      <a:ext cx="3667911" cy="2579601"/>
                    </a:xfrm>
                    <a:prstGeom prst="rect">
                      <a:avLst/>
                    </a:prstGeom>
                  </pic:spPr>
                </pic:pic>
              </a:graphicData>
            </a:graphic>
          </wp:inline>
        </w:drawing>
      </w:r>
    </w:p>
    <w:p w14:paraId="713DA03A" w14:textId="77777777" w:rsidR="000B7E7B" w:rsidRPr="00CC5FE3" w:rsidRDefault="000B7E7B" w:rsidP="00B720A7">
      <w:pPr>
        <w:pStyle w:val="FigureNotitle"/>
        <w:rPr>
          <w:rFonts w:asciiTheme="minorHAnsi" w:eastAsia="Malgun Gothic" w:hAnsiTheme="minorHAnsi"/>
          <w:bCs/>
          <w:lang w:val="es-ES" w:eastAsia="ko-KR"/>
        </w:rPr>
      </w:pPr>
      <w:r w:rsidRPr="00CC5FE3">
        <w:rPr>
          <w:rFonts w:asciiTheme="minorHAnsi" w:hAnsiTheme="minorHAnsi"/>
          <w:bCs/>
          <w:lang w:val="es-ES"/>
        </w:rPr>
        <w:t>Figura 4 – Distribución de los participantes en la Comisión de Estudio 2 por tipo de miembro</w:t>
      </w:r>
    </w:p>
    <w:p w14:paraId="6438C223" w14:textId="60C94133" w:rsidR="000B7E7B" w:rsidRPr="00CC5FE3" w:rsidRDefault="008B4A39" w:rsidP="00B720A7">
      <w:pPr>
        <w:pStyle w:val="Heading1"/>
        <w:rPr>
          <w:rFonts w:eastAsia="Malgun Gothic"/>
          <w:lang w:val="es-ES" w:eastAsia="ko-KR"/>
        </w:rPr>
      </w:pPr>
      <w:r w:rsidRPr="00CC5FE3">
        <w:rPr>
          <w:rFonts w:eastAsia="Malgun Gothic"/>
          <w:lang w:val="es-ES" w:eastAsia="ko-KR"/>
        </w:rPr>
        <w:t>2</w:t>
      </w:r>
      <w:r w:rsidRPr="00CC5FE3">
        <w:rPr>
          <w:rFonts w:eastAsia="Malgun Gothic"/>
          <w:lang w:val="es-ES" w:eastAsia="ko-KR"/>
        </w:rPr>
        <w:tab/>
      </w:r>
      <w:r w:rsidR="000B7E7B" w:rsidRPr="00CC5FE3">
        <w:rPr>
          <w:rFonts w:eastAsia="Malgun Gothic"/>
          <w:lang w:val="es-ES" w:eastAsia="ko-KR"/>
        </w:rPr>
        <w:t>Documentos</w:t>
      </w:r>
    </w:p>
    <w:p w14:paraId="707C964C" w14:textId="646D55E4" w:rsidR="000B7E7B" w:rsidRPr="00CC5FE3" w:rsidRDefault="000B7E7B" w:rsidP="000B7E7B">
      <w:pPr>
        <w:spacing w:after="120"/>
        <w:rPr>
          <w:rFonts w:eastAsia="Malgun Gothic"/>
          <w:szCs w:val="24"/>
          <w:lang w:val="es-ES" w:eastAsia="ko-KR"/>
        </w:rPr>
      </w:pPr>
      <w:r w:rsidRPr="00CC5FE3">
        <w:rPr>
          <w:rFonts w:eastAsia="Malgun Gothic"/>
          <w:szCs w:val="24"/>
          <w:lang w:val="es-ES" w:eastAsia="ko-KR"/>
        </w:rPr>
        <w:t>La Comisión de Estudio 2 examinó un total de 689 documentos durante este periodo de estudios, de los cuales 482 fueron contribuciones. Un análisis más detallado de las contribuciones muestra que 353 de ellas fueron presentadas por los miembros, mientras que las 129 contribuciones restantes provinieron de los miembros del equipo de dirección de la CE</w:t>
      </w:r>
      <w:r w:rsidR="00B720A7" w:rsidRPr="00CC5FE3">
        <w:rPr>
          <w:rFonts w:eastAsia="Malgun Gothic"/>
          <w:szCs w:val="24"/>
          <w:lang w:val="es-ES" w:eastAsia="ko-KR"/>
        </w:rPr>
        <w:t> </w:t>
      </w:r>
      <w:r w:rsidRPr="00CC5FE3">
        <w:rPr>
          <w:rFonts w:eastAsia="Malgun Gothic"/>
          <w:szCs w:val="24"/>
          <w:lang w:val="es-ES" w:eastAsia="ko-KR"/>
        </w:rPr>
        <w:t xml:space="preserve">2 (Presidente, Vicepresidentes, Relatores, Vicerrelatores y Coordinadores) en el ejercicio de sus funciones, y de la UIT (la BDT, incluidos los Coordinadores de la BDT, otros funcionarios de la BDT y la Secretaría de las Comisiones de Estudio, así como los demás Sectores de la UIT y la Secretaría General). En el </w:t>
      </w:r>
      <w:r w:rsidRPr="00CC5FE3">
        <w:rPr>
          <w:rFonts w:eastAsia="Malgun Gothic"/>
          <w:b/>
          <w:bCs/>
          <w:szCs w:val="24"/>
          <w:lang w:val="es-ES" w:eastAsia="ko-KR"/>
        </w:rPr>
        <w:t>Cuadro</w:t>
      </w:r>
      <w:r w:rsidR="00B720A7" w:rsidRPr="00CC5FE3">
        <w:rPr>
          <w:rFonts w:eastAsia="Malgun Gothic"/>
          <w:b/>
          <w:bCs/>
          <w:szCs w:val="24"/>
          <w:lang w:val="es-ES" w:eastAsia="ko-KR"/>
        </w:rPr>
        <w:t> </w:t>
      </w:r>
      <w:r w:rsidRPr="00CC5FE3">
        <w:rPr>
          <w:rFonts w:eastAsia="Malgun Gothic"/>
          <w:b/>
          <w:bCs/>
          <w:szCs w:val="24"/>
          <w:lang w:val="es-ES" w:eastAsia="ko-KR"/>
        </w:rPr>
        <w:t>2</w:t>
      </w:r>
      <w:r w:rsidRPr="00CC5FE3">
        <w:rPr>
          <w:rFonts w:eastAsia="Malgun Gothic"/>
          <w:szCs w:val="24"/>
          <w:lang w:val="es-ES" w:eastAsia="ko-KR"/>
        </w:rPr>
        <w:t xml:space="preserve"> se enumeran los diferentes documentos durante este periodo de estudios.</w:t>
      </w:r>
    </w:p>
    <w:tbl>
      <w:tblPr>
        <w:tblStyle w:val="GridTable5Dark-Accent1"/>
        <w:tblW w:w="0" w:type="auto"/>
        <w:jc w:val="center"/>
        <w:tblLook w:val="04A0" w:firstRow="1" w:lastRow="0" w:firstColumn="1" w:lastColumn="0" w:noHBand="0" w:noVBand="1"/>
      </w:tblPr>
      <w:tblGrid>
        <w:gridCol w:w="4820"/>
        <w:gridCol w:w="941"/>
        <w:gridCol w:w="941"/>
        <w:gridCol w:w="978"/>
        <w:gridCol w:w="1017"/>
        <w:gridCol w:w="932"/>
      </w:tblGrid>
      <w:tr w:rsidR="00B720A7" w:rsidRPr="00CC5FE3" w14:paraId="169F765D" w14:textId="77777777" w:rsidTr="00857FB6">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4820" w:type="dxa"/>
          </w:tcPr>
          <w:p w14:paraId="769EDCCA" w14:textId="23C20C00" w:rsidR="000B7E7B" w:rsidRPr="00CC5FE3" w:rsidRDefault="000B7E7B" w:rsidP="00B720A7">
            <w:pPr>
              <w:pStyle w:val="Tablehead"/>
              <w:rPr>
                <w:b/>
                <w:bCs w:val="0"/>
                <w:lang w:val="es-ES"/>
              </w:rPr>
            </w:pPr>
            <w:r w:rsidRPr="00CC5FE3">
              <w:rPr>
                <w:b/>
                <w:bCs w:val="0"/>
                <w:lang w:val="es-ES"/>
              </w:rPr>
              <w:lastRenderedPageBreak/>
              <w:t>Documentos para las reuniones de la CE</w:t>
            </w:r>
            <w:r w:rsidR="00B720A7" w:rsidRPr="00CC5FE3">
              <w:rPr>
                <w:b/>
                <w:bCs w:val="0"/>
                <w:lang w:val="es-ES"/>
              </w:rPr>
              <w:t> </w:t>
            </w:r>
            <w:r w:rsidRPr="00CC5FE3">
              <w:rPr>
                <w:b/>
                <w:bCs w:val="0"/>
                <w:lang w:val="es-ES"/>
              </w:rPr>
              <w:t>2 y de los Grupos de Relator</w:t>
            </w:r>
          </w:p>
        </w:tc>
        <w:tc>
          <w:tcPr>
            <w:tcW w:w="941" w:type="dxa"/>
          </w:tcPr>
          <w:p w14:paraId="478922E6" w14:textId="77777777" w:rsidR="000B7E7B" w:rsidRPr="00CC5FE3" w:rsidRDefault="000B7E7B" w:rsidP="00B720A7">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es-ES" w:eastAsia="ko-KR"/>
              </w:rPr>
            </w:pPr>
            <w:r w:rsidRPr="00CC5FE3">
              <w:rPr>
                <w:b/>
                <w:bCs w:val="0"/>
                <w:lang w:val="es-ES"/>
              </w:rPr>
              <w:t>20</w:t>
            </w:r>
            <w:r w:rsidRPr="00CC5FE3">
              <w:rPr>
                <w:rFonts w:eastAsia="Malgun Gothic"/>
                <w:b/>
                <w:bCs w:val="0"/>
                <w:lang w:val="es-ES" w:eastAsia="ko-KR"/>
              </w:rPr>
              <w:t>22</w:t>
            </w:r>
          </w:p>
        </w:tc>
        <w:tc>
          <w:tcPr>
            <w:tcW w:w="941" w:type="dxa"/>
          </w:tcPr>
          <w:p w14:paraId="730CB296" w14:textId="77777777" w:rsidR="000B7E7B" w:rsidRPr="00CC5FE3" w:rsidRDefault="000B7E7B" w:rsidP="00B720A7">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es-ES" w:eastAsia="ko-KR"/>
              </w:rPr>
            </w:pPr>
            <w:r w:rsidRPr="00CC5FE3">
              <w:rPr>
                <w:b/>
                <w:bCs w:val="0"/>
                <w:lang w:val="es-ES"/>
              </w:rPr>
              <w:t>20</w:t>
            </w:r>
            <w:r w:rsidRPr="00CC5FE3">
              <w:rPr>
                <w:rFonts w:eastAsia="Malgun Gothic"/>
                <w:b/>
                <w:bCs w:val="0"/>
                <w:lang w:val="es-ES" w:eastAsia="ko-KR"/>
              </w:rPr>
              <w:t>23</w:t>
            </w:r>
          </w:p>
        </w:tc>
        <w:tc>
          <w:tcPr>
            <w:tcW w:w="978" w:type="dxa"/>
          </w:tcPr>
          <w:p w14:paraId="492C06F3" w14:textId="77777777" w:rsidR="000B7E7B" w:rsidRPr="00CC5FE3" w:rsidRDefault="000B7E7B" w:rsidP="00B720A7">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es-ES" w:eastAsia="ko-KR"/>
              </w:rPr>
            </w:pPr>
            <w:r w:rsidRPr="00CC5FE3">
              <w:rPr>
                <w:b/>
                <w:bCs w:val="0"/>
                <w:lang w:val="es-ES"/>
              </w:rPr>
              <w:t>202</w:t>
            </w:r>
            <w:r w:rsidRPr="00CC5FE3">
              <w:rPr>
                <w:rFonts w:eastAsia="Malgun Gothic"/>
                <w:b/>
                <w:bCs w:val="0"/>
                <w:lang w:val="es-ES" w:eastAsia="ko-KR"/>
              </w:rPr>
              <w:t>4</w:t>
            </w:r>
          </w:p>
        </w:tc>
        <w:tc>
          <w:tcPr>
            <w:tcW w:w="1017" w:type="dxa"/>
          </w:tcPr>
          <w:p w14:paraId="391365D4" w14:textId="77777777" w:rsidR="000B7E7B" w:rsidRPr="00CC5FE3" w:rsidRDefault="000B7E7B" w:rsidP="00B720A7">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lang w:val="es-ES" w:eastAsia="ko-KR"/>
              </w:rPr>
            </w:pPr>
            <w:r w:rsidRPr="00CC5FE3">
              <w:rPr>
                <w:b/>
                <w:bCs w:val="0"/>
                <w:lang w:val="es-ES"/>
              </w:rPr>
              <w:t>202</w:t>
            </w:r>
            <w:r w:rsidRPr="00CC5FE3">
              <w:rPr>
                <w:rFonts w:eastAsia="Malgun Gothic"/>
                <w:b/>
                <w:bCs w:val="0"/>
                <w:lang w:val="es-ES" w:eastAsia="ko-KR"/>
              </w:rPr>
              <w:t>5</w:t>
            </w:r>
          </w:p>
        </w:tc>
        <w:tc>
          <w:tcPr>
            <w:tcW w:w="932" w:type="dxa"/>
          </w:tcPr>
          <w:p w14:paraId="38364FC8" w14:textId="77777777" w:rsidR="000B7E7B" w:rsidRPr="00CC5FE3" w:rsidRDefault="000B7E7B" w:rsidP="00B720A7">
            <w:pPr>
              <w:pStyle w:val="Tablehead"/>
              <w:cnfStyle w:val="100000000000" w:firstRow="1" w:lastRow="0" w:firstColumn="0" w:lastColumn="0" w:oddVBand="0" w:evenVBand="0" w:oddHBand="0" w:evenHBand="0" w:firstRowFirstColumn="0" w:firstRowLastColumn="0" w:lastRowFirstColumn="0" w:lastRowLastColumn="0"/>
              <w:rPr>
                <w:b/>
                <w:bCs w:val="0"/>
                <w:lang w:val="es-ES"/>
              </w:rPr>
            </w:pPr>
            <w:r w:rsidRPr="00CC5FE3">
              <w:rPr>
                <w:b/>
                <w:bCs w:val="0"/>
                <w:lang w:val="es-ES"/>
              </w:rPr>
              <w:t>Periodo de estudios</w:t>
            </w:r>
          </w:p>
        </w:tc>
      </w:tr>
      <w:tr w:rsidR="000B7E7B" w:rsidRPr="00CC5FE3" w14:paraId="2BFF8457" w14:textId="77777777" w:rsidTr="00857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7E8C84EE" w14:textId="451FE6B6" w:rsidR="000B7E7B" w:rsidRPr="00CC5FE3" w:rsidRDefault="000B7E7B" w:rsidP="00B720A7">
            <w:pPr>
              <w:pStyle w:val="Tabletext"/>
              <w:rPr>
                <w:b w:val="0"/>
                <w:bCs w:val="0"/>
                <w:lang w:val="es-ES"/>
              </w:rPr>
            </w:pPr>
            <w:r w:rsidRPr="00CC5FE3">
              <w:rPr>
                <w:b w:val="0"/>
                <w:bCs w:val="0"/>
                <w:lang w:val="es-ES"/>
              </w:rPr>
              <w:t>Contribuciones</w:t>
            </w:r>
            <w:r w:rsidR="0080295B">
              <w:rPr>
                <w:b w:val="0"/>
                <w:bCs w:val="0"/>
                <w:lang w:val="es-ES"/>
              </w:rPr>
              <w:t>:</w:t>
            </w:r>
          </w:p>
          <w:p w14:paraId="6FD492AC" w14:textId="73E2A915" w:rsidR="000B7E7B" w:rsidRPr="00CC5FE3" w:rsidRDefault="00B720A7" w:rsidP="00B720A7">
            <w:pPr>
              <w:pStyle w:val="Tabletext"/>
              <w:rPr>
                <w:b w:val="0"/>
                <w:bCs w:val="0"/>
                <w:lang w:val="es-ES"/>
              </w:rPr>
            </w:pPr>
            <w:r w:rsidRPr="00CC5FE3">
              <w:rPr>
                <w:b w:val="0"/>
                <w:bCs w:val="0"/>
                <w:lang w:val="es-ES"/>
              </w:rPr>
              <w:t>–</w:t>
            </w:r>
            <w:r w:rsidRPr="00CC5FE3">
              <w:rPr>
                <w:b w:val="0"/>
                <w:bCs w:val="0"/>
                <w:lang w:val="es-ES"/>
              </w:rPr>
              <w:tab/>
            </w:r>
            <w:r w:rsidR="000B7E7B" w:rsidRPr="00CC5FE3">
              <w:rPr>
                <w:b w:val="0"/>
                <w:bCs w:val="0"/>
                <w:lang w:val="es-ES"/>
              </w:rPr>
              <w:t>de los miembros</w:t>
            </w:r>
            <w:r w:rsidR="0080295B">
              <w:rPr>
                <w:b w:val="0"/>
                <w:bCs w:val="0"/>
                <w:lang w:val="es-ES"/>
              </w:rPr>
              <w:t>;</w:t>
            </w:r>
          </w:p>
          <w:p w14:paraId="490BC632" w14:textId="55B89E7F" w:rsidR="000B7E7B" w:rsidRPr="00CC5FE3" w:rsidRDefault="00B720A7" w:rsidP="00B720A7">
            <w:pPr>
              <w:pStyle w:val="Tabletext"/>
              <w:rPr>
                <w:b w:val="0"/>
                <w:bCs w:val="0"/>
                <w:lang w:val="es-ES"/>
              </w:rPr>
            </w:pPr>
            <w:r w:rsidRPr="00CC5FE3">
              <w:rPr>
                <w:b w:val="0"/>
                <w:bCs w:val="0"/>
                <w:lang w:val="es-ES"/>
              </w:rPr>
              <w:t>–</w:t>
            </w:r>
            <w:r w:rsidRPr="00CC5FE3">
              <w:rPr>
                <w:b w:val="0"/>
                <w:bCs w:val="0"/>
                <w:lang w:val="es-ES"/>
              </w:rPr>
              <w:tab/>
            </w:r>
            <w:r w:rsidR="000B7E7B" w:rsidRPr="00CC5FE3">
              <w:rPr>
                <w:b w:val="0"/>
                <w:bCs w:val="0"/>
                <w:lang w:val="es-ES"/>
              </w:rPr>
              <w:t>de la dirección de la CE + UIT</w:t>
            </w:r>
          </w:p>
        </w:tc>
        <w:tc>
          <w:tcPr>
            <w:tcW w:w="941" w:type="dxa"/>
          </w:tcPr>
          <w:p w14:paraId="63BF53CA"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56</w:t>
            </w:r>
          </w:p>
        </w:tc>
        <w:tc>
          <w:tcPr>
            <w:tcW w:w="941" w:type="dxa"/>
          </w:tcPr>
          <w:p w14:paraId="3DFE4E3D"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lang w:val="es-ES"/>
              </w:rPr>
              <w:t>16</w:t>
            </w:r>
            <w:r w:rsidRPr="00CC5FE3">
              <w:rPr>
                <w:rFonts w:eastAsia="Malgun Gothic"/>
                <w:lang w:val="es-ES" w:eastAsia="ko-KR"/>
              </w:rPr>
              <w:t>3</w:t>
            </w:r>
          </w:p>
        </w:tc>
        <w:tc>
          <w:tcPr>
            <w:tcW w:w="978" w:type="dxa"/>
          </w:tcPr>
          <w:p w14:paraId="600C5C8A"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207</w:t>
            </w:r>
          </w:p>
        </w:tc>
        <w:tc>
          <w:tcPr>
            <w:tcW w:w="1017" w:type="dxa"/>
          </w:tcPr>
          <w:p w14:paraId="554706ED"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54</w:t>
            </w:r>
          </w:p>
        </w:tc>
        <w:tc>
          <w:tcPr>
            <w:tcW w:w="932" w:type="dxa"/>
          </w:tcPr>
          <w:p w14:paraId="20E1A869"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482</w:t>
            </w:r>
          </w:p>
          <w:p w14:paraId="0C0696B8"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353</w:t>
            </w:r>
          </w:p>
          <w:p w14:paraId="73D0CAC3"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129</w:t>
            </w:r>
          </w:p>
        </w:tc>
      </w:tr>
      <w:tr w:rsidR="000B7E7B" w:rsidRPr="00CC5FE3" w14:paraId="4AFEEECF" w14:textId="77777777" w:rsidTr="00857FB6">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0484CDDC" w14:textId="77777777" w:rsidR="000B7E7B" w:rsidRPr="00CC5FE3" w:rsidRDefault="000B7E7B" w:rsidP="00B720A7">
            <w:pPr>
              <w:pStyle w:val="Tabletext"/>
              <w:rPr>
                <w:b w:val="0"/>
                <w:bCs w:val="0"/>
                <w:lang w:val="es-ES"/>
              </w:rPr>
            </w:pPr>
            <w:r w:rsidRPr="00CC5FE3">
              <w:rPr>
                <w:b w:val="0"/>
                <w:bCs w:val="0"/>
                <w:lang w:val="es-ES"/>
              </w:rPr>
              <w:t>Declaraciones de coordinación recibidas</w:t>
            </w:r>
          </w:p>
        </w:tc>
        <w:tc>
          <w:tcPr>
            <w:tcW w:w="941" w:type="dxa"/>
          </w:tcPr>
          <w:p w14:paraId="75DA12A3"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34</w:t>
            </w:r>
          </w:p>
        </w:tc>
        <w:tc>
          <w:tcPr>
            <w:tcW w:w="941" w:type="dxa"/>
          </w:tcPr>
          <w:p w14:paraId="4A09ED60"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36</w:t>
            </w:r>
          </w:p>
        </w:tc>
        <w:tc>
          <w:tcPr>
            <w:tcW w:w="978" w:type="dxa"/>
          </w:tcPr>
          <w:p w14:paraId="79E466F2"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34</w:t>
            </w:r>
          </w:p>
        </w:tc>
        <w:tc>
          <w:tcPr>
            <w:tcW w:w="1017" w:type="dxa"/>
          </w:tcPr>
          <w:p w14:paraId="4A4E4168"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9</w:t>
            </w:r>
          </w:p>
        </w:tc>
        <w:tc>
          <w:tcPr>
            <w:tcW w:w="932" w:type="dxa"/>
          </w:tcPr>
          <w:p w14:paraId="37301769"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113</w:t>
            </w:r>
          </w:p>
        </w:tc>
      </w:tr>
      <w:tr w:rsidR="000B7E7B" w:rsidRPr="00CC5FE3" w14:paraId="06711F50" w14:textId="77777777" w:rsidTr="00857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311C68F8" w14:textId="77777777" w:rsidR="000B7E7B" w:rsidRPr="00CC5FE3" w:rsidRDefault="000B7E7B" w:rsidP="00B720A7">
            <w:pPr>
              <w:pStyle w:val="Tabletext"/>
              <w:rPr>
                <w:b w:val="0"/>
                <w:bCs w:val="0"/>
                <w:lang w:val="es-ES"/>
              </w:rPr>
            </w:pPr>
            <w:r w:rsidRPr="00CC5FE3">
              <w:rPr>
                <w:b w:val="0"/>
                <w:bCs w:val="0"/>
                <w:lang w:val="es-ES"/>
              </w:rPr>
              <w:t>Declaraciones de coordinación enviadas</w:t>
            </w:r>
          </w:p>
        </w:tc>
        <w:tc>
          <w:tcPr>
            <w:tcW w:w="941" w:type="dxa"/>
          </w:tcPr>
          <w:p w14:paraId="29F3CFE8"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7</w:t>
            </w:r>
          </w:p>
        </w:tc>
        <w:tc>
          <w:tcPr>
            <w:tcW w:w="941" w:type="dxa"/>
          </w:tcPr>
          <w:p w14:paraId="097BBAA5"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10</w:t>
            </w:r>
          </w:p>
        </w:tc>
        <w:tc>
          <w:tcPr>
            <w:tcW w:w="978" w:type="dxa"/>
          </w:tcPr>
          <w:p w14:paraId="6AB40ABB"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5</w:t>
            </w:r>
          </w:p>
        </w:tc>
        <w:tc>
          <w:tcPr>
            <w:tcW w:w="1017" w:type="dxa"/>
          </w:tcPr>
          <w:p w14:paraId="180C8A04"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5</w:t>
            </w:r>
          </w:p>
        </w:tc>
        <w:tc>
          <w:tcPr>
            <w:tcW w:w="932" w:type="dxa"/>
          </w:tcPr>
          <w:p w14:paraId="34178C60"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27</w:t>
            </w:r>
          </w:p>
        </w:tc>
      </w:tr>
      <w:tr w:rsidR="000B7E7B" w:rsidRPr="00CC5FE3" w14:paraId="3FBB1EA7" w14:textId="77777777" w:rsidTr="00857FB6">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3CCAEAC6" w14:textId="77777777" w:rsidR="000B7E7B" w:rsidRPr="00CC5FE3" w:rsidRDefault="000B7E7B" w:rsidP="00B720A7">
            <w:pPr>
              <w:pStyle w:val="Tabletext"/>
              <w:rPr>
                <w:b w:val="0"/>
                <w:bCs w:val="0"/>
                <w:lang w:val="es-ES"/>
              </w:rPr>
            </w:pPr>
            <w:r w:rsidRPr="00CC5FE3">
              <w:rPr>
                <w:b w:val="0"/>
                <w:bCs w:val="0"/>
                <w:lang w:val="es-ES"/>
              </w:rPr>
              <w:t>Informes de reunión y sobre la marcha de los trabajos</w:t>
            </w:r>
          </w:p>
        </w:tc>
        <w:tc>
          <w:tcPr>
            <w:tcW w:w="941" w:type="dxa"/>
          </w:tcPr>
          <w:p w14:paraId="4F9D75EF"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8</w:t>
            </w:r>
          </w:p>
        </w:tc>
        <w:tc>
          <w:tcPr>
            <w:tcW w:w="941" w:type="dxa"/>
          </w:tcPr>
          <w:p w14:paraId="66C24104"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22</w:t>
            </w:r>
          </w:p>
        </w:tc>
        <w:tc>
          <w:tcPr>
            <w:tcW w:w="978" w:type="dxa"/>
          </w:tcPr>
          <w:p w14:paraId="45452592"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lang w:val="es-ES"/>
              </w:rPr>
              <w:t>2</w:t>
            </w:r>
            <w:r w:rsidRPr="00CC5FE3">
              <w:rPr>
                <w:rFonts w:eastAsia="Malgun Gothic"/>
                <w:lang w:val="es-ES" w:eastAsia="ko-KR"/>
              </w:rPr>
              <w:t>2</w:t>
            </w:r>
          </w:p>
        </w:tc>
        <w:tc>
          <w:tcPr>
            <w:tcW w:w="1017" w:type="dxa"/>
          </w:tcPr>
          <w:p w14:paraId="08BF3A31"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15</w:t>
            </w:r>
          </w:p>
        </w:tc>
        <w:tc>
          <w:tcPr>
            <w:tcW w:w="932" w:type="dxa"/>
          </w:tcPr>
          <w:p w14:paraId="2B282FB6" w14:textId="77777777" w:rsidR="000B7E7B" w:rsidRPr="00CC5FE3" w:rsidRDefault="000B7E7B" w:rsidP="00B720A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67</w:t>
            </w:r>
          </w:p>
        </w:tc>
      </w:tr>
      <w:tr w:rsidR="000B7E7B" w:rsidRPr="00CC5FE3" w14:paraId="1AECE858" w14:textId="77777777" w:rsidTr="00857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0893B5BA" w14:textId="77777777" w:rsidR="000B7E7B" w:rsidRPr="00CC5FE3" w:rsidRDefault="000B7E7B" w:rsidP="00B720A7">
            <w:pPr>
              <w:pStyle w:val="Tabletext"/>
              <w:rPr>
                <w:lang w:val="es-ES"/>
              </w:rPr>
            </w:pPr>
            <w:r w:rsidRPr="00CC5FE3">
              <w:rPr>
                <w:lang w:val="es-ES"/>
              </w:rPr>
              <w:t>Total de documentos</w:t>
            </w:r>
          </w:p>
        </w:tc>
        <w:tc>
          <w:tcPr>
            <w:tcW w:w="941" w:type="dxa"/>
          </w:tcPr>
          <w:p w14:paraId="25AF57DF"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105</w:t>
            </w:r>
          </w:p>
        </w:tc>
        <w:tc>
          <w:tcPr>
            <w:tcW w:w="941" w:type="dxa"/>
          </w:tcPr>
          <w:p w14:paraId="52CABB6F"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lang w:val="es-ES"/>
              </w:rPr>
              <w:t>2</w:t>
            </w:r>
            <w:r w:rsidRPr="00CC5FE3">
              <w:rPr>
                <w:rFonts w:eastAsia="Malgun Gothic"/>
                <w:lang w:val="es-ES" w:eastAsia="ko-KR"/>
              </w:rPr>
              <w:t>31</w:t>
            </w:r>
          </w:p>
        </w:tc>
        <w:tc>
          <w:tcPr>
            <w:tcW w:w="978" w:type="dxa"/>
          </w:tcPr>
          <w:p w14:paraId="46857EB8"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lang w:val="es-ES"/>
              </w:rPr>
              <w:t>2</w:t>
            </w:r>
            <w:r w:rsidRPr="00CC5FE3">
              <w:rPr>
                <w:rFonts w:eastAsia="Malgun Gothic"/>
                <w:lang w:val="es-ES" w:eastAsia="ko-KR"/>
              </w:rPr>
              <w:t>68</w:t>
            </w:r>
          </w:p>
        </w:tc>
        <w:tc>
          <w:tcPr>
            <w:tcW w:w="1017" w:type="dxa"/>
          </w:tcPr>
          <w:p w14:paraId="0A5B3A2E"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83</w:t>
            </w:r>
          </w:p>
        </w:tc>
        <w:tc>
          <w:tcPr>
            <w:tcW w:w="932" w:type="dxa"/>
          </w:tcPr>
          <w:p w14:paraId="68D3A850" w14:textId="77777777" w:rsidR="000B7E7B" w:rsidRPr="00CC5FE3" w:rsidRDefault="000B7E7B" w:rsidP="00B720A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689</w:t>
            </w:r>
          </w:p>
        </w:tc>
      </w:tr>
    </w:tbl>
    <w:p w14:paraId="0D9A454C" w14:textId="2DBD31CE" w:rsidR="000B7E7B" w:rsidRPr="00CC5FE3" w:rsidRDefault="000B7E7B" w:rsidP="00B720A7">
      <w:pPr>
        <w:pStyle w:val="TableNotitle"/>
        <w:rPr>
          <w:rFonts w:asciiTheme="minorHAnsi" w:eastAsia="Malgun Gothic" w:hAnsiTheme="minorHAnsi"/>
          <w:bCs/>
          <w:lang w:val="es-ES" w:eastAsia="ko-KR"/>
        </w:rPr>
      </w:pPr>
      <w:r w:rsidRPr="00CC5FE3">
        <w:rPr>
          <w:rFonts w:asciiTheme="minorHAnsi" w:hAnsiTheme="minorHAnsi"/>
          <w:bCs/>
          <w:lang w:val="es-ES"/>
        </w:rPr>
        <w:t>Cuadro 2 – Documentos examinados por la CE 2 durante el periodo de estudios (2022</w:t>
      </w:r>
      <w:r w:rsidR="004C01E7" w:rsidRPr="00CC5FE3">
        <w:rPr>
          <w:rFonts w:asciiTheme="minorHAnsi" w:hAnsiTheme="minorHAnsi"/>
          <w:bCs/>
          <w:lang w:val="es-ES"/>
        </w:rPr>
        <w:noBreakHyphen/>
      </w:r>
      <w:r w:rsidRPr="00CC5FE3">
        <w:rPr>
          <w:rFonts w:asciiTheme="minorHAnsi" w:hAnsiTheme="minorHAnsi"/>
          <w:bCs/>
          <w:lang w:val="es-ES"/>
        </w:rPr>
        <w:t>2025)</w:t>
      </w:r>
    </w:p>
    <w:p w14:paraId="72613977" w14:textId="4A7186BA" w:rsidR="000B7E7B" w:rsidRPr="00CC5FE3" w:rsidRDefault="000B7E7B" w:rsidP="000B7E7B">
      <w:pPr>
        <w:rPr>
          <w:rFonts w:eastAsia="Malgun Gothic" w:cstheme="minorBidi"/>
          <w:lang w:val="es-ES" w:eastAsia="ko-KR"/>
        </w:rPr>
      </w:pPr>
      <w:r w:rsidRPr="00CC5FE3">
        <w:rPr>
          <w:rFonts w:eastAsia="Malgun Gothic" w:cstheme="minorBidi"/>
          <w:lang w:val="es-ES" w:eastAsia="ko-KR"/>
        </w:rPr>
        <w:t xml:space="preserve">En la </w:t>
      </w:r>
      <w:r w:rsidRPr="00CC5FE3">
        <w:rPr>
          <w:rFonts w:eastAsia="Malgun Gothic" w:cstheme="minorBidi"/>
          <w:b/>
          <w:bCs/>
          <w:lang w:val="es-ES" w:eastAsia="ko-KR"/>
        </w:rPr>
        <w:t xml:space="preserve">Figura 5 </w:t>
      </w:r>
      <w:r w:rsidRPr="00CC5FE3">
        <w:rPr>
          <w:rFonts w:eastAsia="Malgun Gothic" w:cstheme="minorBidi"/>
          <w:lang w:val="es-ES" w:eastAsia="ko-KR"/>
        </w:rPr>
        <w:t xml:space="preserve">se muestra la </w:t>
      </w:r>
      <w:r w:rsidR="00CC5FE3" w:rsidRPr="00CC5FE3">
        <w:rPr>
          <w:rFonts w:eastAsia="Malgun Gothic" w:cstheme="minorBidi"/>
          <w:lang w:val="es-ES" w:eastAsia="ko-KR"/>
        </w:rPr>
        <w:t>evolución</w:t>
      </w:r>
      <w:r w:rsidRPr="00CC5FE3">
        <w:rPr>
          <w:rFonts w:eastAsia="Malgun Gothic" w:cstheme="minorBidi"/>
          <w:lang w:val="es-ES" w:eastAsia="ko-KR"/>
        </w:rPr>
        <w:t xml:space="preserve"> del número de documentos desde el último periodo de estudios</w:t>
      </w:r>
      <w:r w:rsidRPr="00CC5FE3">
        <w:rPr>
          <w:rStyle w:val="FootnoteReference"/>
          <w:rFonts w:eastAsia="Malgun Gothic" w:cstheme="minorBidi"/>
          <w:lang w:val="es-ES" w:eastAsia="ko-KR"/>
        </w:rPr>
        <w:footnoteReference w:id="7"/>
      </w:r>
      <w:r w:rsidRPr="00CC5FE3">
        <w:rPr>
          <w:rFonts w:eastAsia="Malgun Gothic" w:cstheme="minorBidi"/>
          <w:lang w:val="es-ES" w:eastAsia="ko-KR"/>
        </w:rPr>
        <w:t>. El número de documentos fue menor durante este periodo de estudios comparado con el anterior (total: 921; promedio 115 por reunión), lo que se debe en parte a un periodo más corto con menos reuniones</w:t>
      </w:r>
      <w:r w:rsidRPr="00CC5FE3">
        <w:rPr>
          <w:rStyle w:val="FootnoteReference"/>
          <w:rFonts w:eastAsia="Malgun Gothic"/>
          <w:lang w:val="es-ES" w:eastAsia="ko-KR"/>
        </w:rPr>
        <w:footnoteReference w:id="8"/>
      </w:r>
      <w:r w:rsidRPr="00CC5FE3">
        <w:rPr>
          <w:rFonts w:eastAsia="Malgun Gothic" w:cstheme="minorBidi"/>
          <w:lang w:val="es-ES" w:eastAsia="ko-KR"/>
        </w:rPr>
        <w:t>. Sin embargo, el número de documentos recibidos en promedio por reunión es idéntico: 115 documentos por reunión.</w:t>
      </w:r>
    </w:p>
    <w:p w14:paraId="16E687AA" w14:textId="77777777" w:rsidR="000B7E7B" w:rsidRPr="00CC5FE3" w:rsidRDefault="000B7E7B" w:rsidP="004C01E7">
      <w:pPr>
        <w:pStyle w:val="Figure"/>
        <w:rPr>
          <w:rFonts w:eastAsia="Malgun Gothic"/>
          <w:lang w:val="es-ES" w:eastAsia="ko-KR"/>
        </w:rPr>
      </w:pPr>
      <w:r w:rsidRPr="00CC5FE3">
        <w:rPr>
          <w:rFonts w:eastAsia="Malgun Gothic"/>
          <w:noProof/>
          <w:lang w:val="es-ES" w:eastAsia="ko-KR"/>
        </w:rPr>
        <w:drawing>
          <wp:inline distT="0" distB="0" distL="0" distR="0" wp14:anchorId="531D3CC8" wp14:editId="23B1A35E">
            <wp:extent cx="4397071" cy="2490010"/>
            <wp:effectExtent l="0" t="0" r="3810" b="5715"/>
            <wp:docPr id="594644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14630" cy="2499954"/>
                    </a:xfrm>
                    <a:prstGeom prst="rect">
                      <a:avLst/>
                    </a:prstGeom>
                    <a:noFill/>
                  </pic:spPr>
                </pic:pic>
              </a:graphicData>
            </a:graphic>
          </wp:inline>
        </w:drawing>
      </w:r>
    </w:p>
    <w:p w14:paraId="24EF3AEF" w14:textId="77777777" w:rsidR="000B7E7B" w:rsidRPr="00CC5FE3" w:rsidRDefault="000B7E7B" w:rsidP="004C01E7">
      <w:pPr>
        <w:pStyle w:val="FigureNotitle"/>
        <w:rPr>
          <w:rFonts w:asciiTheme="minorHAnsi" w:eastAsia="Malgun Gothic" w:hAnsiTheme="minorHAnsi"/>
          <w:bCs/>
          <w:lang w:val="es-ES" w:eastAsia="ko-KR"/>
        </w:rPr>
      </w:pPr>
      <w:r w:rsidRPr="00CC5FE3">
        <w:rPr>
          <w:rFonts w:asciiTheme="minorHAnsi" w:hAnsiTheme="minorHAnsi"/>
          <w:bCs/>
          <w:lang w:val="es-ES"/>
        </w:rPr>
        <w:t>Figura 5 – Evolución del número de documentos de la CE 2 (2018-2025)</w:t>
      </w:r>
    </w:p>
    <w:p w14:paraId="08B4A2D1" w14:textId="77777777" w:rsidR="000B7E7B" w:rsidRPr="00CC5FE3" w:rsidRDefault="000B7E7B" w:rsidP="000B7E7B">
      <w:pPr>
        <w:spacing w:before="240"/>
        <w:rPr>
          <w:rFonts w:eastAsia="Malgun Gothic"/>
          <w:szCs w:val="24"/>
          <w:lang w:val="es-ES" w:eastAsia="ko-KR"/>
        </w:rPr>
      </w:pPr>
      <w:r w:rsidRPr="00CC5FE3">
        <w:rPr>
          <w:rFonts w:eastAsia="Malgun Gothic"/>
          <w:szCs w:val="24"/>
          <w:lang w:val="es-ES" w:eastAsia="ko-KR"/>
        </w:rPr>
        <w:t xml:space="preserve">En la </w:t>
      </w:r>
      <w:r w:rsidRPr="00CC5FE3">
        <w:rPr>
          <w:rFonts w:eastAsia="Malgun Gothic"/>
          <w:b/>
          <w:bCs/>
          <w:szCs w:val="24"/>
          <w:lang w:val="es-ES" w:eastAsia="ko-KR"/>
        </w:rPr>
        <w:t xml:space="preserve">Figura 6 </w:t>
      </w:r>
      <w:r w:rsidRPr="00CC5FE3">
        <w:rPr>
          <w:rFonts w:eastAsia="Malgun Gothic"/>
          <w:szCs w:val="24"/>
          <w:lang w:val="es-ES" w:eastAsia="ko-KR"/>
        </w:rPr>
        <w:t>se muestra un análisis regional de las contribuciones elaboradas por los miembros. La mayoría de las contribuciones provienen de las regiones de África y Asia y el Pacífico, seguidas de las Américas, Europa, los Estados Árabes y la CEI. En comparación con el periodo de estudios anterior, la distribución para cada región varía de-7 %(Europa) a +9 % (África).</w:t>
      </w:r>
    </w:p>
    <w:p w14:paraId="14D6E40D" w14:textId="77777777" w:rsidR="000B7E7B" w:rsidRPr="00CC5FE3" w:rsidRDefault="000B7E7B" w:rsidP="004C01E7">
      <w:pPr>
        <w:pStyle w:val="Figure"/>
        <w:rPr>
          <w:rFonts w:eastAsia="Malgun Gothic"/>
          <w:lang w:val="es-ES" w:eastAsia="ko-KR"/>
        </w:rPr>
      </w:pPr>
      <w:r w:rsidRPr="00CC5FE3">
        <w:rPr>
          <w:rFonts w:eastAsia="Malgun Gothic"/>
          <w:noProof/>
          <w:lang w:val="es-ES" w:eastAsia="ko-KR"/>
        </w:rPr>
        <w:lastRenderedPageBreak/>
        <w:drawing>
          <wp:inline distT="0" distB="0" distL="0" distR="0" wp14:anchorId="70D51766" wp14:editId="4EC6D861">
            <wp:extent cx="3784821" cy="2916656"/>
            <wp:effectExtent l="0" t="0" r="6350" b="0"/>
            <wp:docPr id="2132051483" name="Picture 1"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51483" name="Picture 1" descr="A pie chart with different colored circles&#10;&#10;AI-generated content may be incorrect."/>
                    <pic:cNvPicPr/>
                  </pic:nvPicPr>
                  <pic:blipFill>
                    <a:blip r:embed="rId28"/>
                    <a:stretch>
                      <a:fillRect/>
                    </a:stretch>
                  </pic:blipFill>
                  <pic:spPr>
                    <a:xfrm>
                      <a:off x="0" y="0"/>
                      <a:ext cx="3784821" cy="2916656"/>
                    </a:xfrm>
                    <a:prstGeom prst="rect">
                      <a:avLst/>
                    </a:prstGeom>
                  </pic:spPr>
                </pic:pic>
              </a:graphicData>
            </a:graphic>
          </wp:inline>
        </w:drawing>
      </w:r>
    </w:p>
    <w:p w14:paraId="12F77C13" w14:textId="5932A69C" w:rsidR="000B7E7B" w:rsidRPr="00CC5FE3" w:rsidRDefault="000B7E7B" w:rsidP="004C01E7">
      <w:pPr>
        <w:pStyle w:val="FigureNotitle"/>
        <w:rPr>
          <w:rFonts w:asciiTheme="minorHAnsi" w:eastAsia="Malgun Gothic" w:hAnsiTheme="minorHAnsi"/>
          <w:bCs/>
          <w:lang w:val="es-ES" w:eastAsia="ko-KR"/>
        </w:rPr>
      </w:pPr>
      <w:r w:rsidRPr="00CC5FE3">
        <w:rPr>
          <w:rFonts w:asciiTheme="minorHAnsi" w:hAnsiTheme="minorHAnsi"/>
          <w:bCs/>
          <w:lang w:val="es-ES"/>
        </w:rPr>
        <w:t>Figura 6 – Distribución por regiones de las contribuciones presentadas por</w:t>
      </w:r>
      <w:r w:rsidR="004C01E7" w:rsidRPr="00CC5FE3">
        <w:rPr>
          <w:rFonts w:asciiTheme="minorHAnsi" w:hAnsiTheme="minorHAnsi"/>
          <w:bCs/>
          <w:lang w:val="es-ES"/>
        </w:rPr>
        <w:br/>
      </w:r>
      <w:r w:rsidRPr="00CC5FE3">
        <w:rPr>
          <w:rFonts w:asciiTheme="minorHAnsi" w:hAnsiTheme="minorHAnsi"/>
          <w:bCs/>
          <w:lang w:val="es-ES"/>
        </w:rPr>
        <w:t>los miembros a la Comisión de Estudio 2</w:t>
      </w:r>
    </w:p>
    <w:p w14:paraId="3B5FA4F7" w14:textId="53E3A9AC" w:rsidR="0080295B" w:rsidRDefault="000B7E7B" w:rsidP="000B7E7B">
      <w:pPr>
        <w:spacing w:after="120"/>
        <w:rPr>
          <w:rFonts w:eastAsia="Malgun Gothic"/>
          <w:szCs w:val="24"/>
          <w:lang w:val="es-ES" w:eastAsia="ko-KR"/>
        </w:rPr>
      </w:pPr>
      <w:r w:rsidRPr="00CC5FE3">
        <w:rPr>
          <w:rFonts w:eastAsia="Malgun Gothic"/>
          <w:szCs w:val="24"/>
          <w:lang w:val="es-ES" w:eastAsia="ko-KR"/>
        </w:rPr>
        <w:t xml:space="preserve">En el </w:t>
      </w:r>
      <w:r w:rsidRPr="00CC5FE3">
        <w:rPr>
          <w:rFonts w:eastAsia="Malgun Gothic"/>
          <w:b/>
          <w:bCs/>
          <w:szCs w:val="24"/>
          <w:lang w:val="es-ES" w:eastAsia="ko-KR"/>
        </w:rPr>
        <w:t>Cuadro 3</w:t>
      </w:r>
      <w:r w:rsidRPr="00CC5FE3">
        <w:rPr>
          <w:rFonts w:eastAsia="Malgun Gothic"/>
          <w:szCs w:val="24"/>
          <w:lang w:val="es-ES" w:eastAsia="ko-KR"/>
        </w:rPr>
        <w:t xml:space="preserve"> se muestra el número de contribuciones escritas recibidas para cada Cuestión para completar sus productos del periodo de estudios. Las tres Cuestiones (excluidas las contribuciones a todas las Cuestiones,"Ctodas/2", destinadas a la Plenaria de la CE</w:t>
      </w:r>
      <w:r w:rsidR="004C01E7" w:rsidRPr="00CC5FE3">
        <w:rPr>
          <w:rFonts w:eastAsia="Malgun Gothic"/>
          <w:szCs w:val="24"/>
          <w:lang w:val="es-ES" w:eastAsia="ko-KR"/>
        </w:rPr>
        <w:t> </w:t>
      </w:r>
      <w:r w:rsidRPr="00CC5FE3">
        <w:rPr>
          <w:rFonts w:eastAsia="Malgun Gothic"/>
          <w:szCs w:val="24"/>
          <w:lang w:val="es-ES" w:eastAsia="ko-KR"/>
        </w:rPr>
        <w:t>2) que recibieron el mayor número son la Cuestión 5/2 (ámbito: competencias digitales) con 100, seguida de la Cuestión</w:t>
      </w:r>
      <w:r w:rsidR="004C01E7" w:rsidRPr="00CC5FE3">
        <w:rPr>
          <w:rFonts w:eastAsia="Malgun Gothic"/>
          <w:szCs w:val="24"/>
          <w:lang w:val="es-ES" w:eastAsia="ko-KR"/>
        </w:rPr>
        <w:t> </w:t>
      </w:r>
      <w:r w:rsidRPr="00CC5FE3">
        <w:rPr>
          <w:rFonts w:eastAsia="Malgun Gothic"/>
          <w:szCs w:val="24"/>
          <w:lang w:val="es-ES" w:eastAsia="ko-KR"/>
        </w:rPr>
        <w:t xml:space="preserve">2/2 (ámbito: ciberservicios y aplicaciones) con 98, y la Cuestión 3/2 (ámbito: ciberseguridad) con 96. La última columna proporciona el número de contribuciones recibidas por cada Cuestión durante el anterior periodo de estudios (2018-2021). Las Cuestiones recibieron menos contribuciones en comparación con el periodo de estudios anterior, debido nuevamente al periodo de estudios más corto, con menos reuniones celebradas. La Cuestión 5/2 (competencias digitales) comenzó en este periodo de estudios, por lo que no se dispone de comparación. Cabe señalar asimismo que todos los Grupos de Relator organizaron talleres y seminarios web (véase la </w:t>
      </w:r>
      <w:r w:rsidRPr="00CC5FE3">
        <w:rPr>
          <w:rFonts w:eastAsia="Malgun Gothic"/>
          <w:b/>
          <w:bCs/>
          <w:szCs w:val="24"/>
          <w:lang w:val="es-ES" w:eastAsia="ko-KR"/>
        </w:rPr>
        <w:t>Sección 3</w:t>
      </w:r>
      <w:r w:rsidRPr="00CC5FE3">
        <w:rPr>
          <w:rFonts w:eastAsia="Malgun Gothic"/>
          <w:szCs w:val="24"/>
          <w:lang w:val="es-ES" w:eastAsia="ko-KR"/>
        </w:rPr>
        <w:t>) durante este periodo de estudios, cuyos resultados también se utilizaron como aportaciones para apoyar y complementar la elaboración de sus informes de resultados.</w:t>
      </w:r>
    </w:p>
    <w:p w14:paraId="54E798F4" w14:textId="3C8E9378" w:rsidR="0080295B" w:rsidRDefault="0080295B">
      <w:pPr>
        <w:tabs>
          <w:tab w:val="clear" w:pos="1134"/>
          <w:tab w:val="clear" w:pos="1871"/>
          <w:tab w:val="clear" w:pos="2268"/>
        </w:tabs>
        <w:overflowPunct/>
        <w:autoSpaceDE/>
        <w:autoSpaceDN/>
        <w:adjustRightInd/>
        <w:spacing w:before="0"/>
        <w:textAlignment w:val="auto"/>
        <w:rPr>
          <w:rFonts w:eastAsia="Malgun Gothic"/>
          <w:szCs w:val="24"/>
          <w:lang w:val="es-ES" w:eastAsia="ko-KR"/>
        </w:rPr>
      </w:pPr>
      <w:r>
        <w:rPr>
          <w:rFonts w:eastAsia="Malgun Gothic"/>
          <w:szCs w:val="24"/>
          <w:lang w:val="es-ES" w:eastAsia="ko-KR"/>
        </w:rPr>
        <w:br w:type="page"/>
      </w:r>
    </w:p>
    <w:tbl>
      <w:tblPr>
        <w:tblStyle w:val="GridTable5Dark-Accent1"/>
        <w:tblW w:w="0" w:type="auto"/>
        <w:jc w:val="center"/>
        <w:tblLook w:val="04A0" w:firstRow="1" w:lastRow="0" w:firstColumn="1" w:lastColumn="0" w:noHBand="0" w:noVBand="1"/>
      </w:tblPr>
      <w:tblGrid>
        <w:gridCol w:w="4347"/>
        <w:gridCol w:w="899"/>
        <w:gridCol w:w="899"/>
        <w:gridCol w:w="999"/>
        <w:gridCol w:w="895"/>
        <w:gridCol w:w="832"/>
        <w:gridCol w:w="758"/>
      </w:tblGrid>
      <w:tr w:rsidR="000B7E7B" w:rsidRPr="00CC5FE3" w14:paraId="26B78FAB" w14:textId="77777777" w:rsidTr="00857F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5F487D2F" w14:textId="1B810105" w:rsidR="000B7E7B" w:rsidRPr="00CC5FE3" w:rsidRDefault="000B7E7B" w:rsidP="004C01E7">
            <w:pPr>
              <w:pStyle w:val="Tablehead"/>
              <w:rPr>
                <w:b/>
                <w:bCs w:val="0"/>
                <w:lang w:val="es-ES"/>
              </w:rPr>
            </w:pPr>
            <w:bookmarkStart w:id="8" w:name="_Hlk69474320"/>
            <w:r w:rsidRPr="00CC5FE3">
              <w:rPr>
                <w:b/>
                <w:bCs w:val="0"/>
                <w:lang w:val="es-ES"/>
              </w:rPr>
              <w:lastRenderedPageBreak/>
              <w:t xml:space="preserve">Contribuciones recibidas para las </w:t>
            </w:r>
            <w:r w:rsidR="00CC5FE3" w:rsidRPr="00CC5FE3">
              <w:rPr>
                <w:b/>
                <w:bCs w:val="0"/>
                <w:lang w:val="es-ES"/>
              </w:rPr>
              <w:t>reuniones</w:t>
            </w:r>
            <w:r w:rsidRPr="00CC5FE3">
              <w:rPr>
                <w:b/>
                <w:bCs w:val="0"/>
                <w:lang w:val="es-ES"/>
              </w:rPr>
              <w:t xml:space="preserve"> anuales de la CE 2 y de los Grupos de Relator</w:t>
            </w:r>
            <w:r w:rsidRPr="00CC5FE3">
              <w:rPr>
                <w:rStyle w:val="FootnoteReference"/>
                <w:b/>
                <w:bCs w:val="0"/>
                <w:lang w:val="es-ES"/>
              </w:rPr>
              <w:footnoteReference w:id="9"/>
            </w:r>
          </w:p>
        </w:tc>
        <w:tc>
          <w:tcPr>
            <w:tcW w:w="899" w:type="dxa"/>
          </w:tcPr>
          <w:p w14:paraId="7AF74BAA" w14:textId="77777777" w:rsidR="000B7E7B" w:rsidRPr="00CC5FE3" w:rsidRDefault="000B7E7B" w:rsidP="004C01E7">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z w:val="22"/>
                <w:szCs w:val="20"/>
                <w:lang w:val="es-ES" w:eastAsia="ko-KR"/>
              </w:rPr>
            </w:pPr>
            <w:r w:rsidRPr="00CC5FE3">
              <w:rPr>
                <w:b/>
                <w:bCs w:val="0"/>
                <w:sz w:val="22"/>
                <w:szCs w:val="20"/>
                <w:lang w:val="es-ES"/>
              </w:rPr>
              <w:t>20</w:t>
            </w:r>
            <w:r w:rsidRPr="00CC5FE3">
              <w:rPr>
                <w:rFonts w:eastAsia="Malgun Gothic"/>
                <w:b/>
                <w:bCs w:val="0"/>
                <w:sz w:val="22"/>
                <w:szCs w:val="20"/>
                <w:lang w:val="es-ES" w:eastAsia="ko-KR"/>
              </w:rPr>
              <w:t>22</w:t>
            </w:r>
          </w:p>
        </w:tc>
        <w:tc>
          <w:tcPr>
            <w:tcW w:w="899" w:type="dxa"/>
          </w:tcPr>
          <w:p w14:paraId="7C1E9F8E" w14:textId="77777777" w:rsidR="000B7E7B" w:rsidRPr="00CC5FE3" w:rsidRDefault="000B7E7B" w:rsidP="004C01E7">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z w:val="22"/>
                <w:szCs w:val="20"/>
                <w:lang w:val="es-ES" w:eastAsia="ko-KR"/>
              </w:rPr>
            </w:pPr>
            <w:r w:rsidRPr="00CC5FE3">
              <w:rPr>
                <w:b/>
                <w:bCs w:val="0"/>
                <w:sz w:val="22"/>
                <w:szCs w:val="20"/>
                <w:lang w:val="es-ES"/>
              </w:rPr>
              <w:t>20</w:t>
            </w:r>
            <w:r w:rsidRPr="00CC5FE3">
              <w:rPr>
                <w:rFonts w:eastAsia="Malgun Gothic"/>
                <w:b/>
                <w:bCs w:val="0"/>
                <w:sz w:val="22"/>
                <w:szCs w:val="20"/>
                <w:lang w:val="es-ES" w:eastAsia="ko-KR"/>
              </w:rPr>
              <w:t>23</w:t>
            </w:r>
          </w:p>
        </w:tc>
        <w:tc>
          <w:tcPr>
            <w:tcW w:w="999" w:type="dxa"/>
          </w:tcPr>
          <w:p w14:paraId="3DDC12E2" w14:textId="77777777" w:rsidR="000B7E7B" w:rsidRPr="00CC5FE3" w:rsidRDefault="000B7E7B" w:rsidP="004C01E7">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z w:val="22"/>
                <w:szCs w:val="20"/>
                <w:lang w:val="es-ES" w:eastAsia="ko-KR"/>
              </w:rPr>
            </w:pPr>
            <w:r w:rsidRPr="00CC5FE3">
              <w:rPr>
                <w:b/>
                <w:bCs w:val="0"/>
                <w:sz w:val="22"/>
                <w:szCs w:val="20"/>
                <w:lang w:val="es-ES"/>
              </w:rPr>
              <w:t>202</w:t>
            </w:r>
            <w:r w:rsidRPr="00CC5FE3">
              <w:rPr>
                <w:rFonts w:eastAsia="Malgun Gothic"/>
                <w:b/>
                <w:bCs w:val="0"/>
                <w:sz w:val="22"/>
                <w:szCs w:val="20"/>
                <w:lang w:val="es-ES" w:eastAsia="ko-KR"/>
              </w:rPr>
              <w:t>4</w:t>
            </w:r>
          </w:p>
        </w:tc>
        <w:tc>
          <w:tcPr>
            <w:tcW w:w="895" w:type="dxa"/>
          </w:tcPr>
          <w:p w14:paraId="3ECD2B2A" w14:textId="77777777" w:rsidR="000B7E7B" w:rsidRPr="00CC5FE3" w:rsidRDefault="000B7E7B" w:rsidP="004C01E7">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z w:val="22"/>
                <w:szCs w:val="20"/>
                <w:lang w:val="es-ES" w:eastAsia="ko-KR"/>
              </w:rPr>
            </w:pPr>
            <w:r w:rsidRPr="00CC5FE3">
              <w:rPr>
                <w:b/>
                <w:bCs w:val="0"/>
                <w:sz w:val="22"/>
                <w:szCs w:val="20"/>
                <w:lang w:val="es-ES"/>
              </w:rPr>
              <w:t>202</w:t>
            </w:r>
            <w:r w:rsidRPr="00CC5FE3">
              <w:rPr>
                <w:rFonts w:eastAsia="Malgun Gothic"/>
                <w:b/>
                <w:bCs w:val="0"/>
                <w:sz w:val="22"/>
                <w:szCs w:val="20"/>
                <w:lang w:val="es-ES" w:eastAsia="ko-KR"/>
              </w:rPr>
              <w:t>5</w:t>
            </w:r>
          </w:p>
        </w:tc>
        <w:tc>
          <w:tcPr>
            <w:tcW w:w="832" w:type="dxa"/>
          </w:tcPr>
          <w:p w14:paraId="5FFDB389" w14:textId="77777777" w:rsidR="000B7E7B" w:rsidRPr="00CC5FE3" w:rsidRDefault="000B7E7B" w:rsidP="004C01E7">
            <w:pPr>
              <w:pStyle w:val="Tablehead"/>
              <w:cnfStyle w:val="100000000000" w:firstRow="1" w:lastRow="0" w:firstColumn="0" w:lastColumn="0" w:oddVBand="0" w:evenVBand="0" w:oddHBand="0" w:evenHBand="0" w:firstRowFirstColumn="0" w:firstRowLastColumn="0" w:lastRowFirstColumn="0" w:lastRowLastColumn="0"/>
              <w:rPr>
                <w:rFonts w:eastAsia="Malgun Gothic"/>
                <w:b/>
                <w:bCs w:val="0"/>
                <w:sz w:val="22"/>
                <w:szCs w:val="20"/>
                <w:lang w:val="es-ES" w:eastAsia="ko-KR"/>
              </w:rPr>
            </w:pPr>
            <w:r w:rsidRPr="00CC5FE3">
              <w:rPr>
                <w:b/>
                <w:bCs w:val="0"/>
                <w:sz w:val="22"/>
                <w:szCs w:val="20"/>
                <w:lang w:val="es-ES"/>
              </w:rPr>
              <w:t>Total</w:t>
            </w:r>
            <w:r w:rsidRPr="00CC5FE3">
              <w:rPr>
                <w:rFonts w:eastAsia="Malgun Gothic"/>
                <w:b/>
                <w:bCs w:val="0"/>
                <w:sz w:val="22"/>
                <w:szCs w:val="20"/>
                <w:lang w:val="es-ES" w:eastAsia="ko-KR"/>
              </w:rPr>
              <w:br/>
            </w:r>
            <w:r w:rsidRPr="00CC5FE3">
              <w:rPr>
                <w:rFonts w:eastAsia="Malgun Gothic"/>
                <w:b/>
                <w:bCs w:val="0"/>
                <w:szCs w:val="18"/>
                <w:lang w:val="es-ES" w:eastAsia="ko-KR"/>
              </w:rPr>
              <w:t>(2022-2025)</w:t>
            </w:r>
          </w:p>
        </w:tc>
        <w:tc>
          <w:tcPr>
            <w:tcW w:w="758" w:type="dxa"/>
          </w:tcPr>
          <w:p w14:paraId="22DD8156" w14:textId="77777777" w:rsidR="000B7E7B" w:rsidRPr="00CC5FE3" w:rsidRDefault="000B7E7B" w:rsidP="004C01E7">
            <w:pPr>
              <w:pStyle w:val="Tablehead"/>
              <w:cnfStyle w:val="100000000000" w:firstRow="1" w:lastRow="0" w:firstColumn="0" w:lastColumn="0" w:oddVBand="0" w:evenVBand="0" w:oddHBand="0" w:evenHBand="0" w:firstRowFirstColumn="0" w:firstRowLastColumn="0" w:lastRowFirstColumn="0" w:lastRowLastColumn="0"/>
              <w:rPr>
                <w:b/>
                <w:bCs w:val="0"/>
                <w:sz w:val="22"/>
                <w:lang w:val="es-ES"/>
              </w:rPr>
            </w:pPr>
            <w:r w:rsidRPr="00CC5FE3">
              <w:rPr>
                <w:b/>
                <w:bCs w:val="0"/>
                <w:sz w:val="22"/>
                <w:lang w:val="es-ES"/>
              </w:rPr>
              <w:t>Total</w:t>
            </w:r>
            <w:r w:rsidRPr="00CC5FE3">
              <w:rPr>
                <w:rFonts w:eastAsia="Malgun Gothic"/>
                <w:b/>
                <w:bCs w:val="0"/>
                <w:sz w:val="22"/>
                <w:lang w:val="es-ES" w:eastAsia="ko-KR"/>
              </w:rPr>
              <w:br/>
            </w:r>
            <w:r w:rsidRPr="00CC5FE3">
              <w:rPr>
                <w:rFonts w:eastAsia="Malgun Gothic"/>
                <w:b/>
                <w:bCs w:val="0"/>
                <w:szCs w:val="18"/>
                <w:lang w:val="es-ES" w:eastAsia="ko-KR"/>
              </w:rPr>
              <w:t>(2018-2021)</w:t>
            </w:r>
          </w:p>
        </w:tc>
      </w:tr>
      <w:tr w:rsidR="000B7E7B" w:rsidRPr="00CC5FE3" w14:paraId="242D238C" w14:textId="77777777" w:rsidTr="00857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6B0F5B46" w14:textId="77777777" w:rsidR="000B7E7B" w:rsidRPr="00CC5FE3" w:rsidRDefault="000B7E7B" w:rsidP="004C01E7">
            <w:pPr>
              <w:pStyle w:val="Tabletext"/>
              <w:rPr>
                <w:lang w:val="es-ES"/>
              </w:rPr>
            </w:pPr>
            <w:r w:rsidRPr="00CC5FE3">
              <w:rPr>
                <w:lang w:val="es-ES"/>
              </w:rPr>
              <w:t>C1/2</w:t>
            </w:r>
          </w:p>
        </w:tc>
        <w:tc>
          <w:tcPr>
            <w:tcW w:w="899" w:type="dxa"/>
          </w:tcPr>
          <w:p w14:paraId="472D898F"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7</w:t>
            </w:r>
          </w:p>
        </w:tc>
        <w:tc>
          <w:tcPr>
            <w:tcW w:w="899" w:type="dxa"/>
          </w:tcPr>
          <w:p w14:paraId="390319FA"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24</w:t>
            </w:r>
          </w:p>
        </w:tc>
        <w:tc>
          <w:tcPr>
            <w:tcW w:w="999" w:type="dxa"/>
          </w:tcPr>
          <w:p w14:paraId="47085C4B"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26</w:t>
            </w:r>
          </w:p>
        </w:tc>
        <w:tc>
          <w:tcPr>
            <w:tcW w:w="895" w:type="dxa"/>
          </w:tcPr>
          <w:p w14:paraId="26C9863C"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6</w:t>
            </w:r>
          </w:p>
        </w:tc>
        <w:tc>
          <w:tcPr>
            <w:tcW w:w="832" w:type="dxa"/>
          </w:tcPr>
          <w:p w14:paraId="1C2F6F3C"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63</w:t>
            </w:r>
          </w:p>
        </w:tc>
        <w:tc>
          <w:tcPr>
            <w:tcW w:w="758" w:type="dxa"/>
          </w:tcPr>
          <w:p w14:paraId="62CB168E"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125</w:t>
            </w:r>
          </w:p>
        </w:tc>
      </w:tr>
      <w:tr w:rsidR="000B7E7B" w:rsidRPr="00CC5FE3" w14:paraId="1CC9DEEF" w14:textId="77777777" w:rsidTr="00857FB6">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72B98327" w14:textId="77777777" w:rsidR="000B7E7B" w:rsidRPr="00CC5FE3" w:rsidRDefault="000B7E7B" w:rsidP="004C01E7">
            <w:pPr>
              <w:pStyle w:val="Tabletext"/>
              <w:rPr>
                <w:lang w:val="es-ES"/>
              </w:rPr>
            </w:pPr>
            <w:r w:rsidRPr="00CC5FE3">
              <w:rPr>
                <w:lang w:val="es-ES"/>
              </w:rPr>
              <w:t>C2/2</w:t>
            </w:r>
          </w:p>
        </w:tc>
        <w:tc>
          <w:tcPr>
            <w:tcW w:w="899" w:type="dxa"/>
          </w:tcPr>
          <w:p w14:paraId="51E97271"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13</w:t>
            </w:r>
          </w:p>
        </w:tc>
        <w:tc>
          <w:tcPr>
            <w:tcW w:w="899" w:type="dxa"/>
          </w:tcPr>
          <w:p w14:paraId="03D83BE3"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40</w:t>
            </w:r>
          </w:p>
        </w:tc>
        <w:tc>
          <w:tcPr>
            <w:tcW w:w="999" w:type="dxa"/>
          </w:tcPr>
          <w:p w14:paraId="197E16FC"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35</w:t>
            </w:r>
          </w:p>
        </w:tc>
        <w:tc>
          <w:tcPr>
            <w:tcW w:w="895" w:type="dxa"/>
          </w:tcPr>
          <w:p w14:paraId="154478C6"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7</w:t>
            </w:r>
          </w:p>
        </w:tc>
        <w:tc>
          <w:tcPr>
            <w:tcW w:w="832" w:type="dxa"/>
          </w:tcPr>
          <w:p w14:paraId="7ED9F262"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98</w:t>
            </w:r>
          </w:p>
        </w:tc>
        <w:tc>
          <w:tcPr>
            <w:tcW w:w="758" w:type="dxa"/>
          </w:tcPr>
          <w:p w14:paraId="0A348B1F"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104</w:t>
            </w:r>
          </w:p>
        </w:tc>
      </w:tr>
      <w:tr w:rsidR="000B7E7B" w:rsidRPr="00CC5FE3" w14:paraId="439D5EFB" w14:textId="77777777" w:rsidTr="00857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077A32EC" w14:textId="77777777" w:rsidR="000B7E7B" w:rsidRPr="00CC5FE3" w:rsidRDefault="000B7E7B" w:rsidP="004C01E7">
            <w:pPr>
              <w:pStyle w:val="Tabletext"/>
              <w:rPr>
                <w:rFonts w:eastAsia="Malgun Gothic"/>
                <w:lang w:val="es-ES" w:eastAsia="ko-KR"/>
              </w:rPr>
            </w:pPr>
            <w:r w:rsidRPr="00CC5FE3">
              <w:rPr>
                <w:lang w:val="es-ES"/>
              </w:rPr>
              <w:t>C3/2</w:t>
            </w:r>
          </w:p>
        </w:tc>
        <w:tc>
          <w:tcPr>
            <w:tcW w:w="899" w:type="dxa"/>
          </w:tcPr>
          <w:p w14:paraId="76002EC5"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10</w:t>
            </w:r>
          </w:p>
        </w:tc>
        <w:tc>
          <w:tcPr>
            <w:tcW w:w="899" w:type="dxa"/>
          </w:tcPr>
          <w:p w14:paraId="000F2DC3"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lang w:val="es-ES"/>
              </w:rPr>
              <w:t>3</w:t>
            </w:r>
            <w:r w:rsidRPr="00CC5FE3">
              <w:rPr>
                <w:rFonts w:eastAsia="Malgun Gothic"/>
                <w:lang w:val="es-ES" w:eastAsia="ko-KR"/>
              </w:rPr>
              <w:t>3</w:t>
            </w:r>
          </w:p>
        </w:tc>
        <w:tc>
          <w:tcPr>
            <w:tcW w:w="999" w:type="dxa"/>
          </w:tcPr>
          <w:p w14:paraId="615B3E6C"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44</w:t>
            </w:r>
          </w:p>
        </w:tc>
        <w:tc>
          <w:tcPr>
            <w:tcW w:w="895" w:type="dxa"/>
          </w:tcPr>
          <w:p w14:paraId="04769200"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9</w:t>
            </w:r>
          </w:p>
        </w:tc>
        <w:tc>
          <w:tcPr>
            <w:tcW w:w="832" w:type="dxa"/>
          </w:tcPr>
          <w:p w14:paraId="53CBC62B"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96</w:t>
            </w:r>
          </w:p>
        </w:tc>
        <w:tc>
          <w:tcPr>
            <w:tcW w:w="758" w:type="dxa"/>
          </w:tcPr>
          <w:p w14:paraId="4B7E33FD"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106</w:t>
            </w:r>
          </w:p>
        </w:tc>
      </w:tr>
      <w:tr w:rsidR="000B7E7B" w:rsidRPr="00CC5FE3" w14:paraId="19C32497" w14:textId="77777777" w:rsidTr="00857FB6">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07519682" w14:textId="77777777" w:rsidR="000B7E7B" w:rsidRPr="00CC5FE3" w:rsidRDefault="000B7E7B" w:rsidP="004C01E7">
            <w:pPr>
              <w:pStyle w:val="Tabletext"/>
              <w:rPr>
                <w:lang w:val="es-ES"/>
              </w:rPr>
            </w:pPr>
            <w:r w:rsidRPr="00CC5FE3">
              <w:rPr>
                <w:lang w:val="es-ES"/>
              </w:rPr>
              <w:t>C4/2</w:t>
            </w:r>
          </w:p>
        </w:tc>
        <w:tc>
          <w:tcPr>
            <w:tcW w:w="899" w:type="dxa"/>
          </w:tcPr>
          <w:p w14:paraId="6007AC1A"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5</w:t>
            </w:r>
          </w:p>
        </w:tc>
        <w:tc>
          <w:tcPr>
            <w:tcW w:w="899" w:type="dxa"/>
          </w:tcPr>
          <w:p w14:paraId="21624819"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9</w:t>
            </w:r>
          </w:p>
        </w:tc>
        <w:tc>
          <w:tcPr>
            <w:tcW w:w="999" w:type="dxa"/>
          </w:tcPr>
          <w:p w14:paraId="5274BB13"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15</w:t>
            </w:r>
          </w:p>
        </w:tc>
        <w:tc>
          <w:tcPr>
            <w:tcW w:w="895" w:type="dxa"/>
          </w:tcPr>
          <w:p w14:paraId="6339B97E"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4</w:t>
            </w:r>
          </w:p>
        </w:tc>
        <w:tc>
          <w:tcPr>
            <w:tcW w:w="832" w:type="dxa"/>
          </w:tcPr>
          <w:p w14:paraId="388DFEB3"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33</w:t>
            </w:r>
          </w:p>
        </w:tc>
        <w:tc>
          <w:tcPr>
            <w:tcW w:w="758" w:type="dxa"/>
          </w:tcPr>
          <w:p w14:paraId="3A70F065"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74</w:t>
            </w:r>
          </w:p>
        </w:tc>
      </w:tr>
      <w:tr w:rsidR="000B7E7B" w:rsidRPr="00CC5FE3" w14:paraId="7493A24A" w14:textId="77777777" w:rsidTr="00857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6E5F7CC9" w14:textId="77777777" w:rsidR="000B7E7B" w:rsidRPr="00CC5FE3" w:rsidRDefault="000B7E7B" w:rsidP="004C01E7">
            <w:pPr>
              <w:pStyle w:val="Tabletext"/>
              <w:rPr>
                <w:lang w:val="es-ES"/>
              </w:rPr>
            </w:pPr>
            <w:r w:rsidRPr="00CC5FE3">
              <w:rPr>
                <w:lang w:val="es-ES"/>
              </w:rPr>
              <w:t>C5/2</w:t>
            </w:r>
          </w:p>
        </w:tc>
        <w:tc>
          <w:tcPr>
            <w:tcW w:w="899" w:type="dxa"/>
          </w:tcPr>
          <w:p w14:paraId="6043133E"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9</w:t>
            </w:r>
          </w:p>
        </w:tc>
        <w:tc>
          <w:tcPr>
            <w:tcW w:w="899" w:type="dxa"/>
          </w:tcPr>
          <w:p w14:paraId="084624D8"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34</w:t>
            </w:r>
          </w:p>
        </w:tc>
        <w:tc>
          <w:tcPr>
            <w:tcW w:w="999" w:type="dxa"/>
          </w:tcPr>
          <w:p w14:paraId="0600147D"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49</w:t>
            </w:r>
          </w:p>
        </w:tc>
        <w:tc>
          <w:tcPr>
            <w:tcW w:w="895" w:type="dxa"/>
          </w:tcPr>
          <w:p w14:paraId="4C1EC4B8"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8</w:t>
            </w:r>
          </w:p>
        </w:tc>
        <w:tc>
          <w:tcPr>
            <w:tcW w:w="832" w:type="dxa"/>
          </w:tcPr>
          <w:p w14:paraId="536DA15B"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100</w:t>
            </w:r>
          </w:p>
        </w:tc>
        <w:tc>
          <w:tcPr>
            <w:tcW w:w="758" w:type="dxa"/>
          </w:tcPr>
          <w:p w14:paraId="2FD40A15"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N/A</w:t>
            </w:r>
          </w:p>
        </w:tc>
      </w:tr>
      <w:tr w:rsidR="000B7E7B" w:rsidRPr="00CC5FE3" w14:paraId="00EB30D4" w14:textId="77777777" w:rsidTr="00857FB6">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5EC5E8D7" w14:textId="77777777" w:rsidR="000B7E7B" w:rsidRPr="00CC5FE3" w:rsidRDefault="000B7E7B" w:rsidP="004C01E7">
            <w:pPr>
              <w:pStyle w:val="Tabletext"/>
              <w:rPr>
                <w:lang w:val="es-ES"/>
              </w:rPr>
            </w:pPr>
            <w:r w:rsidRPr="00CC5FE3">
              <w:rPr>
                <w:lang w:val="es-ES"/>
              </w:rPr>
              <w:t>C6/2</w:t>
            </w:r>
          </w:p>
        </w:tc>
        <w:tc>
          <w:tcPr>
            <w:tcW w:w="899" w:type="dxa"/>
          </w:tcPr>
          <w:p w14:paraId="698278F6"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10</w:t>
            </w:r>
          </w:p>
        </w:tc>
        <w:tc>
          <w:tcPr>
            <w:tcW w:w="899" w:type="dxa"/>
          </w:tcPr>
          <w:p w14:paraId="4D67750B"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lang w:val="es-ES"/>
              </w:rPr>
              <w:t>1</w:t>
            </w:r>
            <w:r w:rsidRPr="00CC5FE3">
              <w:rPr>
                <w:rFonts w:eastAsia="Malgun Gothic"/>
                <w:lang w:val="es-ES" w:eastAsia="ko-KR"/>
              </w:rPr>
              <w:t>1</w:t>
            </w:r>
          </w:p>
        </w:tc>
        <w:tc>
          <w:tcPr>
            <w:tcW w:w="999" w:type="dxa"/>
          </w:tcPr>
          <w:p w14:paraId="1502149E"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lang w:val="es-ES"/>
              </w:rPr>
              <w:t>2</w:t>
            </w:r>
            <w:r w:rsidRPr="00CC5FE3">
              <w:rPr>
                <w:rFonts w:eastAsia="Malgun Gothic"/>
                <w:lang w:val="es-ES" w:eastAsia="ko-KR"/>
              </w:rPr>
              <w:t>4</w:t>
            </w:r>
          </w:p>
        </w:tc>
        <w:tc>
          <w:tcPr>
            <w:tcW w:w="895" w:type="dxa"/>
          </w:tcPr>
          <w:p w14:paraId="0BDDC147"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6</w:t>
            </w:r>
          </w:p>
        </w:tc>
        <w:tc>
          <w:tcPr>
            <w:tcW w:w="832" w:type="dxa"/>
          </w:tcPr>
          <w:p w14:paraId="554C6608"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51</w:t>
            </w:r>
          </w:p>
        </w:tc>
        <w:tc>
          <w:tcPr>
            <w:tcW w:w="758" w:type="dxa"/>
          </w:tcPr>
          <w:p w14:paraId="6EF3254F"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65</w:t>
            </w:r>
          </w:p>
        </w:tc>
      </w:tr>
      <w:tr w:rsidR="000B7E7B" w:rsidRPr="00CC5FE3" w14:paraId="3F661494" w14:textId="77777777" w:rsidTr="00857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59BCE27F" w14:textId="77777777" w:rsidR="000B7E7B" w:rsidRPr="00CC5FE3" w:rsidRDefault="000B7E7B" w:rsidP="004C01E7">
            <w:pPr>
              <w:pStyle w:val="Tabletext"/>
              <w:rPr>
                <w:lang w:val="es-ES"/>
              </w:rPr>
            </w:pPr>
            <w:r w:rsidRPr="00CC5FE3">
              <w:rPr>
                <w:lang w:val="es-ES"/>
              </w:rPr>
              <w:t>C7/2</w:t>
            </w:r>
          </w:p>
        </w:tc>
        <w:tc>
          <w:tcPr>
            <w:tcW w:w="899" w:type="dxa"/>
          </w:tcPr>
          <w:p w14:paraId="3E4A05CB"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5</w:t>
            </w:r>
          </w:p>
        </w:tc>
        <w:tc>
          <w:tcPr>
            <w:tcW w:w="899" w:type="dxa"/>
          </w:tcPr>
          <w:p w14:paraId="38CD1204"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21</w:t>
            </w:r>
          </w:p>
        </w:tc>
        <w:tc>
          <w:tcPr>
            <w:tcW w:w="999" w:type="dxa"/>
          </w:tcPr>
          <w:p w14:paraId="2E38F20E"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26</w:t>
            </w:r>
          </w:p>
        </w:tc>
        <w:tc>
          <w:tcPr>
            <w:tcW w:w="895" w:type="dxa"/>
          </w:tcPr>
          <w:p w14:paraId="59AACB51"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lang w:val="es-ES" w:eastAsia="ko-KR"/>
              </w:rPr>
            </w:pPr>
            <w:r w:rsidRPr="00CC5FE3">
              <w:rPr>
                <w:rFonts w:eastAsia="Malgun Gothic"/>
                <w:lang w:val="es-ES" w:eastAsia="ko-KR"/>
              </w:rPr>
              <w:t>2</w:t>
            </w:r>
          </w:p>
        </w:tc>
        <w:tc>
          <w:tcPr>
            <w:tcW w:w="832" w:type="dxa"/>
          </w:tcPr>
          <w:p w14:paraId="0846C02A"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54</w:t>
            </w:r>
          </w:p>
        </w:tc>
        <w:tc>
          <w:tcPr>
            <w:tcW w:w="758" w:type="dxa"/>
          </w:tcPr>
          <w:p w14:paraId="1D46C7A7"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88</w:t>
            </w:r>
          </w:p>
        </w:tc>
      </w:tr>
      <w:tr w:rsidR="000B7E7B" w:rsidRPr="00CC5FE3" w14:paraId="41292332" w14:textId="77777777" w:rsidTr="00857FB6">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4A305379" w14:textId="77777777" w:rsidR="000B7E7B" w:rsidRPr="00CC5FE3" w:rsidRDefault="000B7E7B" w:rsidP="004C01E7">
            <w:pPr>
              <w:pStyle w:val="Tabletext"/>
              <w:rPr>
                <w:rFonts w:eastAsia="Malgun Gothic"/>
                <w:lang w:val="es-ES" w:eastAsia="ko-KR"/>
              </w:rPr>
            </w:pPr>
            <w:r w:rsidRPr="00CC5FE3">
              <w:rPr>
                <w:lang w:val="es-ES"/>
              </w:rPr>
              <w:t>Ctodas/2</w:t>
            </w:r>
            <w:r w:rsidRPr="00CC5FE3">
              <w:rPr>
                <w:rFonts w:eastAsia="Malgun Gothic"/>
                <w:lang w:val="es-ES" w:eastAsia="ko-KR"/>
              </w:rPr>
              <w:t xml:space="preserve"> (para la plenaria de la CE 2)</w:t>
            </w:r>
          </w:p>
        </w:tc>
        <w:tc>
          <w:tcPr>
            <w:tcW w:w="899" w:type="dxa"/>
          </w:tcPr>
          <w:p w14:paraId="3AFF1D67"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16</w:t>
            </w:r>
          </w:p>
        </w:tc>
        <w:tc>
          <w:tcPr>
            <w:tcW w:w="899" w:type="dxa"/>
          </w:tcPr>
          <w:p w14:paraId="6817C717"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lang w:val="es-ES"/>
              </w:rPr>
              <w:t>1</w:t>
            </w:r>
            <w:r w:rsidRPr="00CC5FE3">
              <w:rPr>
                <w:rFonts w:eastAsia="Malgun Gothic"/>
                <w:lang w:val="es-ES" w:eastAsia="ko-KR"/>
              </w:rPr>
              <w:t>4</w:t>
            </w:r>
          </w:p>
        </w:tc>
        <w:tc>
          <w:tcPr>
            <w:tcW w:w="999" w:type="dxa"/>
          </w:tcPr>
          <w:p w14:paraId="733DB2EA"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15</w:t>
            </w:r>
          </w:p>
        </w:tc>
        <w:tc>
          <w:tcPr>
            <w:tcW w:w="895" w:type="dxa"/>
          </w:tcPr>
          <w:p w14:paraId="2105BAFD"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lang w:val="es-ES" w:eastAsia="ko-KR"/>
              </w:rPr>
            </w:pPr>
            <w:r w:rsidRPr="00CC5FE3">
              <w:rPr>
                <w:rFonts w:eastAsia="Malgun Gothic"/>
                <w:lang w:val="es-ES" w:eastAsia="ko-KR"/>
              </w:rPr>
              <w:t>19</w:t>
            </w:r>
          </w:p>
        </w:tc>
        <w:tc>
          <w:tcPr>
            <w:tcW w:w="832" w:type="dxa"/>
          </w:tcPr>
          <w:p w14:paraId="73E338AD"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67</w:t>
            </w:r>
          </w:p>
        </w:tc>
        <w:tc>
          <w:tcPr>
            <w:tcW w:w="758" w:type="dxa"/>
          </w:tcPr>
          <w:p w14:paraId="6F022A99" w14:textId="77777777" w:rsidR="000B7E7B" w:rsidRPr="00CC5FE3" w:rsidRDefault="000B7E7B" w:rsidP="004C01E7">
            <w:pPr>
              <w:pStyle w:val="Tabletext"/>
              <w:cnfStyle w:val="000000000000" w:firstRow="0" w:lastRow="0" w:firstColumn="0" w:lastColumn="0" w:oddVBand="0" w:evenVBand="0" w:oddHBand="0"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116</w:t>
            </w:r>
          </w:p>
        </w:tc>
      </w:tr>
      <w:tr w:rsidR="000B7E7B" w:rsidRPr="00CC5FE3" w14:paraId="6B430877" w14:textId="77777777" w:rsidTr="00857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6238197E" w14:textId="77777777" w:rsidR="000B7E7B" w:rsidRPr="00CC5FE3" w:rsidRDefault="000B7E7B" w:rsidP="004C01E7">
            <w:pPr>
              <w:pStyle w:val="Tabletext"/>
              <w:rPr>
                <w:lang w:val="es-ES"/>
              </w:rPr>
            </w:pPr>
            <w:r w:rsidRPr="00CC5FE3">
              <w:rPr>
                <w:lang w:val="es-ES"/>
              </w:rPr>
              <w:t>Total</w:t>
            </w:r>
          </w:p>
        </w:tc>
        <w:tc>
          <w:tcPr>
            <w:tcW w:w="899" w:type="dxa"/>
          </w:tcPr>
          <w:p w14:paraId="1D36D8EF"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78</w:t>
            </w:r>
          </w:p>
        </w:tc>
        <w:tc>
          <w:tcPr>
            <w:tcW w:w="899" w:type="dxa"/>
          </w:tcPr>
          <w:p w14:paraId="5C2CFA5A"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b/>
                <w:bCs/>
                <w:lang w:val="es-ES"/>
              </w:rPr>
              <w:t>18</w:t>
            </w:r>
            <w:r w:rsidRPr="00CC5FE3">
              <w:rPr>
                <w:rFonts w:eastAsia="Malgun Gothic"/>
                <w:b/>
                <w:bCs/>
                <w:lang w:val="es-ES" w:eastAsia="ko-KR"/>
              </w:rPr>
              <w:t>9</w:t>
            </w:r>
          </w:p>
        </w:tc>
        <w:tc>
          <w:tcPr>
            <w:tcW w:w="999" w:type="dxa"/>
          </w:tcPr>
          <w:p w14:paraId="448D2B02"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b/>
                <w:bCs/>
                <w:lang w:val="es-ES"/>
              </w:rPr>
              <w:t>2</w:t>
            </w:r>
            <w:r w:rsidRPr="00CC5FE3">
              <w:rPr>
                <w:rFonts w:eastAsia="Malgun Gothic"/>
                <w:b/>
                <w:bCs/>
                <w:lang w:val="es-ES" w:eastAsia="ko-KR"/>
              </w:rPr>
              <w:t>34</w:t>
            </w:r>
          </w:p>
        </w:tc>
        <w:tc>
          <w:tcPr>
            <w:tcW w:w="895" w:type="dxa"/>
          </w:tcPr>
          <w:p w14:paraId="76B7BD2C"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61</w:t>
            </w:r>
          </w:p>
        </w:tc>
        <w:tc>
          <w:tcPr>
            <w:tcW w:w="832" w:type="dxa"/>
          </w:tcPr>
          <w:p w14:paraId="01E12BD6"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562</w:t>
            </w:r>
          </w:p>
        </w:tc>
        <w:tc>
          <w:tcPr>
            <w:tcW w:w="758" w:type="dxa"/>
          </w:tcPr>
          <w:p w14:paraId="365B651E" w14:textId="77777777" w:rsidR="000B7E7B" w:rsidRPr="00CC5FE3" w:rsidRDefault="000B7E7B" w:rsidP="004C01E7">
            <w:pPr>
              <w:pStyle w:val="Tabletext"/>
              <w:cnfStyle w:val="000000100000" w:firstRow="0" w:lastRow="0" w:firstColumn="0" w:lastColumn="0" w:oddVBand="0" w:evenVBand="0" w:oddHBand="1" w:evenHBand="0" w:firstRowFirstColumn="0" w:firstRowLastColumn="0" w:lastRowFirstColumn="0" w:lastRowLastColumn="0"/>
              <w:rPr>
                <w:rFonts w:eastAsia="Malgun Gothic"/>
                <w:b/>
                <w:bCs/>
                <w:lang w:val="es-ES" w:eastAsia="ko-KR"/>
              </w:rPr>
            </w:pPr>
            <w:r w:rsidRPr="00CC5FE3">
              <w:rPr>
                <w:rFonts w:eastAsia="Malgun Gothic"/>
                <w:b/>
                <w:bCs/>
                <w:lang w:val="es-ES" w:eastAsia="ko-KR"/>
              </w:rPr>
              <w:t>769</w:t>
            </w:r>
          </w:p>
        </w:tc>
      </w:tr>
    </w:tbl>
    <w:bookmarkEnd w:id="8"/>
    <w:p w14:paraId="05A8A28A" w14:textId="2FE7A000" w:rsidR="000B7E7B" w:rsidRPr="00CC5FE3" w:rsidRDefault="000B7E7B" w:rsidP="004C01E7">
      <w:pPr>
        <w:pStyle w:val="TableNotitle"/>
        <w:rPr>
          <w:rFonts w:asciiTheme="minorHAnsi" w:eastAsia="Malgun Gothic" w:hAnsiTheme="minorHAnsi"/>
          <w:bCs/>
          <w:lang w:val="es-ES" w:eastAsia="ko-KR"/>
        </w:rPr>
      </w:pPr>
      <w:r w:rsidRPr="00CC5FE3">
        <w:rPr>
          <w:rFonts w:asciiTheme="minorHAnsi" w:hAnsiTheme="minorHAnsi"/>
          <w:bCs/>
          <w:lang w:val="es-ES"/>
        </w:rPr>
        <w:t>Cuadro 3 – Número de contribuciones recibidas por Cuestión de la Comisión de Estudio</w:t>
      </w:r>
      <w:r w:rsidR="004C01E7" w:rsidRPr="00CC5FE3">
        <w:rPr>
          <w:rFonts w:asciiTheme="minorHAnsi" w:hAnsiTheme="minorHAnsi"/>
          <w:bCs/>
          <w:lang w:val="es-ES"/>
        </w:rPr>
        <w:t> </w:t>
      </w:r>
      <w:r w:rsidRPr="00CC5FE3">
        <w:rPr>
          <w:rFonts w:asciiTheme="minorHAnsi" w:hAnsiTheme="minorHAnsi"/>
          <w:bCs/>
          <w:lang w:val="es-ES"/>
        </w:rPr>
        <w:t>2</w:t>
      </w:r>
    </w:p>
    <w:p w14:paraId="31702B6D" w14:textId="641436C0" w:rsidR="000B7E7B" w:rsidRPr="00CC5FE3" w:rsidRDefault="000B7E7B" w:rsidP="00813D95">
      <w:pPr>
        <w:rPr>
          <w:rFonts w:eastAsia="Malgun Gothic"/>
          <w:noProof/>
          <w:lang w:val="es-ES" w:eastAsia="ko-KR"/>
        </w:rPr>
      </w:pPr>
      <w:r w:rsidRPr="00CC5FE3">
        <w:rPr>
          <w:rFonts w:eastAsia="Malgun Gothic"/>
          <w:noProof/>
          <w:lang w:val="es-ES" w:eastAsia="ko-KR"/>
        </w:rPr>
        <w:t xml:space="preserve">La </w:t>
      </w:r>
      <w:r w:rsidRPr="00CC5FE3">
        <w:rPr>
          <w:rFonts w:eastAsia="Malgun Gothic"/>
          <w:b/>
          <w:bCs/>
          <w:noProof/>
          <w:lang w:val="es-ES" w:eastAsia="ko-KR"/>
        </w:rPr>
        <w:t>Figura 7</w:t>
      </w:r>
      <w:r w:rsidRPr="00CC5FE3">
        <w:rPr>
          <w:rFonts w:eastAsia="Malgun Gothic"/>
          <w:noProof/>
          <w:lang w:val="es-ES" w:eastAsia="ko-KR"/>
        </w:rPr>
        <w:t xml:space="preserve"> ilustra la distribución de las contribuciones por tipo de origen. Al igual que en el anterior periodo de estudios, los Estados Miembros siguieron siendo los que más contribuyeron a todas las Cuestiones, con más contribuciones a las Cuestiones 3/2 (ciberseguridad) y 5/2 (competencias digitales). Los Miembros de Sector (entre los que se incluyen organizaciones regionales/internacionales) siguieron el ejemplo presentando más contribuciones a las Cuestiones</w:t>
      </w:r>
      <w:r w:rsidR="004C01E7" w:rsidRPr="00CC5FE3">
        <w:rPr>
          <w:rFonts w:eastAsia="Malgun Gothic"/>
          <w:noProof/>
          <w:lang w:val="es-ES" w:eastAsia="ko-KR"/>
        </w:rPr>
        <w:t> </w:t>
      </w:r>
      <w:r w:rsidRPr="00CC5FE3">
        <w:rPr>
          <w:rFonts w:eastAsia="Malgun Gothic"/>
          <w:noProof/>
          <w:lang w:val="es-ES" w:eastAsia="ko-KR"/>
        </w:rPr>
        <w:t>2/2 (ciberservicios y aplicaciones) y 5/2 (ámbito de competencias digitales). Las contribuciones de los Miembros de Sector se mantuvieron en buen número, excepto para las Cuestiones 4/2 (C+I, lucha contra la falsificación y el robo de dispositivos móviles) y 6/2 (ámbito: medio ambiente). Sigue siendo conveniente que las Instituciones Académicas y los Asociados aporten más contribuciones, y no obstante más contribuciones de los Asociados en la Cuestión</w:t>
      </w:r>
      <w:r w:rsidR="004C01E7" w:rsidRPr="00CC5FE3">
        <w:rPr>
          <w:rFonts w:eastAsia="Malgun Gothic"/>
          <w:noProof/>
          <w:lang w:val="es-ES" w:eastAsia="ko-KR"/>
        </w:rPr>
        <w:t> </w:t>
      </w:r>
      <w:r w:rsidRPr="00CC5FE3">
        <w:rPr>
          <w:rFonts w:eastAsia="Malgun Gothic"/>
          <w:noProof/>
          <w:lang w:val="es-ES" w:eastAsia="ko-KR"/>
        </w:rPr>
        <w:t>4/2.</w:t>
      </w:r>
    </w:p>
    <w:p w14:paraId="373EBD47" w14:textId="77777777" w:rsidR="000B7E7B" w:rsidRPr="00CC5FE3" w:rsidRDefault="000B7E7B" w:rsidP="004C01E7">
      <w:pPr>
        <w:pStyle w:val="Figure"/>
        <w:rPr>
          <w:rFonts w:eastAsia="Malgun Gothic"/>
          <w:noProof/>
          <w:lang w:val="es-ES" w:eastAsia="ko-KR"/>
        </w:rPr>
      </w:pPr>
      <w:r w:rsidRPr="00CC5FE3">
        <w:rPr>
          <w:rFonts w:eastAsia="Malgun Gothic"/>
          <w:noProof/>
          <w:lang w:val="es-ES" w:eastAsia="ko-KR"/>
        </w:rPr>
        <w:drawing>
          <wp:inline distT="0" distB="0" distL="0" distR="0" wp14:anchorId="3985E969" wp14:editId="61583C1B">
            <wp:extent cx="4248233" cy="2782828"/>
            <wp:effectExtent l="0" t="0" r="0" b="0"/>
            <wp:docPr id="12277440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58337" cy="2789447"/>
                    </a:xfrm>
                    <a:prstGeom prst="rect">
                      <a:avLst/>
                    </a:prstGeom>
                    <a:noFill/>
                  </pic:spPr>
                </pic:pic>
              </a:graphicData>
            </a:graphic>
          </wp:inline>
        </w:drawing>
      </w:r>
    </w:p>
    <w:p w14:paraId="7CF02DF9" w14:textId="77777777" w:rsidR="000B7E7B" w:rsidRPr="00CC5FE3" w:rsidRDefault="000B7E7B" w:rsidP="004C01E7">
      <w:pPr>
        <w:pStyle w:val="FigureNotitle"/>
        <w:rPr>
          <w:rFonts w:asciiTheme="minorHAnsi" w:eastAsia="Malgun Gothic" w:hAnsiTheme="minorHAnsi"/>
          <w:bCs/>
          <w:lang w:val="es-ES" w:eastAsia="ko-KR"/>
        </w:rPr>
      </w:pPr>
      <w:r w:rsidRPr="00CC5FE3">
        <w:rPr>
          <w:rFonts w:asciiTheme="minorHAnsi" w:hAnsiTheme="minorHAnsi"/>
          <w:bCs/>
          <w:noProof/>
          <w:lang w:val="es-ES"/>
        </w:rPr>
        <w:t>Figura 7 – Contribuciones recibidas para la Comisión de Estudio 2 por Cuestión y tipo de origen</w:t>
      </w:r>
    </w:p>
    <w:p w14:paraId="252099DA" w14:textId="77777777" w:rsidR="000B7E7B" w:rsidRPr="00CC5FE3" w:rsidRDefault="000B7E7B" w:rsidP="004C01E7">
      <w:pPr>
        <w:pStyle w:val="Headingb"/>
        <w:rPr>
          <w:lang w:val="es-ES"/>
        </w:rPr>
      </w:pPr>
      <w:r w:rsidRPr="00CC5FE3">
        <w:rPr>
          <w:lang w:val="es-ES"/>
        </w:rPr>
        <w:lastRenderedPageBreak/>
        <w:t>Reuniones</w:t>
      </w:r>
    </w:p>
    <w:p w14:paraId="6EBB055A" w14:textId="77777777" w:rsidR="000B7E7B" w:rsidRPr="00CC5FE3" w:rsidRDefault="000B7E7B" w:rsidP="004C01E7">
      <w:pPr>
        <w:pStyle w:val="Headingb"/>
        <w:rPr>
          <w:lang w:val="es-ES"/>
        </w:rPr>
      </w:pPr>
      <w:r w:rsidRPr="00CC5FE3">
        <w:rPr>
          <w:lang w:val="es-ES"/>
        </w:rPr>
        <w:t>Reuniones del equipo de dirección</w:t>
      </w:r>
    </w:p>
    <w:p w14:paraId="17C940A3" w14:textId="24FDFC69" w:rsidR="000B7E7B" w:rsidRPr="00CC5FE3" w:rsidRDefault="000B7E7B" w:rsidP="000B7E7B">
      <w:pPr>
        <w:rPr>
          <w:lang w:val="es-ES"/>
        </w:rPr>
      </w:pPr>
      <w:r w:rsidRPr="00CC5FE3">
        <w:rPr>
          <w:lang w:val="es-ES"/>
        </w:rPr>
        <w:t>Durante este periodo de estudios, se celebraron cuatro reuniones anuales del equipo de dirección de la Comisión de Estudio 2 con el Presidente, Vicepresidentes, Relatores y Correlatores, Vicerrelatores y Coordinadores de la BDT en la víspera de cada reunión anual de la Comisión de Estudio</w:t>
      </w:r>
      <w:r w:rsidR="00874598" w:rsidRPr="00CC5FE3">
        <w:rPr>
          <w:lang w:val="es-ES"/>
        </w:rPr>
        <w:t> </w:t>
      </w:r>
      <w:r w:rsidRPr="00CC5FE3">
        <w:rPr>
          <w:lang w:val="es-ES"/>
        </w:rPr>
        <w:t>2, con objeto de preparar la reunión, aprobar el programa de trabajo, examinar los avances registrados en cada Cuestión objeto de estudio, debatir las actividades previstas o en curso, y formular propuestas sobre nuevas mejoras en relación con el funcionamiento de las Comisiones de Estudio.</w:t>
      </w:r>
    </w:p>
    <w:p w14:paraId="1EC17945" w14:textId="77172488" w:rsidR="000B7E7B" w:rsidRPr="00CC5FE3" w:rsidRDefault="000B7E7B" w:rsidP="000B7E7B">
      <w:pPr>
        <w:rPr>
          <w:lang w:val="es-ES"/>
        </w:rPr>
      </w:pPr>
      <w:r w:rsidRPr="00CC5FE3">
        <w:rPr>
          <w:lang w:val="es-ES"/>
        </w:rPr>
        <w:t xml:space="preserve">Además, se celebraron 17 reuniones adicionales (dos de ellas </w:t>
      </w:r>
      <w:proofErr w:type="gramStart"/>
      <w:r w:rsidRPr="00CC5FE3">
        <w:rPr>
          <w:lang w:val="es-ES"/>
        </w:rPr>
        <w:t>conjuntamente con</w:t>
      </w:r>
      <w:proofErr w:type="gramEnd"/>
      <w:r w:rsidRPr="00CC5FE3">
        <w:rPr>
          <w:lang w:val="es-ES"/>
        </w:rPr>
        <w:t xml:space="preserve"> la CE</w:t>
      </w:r>
      <w:r w:rsidR="00874598" w:rsidRPr="00CC5FE3">
        <w:rPr>
          <w:lang w:val="es-ES"/>
        </w:rPr>
        <w:t> </w:t>
      </w:r>
      <w:r w:rsidRPr="00CC5FE3">
        <w:rPr>
          <w:lang w:val="es-ES"/>
        </w:rPr>
        <w:t>1) entre el Presidente de la CE</w:t>
      </w:r>
      <w:r w:rsidR="00874598" w:rsidRPr="00CC5FE3">
        <w:rPr>
          <w:lang w:val="es-ES"/>
        </w:rPr>
        <w:t> </w:t>
      </w:r>
      <w:r w:rsidRPr="00CC5FE3">
        <w:rPr>
          <w:lang w:val="es-ES"/>
        </w:rPr>
        <w:t>2 y los miembros del equipo de dirección interesados para preparar talleres y sesiones de información, examinar los avances de los productos intermedios y finales, y coordinar otros temas de interés en preparación de la próxima CMDT (por ejemplo, las Cuestiones de estudio futuras).</w:t>
      </w:r>
      <w:r w:rsidRPr="00CC5FE3">
        <w:rPr>
          <w:rFonts w:eastAsia="Malgun Gothic" w:cstheme="minorHAnsi"/>
          <w:szCs w:val="24"/>
          <w:lang w:val="es-ES" w:eastAsia="ko-KR"/>
        </w:rPr>
        <w:t xml:space="preserve"> Antes de que venciera el plazo de presentación de los informes finales, el Presidente de la CE</w:t>
      </w:r>
      <w:r w:rsidR="00874598" w:rsidRPr="00CC5FE3">
        <w:rPr>
          <w:rFonts w:eastAsia="Malgun Gothic" w:cstheme="minorHAnsi"/>
          <w:szCs w:val="24"/>
          <w:lang w:val="es-ES" w:eastAsia="ko-KR"/>
        </w:rPr>
        <w:t> </w:t>
      </w:r>
      <w:r w:rsidRPr="00CC5FE3">
        <w:rPr>
          <w:rFonts w:eastAsia="Malgun Gothic" w:cstheme="minorHAnsi"/>
          <w:szCs w:val="24"/>
          <w:lang w:val="es-ES" w:eastAsia="ko-KR"/>
        </w:rPr>
        <w:t>2 se reunió por separado con el equipo directivo</w:t>
      </w:r>
      <w:r w:rsidRPr="00CC5FE3">
        <w:rPr>
          <w:rStyle w:val="FootnoteReference"/>
          <w:rFonts w:eastAsia="Malgun Gothic" w:cstheme="minorHAnsi"/>
          <w:lang w:val="es-ES" w:eastAsia="ko-KR"/>
        </w:rPr>
        <w:footnoteReference w:id="10"/>
      </w:r>
      <w:r w:rsidRPr="00CC5FE3">
        <w:rPr>
          <w:rFonts w:eastAsia="Malgun Gothic" w:cstheme="minorHAnsi"/>
          <w:szCs w:val="24"/>
          <w:lang w:val="es-ES" w:eastAsia="ko-KR"/>
        </w:rPr>
        <w:t xml:space="preserve"> de cada Cuestión para examinar en detalle sus proyectos de informes finales y proporcionar orientaciones para mejorarlos.</w:t>
      </w:r>
    </w:p>
    <w:p w14:paraId="7F560D8D" w14:textId="5A4A975F" w:rsidR="000B7E7B" w:rsidRPr="00CC5FE3" w:rsidRDefault="000B7E7B" w:rsidP="000B7E7B">
      <w:pPr>
        <w:rPr>
          <w:lang w:val="es-ES"/>
        </w:rPr>
      </w:pPr>
      <w:r w:rsidRPr="00CC5FE3">
        <w:rPr>
          <w:lang w:val="es-ES"/>
        </w:rPr>
        <w:t xml:space="preserve">Se nombraron Coordinadores para facilitar la coordinación sobre los temas clave. En el </w:t>
      </w:r>
      <w:r w:rsidRPr="00CC5FE3">
        <w:rPr>
          <w:b/>
          <w:bCs/>
          <w:lang w:val="es-ES"/>
        </w:rPr>
        <w:t>Anexo</w:t>
      </w:r>
      <w:r w:rsidR="00874598" w:rsidRPr="00CC5FE3">
        <w:rPr>
          <w:b/>
          <w:bCs/>
          <w:lang w:val="es-ES"/>
        </w:rPr>
        <w:t> </w:t>
      </w:r>
      <w:r w:rsidRPr="00CC5FE3">
        <w:rPr>
          <w:b/>
          <w:bCs/>
          <w:lang w:val="es-ES"/>
        </w:rPr>
        <w:t xml:space="preserve">2 </w:t>
      </w:r>
      <w:r w:rsidRPr="00CC5FE3">
        <w:rPr>
          <w:lang w:val="es-ES"/>
        </w:rPr>
        <w:t>al presente informe figura una relación de estos temas y los nombres de los coordinadores.</w:t>
      </w:r>
    </w:p>
    <w:p w14:paraId="2352D0FC" w14:textId="77777777" w:rsidR="000B7E7B" w:rsidRPr="00CC5FE3" w:rsidRDefault="000B7E7B" w:rsidP="000B7E7B">
      <w:pPr>
        <w:rPr>
          <w:lang w:val="es-ES"/>
        </w:rPr>
      </w:pPr>
      <w:r w:rsidRPr="00CC5FE3">
        <w:rPr>
          <w:lang w:val="es-ES"/>
        </w:rPr>
        <w:t>Por último, los siete Grupos de Relator celebraron reuniones de los equipos de dirección a su respectivo nivel para garantizar la coordinación y cumplir el mandato de su correspondiente Cuestión.</w:t>
      </w:r>
    </w:p>
    <w:p w14:paraId="3B2829A4" w14:textId="25BC86C3" w:rsidR="000B7E7B" w:rsidRPr="00CC5FE3" w:rsidRDefault="000B7E7B" w:rsidP="00874598">
      <w:pPr>
        <w:pStyle w:val="Headingb"/>
        <w:rPr>
          <w:lang w:val="es-ES"/>
        </w:rPr>
      </w:pPr>
      <w:r w:rsidRPr="00CC5FE3">
        <w:rPr>
          <w:lang w:val="es-ES"/>
        </w:rPr>
        <w:t>Reuniones de la Comisión de Estudio 2</w:t>
      </w:r>
    </w:p>
    <w:p w14:paraId="0ED2471B" w14:textId="77777777" w:rsidR="000B7E7B" w:rsidRPr="00CC5FE3" w:rsidRDefault="000B7E7B" w:rsidP="000B7E7B">
      <w:pPr>
        <w:rPr>
          <w:lang w:val="es-ES"/>
        </w:rPr>
      </w:pPr>
      <w:r w:rsidRPr="00CC5FE3">
        <w:rPr>
          <w:lang w:val="es-ES"/>
        </w:rPr>
        <w:t>A lo largo del periodo de estudios, la Comisión de Estudio 2 se reunió en seis ocasiones. Se celebraron cuatro reuniones anuales en diciembre de 2022, octubre-noviembre de 2023, noviembre de 2024 y mayo de 2025. En total, los Grupos de Relator se reunieron seis veces a lo largo de este periodo de estudios, tanto con ocasión de las reuniones anuales de la Comisión de Estudio como independientemente, en mayo-junio de 2023 y abril-mayo de 2024.</w:t>
      </w:r>
    </w:p>
    <w:p w14:paraId="33FE9812" w14:textId="77777777" w:rsidR="000B7E7B" w:rsidRPr="00CC5FE3" w:rsidRDefault="000B7E7B" w:rsidP="000B7E7B">
      <w:pPr>
        <w:rPr>
          <w:lang w:val="es-ES"/>
        </w:rPr>
      </w:pPr>
      <w:r w:rsidRPr="00CC5FE3">
        <w:rPr>
          <w:lang w:val="es-ES"/>
        </w:rPr>
        <w:t xml:space="preserve">En el </w:t>
      </w:r>
      <w:r w:rsidRPr="00CC5FE3">
        <w:rPr>
          <w:b/>
          <w:bCs/>
          <w:lang w:val="es-ES"/>
        </w:rPr>
        <w:t xml:space="preserve">Anexo 3 </w:t>
      </w:r>
      <w:r w:rsidRPr="00CC5FE3">
        <w:rPr>
          <w:lang w:val="es-ES"/>
        </w:rPr>
        <w:t>se presentan las fechas de las reuniones de la Comisión de Estudio y de los Grupos de Relator celebradas durante este periodo de estudios. Una parte importante de los trabajos se realizó electrónicamente y por correspondencia entre las reuniones presenciales.</w:t>
      </w:r>
    </w:p>
    <w:p w14:paraId="491CCC65" w14:textId="033BDD1D" w:rsidR="000B7E7B" w:rsidRPr="00CC5FE3" w:rsidRDefault="000B7E7B" w:rsidP="00874598">
      <w:pPr>
        <w:pStyle w:val="Headingb"/>
        <w:rPr>
          <w:rFonts w:cstheme="minorHAnsi"/>
          <w:lang w:val="es-ES"/>
        </w:rPr>
      </w:pPr>
      <w:r w:rsidRPr="00CC5FE3">
        <w:rPr>
          <w:lang w:val="es-ES"/>
        </w:rPr>
        <w:t xml:space="preserve">Primera reunión </w:t>
      </w:r>
      <w:r w:rsidR="00CC5FE3" w:rsidRPr="00CC5FE3">
        <w:rPr>
          <w:lang w:val="es-ES"/>
        </w:rPr>
        <w:t>anual</w:t>
      </w:r>
      <w:r w:rsidRPr="00CC5FE3">
        <w:rPr>
          <w:lang w:val="es-ES"/>
        </w:rPr>
        <w:t xml:space="preserve"> de la CE 2</w:t>
      </w:r>
    </w:p>
    <w:p w14:paraId="70DA2112" w14:textId="77777777" w:rsidR="000B7E7B" w:rsidRPr="00CC5FE3" w:rsidRDefault="000B7E7B" w:rsidP="000B7E7B">
      <w:pPr>
        <w:rPr>
          <w:lang w:val="es-ES"/>
        </w:rPr>
      </w:pPr>
      <w:r w:rsidRPr="00CC5FE3">
        <w:rPr>
          <w:lang w:val="es-ES"/>
        </w:rPr>
        <w:t>La reunión se celebró en Ginebra del 5 al 9 de diciembre de 2022 y en ella se adoptaron las siguiente medidas y decisiones:</w:t>
      </w:r>
    </w:p>
    <w:p w14:paraId="7B339C55" w14:textId="23E0F34A" w:rsidR="000B7E7B" w:rsidRPr="00CC5FE3" w:rsidRDefault="000B7E7B" w:rsidP="000B7E7B">
      <w:pPr>
        <w:pStyle w:val="enumlev1"/>
        <w:rPr>
          <w:bCs/>
          <w:lang w:val="es-ES"/>
        </w:rPr>
      </w:pPr>
      <w:r w:rsidRPr="00CC5FE3">
        <w:rPr>
          <w:lang w:val="es-ES"/>
        </w:rPr>
        <w:t>–</w:t>
      </w:r>
      <w:r w:rsidRPr="00CC5FE3">
        <w:rPr>
          <w:lang w:val="es-ES"/>
        </w:rPr>
        <w:tab/>
        <w:t>Revisar los principales resultados del periodo de estudios anterior, 2018</w:t>
      </w:r>
      <w:r w:rsidR="00874598" w:rsidRPr="00CC5FE3">
        <w:rPr>
          <w:lang w:val="es-ES"/>
        </w:rPr>
        <w:noBreakHyphen/>
      </w:r>
      <w:r w:rsidRPr="00CC5FE3">
        <w:rPr>
          <w:lang w:val="es-ES"/>
        </w:rPr>
        <w:t>2021, el plan de trabajo de la CE 2 y las expectativas para el periodo de estudios 2022</w:t>
      </w:r>
      <w:r w:rsidR="00874598" w:rsidRPr="00CC5FE3">
        <w:rPr>
          <w:lang w:val="es-ES"/>
        </w:rPr>
        <w:noBreakHyphen/>
      </w:r>
      <w:r w:rsidRPr="00CC5FE3">
        <w:rPr>
          <w:lang w:val="es-ES"/>
        </w:rPr>
        <w:t>2025.</w:t>
      </w:r>
    </w:p>
    <w:p w14:paraId="06015F32" w14:textId="77777777" w:rsidR="000B7E7B" w:rsidRPr="00CC5FE3" w:rsidRDefault="000B7E7B" w:rsidP="000B7E7B">
      <w:pPr>
        <w:pStyle w:val="enumlev1"/>
        <w:rPr>
          <w:bCs/>
          <w:lang w:val="es-ES"/>
        </w:rPr>
      </w:pPr>
      <w:r w:rsidRPr="00CC5FE3">
        <w:rPr>
          <w:lang w:val="es-ES"/>
        </w:rPr>
        <w:t>–</w:t>
      </w:r>
      <w:r w:rsidRPr="00CC5FE3">
        <w:rPr>
          <w:lang w:val="es-ES"/>
        </w:rPr>
        <w:tab/>
        <w:t>Nombrar nuevos Relatores/Correlatores y Vicerrelatores para dirigir las Cuestiones objeto de estudio.</w:t>
      </w:r>
    </w:p>
    <w:p w14:paraId="7DADAD71" w14:textId="77777777" w:rsidR="000B7E7B" w:rsidRPr="00CC5FE3" w:rsidRDefault="000B7E7B" w:rsidP="000B7E7B">
      <w:pPr>
        <w:pStyle w:val="enumlev1"/>
        <w:rPr>
          <w:bCs/>
          <w:lang w:val="es-ES"/>
        </w:rPr>
      </w:pPr>
      <w:r w:rsidRPr="00CC5FE3">
        <w:rPr>
          <w:lang w:val="es-ES"/>
        </w:rPr>
        <w:lastRenderedPageBreak/>
        <w:t>–</w:t>
      </w:r>
      <w:r w:rsidRPr="00CC5FE3">
        <w:rPr>
          <w:lang w:val="es-ES"/>
        </w:rPr>
        <w:tab/>
        <w:t>Asignar coordinadores (en su mayoría Vicepresidentes) para temas específicos de interés.</w:t>
      </w:r>
    </w:p>
    <w:p w14:paraId="0AE3D5AB" w14:textId="77777777" w:rsidR="000B7E7B" w:rsidRPr="00CC5FE3" w:rsidRDefault="000B7E7B" w:rsidP="000B7E7B">
      <w:pPr>
        <w:pStyle w:val="enumlev1"/>
        <w:rPr>
          <w:bCs/>
          <w:lang w:val="es-ES"/>
        </w:rPr>
      </w:pPr>
      <w:r w:rsidRPr="00CC5FE3">
        <w:rPr>
          <w:lang w:val="es-ES"/>
        </w:rPr>
        <w:t>–</w:t>
      </w:r>
      <w:r w:rsidRPr="00CC5FE3">
        <w:rPr>
          <w:lang w:val="es-ES"/>
        </w:rPr>
        <w:tab/>
        <w:t>Elaborar proyectos de planes de trabajo y de índices para iniciar los trabajos de cada Cuestión.</w:t>
      </w:r>
    </w:p>
    <w:p w14:paraId="6188C049" w14:textId="77777777" w:rsidR="000B7E7B" w:rsidRPr="00CC5FE3" w:rsidRDefault="000B7E7B" w:rsidP="000B7E7B">
      <w:pPr>
        <w:pStyle w:val="enumlev1"/>
        <w:rPr>
          <w:bCs/>
          <w:lang w:val="es-ES"/>
        </w:rPr>
      </w:pPr>
      <w:r w:rsidRPr="00CC5FE3">
        <w:rPr>
          <w:lang w:val="es-ES"/>
        </w:rPr>
        <w:t>–</w:t>
      </w:r>
      <w:r w:rsidRPr="00CC5FE3">
        <w:rPr>
          <w:lang w:val="es-ES"/>
        </w:rPr>
        <w:tab/>
        <w:t>Organizar una sesión para nuevos delegados que proporcionó una visión general de las Comisiones de Estudio e información para ayudarlos a participar en las actividades de las Comisiones de Estudio (</w:t>
      </w:r>
      <w:hyperlink r:id="rId30" w:history="1">
        <w:r w:rsidRPr="00CC5FE3">
          <w:rPr>
            <w:rStyle w:val="Hyperlink"/>
            <w:lang w:val="es-ES"/>
          </w:rPr>
          <w:t>presentación</w:t>
        </w:r>
      </w:hyperlink>
      <w:r w:rsidRPr="00CC5FE3">
        <w:rPr>
          <w:lang w:val="es-ES"/>
        </w:rPr>
        <w:t>).</w:t>
      </w:r>
    </w:p>
    <w:p w14:paraId="56458F14" w14:textId="071CC3F6" w:rsidR="000B7E7B" w:rsidRPr="00CC5FE3" w:rsidRDefault="000B7E7B" w:rsidP="000B7E7B">
      <w:pPr>
        <w:pStyle w:val="enumlev1"/>
        <w:rPr>
          <w:bCs/>
          <w:lang w:val="es-ES"/>
        </w:rPr>
      </w:pPr>
      <w:r w:rsidRPr="00CC5FE3">
        <w:rPr>
          <w:lang w:val="es-ES"/>
        </w:rPr>
        <w:t>–</w:t>
      </w:r>
      <w:r w:rsidRPr="00CC5FE3">
        <w:rPr>
          <w:lang w:val="es-ES"/>
        </w:rPr>
        <w:tab/>
        <w:t>Explorar varios temas de colaboración futura, incluso con otros Sectores de la UIT, la Resolución</w:t>
      </w:r>
      <w:r w:rsidR="00874598" w:rsidRPr="00CC5FE3">
        <w:rPr>
          <w:lang w:val="es-ES"/>
        </w:rPr>
        <w:t> </w:t>
      </w:r>
      <w:r w:rsidRPr="00CC5FE3">
        <w:rPr>
          <w:lang w:val="es-ES"/>
        </w:rPr>
        <w:t>9 (Rev. Kigali, 2022) de la CMDT, así como las sinergias con las actividades en materia de estadísticas y los proyectos de la BDT.</w:t>
      </w:r>
    </w:p>
    <w:p w14:paraId="458ED4F2" w14:textId="77777777" w:rsidR="000B7E7B" w:rsidRPr="00CC5FE3" w:rsidRDefault="000B7E7B" w:rsidP="000B7E7B">
      <w:pPr>
        <w:rPr>
          <w:lang w:val="es-ES"/>
        </w:rPr>
      </w:pPr>
      <w:r w:rsidRPr="00CC5FE3">
        <w:rPr>
          <w:lang w:val="es-ES"/>
        </w:rPr>
        <w:t xml:space="preserve">El Informe de esta reunión se recoge en el Documento </w:t>
      </w:r>
      <w:hyperlink r:id="rId31" w:history="1">
        <w:r w:rsidRPr="00CC5FE3">
          <w:rPr>
            <w:rStyle w:val="Hyperlink"/>
            <w:lang w:val="es-ES"/>
          </w:rPr>
          <w:t>2/REP/8</w:t>
        </w:r>
      </w:hyperlink>
      <w:r w:rsidRPr="00CC5FE3">
        <w:rPr>
          <w:lang w:val="es-ES"/>
        </w:rPr>
        <w:t>.</w:t>
      </w:r>
    </w:p>
    <w:p w14:paraId="138C2A39" w14:textId="143947E9" w:rsidR="000B7E7B" w:rsidRPr="00CC5FE3" w:rsidRDefault="000B7E7B" w:rsidP="00874598">
      <w:pPr>
        <w:pStyle w:val="Headingb"/>
        <w:rPr>
          <w:rFonts w:cstheme="minorHAnsi"/>
          <w:lang w:val="es-ES"/>
        </w:rPr>
      </w:pPr>
      <w:r w:rsidRPr="00CC5FE3">
        <w:rPr>
          <w:lang w:val="es-ES"/>
        </w:rPr>
        <w:t xml:space="preserve">Segunda reunión </w:t>
      </w:r>
      <w:r w:rsidR="00CC5FE3" w:rsidRPr="00CC5FE3">
        <w:rPr>
          <w:lang w:val="es-ES"/>
        </w:rPr>
        <w:t>anual</w:t>
      </w:r>
      <w:r w:rsidRPr="00CC5FE3">
        <w:rPr>
          <w:lang w:val="es-ES"/>
        </w:rPr>
        <w:t xml:space="preserve"> de la CE 2</w:t>
      </w:r>
    </w:p>
    <w:p w14:paraId="033C8C2D" w14:textId="77777777" w:rsidR="000B7E7B" w:rsidRPr="00CC5FE3" w:rsidRDefault="000B7E7B" w:rsidP="000B7E7B">
      <w:pPr>
        <w:rPr>
          <w:lang w:val="es-ES"/>
        </w:rPr>
      </w:pPr>
      <w:r w:rsidRPr="00CC5FE3">
        <w:rPr>
          <w:lang w:val="es-ES"/>
        </w:rPr>
        <w:t>Esta reunión se celebró en Ginebra del 30 de octubre al 3 de noviembre de 2023, y en ella se adoptaron las siguientes medidas:</w:t>
      </w:r>
    </w:p>
    <w:p w14:paraId="44DA480E" w14:textId="77777777" w:rsidR="000B7E7B" w:rsidRPr="00CC5FE3" w:rsidRDefault="000B7E7B" w:rsidP="000B7E7B">
      <w:pPr>
        <w:pStyle w:val="enumlev1"/>
        <w:rPr>
          <w:bCs/>
          <w:lang w:val="es-ES"/>
        </w:rPr>
      </w:pPr>
      <w:r w:rsidRPr="00CC5FE3">
        <w:rPr>
          <w:lang w:val="es-ES"/>
        </w:rPr>
        <w:t>–</w:t>
      </w:r>
      <w:r w:rsidRPr="00CC5FE3">
        <w:rPr>
          <w:lang w:val="es-ES"/>
        </w:rPr>
        <w:tab/>
        <w:t>Nombrar un Vicepresidente (región de Europa), tres Correlatores y un Vicerrelator para reforzar los equipos de dirección, después de que los titulares anteriores renunciaran a su cargo por motivos profesionales.</w:t>
      </w:r>
    </w:p>
    <w:p w14:paraId="050B134A" w14:textId="77777777" w:rsidR="000B7E7B" w:rsidRPr="00CC5FE3" w:rsidRDefault="000B7E7B" w:rsidP="000B7E7B">
      <w:pPr>
        <w:pStyle w:val="enumlev1"/>
        <w:rPr>
          <w:bCs/>
          <w:lang w:val="es-ES"/>
        </w:rPr>
      </w:pPr>
      <w:r w:rsidRPr="00CC5FE3">
        <w:rPr>
          <w:lang w:val="es-ES"/>
        </w:rPr>
        <w:t>–</w:t>
      </w:r>
      <w:r w:rsidRPr="00CC5FE3">
        <w:rPr>
          <w:lang w:val="es-ES"/>
        </w:rPr>
        <w:tab/>
        <w:t>Aprobar un nuevo producto intermedio de la Cuestión 3/2 (Prácticas óptimas para el desarrollo de una cultura de ciberseguridad). En este producto intermedio se examinan las garantías de ciberseguridad a escala mundial en diversos ámbitos (Internet de las cosas, telecomunicaciones, etc.) mediante la presentación de una amplia gama de prácticas y perspectivas vigentes de todo el mundo.</w:t>
      </w:r>
    </w:p>
    <w:p w14:paraId="14EFABF7" w14:textId="00B9A142" w:rsidR="000B7E7B" w:rsidRPr="00CC5FE3" w:rsidRDefault="000B7E7B" w:rsidP="000B7E7B">
      <w:pPr>
        <w:pStyle w:val="enumlev1"/>
        <w:rPr>
          <w:bCs/>
          <w:lang w:val="es-ES"/>
        </w:rPr>
      </w:pPr>
      <w:r w:rsidRPr="00CC5FE3">
        <w:rPr>
          <w:lang w:val="es-ES"/>
        </w:rPr>
        <w:t>–</w:t>
      </w:r>
      <w:r w:rsidRPr="00CC5FE3">
        <w:rPr>
          <w:lang w:val="es-ES"/>
        </w:rPr>
        <w:tab/>
        <w:t>Elaborar y estabilizar el cuadro de correspondencias entre las Cuestiones del UIT</w:t>
      </w:r>
      <w:r w:rsidR="00AA32DA" w:rsidRPr="00CC5FE3">
        <w:rPr>
          <w:lang w:val="es-ES"/>
        </w:rPr>
        <w:noBreakHyphen/>
      </w:r>
      <w:r w:rsidRPr="00CC5FE3">
        <w:rPr>
          <w:lang w:val="es-ES"/>
        </w:rPr>
        <w:t>D y los demás Sectores de la UIT.</w:t>
      </w:r>
    </w:p>
    <w:p w14:paraId="49A4F168" w14:textId="46A53EFB" w:rsidR="000B7E7B" w:rsidRPr="00CC5FE3" w:rsidRDefault="000B7E7B" w:rsidP="000B7E7B">
      <w:pPr>
        <w:pStyle w:val="enumlev1"/>
        <w:rPr>
          <w:bCs/>
          <w:lang w:val="es-ES"/>
        </w:rPr>
      </w:pPr>
      <w:r w:rsidRPr="00CC5FE3">
        <w:rPr>
          <w:lang w:val="es-ES"/>
        </w:rPr>
        <w:t>–</w:t>
      </w:r>
      <w:r w:rsidRPr="00CC5FE3">
        <w:rPr>
          <w:lang w:val="es-ES"/>
        </w:rPr>
        <w:tab/>
        <w:t>Organizar dos sesiones informativas, la primera para mostrar el nuevo producto provisional sobre prácticas de garantía de la ciberseguridad (</w:t>
      </w:r>
      <w:hyperlink r:id="rId32" w:history="1">
        <w:r w:rsidRPr="00CC5FE3">
          <w:rPr>
            <w:rStyle w:val="Hyperlink"/>
            <w:lang w:val="es-ES"/>
          </w:rPr>
          <w:t>programa</w:t>
        </w:r>
      </w:hyperlink>
      <w:r w:rsidRPr="00CC5FE3">
        <w:rPr>
          <w:lang w:val="es-ES"/>
        </w:rPr>
        <w:t xml:space="preserve">, </w:t>
      </w:r>
      <w:hyperlink r:id="rId33" w:history="1">
        <w:r w:rsidRPr="00CC5FE3">
          <w:rPr>
            <w:rStyle w:val="Hyperlink"/>
            <w:lang w:val="es-ES"/>
          </w:rPr>
          <w:t>informe</w:t>
        </w:r>
      </w:hyperlink>
      <w:r w:rsidRPr="00CC5FE3">
        <w:rPr>
          <w:lang w:val="es-ES"/>
        </w:rPr>
        <w:t>, véase el Anexo</w:t>
      </w:r>
      <w:r w:rsidR="00AA32DA" w:rsidRPr="00CC5FE3">
        <w:rPr>
          <w:lang w:val="es-ES"/>
        </w:rPr>
        <w:t> </w:t>
      </w:r>
      <w:r w:rsidRPr="00CC5FE3">
        <w:rPr>
          <w:lang w:val="es-ES"/>
        </w:rPr>
        <w:t>5) y la segunda para presentar proyectos específicos de la UIT relacionados con la transformación digital y sus repercusiones en este ámbito (</w:t>
      </w:r>
      <w:hyperlink r:id="rId34" w:history="1">
        <w:r w:rsidRPr="00CC5FE3">
          <w:rPr>
            <w:rStyle w:val="Hyperlink"/>
            <w:lang w:val="es-ES"/>
          </w:rPr>
          <w:t>programa</w:t>
        </w:r>
      </w:hyperlink>
      <w:r w:rsidRPr="00CC5FE3">
        <w:rPr>
          <w:lang w:val="es-ES"/>
        </w:rPr>
        <w:t xml:space="preserve">, </w:t>
      </w:r>
      <w:hyperlink r:id="rId35" w:history="1">
        <w:r w:rsidRPr="00CC5FE3">
          <w:rPr>
            <w:rStyle w:val="Hyperlink"/>
            <w:lang w:val="es-ES"/>
          </w:rPr>
          <w:t>informe</w:t>
        </w:r>
      </w:hyperlink>
      <w:r w:rsidRPr="00CC5FE3">
        <w:rPr>
          <w:lang w:val="es-ES"/>
        </w:rPr>
        <w:t>, véase el Anexo</w:t>
      </w:r>
      <w:r w:rsidR="00AA32DA" w:rsidRPr="00CC5FE3">
        <w:rPr>
          <w:lang w:val="es-ES"/>
        </w:rPr>
        <w:t> </w:t>
      </w:r>
      <w:r w:rsidRPr="00CC5FE3">
        <w:rPr>
          <w:lang w:val="es-ES"/>
        </w:rPr>
        <w:t>6).</w:t>
      </w:r>
    </w:p>
    <w:p w14:paraId="57CDF1FB" w14:textId="34C40781" w:rsidR="000B7E7B" w:rsidRPr="00CC5FE3" w:rsidRDefault="000B7E7B" w:rsidP="000B7E7B">
      <w:pPr>
        <w:pStyle w:val="enumlev1"/>
        <w:rPr>
          <w:bCs/>
          <w:lang w:val="es-ES"/>
        </w:rPr>
      </w:pPr>
      <w:r w:rsidRPr="00CC5FE3">
        <w:rPr>
          <w:lang w:val="es-ES"/>
        </w:rPr>
        <w:t>–</w:t>
      </w:r>
      <w:r w:rsidRPr="00CC5FE3">
        <w:rPr>
          <w:lang w:val="es-ES"/>
        </w:rPr>
        <w:tab/>
        <w:t>Celebrar un debate oficioso sobre la participación de la juventud entre algunos miembros jóvenes y los equipos de dirección de la CE</w:t>
      </w:r>
      <w:r w:rsidR="00AA32DA" w:rsidRPr="00CC5FE3">
        <w:rPr>
          <w:lang w:val="es-ES"/>
        </w:rPr>
        <w:t> </w:t>
      </w:r>
      <w:r w:rsidRPr="00CC5FE3">
        <w:rPr>
          <w:lang w:val="es-ES"/>
        </w:rPr>
        <w:t>2, con el fin de estudiar cómo los jóvenes participantes podrían involucrarse más en los trabajos de las Comisiones de Estudio.</w:t>
      </w:r>
    </w:p>
    <w:p w14:paraId="12C903CD" w14:textId="1C5F4476" w:rsidR="000B7E7B" w:rsidRPr="00CC5FE3" w:rsidRDefault="000B7E7B" w:rsidP="000B7E7B">
      <w:pPr>
        <w:pStyle w:val="enumlev1"/>
        <w:rPr>
          <w:bCs/>
          <w:lang w:val="es-ES"/>
        </w:rPr>
      </w:pPr>
      <w:r w:rsidRPr="00CC5FE3">
        <w:rPr>
          <w:lang w:val="es-ES"/>
        </w:rPr>
        <w:t>–</w:t>
      </w:r>
      <w:r w:rsidRPr="00CC5FE3">
        <w:rPr>
          <w:lang w:val="es-ES"/>
        </w:rPr>
        <w:tab/>
        <w:t>Continuar estudiando varios temas de colaboración futura, en particular con el Grupo de Relator del Grupo Asesor de Normalización de las Telecomunicaciones (GANT) sobre transformación digital sostenible (GR-TD), al que se envió una declaración de coordinación de respuesta para informar sobre las actividades de la CE</w:t>
      </w:r>
      <w:r w:rsidR="00AA32DA" w:rsidRPr="00CC5FE3">
        <w:rPr>
          <w:lang w:val="es-ES"/>
        </w:rPr>
        <w:t> </w:t>
      </w:r>
      <w:r w:rsidRPr="00CC5FE3">
        <w:rPr>
          <w:lang w:val="es-ES"/>
        </w:rPr>
        <w:t>2.</w:t>
      </w:r>
    </w:p>
    <w:p w14:paraId="44A38C3D" w14:textId="77777777" w:rsidR="000B7E7B" w:rsidRPr="00CC5FE3" w:rsidRDefault="000B7E7B" w:rsidP="000B7E7B">
      <w:pPr>
        <w:rPr>
          <w:bCs/>
          <w:lang w:val="es-ES"/>
        </w:rPr>
      </w:pPr>
      <w:r w:rsidRPr="00CC5FE3">
        <w:rPr>
          <w:lang w:val="es-ES"/>
        </w:rPr>
        <w:t xml:space="preserve">El Informe de esta reunión se recoge en el Documento </w:t>
      </w:r>
      <w:hyperlink r:id="rId36" w:history="1">
        <w:r w:rsidRPr="00CC5FE3">
          <w:rPr>
            <w:rStyle w:val="Hyperlink"/>
            <w:lang w:val="es-ES"/>
          </w:rPr>
          <w:t>2/REP/9</w:t>
        </w:r>
      </w:hyperlink>
      <w:r w:rsidRPr="00CC5FE3">
        <w:rPr>
          <w:lang w:val="es-ES"/>
        </w:rPr>
        <w:t>.</w:t>
      </w:r>
    </w:p>
    <w:p w14:paraId="2F8966F6" w14:textId="77777777" w:rsidR="003D7B26" w:rsidRDefault="003D7B26">
      <w:pPr>
        <w:tabs>
          <w:tab w:val="clear" w:pos="1134"/>
          <w:tab w:val="clear" w:pos="1871"/>
          <w:tab w:val="clear" w:pos="2268"/>
        </w:tabs>
        <w:overflowPunct/>
        <w:autoSpaceDE/>
        <w:autoSpaceDN/>
        <w:adjustRightInd/>
        <w:spacing w:before="0"/>
        <w:textAlignment w:val="auto"/>
        <w:rPr>
          <w:lang w:val="es-ES"/>
        </w:rPr>
      </w:pPr>
      <w:r>
        <w:rPr>
          <w:lang w:val="es-ES"/>
        </w:rPr>
        <w:br w:type="page"/>
      </w:r>
    </w:p>
    <w:p w14:paraId="5147E5E9" w14:textId="23D4A34C" w:rsidR="000B7E7B" w:rsidRPr="00CC5FE3" w:rsidRDefault="000B7E7B" w:rsidP="000B7E7B">
      <w:pPr>
        <w:rPr>
          <w:lang w:val="es-ES"/>
        </w:rPr>
      </w:pPr>
      <w:r w:rsidRPr="00CC5FE3">
        <w:rPr>
          <w:lang w:val="es-ES"/>
        </w:rPr>
        <w:lastRenderedPageBreak/>
        <w:t>La reunión se celebró en Ginebra del 11 al 15 de noviembre de 2024 y en ella se adoptaron las siguiente medidas y decisiones:</w:t>
      </w:r>
    </w:p>
    <w:p w14:paraId="4E4C0F1C" w14:textId="77777777" w:rsidR="000B7E7B" w:rsidRPr="00CC5FE3" w:rsidRDefault="000B7E7B" w:rsidP="000B7E7B">
      <w:pPr>
        <w:pStyle w:val="enumlev1"/>
        <w:rPr>
          <w:bCs/>
          <w:lang w:val="es-ES"/>
        </w:rPr>
      </w:pPr>
      <w:r w:rsidRPr="00CC5FE3">
        <w:rPr>
          <w:lang w:val="es-ES"/>
        </w:rPr>
        <w:t>–</w:t>
      </w:r>
      <w:r w:rsidRPr="00CC5FE3">
        <w:rPr>
          <w:lang w:val="es-ES"/>
        </w:rPr>
        <w:tab/>
        <w:t>Nombrar un Vicepresidente (región de la CEI), un Correlator y seis Vicerrelatores para reforzar los equipos de dirección, después de que los titulares anteriores renunciaran a su cargo por motivos profesionales.</w:t>
      </w:r>
    </w:p>
    <w:p w14:paraId="56EC7B7D" w14:textId="77777777" w:rsidR="000B7E7B" w:rsidRPr="00CC5FE3" w:rsidRDefault="000B7E7B" w:rsidP="000B7E7B">
      <w:pPr>
        <w:pStyle w:val="enumlev1"/>
        <w:rPr>
          <w:bCs/>
          <w:lang w:val="es-ES"/>
        </w:rPr>
      </w:pPr>
      <w:r w:rsidRPr="00CC5FE3">
        <w:rPr>
          <w:lang w:val="es-ES"/>
        </w:rPr>
        <w:t>–</w:t>
      </w:r>
      <w:r w:rsidRPr="00CC5FE3">
        <w:rPr>
          <w:lang w:val="es-ES"/>
        </w:rPr>
        <w:tab/>
        <w:t>Aprobar un producto intermedio de la Cuestión 3/2 (Ciberseguridad 5G). Este producto intermedio tiene por objeto dar a conocer reflexiones y buenas prácticas sobre la seguridad de las redes 5G para ayudar a los Miembros de la UIT a aplicar medidas de ciberseguridad en sus contextos nacionales.</w:t>
      </w:r>
    </w:p>
    <w:p w14:paraId="494A4DD7" w14:textId="77777777" w:rsidR="000B7E7B" w:rsidRPr="00CC5FE3" w:rsidRDefault="000B7E7B" w:rsidP="000B7E7B">
      <w:pPr>
        <w:pStyle w:val="enumlev1"/>
        <w:rPr>
          <w:bCs/>
          <w:lang w:val="es-ES"/>
        </w:rPr>
      </w:pPr>
      <w:r w:rsidRPr="00CC5FE3">
        <w:rPr>
          <w:lang w:val="es-ES"/>
        </w:rPr>
        <w:t>–</w:t>
      </w:r>
      <w:r w:rsidRPr="00CC5FE3">
        <w:rPr>
          <w:lang w:val="es-ES"/>
        </w:rPr>
        <w:tab/>
        <w:t>Examinar en profundidad los proyectos de informes de resultados de los siete Grupos de Relator, formulando comentarios para ayudar a finalizarlos y presentarlos con miras a su aprobación.</w:t>
      </w:r>
    </w:p>
    <w:p w14:paraId="42990C5E" w14:textId="535ED539" w:rsidR="000B7E7B" w:rsidRPr="00CC5FE3" w:rsidRDefault="000B7E7B" w:rsidP="000B7E7B">
      <w:pPr>
        <w:pStyle w:val="enumlev1"/>
        <w:rPr>
          <w:bCs/>
          <w:lang w:val="es-ES"/>
        </w:rPr>
      </w:pPr>
      <w:r w:rsidRPr="00CC5FE3">
        <w:rPr>
          <w:lang w:val="es-ES"/>
        </w:rPr>
        <w:t>–</w:t>
      </w:r>
      <w:r w:rsidRPr="00CC5FE3">
        <w:rPr>
          <w:lang w:val="es-ES"/>
        </w:rPr>
        <w:tab/>
        <w:t>Continuar estudiando varios temas de colaboración futura, en particular con el Grupo Asesor de la Industria sobre Cuestiones de Desarrollo y de Directores de Reglamentación del Sector Privado (IAGDI-CRO), con el que la CE</w:t>
      </w:r>
      <w:r w:rsidR="00AA32DA" w:rsidRPr="00CC5FE3">
        <w:rPr>
          <w:lang w:val="es-ES"/>
        </w:rPr>
        <w:t> </w:t>
      </w:r>
      <w:r w:rsidRPr="00CC5FE3">
        <w:rPr>
          <w:lang w:val="es-ES"/>
        </w:rPr>
        <w:t>2 acordó colaborar para organizar una charla técnica sobre el tema de la transformación digital.</w:t>
      </w:r>
    </w:p>
    <w:p w14:paraId="047C5522" w14:textId="010B2DD5" w:rsidR="000B7E7B" w:rsidRPr="00CC5FE3" w:rsidRDefault="000B7E7B" w:rsidP="000B7E7B">
      <w:pPr>
        <w:pStyle w:val="enumlev1"/>
        <w:rPr>
          <w:bCs/>
          <w:lang w:val="es-ES"/>
        </w:rPr>
      </w:pPr>
      <w:r w:rsidRPr="00CC5FE3">
        <w:rPr>
          <w:lang w:val="es-ES"/>
        </w:rPr>
        <w:t>–</w:t>
      </w:r>
      <w:r w:rsidRPr="00CC5FE3">
        <w:rPr>
          <w:lang w:val="es-ES"/>
        </w:rPr>
        <w:tab/>
        <w:t>Revisar las preguntas propuestas para la encuesta de fin de ciclo (conjunta con la CE</w:t>
      </w:r>
      <w:r w:rsidR="00AA32DA" w:rsidRPr="00CC5FE3">
        <w:rPr>
          <w:lang w:val="es-ES"/>
        </w:rPr>
        <w:t> </w:t>
      </w:r>
      <w:r w:rsidRPr="00CC5FE3">
        <w:rPr>
          <w:lang w:val="es-ES"/>
        </w:rPr>
        <w:t>1), que tradicionalmente se realiza de conformidad con la Resolución 1 de la CMDT.</w:t>
      </w:r>
    </w:p>
    <w:p w14:paraId="30DAAACE" w14:textId="77777777" w:rsidR="000B7E7B" w:rsidRPr="00CC5FE3" w:rsidRDefault="000B7E7B" w:rsidP="000B7E7B">
      <w:pPr>
        <w:rPr>
          <w:bCs/>
          <w:lang w:val="es-ES"/>
        </w:rPr>
      </w:pPr>
      <w:r w:rsidRPr="00CC5FE3">
        <w:rPr>
          <w:lang w:val="es-ES"/>
        </w:rPr>
        <w:t xml:space="preserve">El Informe de esta reunión se recoge en el Documento </w:t>
      </w:r>
      <w:hyperlink r:id="rId37" w:history="1">
        <w:r w:rsidRPr="00CC5FE3">
          <w:rPr>
            <w:rStyle w:val="Hyperlink"/>
            <w:bCs/>
            <w:lang w:val="es-ES"/>
          </w:rPr>
          <w:t>2/REP/17</w:t>
        </w:r>
      </w:hyperlink>
      <w:r w:rsidRPr="00CC5FE3">
        <w:rPr>
          <w:lang w:val="es-ES"/>
        </w:rPr>
        <w:t>.</w:t>
      </w:r>
    </w:p>
    <w:p w14:paraId="4FD7762E" w14:textId="77777777" w:rsidR="000B7E7B" w:rsidRPr="00CC5FE3" w:rsidRDefault="000B7E7B" w:rsidP="00AA32DA">
      <w:pPr>
        <w:pStyle w:val="Headingb"/>
        <w:rPr>
          <w:rFonts w:cstheme="minorHAnsi"/>
          <w:lang w:val="es-ES"/>
        </w:rPr>
      </w:pPr>
      <w:r w:rsidRPr="00CC5FE3">
        <w:rPr>
          <w:lang w:val="es-ES"/>
        </w:rPr>
        <w:t xml:space="preserve">Cuarta reunión anual de la CE 2 </w:t>
      </w:r>
    </w:p>
    <w:p w14:paraId="17DD9848" w14:textId="77777777" w:rsidR="000B7E7B" w:rsidRPr="00CC5FE3" w:rsidRDefault="000B7E7B" w:rsidP="00813D95">
      <w:pPr>
        <w:rPr>
          <w:lang w:val="es-ES"/>
        </w:rPr>
      </w:pPr>
      <w:r w:rsidRPr="00CC5FE3">
        <w:rPr>
          <w:lang w:val="es-ES"/>
        </w:rPr>
        <w:t>Esta reunión fue celebrada en Ginebra del 5 al 9 de mayo de 2025 y en ella se adoptaron las siguientes medidas y decisiones.</w:t>
      </w:r>
    </w:p>
    <w:p w14:paraId="2B27C645" w14:textId="48740524" w:rsidR="000B7E7B" w:rsidRPr="00CC5FE3" w:rsidRDefault="00813D95" w:rsidP="00813D95">
      <w:pPr>
        <w:pStyle w:val="enumlev1"/>
        <w:rPr>
          <w:lang w:val="es-ES"/>
        </w:rPr>
      </w:pPr>
      <w:r w:rsidRPr="00CC5FE3">
        <w:rPr>
          <w:lang w:val="es-ES"/>
        </w:rPr>
        <w:t>–</w:t>
      </w:r>
      <w:r w:rsidRPr="00CC5FE3">
        <w:rPr>
          <w:lang w:val="es-ES"/>
        </w:rPr>
        <w:tab/>
      </w:r>
      <w:r w:rsidR="000B7E7B" w:rsidRPr="00CC5FE3">
        <w:rPr>
          <w:lang w:val="es-ES"/>
        </w:rPr>
        <w:t>Aprobar los informes de resultados de las siete Cuestiones de estudio de la CE</w:t>
      </w:r>
      <w:r w:rsidR="00AA32DA" w:rsidRPr="00CC5FE3">
        <w:rPr>
          <w:lang w:val="es-ES"/>
        </w:rPr>
        <w:t> </w:t>
      </w:r>
      <w:r w:rsidR="000B7E7B" w:rsidRPr="00CC5FE3">
        <w:rPr>
          <w:lang w:val="es-ES"/>
        </w:rPr>
        <w:t>2 para el periodo de estudios</w:t>
      </w:r>
      <w:r w:rsidR="00AA32DA" w:rsidRPr="00CC5FE3">
        <w:rPr>
          <w:lang w:val="es-ES"/>
        </w:rPr>
        <w:t>.</w:t>
      </w:r>
    </w:p>
    <w:p w14:paraId="2FEDFCD0" w14:textId="015EF20B" w:rsidR="000B7E7B" w:rsidRPr="00CC5FE3" w:rsidRDefault="00813D95" w:rsidP="00813D95">
      <w:pPr>
        <w:pStyle w:val="enumlev1"/>
        <w:rPr>
          <w:lang w:val="es-ES"/>
        </w:rPr>
      </w:pPr>
      <w:r w:rsidRPr="00CC5FE3">
        <w:rPr>
          <w:lang w:val="es-ES"/>
        </w:rPr>
        <w:t>–</w:t>
      </w:r>
      <w:r w:rsidRPr="00CC5FE3">
        <w:rPr>
          <w:lang w:val="es-ES"/>
        </w:rPr>
        <w:tab/>
      </w:r>
      <w:r w:rsidR="000B7E7B" w:rsidRPr="00CC5FE3">
        <w:rPr>
          <w:lang w:val="es-ES"/>
        </w:rPr>
        <w:t>Nombrar a un nuevo Vicerrelator para la Cuestión 7/2, tras la renuncia del anterior titular del cargo debido a un cambio de carrera</w:t>
      </w:r>
      <w:r w:rsidR="00AA32DA" w:rsidRPr="00CC5FE3">
        <w:rPr>
          <w:lang w:val="es-ES"/>
        </w:rPr>
        <w:t>.</w:t>
      </w:r>
    </w:p>
    <w:p w14:paraId="580896CC" w14:textId="723ECE3D" w:rsidR="000B7E7B" w:rsidRPr="00CC5FE3" w:rsidRDefault="00813D95" w:rsidP="00813D95">
      <w:pPr>
        <w:pStyle w:val="enumlev1"/>
        <w:rPr>
          <w:lang w:val="es-ES"/>
        </w:rPr>
      </w:pPr>
      <w:r w:rsidRPr="00CC5FE3">
        <w:rPr>
          <w:lang w:val="es-ES"/>
        </w:rPr>
        <w:t>–</w:t>
      </w:r>
      <w:r w:rsidRPr="00CC5FE3">
        <w:rPr>
          <w:lang w:val="es-ES"/>
        </w:rPr>
        <w:tab/>
      </w:r>
      <w:r w:rsidR="000B7E7B" w:rsidRPr="00CC5FE3">
        <w:rPr>
          <w:lang w:val="es-ES"/>
        </w:rPr>
        <w:t xml:space="preserve">Consolidar las </w:t>
      </w:r>
      <w:r w:rsidR="00CC5FE3" w:rsidRPr="00CC5FE3">
        <w:rPr>
          <w:lang w:val="es-ES"/>
        </w:rPr>
        <w:t>opiniones</w:t>
      </w:r>
      <w:r w:rsidR="000B7E7B" w:rsidRPr="00CC5FE3">
        <w:rPr>
          <w:lang w:val="es-ES"/>
        </w:rPr>
        <w:t xml:space="preserve"> sobre nuevas ideas relacionadas con los temas de las actuales Cuestiones de estudio</w:t>
      </w:r>
      <w:r w:rsidR="00AA32DA" w:rsidRPr="00CC5FE3">
        <w:rPr>
          <w:lang w:val="es-ES"/>
        </w:rPr>
        <w:t>.</w:t>
      </w:r>
    </w:p>
    <w:p w14:paraId="5C8DE4C7" w14:textId="6D4DC8C9" w:rsidR="000B7E7B" w:rsidRPr="00CC5FE3" w:rsidRDefault="00813D95" w:rsidP="00813D95">
      <w:pPr>
        <w:pStyle w:val="enumlev1"/>
        <w:rPr>
          <w:lang w:val="es-ES"/>
        </w:rPr>
      </w:pPr>
      <w:r w:rsidRPr="00CC5FE3">
        <w:rPr>
          <w:lang w:val="es-ES"/>
        </w:rPr>
        <w:t>–</w:t>
      </w:r>
      <w:r w:rsidRPr="00CC5FE3">
        <w:rPr>
          <w:lang w:val="es-ES"/>
        </w:rPr>
        <w:tab/>
      </w:r>
      <w:r w:rsidR="000B7E7B" w:rsidRPr="00CC5FE3">
        <w:rPr>
          <w:lang w:val="es-ES"/>
        </w:rPr>
        <w:t>Examinar los dos proyectos de directrices para la composición de los Grupos de Relator y sobre la mejor utilización de los productos de las Comisiones de Estudio del UIT-D (véase la sección</w:t>
      </w:r>
      <w:r w:rsidR="00AA32DA" w:rsidRPr="00CC5FE3">
        <w:rPr>
          <w:lang w:val="es-ES"/>
        </w:rPr>
        <w:t> </w:t>
      </w:r>
      <w:r w:rsidR="000B7E7B" w:rsidRPr="00CC5FE3">
        <w:rPr>
          <w:lang w:val="es-ES"/>
        </w:rPr>
        <w:t>4.1 para más información), en colaboración con la Comisión de Estudio 1 del UIT</w:t>
      </w:r>
      <w:r w:rsidR="00AA32DA" w:rsidRPr="00CC5FE3">
        <w:rPr>
          <w:lang w:val="es-ES"/>
        </w:rPr>
        <w:noBreakHyphen/>
      </w:r>
      <w:r w:rsidR="000B7E7B" w:rsidRPr="00CC5FE3">
        <w:rPr>
          <w:lang w:val="es-ES"/>
        </w:rPr>
        <w:t>D.</w:t>
      </w:r>
    </w:p>
    <w:p w14:paraId="4A8E89DF" w14:textId="3CEA3BC0" w:rsidR="000B7E7B" w:rsidRPr="00CC5FE3" w:rsidRDefault="00813D95" w:rsidP="00813D95">
      <w:pPr>
        <w:pStyle w:val="enumlev1"/>
        <w:rPr>
          <w:lang w:val="es-ES"/>
        </w:rPr>
      </w:pPr>
      <w:r w:rsidRPr="00CC5FE3">
        <w:rPr>
          <w:lang w:val="es-ES"/>
        </w:rPr>
        <w:t>–</w:t>
      </w:r>
      <w:r w:rsidRPr="00CC5FE3">
        <w:rPr>
          <w:lang w:val="es-ES"/>
        </w:rPr>
        <w:tab/>
      </w:r>
      <w:r w:rsidR="000B7E7B" w:rsidRPr="00CC5FE3">
        <w:rPr>
          <w:lang w:val="es-ES"/>
        </w:rPr>
        <w:t>Examinar un documento recopilatorio de estudios de caso y prácticas reportados, representados individualmente o reflejados en los informes finales. Si bien este documento no se acordó como informe de resultados, dados los procedimientos actuales, puede servir de base para futuros desarrollos a fin de obtener resultados a nivel de CE en el futuro, en coordinación con los Grupos de Relator</w:t>
      </w:r>
      <w:r w:rsidR="00AA32DA" w:rsidRPr="00CC5FE3">
        <w:rPr>
          <w:lang w:val="es-ES"/>
        </w:rPr>
        <w:t>.</w:t>
      </w:r>
    </w:p>
    <w:p w14:paraId="594C1936" w14:textId="2CB5B38A" w:rsidR="000B7E7B" w:rsidRPr="00CC5FE3" w:rsidRDefault="00813D95" w:rsidP="00813D95">
      <w:pPr>
        <w:pStyle w:val="enumlev1"/>
        <w:rPr>
          <w:lang w:val="es-ES"/>
        </w:rPr>
      </w:pPr>
      <w:r w:rsidRPr="00CC5FE3">
        <w:rPr>
          <w:lang w:val="es-ES"/>
        </w:rPr>
        <w:t>–</w:t>
      </w:r>
      <w:r w:rsidRPr="00CC5FE3">
        <w:rPr>
          <w:lang w:val="es-ES"/>
        </w:rPr>
        <w:tab/>
      </w:r>
      <w:r w:rsidR="000B7E7B" w:rsidRPr="00CC5FE3">
        <w:rPr>
          <w:lang w:val="es-ES"/>
        </w:rPr>
        <w:t>Examinar los resultados de la encuesta de fin de ciclo (véase la sección</w:t>
      </w:r>
      <w:r w:rsidR="00AA32DA" w:rsidRPr="00CC5FE3">
        <w:rPr>
          <w:lang w:val="es-ES"/>
        </w:rPr>
        <w:t> </w:t>
      </w:r>
      <w:r w:rsidR="000B7E7B" w:rsidRPr="00CC5FE3">
        <w:rPr>
          <w:lang w:val="es-ES"/>
        </w:rPr>
        <w:t>6 para más información)</w:t>
      </w:r>
      <w:r w:rsidR="00AA32DA" w:rsidRPr="00CC5FE3">
        <w:rPr>
          <w:lang w:val="es-ES"/>
        </w:rPr>
        <w:t>.</w:t>
      </w:r>
    </w:p>
    <w:p w14:paraId="5770075B" w14:textId="4CB72C02" w:rsidR="000B7E7B" w:rsidRPr="00CC5FE3" w:rsidRDefault="00813D95" w:rsidP="00813D95">
      <w:pPr>
        <w:pStyle w:val="enumlev1"/>
        <w:rPr>
          <w:lang w:val="es-ES"/>
        </w:rPr>
      </w:pPr>
      <w:r w:rsidRPr="00CC5FE3">
        <w:rPr>
          <w:lang w:val="es-ES"/>
        </w:rPr>
        <w:t>–</w:t>
      </w:r>
      <w:r w:rsidRPr="00CC5FE3">
        <w:rPr>
          <w:lang w:val="es-ES"/>
        </w:rPr>
        <w:tab/>
      </w:r>
      <w:r w:rsidR="000B7E7B" w:rsidRPr="00CC5FE3">
        <w:rPr>
          <w:lang w:val="es-ES"/>
        </w:rPr>
        <w:t>Examinar los ámbitos de interés para las actividades del UIT-D, incluida la aplicación de la Resolución 9 de la CMDT, las actividades sobre estadísticas, la colaboración con otros Sectores de la UIT y el Comité de Coordinación de la Terminología de la UIT (CCT UIT)</w:t>
      </w:r>
      <w:r w:rsidR="00AA32DA" w:rsidRPr="00CC5FE3">
        <w:rPr>
          <w:lang w:val="es-ES"/>
        </w:rPr>
        <w:t>.</w:t>
      </w:r>
    </w:p>
    <w:p w14:paraId="7FD7069F" w14:textId="3FE0D88C" w:rsidR="000B7E7B" w:rsidRPr="00CC5FE3" w:rsidRDefault="00813D95" w:rsidP="00813D95">
      <w:pPr>
        <w:pStyle w:val="enumlev1"/>
        <w:rPr>
          <w:lang w:val="es-ES"/>
        </w:rPr>
      </w:pPr>
      <w:r w:rsidRPr="00CC5FE3">
        <w:rPr>
          <w:lang w:val="es-ES"/>
        </w:rPr>
        <w:lastRenderedPageBreak/>
        <w:t>–</w:t>
      </w:r>
      <w:r w:rsidRPr="00CC5FE3">
        <w:rPr>
          <w:lang w:val="es-ES"/>
        </w:rPr>
        <w:tab/>
      </w:r>
      <w:r w:rsidR="000B7E7B" w:rsidRPr="00CC5FE3">
        <w:rPr>
          <w:lang w:val="es-ES"/>
        </w:rPr>
        <w:t>Examinar los resultados de la charla técnica sobre transformación digital organizada por IAGDI</w:t>
      </w:r>
      <w:r w:rsidR="00AA32DA" w:rsidRPr="00CC5FE3">
        <w:rPr>
          <w:lang w:val="es-ES"/>
        </w:rPr>
        <w:noBreakHyphen/>
      </w:r>
      <w:r w:rsidR="000B7E7B" w:rsidRPr="00CC5FE3">
        <w:rPr>
          <w:lang w:val="es-ES"/>
        </w:rPr>
        <w:t>CRO en colaboración con la CE 2. La charla técnica abarcó varios temas que pueden servir como aportaciones útiles para configurar futuras Cuestiones de estudio.</w:t>
      </w:r>
    </w:p>
    <w:p w14:paraId="7725F66C" w14:textId="77777777" w:rsidR="000B7E7B" w:rsidRPr="00CC5FE3" w:rsidRDefault="000B7E7B" w:rsidP="00813D95">
      <w:pPr>
        <w:rPr>
          <w:rFonts w:eastAsia="Malgun Gothic"/>
          <w:lang w:val="es-ES" w:eastAsia="ko-KR"/>
        </w:rPr>
      </w:pPr>
      <w:r w:rsidRPr="00CC5FE3">
        <w:rPr>
          <w:lang w:val="es-ES"/>
        </w:rPr>
        <w:t xml:space="preserve">El informe de esta reunión se recoge en el Documento </w:t>
      </w:r>
      <w:hyperlink r:id="rId38" w:history="1">
        <w:r w:rsidRPr="00CC5FE3">
          <w:rPr>
            <w:rStyle w:val="Hyperlink"/>
            <w:bCs/>
            <w:lang w:val="es-ES"/>
          </w:rPr>
          <w:t>2/REP/</w:t>
        </w:r>
        <w:r w:rsidRPr="00CC5FE3">
          <w:rPr>
            <w:rStyle w:val="Hyperlink"/>
            <w:rFonts w:eastAsia="Malgun Gothic"/>
            <w:bCs/>
            <w:lang w:val="es-ES" w:eastAsia="ko-KR"/>
          </w:rPr>
          <w:t>25</w:t>
        </w:r>
      </w:hyperlink>
      <w:r w:rsidRPr="00CC5FE3">
        <w:rPr>
          <w:lang w:val="es-ES"/>
        </w:rPr>
        <w:t>.</w:t>
      </w:r>
    </w:p>
    <w:p w14:paraId="066B8666" w14:textId="77777777" w:rsidR="000B7E7B" w:rsidRPr="00CC5FE3" w:rsidRDefault="000B7E7B" w:rsidP="00AA32DA">
      <w:pPr>
        <w:pStyle w:val="Headingb"/>
        <w:rPr>
          <w:lang w:val="es-ES"/>
        </w:rPr>
      </w:pPr>
      <w:r w:rsidRPr="00CC5FE3">
        <w:rPr>
          <w:lang w:val="es-ES"/>
        </w:rPr>
        <w:t>Resumen de los principales resultados logrados</w:t>
      </w:r>
    </w:p>
    <w:p w14:paraId="660F9F97" w14:textId="77777777" w:rsidR="000B7E7B" w:rsidRPr="00CC5FE3" w:rsidRDefault="000B7E7B" w:rsidP="00AA32DA">
      <w:pPr>
        <w:pStyle w:val="Headingb"/>
        <w:rPr>
          <w:lang w:val="es-ES"/>
        </w:rPr>
      </w:pPr>
      <w:r w:rsidRPr="00CC5FE3">
        <w:rPr>
          <w:lang w:val="es-ES"/>
        </w:rPr>
        <w:t xml:space="preserve">Cuestión 1/2 – </w:t>
      </w:r>
      <w:r w:rsidRPr="00CC5FE3">
        <w:rPr>
          <w:lang w:val="es-ES" w:eastAsia="zh-CN"/>
        </w:rPr>
        <w:t>Ciudades y comunidades inteligentes y sostenibles</w:t>
      </w:r>
    </w:p>
    <w:p w14:paraId="006A47F7" w14:textId="77777777" w:rsidR="000B7E7B" w:rsidRPr="00CC5FE3" w:rsidRDefault="000B7E7B" w:rsidP="000B7E7B">
      <w:pPr>
        <w:rPr>
          <w:lang w:val="es-ES"/>
        </w:rPr>
      </w:pPr>
      <w:r w:rsidRPr="00CC5FE3">
        <w:rPr>
          <w:lang w:val="es-ES"/>
        </w:rPr>
        <w:t xml:space="preserve">El Informe de resultados aprobado sobre la Cuestión 1/2 se recoge en el Documento </w:t>
      </w:r>
      <w:hyperlink r:id="rId39" w:history="1">
        <w:r w:rsidRPr="00CC5FE3">
          <w:rPr>
            <w:rStyle w:val="Hyperlink"/>
            <w:lang w:val="es-ES"/>
          </w:rPr>
          <w:t>2/358</w:t>
        </w:r>
      </w:hyperlink>
      <w:r w:rsidRPr="00CC5FE3">
        <w:rPr>
          <w:lang w:val="es-ES"/>
        </w:rPr>
        <w:t>.</w:t>
      </w:r>
    </w:p>
    <w:p w14:paraId="0857759F" w14:textId="77777777" w:rsidR="000B7E7B" w:rsidRPr="00CC5FE3" w:rsidRDefault="000B7E7B" w:rsidP="000B7E7B">
      <w:pPr>
        <w:rPr>
          <w:lang w:val="es-ES"/>
        </w:rPr>
      </w:pPr>
      <w:r w:rsidRPr="00CC5FE3">
        <w:rPr>
          <w:lang w:val="es-ES"/>
        </w:rPr>
        <w:t>El Grupo de Relator sobre la Cuestión 1/2 organizó también los siguientes talleres:</w:t>
      </w:r>
    </w:p>
    <w:p w14:paraId="1E4812A8" w14:textId="6E3CCDAE" w:rsidR="000B7E7B" w:rsidRPr="00CC5FE3" w:rsidRDefault="000B7E7B" w:rsidP="00AA32DA">
      <w:pPr>
        <w:pStyle w:val="enumlev1"/>
        <w:rPr>
          <w:lang w:val="es-ES"/>
        </w:rPr>
      </w:pPr>
      <w:r w:rsidRPr="00CC5FE3">
        <w:rPr>
          <w:lang w:val="es-ES"/>
        </w:rPr>
        <w:t>–</w:t>
      </w:r>
      <w:r w:rsidRPr="00CC5FE3">
        <w:rPr>
          <w:lang w:val="es-ES"/>
        </w:rPr>
        <w:tab/>
        <w:t>taller sobre infraestructuras digitales públicas y servicios compartidos para crear gobiernos, ciudades y comunidades inteligentes y sostenibles, celebrado el 25 de mayo de</w:t>
      </w:r>
      <w:r w:rsidR="00AA32DA" w:rsidRPr="00CC5FE3">
        <w:rPr>
          <w:lang w:val="es-ES"/>
        </w:rPr>
        <w:t> </w:t>
      </w:r>
      <w:r w:rsidRPr="00CC5FE3">
        <w:rPr>
          <w:lang w:val="es-ES"/>
        </w:rPr>
        <w:t>2023 (</w:t>
      </w:r>
      <w:hyperlink r:id="rId40" w:history="1">
        <w:r w:rsidRPr="00CC5FE3">
          <w:rPr>
            <w:rStyle w:val="Hyperlink"/>
            <w:lang w:val="es-ES"/>
          </w:rPr>
          <w:t>programa</w:t>
        </w:r>
      </w:hyperlink>
      <w:r w:rsidRPr="00CC5FE3">
        <w:rPr>
          <w:lang w:val="es-ES"/>
        </w:rPr>
        <w:t xml:space="preserve">, </w:t>
      </w:r>
      <w:hyperlink r:id="rId41" w:history="1">
        <w:r w:rsidRPr="00CC5FE3">
          <w:rPr>
            <w:rStyle w:val="Hyperlink"/>
            <w:lang w:val="es-ES"/>
          </w:rPr>
          <w:t>informe</w:t>
        </w:r>
      </w:hyperlink>
      <w:r w:rsidRPr="00CC5FE3">
        <w:rPr>
          <w:lang w:val="es-ES"/>
        </w:rPr>
        <w:t>, Anexo</w:t>
      </w:r>
      <w:r w:rsidR="00AA32DA" w:rsidRPr="00CC5FE3">
        <w:rPr>
          <w:lang w:val="es-ES"/>
        </w:rPr>
        <w:t> </w:t>
      </w:r>
      <w:r w:rsidRPr="00CC5FE3">
        <w:rPr>
          <w:lang w:val="es-ES"/>
        </w:rPr>
        <w:t>4);</w:t>
      </w:r>
    </w:p>
    <w:p w14:paraId="4E00775B" w14:textId="24F52132" w:rsidR="000B7E7B" w:rsidRPr="00CC5FE3" w:rsidRDefault="000B7E7B" w:rsidP="00AA32DA">
      <w:pPr>
        <w:pStyle w:val="enumlev1"/>
        <w:rPr>
          <w:lang w:val="es-ES"/>
        </w:rPr>
      </w:pPr>
      <w:r w:rsidRPr="00CC5FE3">
        <w:rPr>
          <w:lang w:val="es-ES"/>
        </w:rPr>
        <w:t>–</w:t>
      </w:r>
      <w:r w:rsidRPr="00CC5FE3">
        <w:rPr>
          <w:lang w:val="es-ES"/>
        </w:rPr>
        <w:tab/>
        <w:t>taller sobre políticas y modelos empresariales para ciudades/comunidades inteligentes digitales encaminados a garantizar la participación de las partes interesadas y lograr un desarrollo sostenible, celebrado el 30 de abril de 2024 (</w:t>
      </w:r>
      <w:hyperlink r:id="rId42" w:history="1">
        <w:r w:rsidRPr="00CC5FE3">
          <w:rPr>
            <w:rStyle w:val="Hyperlink"/>
            <w:lang w:val="es-ES"/>
          </w:rPr>
          <w:t>programa</w:t>
        </w:r>
      </w:hyperlink>
      <w:r w:rsidRPr="00CC5FE3">
        <w:rPr>
          <w:lang w:val="es-ES"/>
        </w:rPr>
        <w:t xml:space="preserve">, </w:t>
      </w:r>
      <w:hyperlink r:id="rId43" w:history="1">
        <w:r w:rsidRPr="00CC5FE3">
          <w:rPr>
            <w:rStyle w:val="Hyperlink"/>
            <w:lang w:val="es-ES"/>
          </w:rPr>
          <w:t>informe</w:t>
        </w:r>
      </w:hyperlink>
      <w:r w:rsidRPr="00CC5FE3">
        <w:rPr>
          <w:lang w:val="es-ES"/>
        </w:rPr>
        <w:t>, Anexo</w:t>
      </w:r>
      <w:r w:rsidR="00AA32DA" w:rsidRPr="00CC5FE3">
        <w:rPr>
          <w:lang w:val="es-ES"/>
        </w:rPr>
        <w:t> </w:t>
      </w:r>
      <w:r w:rsidRPr="00CC5FE3">
        <w:rPr>
          <w:lang w:val="es-ES"/>
        </w:rPr>
        <w:t>3).</w:t>
      </w:r>
    </w:p>
    <w:p w14:paraId="02EFC8B9" w14:textId="77777777" w:rsidR="000B7E7B" w:rsidRPr="00CC5FE3" w:rsidRDefault="000B7E7B" w:rsidP="000B7E7B">
      <w:pPr>
        <w:rPr>
          <w:rFonts w:eastAsia="Malgun Gothic" w:cstheme="minorHAnsi"/>
          <w:szCs w:val="24"/>
          <w:lang w:val="es-ES" w:eastAsia="ko-KR"/>
        </w:rPr>
      </w:pPr>
      <w:r w:rsidRPr="00CC5FE3">
        <w:rPr>
          <w:rFonts w:cstheme="minorHAnsi"/>
          <w:szCs w:val="24"/>
          <w:lang w:val="es-ES"/>
        </w:rPr>
        <w:t>Se propusieron temas para el próximo periodo de estudios, a saber:</w:t>
      </w:r>
    </w:p>
    <w:p w14:paraId="43F41728" w14:textId="119D0CD3" w:rsidR="000B7E7B" w:rsidRPr="00CC5FE3" w:rsidRDefault="00AA32DA" w:rsidP="00AA32DA">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el desarrollo de mecanismos y herramientas para evaluar las ciudades y comunidades inteligentes;</w:t>
      </w:r>
    </w:p>
    <w:p w14:paraId="06292AFC" w14:textId="7CAD4D15" w:rsidR="000B7E7B" w:rsidRPr="00CC5FE3" w:rsidRDefault="00AA32DA" w:rsidP="00AA32DA">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 xml:space="preserve">modelos </w:t>
      </w:r>
      <w:r w:rsidR="00CC5FE3" w:rsidRPr="00CC5FE3">
        <w:rPr>
          <w:rFonts w:eastAsia="Malgun Gothic"/>
          <w:lang w:val="es-ES" w:eastAsia="ko-KR"/>
        </w:rPr>
        <w:t>económicos</w:t>
      </w:r>
      <w:r w:rsidR="000B7E7B" w:rsidRPr="00CC5FE3">
        <w:rPr>
          <w:rFonts w:eastAsia="Malgun Gothic"/>
          <w:lang w:val="es-ES" w:eastAsia="ko-KR"/>
        </w:rPr>
        <w:t xml:space="preserve"> para el desarrollo equilibrado de ciudades y comunidades inteligentes; y</w:t>
      </w:r>
    </w:p>
    <w:p w14:paraId="7462BAAB" w14:textId="72CF6F03" w:rsidR="000B7E7B" w:rsidRPr="00CC5FE3" w:rsidRDefault="00AA32DA" w:rsidP="00AA32DA">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 xml:space="preserve">las mejores </w:t>
      </w:r>
      <w:r w:rsidRPr="00CC5FE3">
        <w:rPr>
          <w:rFonts w:eastAsia="Malgun Gothic"/>
          <w:lang w:val="es-ES" w:eastAsia="ko-KR"/>
        </w:rPr>
        <w:t>prácticas</w:t>
      </w:r>
      <w:r w:rsidR="000B7E7B" w:rsidRPr="00CC5FE3">
        <w:rPr>
          <w:rFonts w:eastAsia="Malgun Gothic"/>
          <w:lang w:val="es-ES" w:eastAsia="ko-KR"/>
        </w:rPr>
        <w:t xml:space="preserve"> y directrices para un marco jurídico adecuado para la construcción de ciudades inteligentes y la elección/prestación de servicios y aplicaciones inteligentes.</w:t>
      </w:r>
    </w:p>
    <w:p w14:paraId="0AA02A03" w14:textId="3EAEF945" w:rsidR="000B7E7B" w:rsidRPr="00CC5FE3" w:rsidRDefault="000B7E7B" w:rsidP="000B7E7B">
      <w:pPr>
        <w:rPr>
          <w:rFonts w:eastAsia="Malgun Gothic"/>
          <w:lang w:val="es-ES" w:eastAsia="ko-KR"/>
        </w:rPr>
      </w:pPr>
      <w:r w:rsidRPr="00CC5FE3">
        <w:rPr>
          <w:lang w:val="es-ES"/>
        </w:rPr>
        <w:t>Puede consultarse un proyecto actualizado de mandato para la Cuestión</w:t>
      </w:r>
      <w:r w:rsidR="00AA32DA" w:rsidRPr="00CC5FE3">
        <w:rPr>
          <w:lang w:val="es-ES"/>
        </w:rPr>
        <w:t> </w:t>
      </w:r>
      <w:r w:rsidRPr="00CC5FE3">
        <w:rPr>
          <w:lang w:val="es-ES"/>
        </w:rPr>
        <w:t>1/2 en el Documento</w:t>
      </w:r>
      <w:r w:rsidR="00AA32DA" w:rsidRPr="00CC5FE3">
        <w:rPr>
          <w:lang w:val="es-ES"/>
        </w:rPr>
        <w:t> </w:t>
      </w:r>
      <w:hyperlink r:id="rId44" w:history="1">
        <w:r w:rsidRPr="00CC5FE3">
          <w:rPr>
            <w:rStyle w:val="Hyperlink"/>
            <w:lang w:val="es-ES"/>
          </w:rPr>
          <w:t>TDAG-WG-futureSGQ/</w:t>
        </w:r>
        <w:r w:rsidRPr="00CC5FE3">
          <w:rPr>
            <w:rStyle w:val="Hyperlink"/>
            <w:rFonts w:eastAsia="Malgun Gothic"/>
            <w:lang w:val="es-ES" w:eastAsia="ko-KR"/>
          </w:rPr>
          <w:t>48</w:t>
        </w:r>
      </w:hyperlink>
      <w:r w:rsidRPr="00CC5FE3">
        <w:rPr>
          <w:lang w:val="es-ES"/>
        </w:rPr>
        <w:t>.</w:t>
      </w:r>
    </w:p>
    <w:p w14:paraId="3D785A2E" w14:textId="77777777" w:rsidR="000B7E7B" w:rsidRPr="00CC5FE3" w:rsidRDefault="000B7E7B" w:rsidP="00AA32DA">
      <w:pPr>
        <w:pStyle w:val="Headingb"/>
        <w:rPr>
          <w:lang w:val="es-ES"/>
        </w:rPr>
      </w:pPr>
      <w:r w:rsidRPr="00CC5FE3">
        <w:rPr>
          <w:lang w:val="es-ES"/>
        </w:rPr>
        <w:t xml:space="preserve">Cuestión 2/2 – </w:t>
      </w:r>
      <w:r w:rsidRPr="00CC5FE3">
        <w:rPr>
          <w:lang w:val="es-ES" w:eastAsia="zh-CN"/>
        </w:rPr>
        <w:t>Tecnologías propicias para los servicios y las aplicaciones electrónicos, entre otros, la cibersalud y la ciberenseñanza</w:t>
      </w:r>
    </w:p>
    <w:p w14:paraId="4D286D2D" w14:textId="11F7EFAD" w:rsidR="000B7E7B" w:rsidRPr="00CC5FE3" w:rsidRDefault="000B7E7B" w:rsidP="00512B34">
      <w:pPr>
        <w:rPr>
          <w:lang w:val="es-ES"/>
        </w:rPr>
      </w:pPr>
      <w:r w:rsidRPr="00CC5FE3">
        <w:rPr>
          <w:lang w:val="es-ES"/>
        </w:rPr>
        <w:t>El Informe de resultados aprobado sobre la Cuestión 2/2 se recoge en el Documento</w:t>
      </w:r>
      <w:r w:rsidR="00AA32DA" w:rsidRPr="00CC5FE3">
        <w:rPr>
          <w:lang w:val="es-ES"/>
        </w:rPr>
        <w:t> </w:t>
      </w:r>
      <w:hyperlink r:id="rId45" w:history="1">
        <w:r w:rsidRPr="00CC5FE3">
          <w:rPr>
            <w:rStyle w:val="Hyperlink"/>
            <w:lang w:val="es-ES"/>
          </w:rPr>
          <w:t>2/359</w:t>
        </w:r>
      </w:hyperlink>
      <w:r w:rsidRPr="00CC5FE3">
        <w:rPr>
          <w:lang w:val="es-ES"/>
        </w:rPr>
        <w:t>.</w:t>
      </w:r>
    </w:p>
    <w:p w14:paraId="22F148B7" w14:textId="77777777" w:rsidR="000B7E7B" w:rsidRPr="00CC5FE3" w:rsidRDefault="000B7E7B" w:rsidP="00512B34">
      <w:pPr>
        <w:rPr>
          <w:lang w:val="es-ES"/>
        </w:rPr>
      </w:pPr>
      <w:r w:rsidRPr="00CC5FE3">
        <w:rPr>
          <w:lang w:val="es-ES"/>
        </w:rPr>
        <w:t>El Grupo de Relator sobre la Cuestión 2/2 organizó también los siguientes talleres:</w:t>
      </w:r>
    </w:p>
    <w:p w14:paraId="1D7F6781" w14:textId="6261522E" w:rsidR="000B7E7B" w:rsidRPr="00CC5FE3" w:rsidRDefault="000B7E7B" w:rsidP="00AA32DA">
      <w:pPr>
        <w:pStyle w:val="enumlev1"/>
        <w:rPr>
          <w:lang w:val="es-ES"/>
        </w:rPr>
      </w:pPr>
      <w:r w:rsidRPr="00CC5FE3">
        <w:rPr>
          <w:lang w:val="es-ES"/>
        </w:rPr>
        <w:t>–</w:t>
      </w:r>
      <w:r w:rsidRPr="00CC5FE3">
        <w:rPr>
          <w:lang w:val="es-ES"/>
        </w:rPr>
        <w:tab/>
        <w:t>taller sobre la adopción de nuevas tecnologías digitales para la cibersalud, el aprendizaje electrónico y otros servicios electrónicos, celebrado el 30 de mayo de 2023 (</w:t>
      </w:r>
      <w:hyperlink r:id="rId46" w:history="1">
        <w:r w:rsidRPr="00CC5FE3">
          <w:rPr>
            <w:rStyle w:val="Hyperlink"/>
            <w:lang w:val="es-ES"/>
          </w:rPr>
          <w:t>programa</w:t>
        </w:r>
      </w:hyperlink>
      <w:r w:rsidRPr="00CC5FE3">
        <w:rPr>
          <w:lang w:val="es-ES"/>
        </w:rPr>
        <w:t xml:space="preserve">, </w:t>
      </w:r>
      <w:hyperlink r:id="rId47" w:history="1">
        <w:r w:rsidRPr="00CC5FE3">
          <w:rPr>
            <w:rStyle w:val="Hyperlink"/>
            <w:lang w:val="es-ES"/>
          </w:rPr>
          <w:t>informe</w:t>
        </w:r>
      </w:hyperlink>
      <w:r w:rsidRPr="00CC5FE3">
        <w:rPr>
          <w:lang w:val="es-ES"/>
        </w:rPr>
        <w:t>, Anexo</w:t>
      </w:r>
      <w:r w:rsidR="00AA32DA" w:rsidRPr="00CC5FE3">
        <w:rPr>
          <w:lang w:val="es-ES"/>
        </w:rPr>
        <w:t> </w:t>
      </w:r>
      <w:r w:rsidRPr="00CC5FE3">
        <w:rPr>
          <w:lang w:val="es-ES"/>
        </w:rPr>
        <w:t>5);</w:t>
      </w:r>
    </w:p>
    <w:p w14:paraId="3BB27D3B" w14:textId="29E7A7AF" w:rsidR="000B7E7B" w:rsidRPr="00CC5FE3" w:rsidRDefault="000B7E7B" w:rsidP="00AA32DA">
      <w:pPr>
        <w:pStyle w:val="enumlev1"/>
        <w:rPr>
          <w:lang w:val="es-ES"/>
        </w:rPr>
      </w:pPr>
      <w:r w:rsidRPr="00CC5FE3">
        <w:rPr>
          <w:lang w:val="es-ES"/>
        </w:rPr>
        <w:t>–</w:t>
      </w:r>
      <w:r w:rsidRPr="00CC5FE3">
        <w:rPr>
          <w:lang w:val="es-ES"/>
        </w:rPr>
        <w:tab/>
        <w:t>taller sobre modelos de prácticas idóneas y tecnologías habilitadores para la transformación digital en los ámbitos de la cibersalud, la cibereducación y otras ciberaplicaciones, celebrado el 29 de abril de 2024 (</w:t>
      </w:r>
      <w:hyperlink r:id="rId48" w:history="1">
        <w:r w:rsidRPr="00CC5FE3">
          <w:rPr>
            <w:rStyle w:val="Hyperlink"/>
            <w:lang w:val="es-ES"/>
          </w:rPr>
          <w:t>programa</w:t>
        </w:r>
      </w:hyperlink>
      <w:r w:rsidRPr="00CC5FE3">
        <w:rPr>
          <w:lang w:val="es-ES"/>
        </w:rPr>
        <w:t xml:space="preserve">, </w:t>
      </w:r>
      <w:hyperlink r:id="rId49" w:history="1">
        <w:r w:rsidRPr="00CC5FE3">
          <w:rPr>
            <w:rStyle w:val="Hyperlink"/>
            <w:lang w:val="es-ES"/>
          </w:rPr>
          <w:t>informe</w:t>
        </w:r>
      </w:hyperlink>
      <w:r w:rsidRPr="00CC5FE3">
        <w:rPr>
          <w:lang w:val="es-ES"/>
        </w:rPr>
        <w:t>, Anexo</w:t>
      </w:r>
      <w:r w:rsidR="00AA32DA" w:rsidRPr="00CC5FE3">
        <w:rPr>
          <w:lang w:val="es-ES"/>
        </w:rPr>
        <w:t> </w:t>
      </w:r>
      <w:r w:rsidRPr="00CC5FE3">
        <w:rPr>
          <w:lang w:val="es-ES"/>
        </w:rPr>
        <w:t>4).</w:t>
      </w:r>
    </w:p>
    <w:p w14:paraId="497B1135" w14:textId="48231EA6" w:rsidR="000B7E7B" w:rsidRPr="00CC5FE3" w:rsidRDefault="000B7E7B" w:rsidP="00512B34">
      <w:pPr>
        <w:rPr>
          <w:lang w:val="es-ES"/>
        </w:rPr>
      </w:pPr>
      <w:r w:rsidRPr="00CC5FE3">
        <w:rPr>
          <w:lang w:val="es-ES"/>
        </w:rPr>
        <w:t>Se propusieron diversos temas para el próximo periodo de estudios, incluido el impacto de las tecnologías de inteligencia artificial (IA) en apoyo de los ciberservicios y aplicaciones. Puede consultarse un proyecto de mandato actualizado para la Cuestión 2/2 en el Documento</w:t>
      </w:r>
      <w:r w:rsidR="00AA32DA" w:rsidRPr="00CC5FE3">
        <w:rPr>
          <w:lang w:val="es-ES"/>
        </w:rPr>
        <w:t> </w:t>
      </w:r>
      <w:hyperlink r:id="rId50" w:history="1">
        <w:r w:rsidRPr="00CC5FE3">
          <w:rPr>
            <w:rStyle w:val="Hyperlink"/>
            <w:lang w:val="es-ES"/>
          </w:rPr>
          <w:t>TDAG</w:t>
        </w:r>
        <w:r w:rsidRPr="00CC5FE3">
          <w:rPr>
            <w:rStyle w:val="Hyperlink"/>
            <w:lang w:val="es-ES"/>
          </w:rPr>
          <w:noBreakHyphen/>
          <w:t>WG</w:t>
        </w:r>
        <w:r w:rsidRPr="00CC5FE3">
          <w:rPr>
            <w:rStyle w:val="Hyperlink"/>
            <w:lang w:val="es-ES"/>
          </w:rPr>
          <w:noBreakHyphen/>
          <w:t>futureSGQ/48</w:t>
        </w:r>
      </w:hyperlink>
      <w:r w:rsidRPr="00CC5FE3">
        <w:rPr>
          <w:lang w:val="es-ES"/>
        </w:rPr>
        <w:t>.</w:t>
      </w:r>
    </w:p>
    <w:p w14:paraId="3B046DD9" w14:textId="77777777" w:rsidR="003D7B26" w:rsidRDefault="003D7B26">
      <w:pPr>
        <w:tabs>
          <w:tab w:val="clear" w:pos="1134"/>
          <w:tab w:val="clear" w:pos="1871"/>
          <w:tab w:val="clear" w:pos="2268"/>
        </w:tabs>
        <w:overflowPunct/>
        <w:autoSpaceDE/>
        <w:autoSpaceDN/>
        <w:adjustRightInd/>
        <w:spacing w:before="0"/>
        <w:textAlignment w:val="auto"/>
        <w:rPr>
          <w:rFonts w:cs="Times New Roman Bold"/>
          <w:b/>
          <w:lang w:val="es-ES"/>
        </w:rPr>
      </w:pPr>
      <w:r>
        <w:rPr>
          <w:lang w:val="es-ES"/>
        </w:rPr>
        <w:br w:type="page"/>
      </w:r>
    </w:p>
    <w:p w14:paraId="114FF0C1" w14:textId="453FC8BA" w:rsidR="000B7E7B" w:rsidRPr="00CC5FE3" w:rsidRDefault="000B7E7B" w:rsidP="00AA32DA">
      <w:pPr>
        <w:pStyle w:val="Headingb"/>
        <w:rPr>
          <w:lang w:val="es-ES"/>
        </w:rPr>
      </w:pPr>
      <w:r w:rsidRPr="00CC5FE3">
        <w:rPr>
          <w:lang w:val="es-ES"/>
        </w:rPr>
        <w:lastRenderedPageBreak/>
        <w:t xml:space="preserve">Cuestión 3/2 – </w:t>
      </w:r>
      <w:r w:rsidRPr="00CC5FE3">
        <w:rPr>
          <w:lang w:val="es-ES" w:eastAsia="zh-CN"/>
        </w:rPr>
        <w:t>Seguridad en las redes de información y comunicación: prácticas idóneas para el desarrollo de una cultura de ciberseguridad</w:t>
      </w:r>
    </w:p>
    <w:p w14:paraId="42D3CF11" w14:textId="7D1CB338" w:rsidR="000B7E7B" w:rsidRPr="00CC5FE3" w:rsidRDefault="000B7E7B" w:rsidP="000B7E7B">
      <w:pPr>
        <w:rPr>
          <w:lang w:val="es-ES"/>
        </w:rPr>
      </w:pPr>
      <w:r w:rsidRPr="00CC5FE3">
        <w:rPr>
          <w:lang w:val="es-ES"/>
        </w:rPr>
        <w:t>El Informe de resultados aprobado sobre la Cuestión 3/2 se recoge en el Documento</w:t>
      </w:r>
      <w:r w:rsidR="00AA32DA" w:rsidRPr="00CC5FE3">
        <w:rPr>
          <w:lang w:val="es-ES"/>
        </w:rPr>
        <w:t> </w:t>
      </w:r>
      <w:hyperlink r:id="rId51" w:history="1">
        <w:r w:rsidRPr="00CC5FE3">
          <w:rPr>
            <w:rStyle w:val="Hyperlink"/>
            <w:lang w:val="es-ES"/>
          </w:rPr>
          <w:t>2/360</w:t>
        </w:r>
      </w:hyperlink>
      <w:r w:rsidRPr="00CC5FE3">
        <w:rPr>
          <w:lang w:val="es-ES"/>
        </w:rPr>
        <w:t>.</w:t>
      </w:r>
    </w:p>
    <w:p w14:paraId="52BB866F" w14:textId="15F33CAE" w:rsidR="000B7E7B" w:rsidRPr="00CC5FE3" w:rsidRDefault="000B7E7B" w:rsidP="000B7E7B">
      <w:pPr>
        <w:rPr>
          <w:lang w:val="es-ES"/>
        </w:rPr>
      </w:pPr>
      <w:r w:rsidRPr="00CC5FE3">
        <w:rPr>
          <w:lang w:val="es-ES"/>
        </w:rPr>
        <w:t>Se aprobó la publicación de los siguientes productos provisionales sobre la Cuestión</w:t>
      </w:r>
      <w:r w:rsidR="00AA32DA" w:rsidRPr="00CC5FE3">
        <w:rPr>
          <w:lang w:val="es-ES"/>
        </w:rPr>
        <w:t> </w:t>
      </w:r>
      <w:r w:rsidRPr="00CC5FE3">
        <w:rPr>
          <w:lang w:val="es-ES"/>
        </w:rPr>
        <w:t>3/2</w:t>
      </w:r>
      <w:r w:rsidRPr="00CC5FE3">
        <w:rPr>
          <w:vertAlign w:val="superscript"/>
          <w:lang w:val="es-ES"/>
        </w:rPr>
        <w:footnoteReference w:id="11"/>
      </w:r>
      <w:r w:rsidRPr="00CC5FE3">
        <w:rPr>
          <w:lang w:val="es-ES"/>
        </w:rPr>
        <w:t>:</w:t>
      </w:r>
    </w:p>
    <w:p w14:paraId="7F212032" w14:textId="5A9AC1A5" w:rsidR="000B7E7B" w:rsidRPr="00CC5FE3" w:rsidRDefault="000B7E7B" w:rsidP="00AA32DA">
      <w:pPr>
        <w:pStyle w:val="enumlev1"/>
        <w:rPr>
          <w:lang w:val="es-ES"/>
        </w:rPr>
      </w:pPr>
      <w:r w:rsidRPr="00CC5FE3">
        <w:rPr>
          <w:lang w:val="es-ES"/>
        </w:rPr>
        <w:t>–</w:t>
      </w:r>
      <w:r w:rsidRPr="00CC5FE3">
        <w:rPr>
          <w:lang w:val="es-ES"/>
        </w:rPr>
        <w:tab/>
      </w:r>
      <w:r w:rsidRPr="00CC5FE3">
        <w:rPr>
          <w:i/>
          <w:iCs/>
          <w:lang w:val="es-ES"/>
        </w:rPr>
        <w:t xml:space="preserve">Prácticas para garantizar la ciberseguridad </w:t>
      </w:r>
      <w:r w:rsidRPr="00CC5FE3">
        <w:rPr>
          <w:lang w:val="es-ES"/>
        </w:rPr>
        <w:t xml:space="preserve">(producto intermedio de 2023, </w:t>
      </w:r>
      <w:hyperlink r:id="rId52" w:history="1">
        <w:r w:rsidRPr="00CC5FE3">
          <w:rPr>
            <w:rStyle w:val="Hyperlink"/>
            <w:lang w:val="es-ES"/>
          </w:rPr>
          <w:t>enlace</w:t>
        </w:r>
      </w:hyperlink>
      <w:r w:rsidRPr="00CC5FE3">
        <w:rPr>
          <w:lang w:val="es-ES"/>
        </w:rPr>
        <w:t>). En una mesa redonda especializada se presentaron las conclusiones clave de este producto (</w:t>
      </w:r>
      <w:hyperlink r:id="rId53" w:history="1">
        <w:r w:rsidRPr="00CC5FE3">
          <w:rPr>
            <w:rStyle w:val="Hyperlink"/>
            <w:bCs/>
            <w:lang w:val="es-ES"/>
          </w:rPr>
          <w:t>program</w:t>
        </w:r>
      </w:hyperlink>
      <w:r w:rsidRPr="00CC5FE3">
        <w:rPr>
          <w:bCs/>
          <w:u w:val="single"/>
          <w:lang w:val="es-ES"/>
        </w:rPr>
        <w:t>a</w:t>
      </w:r>
      <w:r w:rsidRPr="00CC5FE3">
        <w:rPr>
          <w:bCs/>
          <w:lang w:val="es-ES"/>
        </w:rPr>
        <w:t xml:space="preserve">, </w:t>
      </w:r>
      <w:hyperlink r:id="rId54" w:history="1">
        <w:r w:rsidRPr="00CC5FE3">
          <w:rPr>
            <w:rStyle w:val="Hyperlink"/>
            <w:bCs/>
            <w:lang w:val="es-ES"/>
          </w:rPr>
          <w:t>informe</w:t>
        </w:r>
      </w:hyperlink>
      <w:r w:rsidRPr="00CC5FE3">
        <w:rPr>
          <w:lang w:val="es-ES"/>
        </w:rPr>
        <w:t>, Anexo 5)</w:t>
      </w:r>
      <w:r w:rsidR="00AA32DA" w:rsidRPr="00CC5FE3">
        <w:rPr>
          <w:lang w:val="es-ES"/>
        </w:rPr>
        <w:t>.</w:t>
      </w:r>
    </w:p>
    <w:p w14:paraId="34DD1022" w14:textId="77777777" w:rsidR="000B7E7B" w:rsidRPr="00CC5FE3" w:rsidRDefault="000B7E7B" w:rsidP="00AA32DA">
      <w:pPr>
        <w:pStyle w:val="enumlev1"/>
        <w:rPr>
          <w:lang w:val="es-ES"/>
        </w:rPr>
      </w:pPr>
      <w:r w:rsidRPr="00CC5FE3">
        <w:rPr>
          <w:lang w:val="es-ES"/>
        </w:rPr>
        <w:t>–</w:t>
      </w:r>
      <w:r w:rsidRPr="00CC5FE3">
        <w:rPr>
          <w:lang w:val="es-ES"/>
        </w:rPr>
        <w:tab/>
      </w:r>
      <w:r w:rsidRPr="00CC5FE3">
        <w:rPr>
          <w:i/>
          <w:iCs/>
          <w:lang w:val="es-ES"/>
        </w:rPr>
        <w:t xml:space="preserve">Ciberseguridad 5G </w:t>
      </w:r>
      <w:r w:rsidRPr="00CC5FE3">
        <w:rPr>
          <w:lang w:val="es-ES"/>
        </w:rPr>
        <w:t xml:space="preserve">(producto intermedio de 2024, </w:t>
      </w:r>
      <w:hyperlink r:id="rId55" w:history="1">
        <w:r w:rsidRPr="00CC5FE3">
          <w:rPr>
            <w:rStyle w:val="Hyperlink"/>
            <w:lang w:val="es-ES"/>
          </w:rPr>
          <w:t>enlace</w:t>
        </w:r>
      </w:hyperlink>
      <w:r w:rsidRPr="00CC5FE3">
        <w:rPr>
          <w:lang w:val="es-ES"/>
        </w:rPr>
        <w:t>).</w:t>
      </w:r>
    </w:p>
    <w:p w14:paraId="1FC0A678" w14:textId="77777777" w:rsidR="000B7E7B" w:rsidRPr="00CC5FE3" w:rsidRDefault="000B7E7B" w:rsidP="000B7E7B">
      <w:pPr>
        <w:rPr>
          <w:lang w:val="es-ES"/>
        </w:rPr>
      </w:pPr>
      <w:r w:rsidRPr="00CC5FE3">
        <w:rPr>
          <w:lang w:val="es-ES"/>
        </w:rPr>
        <w:t>El Grupo de Relator sobre la Cuestión 3/2 organizó también los siguientes talleres:</w:t>
      </w:r>
    </w:p>
    <w:p w14:paraId="3CBF1353" w14:textId="5EE3A36E" w:rsidR="000B7E7B" w:rsidRPr="00CC5FE3" w:rsidRDefault="000B7E7B" w:rsidP="00AA32DA">
      <w:pPr>
        <w:pStyle w:val="enumlev1"/>
        <w:rPr>
          <w:lang w:val="es-ES"/>
        </w:rPr>
      </w:pPr>
      <w:r w:rsidRPr="00CC5FE3">
        <w:rPr>
          <w:lang w:val="es-ES"/>
        </w:rPr>
        <w:t>–</w:t>
      </w:r>
      <w:r w:rsidRPr="00CC5FE3">
        <w:rPr>
          <w:lang w:val="es-ES"/>
        </w:rPr>
        <w:tab/>
        <w:t>taller sobre prácticas para garantizar la ciberseguridad, celebrado el 23 de mayo de</w:t>
      </w:r>
      <w:r w:rsidR="00AA32DA" w:rsidRPr="00CC5FE3">
        <w:rPr>
          <w:lang w:val="es-ES"/>
        </w:rPr>
        <w:t> </w:t>
      </w:r>
      <w:r w:rsidRPr="00CC5FE3">
        <w:rPr>
          <w:lang w:val="es-ES"/>
        </w:rPr>
        <w:t>2023 (</w:t>
      </w:r>
      <w:hyperlink r:id="rId56" w:history="1">
        <w:r w:rsidRPr="00CC5FE3">
          <w:rPr>
            <w:rStyle w:val="Hyperlink"/>
            <w:lang w:val="es-ES"/>
          </w:rPr>
          <w:t>programa</w:t>
        </w:r>
      </w:hyperlink>
      <w:r w:rsidRPr="00CC5FE3">
        <w:rPr>
          <w:lang w:val="es-ES"/>
        </w:rPr>
        <w:t xml:space="preserve">, </w:t>
      </w:r>
      <w:hyperlink r:id="rId57" w:history="1">
        <w:r w:rsidRPr="00CC5FE3">
          <w:rPr>
            <w:rStyle w:val="Hyperlink"/>
            <w:lang w:val="es-ES"/>
          </w:rPr>
          <w:t>informe</w:t>
        </w:r>
      </w:hyperlink>
      <w:r w:rsidRPr="00CC5FE3">
        <w:rPr>
          <w:lang w:val="es-ES"/>
        </w:rPr>
        <w:t>, Anexo 4);</w:t>
      </w:r>
    </w:p>
    <w:p w14:paraId="095526CE" w14:textId="0082B81C" w:rsidR="000B7E7B" w:rsidRPr="00CC5FE3" w:rsidRDefault="000B7E7B" w:rsidP="00AA32DA">
      <w:pPr>
        <w:pStyle w:val="enumlev1"/>
        <w:rPr>
          <w:lang w:val="es-ES"/>
        </w:rPr>
      </w:pPr>
      <w:r w:rsidRPr="00CC5FE3">
        <w:rPr>
          <w:lang w:val="es-ES"/>
        </w:rPr>
        <w:t>–</w:t>
      </w:r>
      <w:r w:rsidRPr="00CC5FE3">
        <w:rPr>
          <w:lang w:val="es-ES"/>
        </w:rPr>
        <w:tab/>
        <w:t>taller sobre ciberseguridad 5G, celebrado el 2 de mayo de 2024 (</w:t>
      </w:r>
      <w:hyperlink r:id="rId58" w:history="1">
        <w:r w:rsidRPr="00CC5FE3">
          <w:rPr>
            <w:rStyle w:val="Hyperlink"/>
            <w:lang w:val="es-ES"/>
          </w:rPr>
          <w:t>programa</w:t>
        </w:r>
      </w:hyperlink>
      <w:r w:rsidRPr="00CC5FE3">
        <w:rPr>
          <w:lang w:val="es-ES"/>
        </w:rPr>
        <w:t xml:space="preserve">, </w:t>
      </w:r>
      <w:hyperlink r:id="rId59" w:history="1">
        <w:r w:rsidRPr="00CC5FE3">
          <w:rPr>
            <w:rStyle w:val="Hyperlink"/>
            <w:lang w:val="es-ES"/>
          </w:rPr>
          <w:t>informe</w:t>
        </w:r>
      </w:hyperlink>
      <w:r w:rsidRPr="00CC5FE3">
        <w:rPr>
          <w:lang w:val="es-ES"/>
        </w:rPr>
        <w:t>, Anexo</w:t>
      </w:r>
      <w:r w:rsidR="00AA32DA" w:rsidRPr="00CC5FE3">
        <w:rPr>
          <w:lang w:val="es-ES"/>
        </w:rPr>
        <w:t> </w:t>
      </w:r>
      <w:r w:rsidRPr="00CC5FE3">
        <w:rPr>
          <w:lang w:val="es-ES"/>
        </w:rPr>
        <w:t>4).</w:t>
      </w:r>
    </w:p>
    <w:p w14:paraId="22BE6389" w14:textId="77777777" w:rsidR="000B7E7B" w:rsidRPr="00CC5FE3" w:rsidRDefault="000B7E7B" w:rsidP="000B7E7B">
      <w:pPr>
        <w:rPr>
          <w:rFonts w:eastAsia="Malgun Gothic" w:cstheme="minorHAnsi"/>
          <w:szCs w:val="24"/>
          <w:lang w:val="es-ES" w:eastAsia="ko-KR"/>
        </w:rPr>
      </w:pPr>
      <w:r w:rsidRPr="00CC5FE3">
        <w:rPr>
          <w:rFonts w:cstheme="minorHAnsi"/>
          <w:szCs w:val="24"/>
          <w:lang w:val="es-ES"/>
        </w:rPr>
        <w:t>Se propusieron temas para el próximo periodo de estudios sobre cómo promover la ciberseguridad y la ciberresiliencia en el sector de las telecomunicaciones/TIC, a saber:</w:t>
      </w:r>
    </w:p>
    <w:p w14:paraId="7CFD492C" w14:textId="214BABCB" w:rsidR="000B7E7B" w:rsidRPr="00CC5FE3" w:rsidRDefault="00AA32DA" w:rsidP="00AA32DA">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Políticas y reglamentos públicos de ciberseguridad aplicables al sector de las telecomunicaciones/TIC, incluidas las obligaciones y prácticas de garantía.</w:t>
      </w:r>
    </w:p>
    <w:p w14:paraId="1BED04FD" w14:textId="787621A1" w:rsidR="000B7E7B" w:rsidRPr="00CC5FE3" w:rsidRDefault="00AA32DA" w:rsidP="00AA32DA">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Medidas, iniciativas y proyectos específicos para mejorar la ciberseguridad y la ciberresiliencia de los pequeños y medianos proveedores de servicios de telecomunicaciones.</w:t>
      </w:r>
    </w:p>
    <w:p w14:paraId="6EE515E1" w14:textId="6213FCFB" w:rsidR="000B7E7B" w:rsidRPr="00CC5FE3" w:rsidRDefault="00AA32DA" w:rsidP="00AA32DA">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Cómo los Miembros de la UIT gestionan las dificultades y oportunidades de ciberseguridad de las tecnologías y servicios de telecomunicaciones/TIC nuevos y emergente en el sector.</w:t>
      </w:r>
    </w:p>
    <w:p w14:paraId="65854CE0" w14:textId="3116DEF3" w:rsidR="000B7E7B" w:rsidRPr="00CC5FE3" w:rsidRDefault="000B7E7B" w:rsidP="000B7E7B">
      <w:pPr>
        <w:rPr>
          <w:lang w:val="es-ES"/>
        </w:rPr>
      </w:pPr>
      <w:r w:rsidRPr="00CC5FE3">
        <w:rPr>
          <w:lang w:val="es-ES"/>
        </w:rPr>
        <w:t>Puede consultarse un proyecto de mandato actualizado para la Cuestión</w:t>
      </w:r>
      <w:r w:rsidR="00AA32DA" w:rsidRPr="00CC5FE3">
        <w:rPr>
          <w:lang w:val="es-ES"/>
        </w:rPr>
        <w:t> </w:t>
      </w:r>
      <w:r w:rsidRPr="00CC5FE3">
        <w:rPr>
          <w:lang w:val="es-ES"/>
        </w:rPr>
        <w:t>3/2 en el Documento</w:t>
      </w:r>
      <w:r w:rsidR="00AA32DA" w:rsidRPr="00CC5FE3">
        <w:rPr>
          <w:lang w:val="es-ES"/>
        </w:rPr>
        <w:t> </w:t>
      </w:r>
      <w:hyperlink r:id="rId60" w:history="1">
        <w:r w:rsidRPr="00CC5FE3">
          <w:rPr>
            <w:rStyle w:val="Hyperlink"/>
            <w:lang w:val="es-ES"/>
          </w:rPr>
          <w:t>TDAG-WG-futureSGQ/</w:t>
        </w:r>
        <w:r w:rsidRPr="00CC5FE3">
          <w:rPr>
            <w:rStyle w:val="Hyperlink"/>
            <w:rFonts w:eastAsia="Malgun Gothic"/>
            <w:lang w:val="es-ES" w:eastAsia="ko-KR"/>
          </w:rPr>
          <w:t>48</w:t>
        </w:r>
      </w:hyperlink>
      <w:r w:rsidRPr="00CC5FE3">
        <w:rPr>
          <w:lang w:val="es-ES"/>
        </w:rPr>
        <w:t>.</w:t>
      </w:r>
    </w:p>
    <w:p w14:paraId="45E31C32" w14:textId="0959E2FD" w:rsidR="000B7E7B" w:rsidRPr="00CC5FE3" w:rsidRDefault="000B7E7B" w:rsidP="00AA32DA">
      <w:pPr>
        <w:pStyle w:val="Headingb"/>
        <w:rPr>
          <w:lang w:val="es-ES"/>
        </w:rPr>
      </w:pPr>
      <w:r w:rsidRPr="00CC5FE3">
        <w:rPr>
          <w:lang w:val="es-ES"/>
        </w:rPr>
        <w:t>Cuestión 4/2 – Equipos de telecomunicaciones/TIC: conformidad e interoperabilidad y lucha contra la falsificación y el robo de dispositivos móviles</w:t>
      </w:r>
    </w:p>
    <w:p w14:paraId="34BD7671" w14:textId="77777777" w:rsidR="000B7E7B" w:rsidRPr="00CC5FE3" w:rsidRDefault="000B7E7B" w:rsidP="00512B34">
      <w:pPr>
        <w:rPr>
          <w:lang w:val="es-ES"/>
        </w:rPr>
      </w:pPr>
      <w:r w:rsidRPr="00CC5FE3">
        <w:rPr>
          <w:lang w:val="es-ES"/>
        </w:rPr>
        <w:t xml:space="preserve">El Informe de resultados aprobado sobre la Cuestión 4/2 se recoge en el Documento </w:t>
      </w:r>
      <w:hyperlink r:id="rId61" w:history="1">
        <w:r w:rsidRPr="00CC5FE3">
          <w:rPr>
            <w:rStyle w:val="Hyperlink"/>
            <w:lang w:val="es-ES"/>
          </w:rPr>
          <w:t>2/361</w:t>
        </w:r>
      </w:hyperlink>
      <w:r w:rsidRPr="00CC5FE3">
        <w:rPr>
          <w:lang w:val="es-ES"/>
        </w:rPr>
        <w:t>.</w:t>
      </w:r>
    </w:p>
    <w:p w14:paraId="6375A371" w14:textId="77777777" w:rsidR="000B7E7B" w:rsidRPr="00CC5FE3" w:rsidRDefault="000B7E7B" w:rsidP="00512B34">
      <w:pPr>
        <w:rPr>
          <w:lang w:val="es-ES"/>
        </w:rPr>
      </w:pPr>
      <w:r w:rsidRPr="00CC5FE3">
        <w:rPr>
          <w:lang w:val="es-ES"/>
        </w:rPr>
        <w:t>El Grupo de Relator sobre la Cuestión 4/2 organizó también los siguientes talleres:</w:t>
      </w:r>
    </w:p>
    <w:p w14:paraId="330C1073" w14:textId="2D6ABEE1" w:rsidR="000B7E7B" w:rsidRPr="00CC5FE3" w:rsidRDefault="000B7E7B" w:rsidP="00AA32DA">
      <w:pPr>
        <w:pStyle w:val="enumlev1"/>
        <w:rPr>
          <w:lang w:val="es-ES"/>
        </w:rPr>
      </w:pPr>
      <w:r w:rsidRPr="00CC5FE3">
        <w:rPr>
          <w:lang w:val="es-ES"/>
        </w:rPr>
        <w:t>–</w:t>
      </w:r>
      <w:r w:rsidRPr="00CC5FE3">
        <w:rPr>
          <w:lang w:val="es-ES"/>
        </w:rPr>
        <w:tab/>
        <w:t>taller sobre retos de la conformidad e interoperabilidad de TIC para la transformación digital, celebrado el 2 de junio de 2023 (</w:t>
      </w:r>
      <w:hyperlink r:id="rId62" w:history="1">
        <w:r w:rsidRPr="00CC5FE3">
          <w:rPr>
            <w:rStyle w:val="Hyperlink"/>
            <w:lang w:val="es-ES"/>
          </w:rPr>
          <w:t>programa</w:t>
        </w:r>
      </w:hyperlink>
      <w:r w:rsidRPr="00CC5FE3">
        <w:rPr>
          <w:lang w:val="es-ES"/>
        </w:rPr>
        <w:t xml:space="preserve">, </w:t>
      </w:r>
      <w:hyperlink r:id="rId63" w:history="1">
        <w:r w:rsidRPr="00CC5FE3">
          <w:rPr>
            <w:rStyle w:val="Hyperlink"/>
            <w:lang w:val="es-ES"/>
          </w:rPr>
          <w:t>informe</w:t>
        </w:r>
      </w:hyperlink>
      <w:r w:rsidRPr="00CC5FE3">
        <w:rPr>
          <w:lang w:val="es-ES"/>
        </w:rPr>
        <w:t>, Anexo</w:t>
      </w:r>
      <w:r w:rsidR="00AA32DA" w:rsidRPr="00CC5FE3">
        <w:rPr>
          <w:lang w:val="es-ES"/>
        </w:rPr>
        <w:t> </w:t>
      </w:r>
      <w:r w:rsidRPr="00CC5FE3">
        <w:rPr>
          <w:lang w:val="es-ES"/>
        </w:rPr>
        <w:t>4);</w:t>
      </w:r>
    </w:p>
    <w:p w14:paraId="70DFE2EB" w14:textId="485BA459" w:rsidR="000B7E7B" w:rsidRPr="00CC5FE3" w:rsidRDefault="000B7E7B" w:rsidP="00AA32DA">
      <w:pPr>
        <w:pStyle w:val="enumlev1"/>
        <w:rPr>
          <w:lang w:val="es-ES"/>
        </w:rPr>
      </w:pPr>
      <w:r w:rsidRPr="00CC5FE3">
        <w:rPr>
          <w:lang w:val="es-ES"/>
        </w:rPr>
        <w:t>–</w:t>
      </w:r>
      <w:r w:rsidRPr="00CC5FE3">
        <w:rPr>
          <w:lang w:val="es-ES"/>
        </w:rPr>
        <w:tab/>
        <w:t>taller sobre técnicas para promover la armonización de los regímenes de conformidad e interoperabilidad (C+I), celebrado el 10 de mayo de 2024 (</w:t>
      </w:r>
      <w:hyperlink r:id="rId64" w:history="1">
        <w:r w:rsidRPr="00CC5FE3">
          <w:rPr>
            <w:rStyle w:val="Hyperlink"/>
            <w:lang w:val="es-ES"/>
          </w:rPr>
          <w:t>programa</w:t>
        </w:r>
      </w:hyperlink>
      <w:r w:rsidRPr="00CC5FE3">
        <w:rPr>
          <w:lang w:val="es-ES"/>
        </w:rPr>
        <w:t xml:space="preserve">, </w:t>
      </w:r>
      <w:hyperlink r:id="rId65" w:history="1">
        <w:r w:rsidRPr="00CC5FE3">
          <w:rPr>
            <w:rStyle w:val="Hyperlink"/>
            <w:lang w:val="es-ES"/>
          </w:rPr>
          <w:t>informe</w:t>
        </w:r>
      </w:hyperlink>
      <w:r w:rsidRPr="00CC5FE3">
        <w:rPr>
          <w:lang w:val="es-ES"/>
        </w:rPr>
        <w:t>, Anexo</w:t>
      </w:r>
      <w:r w:rsidR="00AA32DA" w:rsidRPr="00CC5FE3">
        <w:rPr>
          <w:lang w:val="es-ES"/>
        </w:rPr>
        <w:t> </w:t>
      </w:r>
      <w:r w:rsidRPr="00CC5FE3">
        <w:rPr>
          <w:lang w:val="es-ES"/>
        </w:rPr>
        <w:t>3).</w:t>
      </w:r>
    </w:p>
    <w:p w14:paraId="581134BA" w14:textId="77777777" w:rsidR="000B7E7B" w:rsidRPr="00CC5FE3" w:rsidRDefault="000B7E7B" w:rsidP="00512B34">
      <w:pPr>
        <w:rPr>
          <w:lang w:val="es-ES"/>
        </w:rPr>
      </w:pPr>
      <w:r w:rsidRPr="00CC5FE3">
        <w:rPr>
          <w:lang w:val="es-ES"/>
        </w:rPr>
        <w:t xml:space="preserve">Se propusieron diversos temas para el próximo periodo de estudios, por ejemplo, el despliegue de plataformas colaborativas de C+I, la creación de bases de datos centralizadas para luchar contra la falsificación de equipos de TIC y la formulación de marcos jurídicos armonizados para luchar </w:t>
      </w:r>
      <w:r w:rsidRPr="00CC5FE3">
        <w:rPr>
          <w:lang w:val="es-ES"/>
        </w:rPr>
        <w:lastRenderedPageBreak/>
        <w:t xml:space="preserve">contra el robo de dispositivos móviles. Puede encontrarse más información al respecto en el Documento </w:t>
      </w:r>
      <w:hyperlink r:id="rId66" w:history="1">
        <w:r w:rsidRPr="00CC5FE3">
          <w:rPr>
            <w:rStyle w:val="Hyperlink"/>
            <w:lang w:val="es-ES"/>
          </w:rPr>
          <w:t>TDAG-WG-futureSGQ/48</w:t>
        </w:r>
      </w:hyperlink>
      <w:r w:rsidRPr="00CC5FE3">
        <w:rPr>
          <w:lang w:val="es-ES"/>
        </w:rPr>
        <w:t>.</w:t>
      </w:r>
    </w:p>
    <w:p w14:paraId="27209804" w14:textId="77777777" w:rsidR="000B7E7B" w:rsidRPr="00CC5FE3" w:rsidRDefault="000B7E7B" w:rsidP="00AA32DA">
      <w:pPr>
        <w:pStyle w:val="Headingb"/>
        <w:rPr>
          <w:lang w:val="es-ES"/>
        </w:rPr>
      </w:pPr>
      <w:r w:rsidRPr="00CC5FE3">
        <w:rPr>
          <w:lang w:val="es-ES"/>
        </w:rPr>
        <w:t xml:space="preserve">Cuestión 5/2 – </w:t>
      </w:r>
      <w:r w:rsidRPr="00CC5FE3">
        <w:rPr>
          <w:lang w:val="es-ES" w:eastAsia="zh-CN"/>
        </w:rPr>
        <w:t>Adopción de las telecomunicaciones/TIC y mejora de las competencias digitales</w:t>
      </w:r>
    </w:p>
    <w:p w14:paraId="2874A021" w14:textId="42D0B5E8" w:rsidR="000B7E7B" w:rsidRPr="00CC5FE3" w:rsidRDefault="000B7E7B" w:rsidP="00512B34">
      <w:pPr>
        <w:rPr>
          <w:lang w:val="es-ES"/>
        </w:rPr>
      </w:pPr>
      <w:r w:rsidRPr="00CC5FE3">
        <w:rPr>
          <w:lang w:val="es-ES"/>
        </w:rPr>
        <w:t>El Informe de resultados aprobado sobre la Cuestión 5/2 se recoge en el Documento</w:t>
      </w:r>
      <w:r w:rsidR="00AA32DA" w:rsidRPr="00CC5FE3">
        <w:rPr>
          <w:lang w:val="es-ES"/>
        </w:rPr>
        <w:t> </w:t>
      </w:r>
      <w:hyperlink r:id="rId67" w:history="1">
        <w:r w:rsidRPr="00CC5FE3">
          <w:rPr>
            <w:rStyle w:val="Hyperlink"/>
            <w:lang w:val="es-ES"/>
          </w:rPr>
          <w:t>2/362</w:t>
        </w:r>
      </w:hyperlink>
      <w:r w:rsidRPr="00CC5FE3">
        <w:rPr>
          <w:lang w:val="es-ES"/>
        </w:rPr>
        <w:t>.</w:t>
      </w:r>
    </w:p>
    <w:p w14:paraId="1D2FE131" w14:textId="77777777" w:rsidR="000B7E7B" w:rsidRPr="00CC5FE3" w:rsidRDefault="000B7E7B" w:rsidP="00512B34">
      <w:pPr>
        <w:rPr>
          <w:lang w:val="es-ES"/>
        </w:rPr>
      </w:pPr>
      <w:r w:rsidRPr="00CC5FE3">
        <w:rPr>
          <w:lang w:val="es-ES"/>
        </w:rPr>
        <w:t>El Grupo de Relator sobre la Cuestión 5/2 organizó también los siguientes talleres:</w:t>
      </w:r>
    </w:p>
    <w:p w14:paraId="50DEC80D" w14:textId="2176AF46" w:rsidR="000B7E7B" w:rsidRPr="00CC5FE3" w:rsidRDefault="000B7E7B" w:rsidP="00AA32DA">
      <w:pPr>
        <w:pStyle w:val="enumlev1"/>
        <w:rPr>
          <w:lang w:val="es-ES"/>
        </w:rPr>
      </w:pPr>
      <w:r w:rsidRPr="00CC5FE3">
        <w:rPr>
          <w:lang w:val="es-ES"/>
        </w:rPr>
        <w:t>–</w:t>
      </w:r>
      <w:r w:rsidRPr="00CC5FE3">
        <w:rPr>
          <w:lang w:val="es-ES"/>
        </w:rPr>
        <w:tab/>
        <w:t>taller sobre adopción de las TIC y desarrollo de las competencias digitales, celebrado el 1 de junio de 2023 (</w:t>
      </w:r>
      <w:hyperlink r:id="rId68" w:history="1">
        <w:r w:rsidRPr="00CC5FE3">
          <w:rPr>
            <w:rStyle w:val="Hyperlink"/>
            <w:lang w:val="es-ES"/>
          </w:rPr>
          <w:t>programa</w:t>
        </w:r>
      </w:hyperlink>
      <w:r w:rsidRPr="00CC5FE3">
        <w:rPr>
          <w:lang w:val="es-ES"/>
        </w:rPr>
        <w:t xml:space="preserve">, </w:t>
      </w:r>
      <w:hyperlink r:id="rId69" w:history="1">
        <w:r w:rsidRPr="00CC5FE3">
          <w:rPr>
            <w:rStyle w:val="Hyperlink"/>
            <w:lang w:val="es-ES"/>
          </w:rPr>
          <w:t>informe</w:t>
        </w:r>
      </w:hyperlink>
      <w:r w:rsidRPr="00CC5FE3">
        <w:rPr>
          <w:lang w:val="es-ES"/>
        </w:rPr>
        <w:t>, Anexo 3)</w:t>
      </w:r>
      <w:r w:rsidR="00AA32DA" w:rsidRPr="00CC5FE3">
        <w:rPr>
          <w:lang w:val="es-ES"/>
        </w:rPr>
        <w:t>;</w:t>
      </w:r>
    </w:p>
    <w:p w14:paraId="0DAD7DDB" w14:textId="77777777" w:rsidR="000B7E7B" w:rsidRPr="00CC5FE3" w:rsidRDefault="000B7E7B" w:rsidP="00AA32DA">
      <w:pPr>
        <w:pStyle w:val="enumlev1"/>
        <w:rPr>
          <w:lang w:val="es-ES"/>
        </w:rPr>
      </w:pPr>
      <w:r w:rsidRPr="00CC5FE3">
        <w:rPr>
          <w:lang w:val="es-ES"/>
        </w:rPr>
        <w:t>–</w:t>
      </w:r>
      <w:r w:rsidRPr="00CC5FE3">
        <w:rPr>
          <w:lang w:val="es-ES"/>
        </w:rPr>
        <w:tab/>
        <w:t>taller sobre desarrollo de competencias digitales y políticas, estrategias y experiencias nacionales para un futuro mejor, celebrado el 8 de mayo de 2024 (</w:t>
      </w:r>
      <w:hyperlink r:id="rId70" w:history="1">
        <w:r w:rsidRPr="00CC5FE3">
          <w:rPr>
            <w:rStyle w:val="Hyperlink"/>
            <w:lang w:val="es-ES"/>
          </w:rPr>
          <w:t>programa</w:t>
        </w:r>
      </w:hyperlink>
      <w:r w:rsidRPr="00CC5FE3">
        <w:rPr>
          <w:lang w:val="es-ES"/>
        </w:rPr>
        <w:t xml:space="preserve">, </w:t>
      </w:r>
      <w:hyperlink r:id="rId71" w:history="1">
        <w:r w:rsidRPr="00CC5FE3">
          <w:rPr>
            <w:rStyle w:val="Hyperlink"/>
            <w:lang w:val="es-ES"/>
          </w:rPr>
          <w:t>informe</w:t>
        </w:r>
      </w:hyperlink>
      <w:r w:rsidRPr="00CC5FE3">
        <w:rPr>
          <w:lang w:val="es-ES"/>
        </w:rPr>
        <w:t>, Anexo 4).</w:t>
      </w:r>
    </w:p>
    <w:p w14:paraId="53C1F9F2" w14:textId="77777777" w:rsidR="000B7E7B" w:rsidRPr="00CC5FE3" w:rsidRDefault="000B7E7B" w:rsidP="00512B34">
      <w:pPr>
        <w:rPr>
          <w:lang w:val="es-ES"/>
        </w:rPr>
      </w:pPr>
      <w:r w:rsidRPr="00CC5FE3">
        <w:rPr>
          <w:lang w:val="es-ES"/>
        </w:rPr>
        <w:t>Con respecto a los temas futuros, habida cuenta de que este ámbito de estudio se ha abordado por primera vez durante este periodo de estudios, se consideró que no se había estudiado por completo ninguno de los puntos incluidos en el mandato actual de esta Cuestión y que se requerían estudios adicionales.</w:t>
      </w:r>
    </w:p>
    <w:p w14:paraId="539EAC61" w14:textId="77777777" w:rsidR="000B7E7B" w:rsidRPr="00CC5FE3" w:rsidRDefault="000B7E7B" w:rsidP="00AA32DA">
      <w:pPr>
        <w:pStyle w:val="Headingb"/>
        <w:rPr>
          <w:lang w:val="es-ES"/>
        </w:rPr>
      </w:pPr>
      <w:r w:rsidRPr="00CC5FE3">
        <w:rPr>
          <w:lang w:val="es-ES"/>
        </w:rPr>
        <w:t xml:space="preserve">Cuestión 6/2 – </w:t>
      </w:r>
      <w:r w:rsidRPr="00CC5FE3">
        <w:rPr>
          <w:lang w:val="es-ES" w:eastAsia="zh-CN"/>
        </w:rPr>
        <w:t>Las TIC y el medio ambiente</w:t>
      </w:r>
    </w:p>
    <w:p w14:paraId="0947DB8F" w14:textId="77777777" w:rsidR="000B7E7B" w:rsidRPr="00CC5FE3" w:rsidRDefault="000B7E7B" w:rsidP="00512B34">
      <w:pPr>
        <w:rPr>
          <w:lang w:val="es-ES"/>
        </w:rPr>
      </w:pPr>
      <w:r w:rsidRPr="00CC5FE3">
        <w:rPr>
          <w:lang w:val="es-ES"/>
        </w:rPr>
        <w:t xml:space="preserve">El Informe de resultados sobre la Cuestión 6/2 se recoge en el Documento </w:t>
      </w:r>
      <w:hyperlink r:id="rId72" w:history="1">
        <w:r w:rsidRPr="00CC5FE3">
          <w:rPr>
            <w:rStyle w:val="Hyperlink"/>
            <w:lang w:val="es-ES"/>
          </w:rPr>
          <w:t>2/363</w:t>
        </w:r>
      </w:hyperlink>
      <w:r w:rsidRPr="00CC5FE3">
        <w:rPr>
          <w:lang w:val="es-ES"/>
        </w:rPr>
        <w:t>.</w:t>
      </w:r>
    </w:p>
    <w:p w14:paraId="24BEBA05" w14:textId="77777777" w:rsidR="000B7E7B" w:rsidRPr="00CC5FE3" w:rsidRDefault="000B7E7B" w:rsidP="00512B34">
      <w:pPr>
        <w:rPr>
          <w:lang w:val="es-ES"/>
        </w:rPr>
      </w:pPr>
      <w:r w:rsidRPr="00CC5FE3">
        <w:rPr>
          <w:lang w:val="es-ES"/>
        </w:rPr>
        <w:t>El Grupo de Relator sobre la Cuestión 6/2 organizó también los siguientes talleres:</w:t>
      </w:r>
    </w:p>
    <w:p w14:paraId="43F306B7" w14:textId="2644EAC1" w:rsidR="000B7E7B" w:rsidRPr="00CC5FE3" w:rsidRDefault="000B7E7B" w:rsidP="00AA32DA">
      <w:pPr>
        <w:pStyle w:val="enumlev1"/>
        <w:rPr>
          <w:lang w:val="es-ES"/>
        </w:rPr>
      </w:pPr>
      <w:r w:rsidRPr="00CC5FE3">
        <w:rPr>
          <w:lang w:val="es-ES"/>
        </w:rPr>
        <w:t>–</w:t>
      </w:r>
      <w:r w:rsidRPr="00CC5FE3">
        <w:rPr>
          <w:lang w:val="es-ES"/>
        </w:rPr>
        <w:tab/>
        <w:t>taller sobre las TIC ecológicas y las tecnologías emergentes para la mitigación del cambio climático, celebrado el 29 de mayo de 2023 (</w:t>
      </w:r>
      <w:hyperlink r:id="rId73" w:history="1">
        <w:r w:rsidRPr="00CC5FE3">
          <w:rPr>
            <w:rStyle w:val="Hyperlink"/>
            <w:lang w:val="es-ES"/>
          </w:rPr>
          <w:t>programa</w:t>
        </w:r>
      </w:hyperlink>
      <w:r w:rsidRPr="00CC5FE3">
        <w:rPr>
          <w:lang w:val="es-ES"/>
        </w:rPr>
        <w:t xml:space="preserve">, </w:t>
      </w:r>
      <w:hyperlink r:id="rId74" w:history="1">
        <w:r w:rsidRPr="00CC5FE3">
          <w:rPr>
            <w:rStyle w:val="Hyperlink"/>
            <w:lang w:val="es-ES"/>
          </w:rPr>
          <w:t>informe</w:t>
        </w:r>
      </w:hyperlink>
      <w:r w:rsidRPr="00CC5FE3">
        <w:rPr>
          <w:lang w:val="es-ES"/>
        </w:rPr>
        <w:t>, Anexo</w:t>
      </w:r>
      <w:r w:rsidR="00AA32DA" w:rsidRPr="00CC5FE3">
        <w:rPr>
          <w:lang w:val="es-ES"/>
        </w:rPr>
        <w:t> </w:t>
      </w:r>
      <w:r w:rsidRPr="00CC5FE3">
        <w:rPr>
          <w:lang w:val="es-ES"/>
        </w:rPr>
        <w:t>4);</w:t>
      </w:r>
    </w:p>
    <w:p w14:paraId="5D557D76" w14:textId="2C4F11C9" w:rsidR="000B7E7B" w:rsidRPr="00CC5FE3" w:rsidRDefault="000B7E7B" w:rsidP="00AA32DA">
      <w:pPr>
        <w:pStyle w:val="enumlev1"/>
        <w:rPr>
          <w:lang w:val="es-ES"/>
        </w:rPr>
      </w:pPr>
      <w:r w:rsidRPr="00CC5FE3">
        <w:rPr>
          <w:lang w:val="es-ES"/>
        </w:rPr>
        <w:t>–</w:t>
      </w:r>
      <w:r w:rsidRPr="00CC5FE3">
        <w:rPr>
          <w:lang w:val="es-ES"/>
        </w:rPr>
        <w:tab/>
        <w:t>taller sobre aspectos de la economía circular y nuevas tecnologías para la lucha contra el cambio climático, celebrado el 6 de mayo de 2024 (</w:t>
      </w:r>
      <w:hyperlink r:id="rId75" w:history="1">
        <w:r w:rsidRPr="00CC5FE3">
          <w:rPr>
            <w:rStyle w:val="Hyperlink"/>
            <w:lang w:val="es-ES"/>
          </w:rPr>
          <w:t>programa</w:t>
        </w:r>
      </w:hyperlink>
      <w:r w:rsidRPr="00CC5FE3">
        <w:rPr>
          <w:lang w:val="es-ES"/>
        </w:rPr>
        <w:t xml:space="preserve">, </w:t>
      </w:r>
      <w:hyperlink r:id="rId76" w:history="1">
        <w:r w:rsidRPr="00CC5FE3">
          <w:rPr>
            <w:rStyle w:val="Hyperlink"/>
            <w:lang w:val="es-ES"/>
          </w:rPr>
          <w:t>informe</w:t>
        </w:r>
      </w:hyperlink>
      <w:r w:rsidRPr="00CC5FE3">
        <w:rPr>
          <w:lang w:val="es-ES"/>
        </w:rPr>
        <w:t>, Anexo</w:t>
      </w:r>
      <w:r w:rsidR="00AA32DA" w:rsidRPr="00CC5FE3">
        <w:rPr>
          <w:lang w:val="es-ES"/>
        </w:rPr>
        <w:t> </w:t>
      </w:r>
      <w:r w:rsidRPr="00CC5FE3">
        <w:rPr>
          <w:lang w:val="es-ES"/>
        </w:rPr>
        <w:t>4).</w:t>
      </w:r>
    </w:p>
    <w:p w14:paraId="33BAEFAF" w14:textId="77777777" w:rsidR="000B7E7B" w:rsidRPr="00CC5FE3" w:rsidRDefault="000B7E7B" w:rsidP="00512B34">
      <w:pPr>
        <w:rPr>
          <w:lang w:val="es-ES"/>
        </w:rPr>
      </w:pPr>
      <w:r w:rsidRPr="00CC5FE3">
        <w:rPr>
          <w:lang w:val="es-ES"/>
        </w:rPr>
        <w:t>Se propusieron diversos temas para el próximo periodo de estudios, a saber:</w:t>
      </w:r>
    </w:p>
    <w:p w14:paraId="2589E1EB" w14:textId="2F196A30" w:rsidR="000B7E7B" w:rsidRPr="00CC5FE3" w:rsidRDefault="000B7E7B" w:rsidP="000B7E7B">
      <w:pPr>
        <w:tabs>
          <w:tab w:val="clear" w:pos="1134"/>
          <w:tab w:val="clear" w:pos="1871"/>
          <w:tab w:val="clear" w:pos="2268"/>
          <w:tab w:val="left" w:pos="794"/>
          <w:tab w:val="left" w:pos="1191"/>
          <w:tab w:val="left" w:pos="1588"/>
          <w:tab w:val="left" w:pos="1985"/>
        </w:tabs>
        <w:spacing w:after="120"/>
        <w:ind w:left="792" w:hanging="792"/>
        <w:rPr>
          <w:lang w:val="es-ES"/>
        </w:rPr>
      </w:pPr>
      <w:r w:rsidRPr="00CC5FE3">
        <w:rPr>
          <w:lang w:val="es-ES"/>
        </w:rPr>
        <w:t>–</w:t>
      </w:r>
      <w:r w:rsidRPr="00CC5FE3">
        <w:rPr>
          <w:lang w:val="es-ES"/>
        </w:rPr>
        <w:tab/>
        <w:t>la función de las TIC y de las tecnologías inteligentes de vanguardia, como la IA, a la reducción de las catástrofes relacionadas con el cambio climático, como las inundaciones repentinas y los incendios a gran escala (en colaboración con la Cuestión 3/1)</w:t>
      </w:r>
      <w:r w:rsidR="00AA32DA" w:rsidRPr="00CC5FE3">
        <w:rPr>
          <w:lang w:val="es-ES"/>
        </w:rPr>
        <w:t>;</w:t>
      </w:r>
    </w:p>
    <w:p w14:paraId="35ACC9F1" w14:textId="77777777" w:rsidR="000B7E7B" w:rsidRPr="00CC5FE3" w:rsidRDefault="000B7E7B" w:rsidP="000B7E7B">
      <w:pPr>
        <w:tabs>
          <w:tab w:val="clear" w:pos="1134"/>
          <w:tab w:val="clear" w:pos="1871"/>
          <w:tab w:val="clear" w:pos="2268"/>
          <w:tab w:val="left" w:pos="794"/>
          <w:tab w:val="left" w:pos="1191"/>
          <w:tab w:val="left" w:pos="1588"/>
          <w:tab w:val="left" w:pos="1985"/>
        </w:tabs>
        <w:spacing w:after="120"/>
        <w:ind w:left="792" w:hanging="792"/>
        <w:rPr>
          <w:lang w:val="es-ES"/>
        </w:rPr>
      </w:pPr>
      <w:r w:rsidRPr="00CC5FE3">
        <w:rPr>
          <w:lang w:val="es-ES"/>
        </w:rPr>
        <w:t>–</w:t>
      </w:r>
      <w:r w:rsidRPr="00CC5FE3">
        <w:rPr>
          <w:lang w:val="es-ES"/>
        </w:rPr>
        <w:tab/>
        <w:t>la función de las TIC en el seguimiento y la protección de la biodiversidad en todo el mundo, y en particular, en los puntos críticos de biodiversidad donde la variedad y riqueza de los ecosistemas es particularmente alta.</w:t>
      </w:r>
    </w:p>
    <w:p w14:paraId="40CBE6A9" w14:textId="3C7A4E05" w:rsidR="000B7E7B" w:rsidRPr="00CC5FE3" w:rsidRDefault="000B7E7B" w:rsidP="00512B34">
      <w:pPr>
        <w:rPr>
          <w:rFonts w:eastAsia="Malgun Gothic"/>
          <w:b/>
          <w:bCs/>
          <w:lang w:val="es-ES" w:eastAsia="ko-KR"/>
        </w:rPr>
      </w:pPr>
      <w:r w:rsidRPr="00CC5FE3">
        <w:rPr>
          <w:lang w:val="es-ES"/>
        </w:rPr>
        <w:t>Puede consultarse un proyecto de mandato actualizado para la Cuestión 6/2 en el Documento</w:t>
      </w:r>
      <w:r w:rsidR="00AA32DA" w:rsidRPr="00CC5FE3">
        <w:rPr>
          <w:lang w:val="es-ES"/>
        </w:rPr>
        <w:t> </w:t>
      </w:r>
      <w:hyperlink r:id="rId77" w:history="1">
        <w:r w:rsidRPr="00CC5FE3">
          <w:rPr>
            <w:rStyle w:val="Hyperlink"/>
            <w:lang w:val="es-ES"/>
          </w:rPr>
          <w:t>TDAG-WG-futureSGQ/</w:t>
        </w:r>
        <w:r w:rsidRPr="00CC5FE3">
          <w:rPr>
            <w:rStyle w:val="Hyperlink"/>
            <w:rFonts w:eastAsia="Malgun Gothic"/>
            <w:lang w:val="es-ES" w:eastAsia="ko-KR"/>
          </w:rPr>
          <w:t>48</w:t>
        </w:r>
      </w:hyperlink>
      <w:r w:rsidRPr="00CC5FE3">
        <w:rPr>
          <w:lang w:val="es-ES"/>
        </w:rPr>
        <w:t>.</w:t>
      </w:r>
    </w:p>
    <w:p w14:paraId="695CBF81" w14:textId="77777777" w:rsidR="000B7E7B" w:rsidRPr="00CC5FE3" w:rsidRDefault="000B7E7B" w:rsidP="00AA32DA">
      <w:pPr>
        <w:pStyle w:val="Headingb"/>
        <w:rPr>
          <w:lang w:val="es-ES"/>
        </w:rPr>
      </w:pPr>
      <w:r w:rsidRPr="00CC5FE3">
        <w:rPr>
          <w:lang w:val="es-ES"/>
        </w:rPr>
        <w:t xml:space="preserve">Cuestión 7/2 – </w:t>
      </w:r>
      <w:r w:rsidRPr="00CC5FE3">
        <w:rPr>
          <w:lang w:val="es-ES" w:eastAsia="zh-CN"/>
        </w:rPr>
        <w:t>Estrategia y políticas relativas a la exposición de las personas a los campos electromagnéticos</w:t>
      </w:r>
    </w:p>
    <w:p w14:paraId="262B9719" w14:textId="39C51169" w:rsidR="000B7E7B" w:rsidRPr="00CC5FE3" w:rsidRDefault="000B7E7B" w:rsidP="00512B34">
      <w:pPr>
        <w:rPr>
          <w:lang w:val="es-ES"/>
        </w:rPr>
      </w:pPr>
      <w:r w:rsidRPr="00CC5FE3">
        <w:rPr>
          <w:lang w:val="es-ES"/>
        </w:rPr>
        <w:t>El Informe de resultados aprobado sobre la Cuestión 7/2 se recoge en el Documento</w:t>
      </w:r>
      <w:r w:rsidR="00AA32DA" w:rsidRPr="00CC5FE3">
        <w:rPr>
          <w:lang w:val="es-ES"/>
        </w:rPr>
        <w:t> </w:t>
      </w:r>
      <w:hyperlink r:id="rId78" w:history="1">
        <w:r w:rsidRPr="00CC5FE3">
          <w:rPr>
            <w:rStyle w:val="Hyperlink"/>
            <w:lang w:val="es-ES"/>
          </w:rPr>
          <w:t>2/364</w:t>
        </w:r>
      </w:hyperlink>
      <w:r w:rsidRPr="00CC5FE3">
        <w:rPr>
          <w:lang w:val="es-ES"/>
        </w:rPr>
        <w:t>.</w:t>
      </w:r>
    </w:p>
    <w:p w14:paraId="71506EC0" w14:textId="77777777" w:rsidR="000B7E7B" w:rsidRPr="00CC5FE3" w:rsidRDefault="000B7E7B" w:rsidP="00512B34">
      <w:pPr>
        <w:rPr>
          <w:lang w:val="es-ES"/>
        </w:rPr>
      </w:pPr>
      <w:r w:rsidRPr="00CC5FE3">
        <w:rPr>
          <w:lang w:val="es-ES"/>
        </w:rPr>
        <w:t>El Grupo de Relator sobre la Cuestión 7/2 organizó también los siguientes talleres:</w:t>
      </w:r>
    </w:p>
    <w:p w14:paraId="35B59F55" w14:textId="77777777" w:rsidR="000B7E7B" w:rsidRPr="00CC5FE3" w:rsidRDefault="000B7E7B" w:rsidP="00AA32DA">
      <w:pPr>
        <w:pStyle w:val="enumlev1"/>
        <w:rPr>
          <w:lang w:val="es-ES"/>
        </w:rPr>
      </w:pPr>
      <w:r w:rsidRPr="00CC5FE3">
        <w:rPr>
          <w:lang w:val="es-ES"/>
        </w:rPr>
        <w:t>–</w:t>
      </w:r>
      <w:r w:rsidRPr="00CC5FE3">
        <w:rPr>
          <w:lang w:val="es-ES"/>
        </w:rPr>
        <w:tab/>
        <w:t>taller sobre las políticas internacionales, regionales y nacionales sobre la exposición de las personas a los campos electromagnéticos (CEM), celebrado el 25 de mayo de 2023 (</w:t>
      </w:r>
      <w:hyperlink r:id="rId79" w:history="1">
        <w:r w:rsidRPr="00CC5FE3">
          <w:rPr>
            <w:rStyle w:val="Hyperlink"/>
            <w:lang w:val="es-ES"/>
          </w:rPr>
          <w:t>programa</w:t>
        </w:r>
      </w:hyperlink>
      <w:r w:rsidRPr="00CC5FE3">
        <w:rPr>
          <w:lang w:val="es-ES"/>
        </w:rPr>
        <w:t xml:space="preserve">, </w:t>
      </w:r>
      <w:hyperlink r:id="rId80" w:history="1">
        <w:r w:rsidRPr="00CC5FE3">
          <w:rPr>
            <w:rStyle w:val="Hyperlink"/>
            <w:lang w:val="es-ES"/>
          </w:rPr>
          <w:t>informe</w:t>
        </w:r>
      </w:hyperlink>
      <w:r w:rsidRPr="00CC5FE3">
        <w:rPr>
          <w:lang w:val="es-ES"/>
        </w:rPr>
        <w:t>, Anexo 4);</w:t>
      </w:r>
    </w:p>
    <w:p w14:paraId="13AE42CB" w14:textId="4166D6BB" w:rsidR="000B7E7B" w:rsidRPr="00CC5FE3" w:rsidRDefault="000B7E7B" w:rsidP="00AA32DA">
      <w:pPr>
        <w:pStyle w:val="enumlev1"/>
        <w:rPr>
          <w:lang w:val="es-ES"/>
        </w:rPr>
      </w:pPr>
      <w:r w:rsidRPr="00CC5FE3">
        <w:rPr>
          <w:lang w:val="es-ES"/>
        </w:rPr>
        <w:t>–</w:t>
      </w:r>
      <w:r w:rsidRPr="00CC5FE3">
        <w:rPr>
          <w:lang w:val="es-ES"/>
        </w:rPr>
        <w:tab/>
        <w:t>taller sobre las últimas novedades pertinentes para la formulación de políticas en materia de CEM, celebrado el 8 de mayo de 2024 (</w:t>
      </w:r>
      <w:hyperlink r:id="rId81" w:history="1">
        <w:r w:rsidRPr="00CC5FE3">
          <w:rPr>
            <w:rStyle w:val="Hyperlink"/>
            <w:lang w:val="es-ES"/>
          </w:rPr>
          <w:t>programa</w:t>
        </w:r>
      </w:hyperlink>
      <w:r w:rsidRPr="00CC5FE3">
        <w:rPr>
          <w:lang w:val="es-ES"/>
        </w:rPr>
        <w:t xml:space="preserve">, </w:t>
      </w:r>
      <w:hyperlink r:id="rId82" w:history="1">
        <w:r w:rsidRPr="00CC5FE3">
          <w:rPr>
            <w:rStyle w:val="Hyperlink"/>
            <w:lang w:val="es-ES"/>
          </w:rPr>
          <w:t>informe</w:t>
        </w:r>
      </w:hyperlink>
      <w:r w:rsidRPr="00CC5FE3">
        <w:rPr>
          <w:lang w:val="es-ES"/>
        </w:rPr>
        <w:t>, Anexo</w:t>
      </w:r>
      <w:r w:rsidR="00AA32DA" w:rsidRPr="00CC5FE3">
        <w:rPr>
          <w:lang w:val="es-ES"/>
        </w:rPr>
        <w:t> </w:t>
      </w:r>
      <w:r w:rsidRPr="00CC5FE3">
        <w:rPr>
          <w:lang w:val="es-ES"/>
        </w:rPr>
        <w:t>5).</w:t>
      </w:r>
    </w:p>
    <w:p w14:paraId="1F452117" w14:textId="77E83CF9" w:rsidR="000B7E7B" w:rsidRPr="00CC5FE3" w:rsidRDefault="000B7E7B" w:rsidP="00512B34">
      <w:pPr>
        <w:rPr>
          <w:lang w:val="es-ES"/>
        </w:rPr>
      </w:pPr>
      <w:r w:rsidRPr="00CC5FE3">
        <w:rPr>
          <w:lang w:val="es-ES"/>
        </w:rPr>
        <w:lastRenderedPageBreak/>
        <w:t>En esta fase se propusieron los siguientes temas para el próximo periodo de estudios: CEM</w:t>
      </w:r>
      <w:r w:rsidR="00AA32DA" w:rsidRPr="00CC5FE3">
        <w:rPr>
          <w:lang w:val="es-ES"/>
        </w:rPr>
        <w:t> </w:t>
      </w:r>
      <w:r w:rsidRPr="00CC5FE3">
        <w:rPr>
          <w:lang w:val="es-ES"/>
        </w:rPr>
        <w:t xml:space="preserve">5G, CEM en el espacio aéreo a baja altitud y drones, IA para la evaluación de CEM, CEM en dispositivos portátiles inteligentes </w:t>
      </w:r>
    </w:p>
    <w:p w14:paraId="3A1343CD" w14:textId="4F7ACD63" w:rsidR="000B7E7B" w:rsidRPr="00CC5FE3" w:rsidRDefault="000B7E7B" w:rsidP="00512B34">
      <w:pPr>
        <w:rPr>
          <w:lang w:val="es-ES"/>
        </w:rPr>
      </w:pPr>
      <w:r w:rsidRPr="00CC5FE3">
        <w:rPr>
          <w:lang w:val="es-ES"/>
        </w:rPr>
        <w:t>Puede consultarse un Proyecto de mandato actualizado para la Cuestión 7/2 en el Documento</w:t>
      </w:r>
      <w:r w:rsidR="00AA32DA" w:rsidRPr="00CC5FE3">
        <w:rPr>
          <w:lang w:val="es-ES"/>
        </w:rPr>
        <w:t> </w:t>
      </w:r>
      <w:hyperlink r:id="rId83" w:history="1">
        <w:r w:rsidRPr="00CC5FE3">
          <w:rPr>
            <w:rStyle w:val="Hyperlink"/>
            <w:lang w:val="es-ES"/>
          </w:rPr>
          <w:t>TDAG-WG-futureSGQ/</w:t>
        </w:r>
        <w:r w:rsidRPr="00CC5FE3">
          <w:rPr>
            <w:rStyle w:val="Hyperlink"/>
            <w:rFonts w:eastAsia="Malgun Gothic"/>
            <w:lang w:val="es-ES" w:eastAsia="ko-KR"/>
          </w:rPr>
          <w:t>48</w:t>
        </w:r>
      </w:hyperlink>
      <w:r w:rsidRPr="00CC5FE3">
        <w:rPr>
          <w:lang w:val="es-ES"/>
        </w:rPr>
        <w:t>.</w:t>
      </w:r>
    </w:p>
    <w:p w14:paraId="101CDE27" w14:textId="77777777" w:rsidR="000B7E7B" w:rsidRPr="00CC5FE3" w:rsidRDefault="000B7E7B" w:rsidP="00AA32DA">
      <w:pPr>
        <w:pStyle w:val="Headingb"/>
        <w:rPr>
          <w:rFonts w:eastAsia="Malgun Gothic"/>
          <w:lang w:val="es-ES" w:eastAsia="ko-KR"/>
        </w:rPr>
      </w:pPr>
      <w:r w:rsidRPr="00CC5FE3">
        <w:rPr>
          <w:lang w:val="es-ES"/>
        </w:rPr>
        <w:t>Colaboración con otros grupos</w:t>
      </w:r>
    </w:p>
    <w:p w14:paraId="3E832701" w14:textId="77777777" w:rsidR="000B7E7B" w:rsidRPr="00CC5FE3" w:rsidRDefault="000B7E7B" w:rsidP="00AA32DA">
      <w:pPr>
        <w:pStyle w:val="Headingb"/>
        <w:rPr>
          <w:lang w:val="es-ES"/>
        </w:rPr>
      </w:pPr>
      <w:r w:rsidRPr="00CC5FE3">
        <w:rPr>
          <w:lang w:val="es-ES"/>
        </w:rPr>
        <w:t>Cuestiones de estudio y Comisiones de Estudio del UIT-D</w:t>
      </w:r>
    </w:p>
    <w:p w14:paraId="487C2AFA" w14:textId="762399DF" w:rsidR="000B7E7B" w:rsidRPr="00CC5FE3" w:rsidRDefault="000B7E7B" w:rsidP="00823B1F">
      <w:pPr>
        <w:rPr>
          <w:lang w:val="es-ES"/>
        </w:rPr>
      </w:pPr>
      <w:r w:rsidRPr="00CC5FE3">
        <w:rPr>
          <w:lang w:val="es-ES"/>
        </w:rPr>
        <w:t>Se buscaban en todo momento sinergias entre las Cuestiones de la CE 2, y con la CE</w:t>
      </w:r>
      <w:r w:rsidR="00823B1F" w:rsidRPr="00CC5FE3">
        <w:rPr>
          <w:lang w:val="es-ES"/>
        </w:rPr>
        <w:t> </w:t>
      </w:r>
      <w:r w:rsidRPr="00CC5FE3">
        <w:rPr>
          <w:lang w:val="es-ES"/>
        </w:rPr>
        <w:t>1.</w:t>
      </w:r>
    </w:p>
    <w:p w14:paraId="5E899BF3" w14:textId="77777777" w:rsidR="000B7E7B" w:rsidRPr="00CC5FE3" w:rsidRDefault="000B7E7B" w:rsidP="00823B1F">
      <w:pPr>
        <w:rPr>
          <w:lang w:val="es-ES"/>
        </w:rPr>
      </w:pPr>
      <w:r w:rsidRPr="00CC5FE3">
        <w:rPr>
          <w:lang w:val="es-ES"/>
        </w:rPr>
        <w:t>Se llevó a cabo un taller conjunto de la Cuestión 6/1 y la Cuestión 3/2 sobre sensibilización de los consumidores</w:t>
      </w:r>
      <w:r w:rsidRPr="00CC5FE3">
        <w:rPr>
          <w:vertAlign w:val="superscript"/>
          <w:lang w:val="es-ES"/>
        </w:rPr>
        <w:footnoteReference w:id="12"/>
      </w:r>
      <w:r w:rsidRPr="00CC5FE3">
        <w:rPr>
          <w:lang w:val="es-ES"/>
        </w:rPr>
        <w:t>, celebrado del 18 al 20 de junio de 2024 en Brasilia y organizado por ANATEL, en colaboración con la Oficina Regional de la UIT para las Américas.</w:t>
      </w:r>
    </w:p>
    <w:p w14:paraId="60309F07" w14:textId="5FF49CC3" w:rsidR="000B7E7B" w:rsidRPr="00CC5FE3" w:rsidRDefault="000B7E7B" w:rsidP="00823B1F">
      <w:pPr>
        <w:rPr>
          <w:lang w:val="es-ES"/>
        </w:rPr>
      </w:pPr>
      <w:r w:rsidRPr="00CC5FE3">
        <w:rPr>
          <w:lang w:val="es-ES"/>
        </w:rPr>
        <w:t>Se celebraron cuatro reuniones conjuntas de los equipos de dirección de la CE</w:t>
      </w:r>
      <w:r w:rsidR="00823B1F" w:rsidRPr="00CC5FE3">
        <w:rPr>
          <w:lang w:val="es-ES"/>
        </w:rPr>
        <w:t> </w:t>
      </w:r>
      <w:r w:rsidRPr="00CC5FE3">
        <w:rPr>
          <w:lang w:val="es-ES"/>
        </w:rPr>
        <w:t>1 y la CE</w:t>
      </w:r>
      <w:r w:rsidR="00823B1F" w:rsidRPr="00CC5FE3">
        <w:rPr>
          <w:lang w:val="es-ES"/>
        </w:rPr>
        <w:t> </w:t>
      </w:r>
      <w:r w:rsidRPr="00CC5FE3">
        <w:rPr>
          <w:lang w:val="es-ES"/>
        </w:rPr>
        <w:t>2, concretamente el domingo anterior al inicio de las reuniones anuales de la CE</w:t>
      </w:r>
      <w:r w:rsidR="00823B1F" w:rsidRPr="00CC5FE3">
        <w:rPr>
          <w:lang w:val="es-ES"/>
        </w:rPr>
        <w:t> </w:t>
      </w:r>
      <w:r w:rsidRPr="00CC5FE3">
        <w:rPr>
          <w:lang w:val="es-ES"/>
        </w:rPr>
        <w:t>2, bajo la presidencia del Director de la BDT. Estas reuniones garantizaron la coordinación y colaboración entre las dos Comisiones de Estudio del UIT</w:t>
      </w:r>
      <w:r w:rsidR="00823B1F" w:rsidRPr="00CC5FE3">
        <w:rPr>
          <w:lang w:val="es-ES"/>
        </w:rPr>
        <w:noBreakHyphen/>
      </w:r>
      <w:r w:rsidRPr="00CC5FE3">
        <w:rPr>
          <w:lang w:val="es-ES"/>
        </w:rPr>
        <w:t>D.</w:t>
      </w:r>
    </w:p>
    <w:p w14:paraId="4451C302" w14:textId="77777777" w:rsidR="000B7E7B" w:rsidRPr="00CC5FE3" w:rsidRDefault="000B7E7B" w:rsidP="00823B1F">
      <w:pPr>
        <w:rPr>
          <w:lang w:val="es-ES"/>
        </w:rPr>
      </w:pPr>
      <w:r w:rsidRPr="00CC5FE3">
        <w:rPr>
          <w:lang w:val="es-ES"/>
        </w:rPr>
        <w:t>En colaboración con la CE 1, se prepararon dos proyectos de documentos de orientación sobre los siguientes puntos, que deben ser objeto de una reflexión conjunta para que el trabajo de las Comisiones de Estudio sea más eficiente y eficaz:</w:t>
      </w:r>
    </w:p>
    <w:p w14:paraId="0FB2FA0C" w14:textId="07A57298" w:rsidR="000B7E7B" w:rsidRPr="00CC5FE3" w:rsidRDefault="000B7E7B" w:rsidP="00823B1F">
      <w:pPr>
        <w:pStyle w:val="enumlev1"/>
        <w:rPr>
          <w:lang w:val="es-ES"/>
        </w:rPr>
      </w:pPr>
      <w:r w:rsidRPr="00CC5FE3">
        <w:rPr>
          <w:lang w:val="es-ES"/>
        </w:rPr>
        <w:t>–</w:t>
      </w:r>
      <w:r w:rsidRPr="00CC5FE3">
        <w:rPr>
          <w:lang w:val="es-ES"/>
        </w:rPr>
        <w:tab/>
        <w:t>directrices para la presentación de candidaturas a los puestos de Relator y Vicerrelator y para la evaluación de los candidatos</w:t>
      </w:r>
      <w:r w:rsidR="00823B1F" w:rsidRPr="00CC5FE3">
        <w:rPr>
          <w:lang w:val="es-ES"/>
        </w:rPr>
        <w:t>;</w:t>
      </w:r>
    </w:p>
    <w:p w14:paraId="602F5B6D" w14:textId="77777777" w:rsidR="000B7E7B" w:rsidRPr="00CC5FE3" w:rsidRDefault="000B7E7B" w:rsidP="00823B1F">
      <w:pPr>
        <w:pStyle w:val="enumlev1"/>
        <w:rPr>
          <w:lang w:val="es-ES"/>
        </w:rPr>
      </w:pPr>
      <w:r w:rsidRPr="00CC5FE3">
        <w:rPr>
          <w:lang w:val="es-ES"/>
        </w:rPr>
        <w:t>–</w:t>
      </w:r>
      <w:r w:rsidRPr="00CC5FE3">
        <w:rPr>
          <w:lang w:val="es-ES"/>
        </w:rPr>
        <w:tab/>
        <w:t>directrices para el tratamiento de los retos que afectan a la utilización eficaz de los productos de las Comisiones de Estudio del UIT-D.</w:t>
      </w:r>
    </w:p>
    <w:p w14:paraId="13D33FDD" w14:textId="50E45694" w:rsidR="000B7E7B" w:rsidRPr="00CC5FE3" w:rsidRDefault="000B7E7B" w:rsidP="00823B1F">
      <w:pPr>
        <w:rPr>
          <w:lang w:val="es-ES"/>
        </w:rPr>
      </w:pPr>
      <w:r w:rsidRPr="00CC5FE3">
        <w:rPr>
          <w:lang w:val="es-ES"/>
        </w:rPr>
        <w:t>Estos documentos están actualmente en curso y se recogen en el Documento</w:t>
      </w:r>
      <w:r w:rsidR="00823B1F" w:rsidRPr="00CC5FE3">
        <w:rPr>
          <w:lang w:val="es-ES"/>
        </w:rPr>
        <w:t> </w:t>
      </w:r>
      <w:hyperlink r:id="rId84" w:history="1">
        <w:r w:rsidRPr="00CC5FE3">
          <w:rPr>
            <w:rStyle w:val="Hyperlink"/>
            <w:rFonts w:cstheme="minorHAnsi"/>
            <w:szCs w:val="24"/>
            <w:lang w:val="es-ES"/>
          </w:rPr>
          <w:t>2/403</w:t>
        </w:r>
      </w:hyperlink>
      <w:r w:rsidRPr="00CC5FE3">
        <w:rPr>
          <w:lang w:val="es-ES"/>
        </w:rPr>
        <w:t xml:space="preserve"> y en los </w:t>
      </w:r>
      <w:r w:rsidRPr="00CC5FE3">
        <w:rPr>
          <w:b/>
          <w:bCs/>
          <w:lang w:val="es-ES"/>
        </w:rPr>
        <w:t>Anexos</w:t>
      </w:r>
      <w:r w:rsidR="00823B1F" w:rsidRPr="00CC5FE3">
        <w:rPr>
          <w:b/>
          <w:bCs/>
          <w:lang w:val="es-ES"/>
        </w:rPr>
        <w:t> </w:t>
      </w:r>
      <w:r w:rsidRPr="00CC5FE3">
        <w:rPr>
          <w:b/>
          <w:bCs/>
          <w:lang w:val="es-ES"/>
        </w:rPr>
        <w:t>4</w:t>
      </w:r>
      <w:r w:rsidRPr="00CC5FE3">
        <w:rPr>
          <w:lang w:val="es-ES"/>
        </w:rPr>
        <w:t xml:space="preserve"> y </w:t>
      </w:r>
      <w:r w:rsidRPr="00CC5FE3">
        <w:rPr>
          <w:b/>
          <w:bCs/>
          <w:lang w:val="es-ES"/>
        </w:rPr>
        <w:t>5</w:t>
      </w:r>
      <w:r w:rsidRPr="00CC5FE3">
        <w:rPr>
          <w:lang w:val="es-ES"/>
        </w:rPr>
        <w:t xml:space="preserve"> del presente Informe. Se comunican al GADT para información y orientación, según proceda.</w:t>
      </w:r>
    </w:p>
    <w:p w14:paraId="2A45BDE7" w14:textId="77777777" w:rsidR="000B7E7B" w:rsidRPr="00CC5FE3" w:rsidRDefault="000B7E7B" w:rsidP="00823B1F">
      <w:pPr>
        <w:pStyle w:val="Headingb"/>
        <w:rPr>
          <w:rFonts w:eastAsia="Malgun Gothic"/>
          <w:lang w:val="es-ES" w:eastAsia="ko-KR"/>
        </w:rPr>
      </w:pPr>
      <w:r w:rsidRPr="00CC5FE3">
        <w:rPr>
          <w:lang w:val="es-ES"/>
        </w:rPr>
        <w:t>Colaboración con el Grupo de Trabajo del GADT sobre el futuro de las Cuestiones de las Comisiones de Estudio</w:t>
      </w:r>
    </w:p>
    <w:p w14:paraId="50931EBC" w14:textId="77777777" w:rsidR="000B7E7B" w:rsidRPr="00CC5FE3" w:rsidRDefault="000B7E7B" w:rsidP="00823B1F">
      <w:pPr>
        <w:rPr>
          <w:rFonts w:eastAsia="Malgun Gothic"/>
          <w:lang w:val="es-ES" w:eastAsia="ko-KR"/>
        </w:rPr>
      </w:pPr>
      <w:r w:rsidRPr="00CC5FE3">
        <w:rPr>
          <w:rFonts w:eastAsia="Malgun Gothic"/>
          <w:lang w:val="es-ES" w:eastAsia="ko-KR"/>
        </w:rPr>
        <w:t>Una colaboración destacada durante la preparación de la próxima CMDT ha sido con el Grupo de Trabajo del GADT sobre el futuro de las Cuestiones de Comisiones de Estudio (GT-futureSGQ del GADT). La CE 2 designó a tal efecto al Vicepresidente, Sr. Abdelaziz Alzarooni (Emiratos Árabes Unidos), sucedido por el Vicepresidente, Sr. Víctor Martínez (Paraguay) a partir de 2025, para que garantizara la coordinación de las futuras Cuestiones de estudio. El Sr. Ahmad Reza Sharafat, Presidente del GT-futureSGQ del GADT, también fue invitado periódicamente a las reuniones de la Comisión de Estudio, de manera que la Comisión de Estudio recibe actualizaciones periódicas y aporta contribuciones significativas a este GT del GADT.</w:t>
      </w:r>
    </w:p>
    <w:p w14:paraId="370EE7A4" w14:textId="75DC9BBF" w:rsidR="000B7E7B" w:rsidRPr="00CC5FE3" w:rsidRDefault="000B7E7B" w:rsidP="00823B1F">
      <w:pPr>
        <w:rPr>
          <w:rFonts w:eastAsia="Malgun Gothic"/>
          <w:lang w:val="es-ES" w:eastAsia="ko-KR"/>
        </w:rPr>
      </w:pPr>
      <w:r w:rsidRPr="00CC5FE3">
        <w:rPr>
          <w:rFonts w:eastAsia="Malgun Gothic"/>
          <w:lang w:val="es-ES" w:eastAsia="ko-KR"/>
        </w:rPr>
        <w:t>Una vez completada la coordinación entre el Coordinador y los Relatores/Correlatores de la CE</w:t>
      </w:r>
      <w:r w:rsidR="00823B1F" w:rsidRPr="00CC5FE3">
        <w:rPr>
          <w:rFonts w:eastAsia="Malgun Gothic"/>
          <w:lang w:val="es-ES" w:eastAsia="ko-KR"/>
        </w:rPr>
        <w:t> </w:t>
      </w:r>
      <w:r w:rsidRPr="00CC5FE3">
        <w:rPr>
          <w:rFonts w:eastAsia="Malgun Gothic"/>
          <w:lang w:val="es-ES" w:eastAsia="ko-KR"/>
        </w:rPr>
        <w:t>2, las opiniones preliminares sobre posibles nuevos puntos para futuras Cuestiones de estudio fueron presentadas al GT del GADT para su consideración.</w:t>
      </w:r>
    </w:p>
    <w:p w14:paraId="51D95425" w14:textId="77777777" w:rsidR="000B7E7B" w:rsidRPr="00CC5FE3" w:rsidRDefault="000B7E7B" w:rsidP="00823B1F">
      <w:pPr>
        <w:rPr>
          <w:rFonts w:eastAsia="Malgun Gothic"/>
          <w:lang w:val="es-ES" w:eastAsia="ko-KR"/>
        </w:rPr>
      </w:pPr>
      <w:r w:rsidRPr="00CC5FE3">
        <w:rPr>
          <w:rFonts w:eastAsia="Malgun Gothic"/>
          <w:lang w:val="es-ES" w:eastAsia="ko-KR"/>
        </w:rPr>
        <w:lastRenderedPageBreak/>
        <w:t>Para más información, sírvase consultar los siguientes documentos:</w:t>
      </w:r>
    </w:p>
    <w:p w14:paraId="197DF9EB" w14:textId="77777777" w:rsidR="000B7E7B" w:rsidRPr="00CC5FE3" w:rsidRDefault="000B7E7B" w:rsidP="00823B1F">
      <w:pPr>
        <w:pStyle w:val="enumlev1"/>
        <w:rPr>
          <w:rFonts w:eastAsia="Malgun Gothic"/>
          <w:bCs/>
          <w:lang w:val="es-ES" w:eastAsia="ko-KR"/>
        </w:rPr>
      </w:pPr>
      <w:r w:rsidRPr="00CC5FE3">
        <w:rPr>
          <w:rFonts w:eastAsia="Malgun Gothic"/>
          <w:bCs/>
          <w:lang w:val="es-ES" w:eastAsia="ko-KR"/>
        </w:rPr>
        <w:t>–</w:t>
      </w:r>
      <w:r w:rsidRPr="00CC5FE3">
        <w:rPr>
          <w:rFonts w:eastAsia="Malgun Gothic"/>
          <w:bCs/>
          <w:lang w:val="es-ES" w:eastAsia="ko-KR"/>
        </w:rPr>
        <w:tab/>
        <w:t>página web del GT-futureSGQ del GADT (</w:t>
      </w:r>
      <w:hyperlink r:id="rId85" w:anchor="/es" w:history="1">
        <w:r w:rsidRPr="00CC5FE3">
          <w:rPr>
            <w:rStyle w:val="Hyperlink"/>
            <w:rFonts w:eastAsia="Malgun Gothic"/>
            <w:bCs/>
            <w:lang w:val="es-ES" w:eastAsia="ko-KR"/>
          </w:rPr>
          <w:t>enlace</w:t>
        </w:r>
      </w:hyperlink>
      <w:r w:rsidRPr="00CC5FE3">
        <w:rPr>
          <w:rFonts w:eastAsia="Malgun Gothic"/>
          <w:bCs/>
          <w:lang w:val="es-ES" w:eastAsia="ko-KR"/>
        </w:rPr>
        <w:t>);</w:t>
      </w:r>
    </w:p>
    <w:p w14:paraId="10E9641F" w14:textId="185FB87B" w:rsidR="000B7E7B" w:rsidRPr="00CC5FE3" w:rsidRDefault="000B7E7B" w:rsidP="00823B1F">
      <w:pPr>
        <w:pStyle w:val="enumlev1"/>
        <w:rPr>
          <w:rFonts w:eastAsia="Malgun Gothic"/>
          <w:bCs/>
          <w:lang w:val="es-ES" w:eastAsia="ko-KR"/>
        </w:rPr>
      </w:pPr>
      <w:r w:rsidRPr="00CC5FE3">
        <w:rPr>
          <w:rFonts w:eastAsia="Malgun Gothic"/>
          <w:bCs/>
          <w:lang w:val="es-ES" w:eastAsia="ko-KR"/>
        </w:rPr>
        <w:t>–</w:t>
      </w:r>
      <w:r w:rsidRPr="00CC5FE3">
        <w:rPr>
          <w:rFonts w:eastAsia="Malgun Gothic"/>
          <w:bCs/>
          <w:lang w:val="es-ES" w:eastAsia="ko-KR"/>
        </w:rPr>
        <w:tab/>
        <w:t>opiniones preliminares sobre el futuro de las Cuestiones de la CE</w:t>
      </w:r>
      <w:r w:rsidR="00823B1F" w:rsidRPr="00CC5FE3">
        <w:rPr>
          <w:rFonts w:eastAsia="Malgun Gothic"/>
          <w:bCs/>
          <w:lang w:val="es-ES" w:eastAsia="ko-KR"/>
        </w:rPr>
        <w:t> </w:t>
      </w:r>
      <w:r w:rsidRPr="00CC5FE3">
        <w:rPr>
          <w:rFonts w:eastAsia="Malgun Gothic"/>
          <w:bCs/>
          <w:lang w:val="es-ES" w:eastAsia="ko-KR"/>
        </w:rPr>
        <w:t>2 (</w:t>
      </w:r>
      <w:hyperlink r:id="rId86" w:history="1">
        <w:r w:rsidRPr="00CC5FE3">
          <w:rPr>
            <w:rStyle w:val="Hyperlink"/>
            <w:rFonts w:eastAsia="Malgun Gothic"/>
            <w:bCs/>
            <w:lang w:val="es-ES" w:eastAsia="ko-KR"/>
          </w:rPr>
          <w:t>TDAG</w:t>
        </w:r>
        <w:r w:rsidRPr="00CC5FE3">
          <w:rPr>
            <w:rStyle w:val="Hyperlink"/>
            <w:rFonts w:eastAsia="Malgun Gothic"/>
            <w:bCs/>
            <w:lang w:val="es-ES" w:eastAsia="ko-KR"/>
          </w:rPr>
          <w:noBreakHyphen/>
          <w:t>WG</w:t>
        </w:r>
        <w:r w:rsidRPr="00CC5FE3">
          <w:rPr>
            <w:rStyle w:val="Hyperlink"/>
            <w:rFonts w:eastAsia="Malgun Gothic"/>
            <w:bCs/>
            <w:lang w:val="es-ES" w:eastAsia="ko-KR"/>
          </w:rPr>
          <w:noBreakHyphen/>
          <w:t>futureSGQ/22</w:t>
        </w:r>
      </w:hyperlink>
      <w:r w:rsidRPr="00CC5FE3">
        <w:rPr>
          <w:rFonts w:eastAsia="Malgun Gothic"/>
          <w:bCs/>
          <w:lang w:val="es-ES" w:eastAsia="ko-KR"/>
        </w:rPr>
        <w:t>).</w:t>
      </w:r>
    </w:p>
    <w:p w14:paraId="64B2B221" w14:textId="2C8FEFFF" w:rsidR="000B7E7B" w:rsidRPr="00CC5FE3" w:rsidRDefault="000B7E7B" w:rsidP="00823B1F">
      <w:pPr>
        <w:pStyle w:val="enumlev1"/>
        <w:rPr>
          <w:rFonts w:eastAsia="Malgun Gothic"/>
          <w:bCs/>
          <w:lang w:val="es-ES" w:eastAsia="ko-KR"/>
        </w:rPr>
      </w:pPr>
      <w:r w:rsidRPr="00CC5FE3">
        <w:rPr>
          <w:rFonts w:eastAsia="Malgun Gothic"/>
          <w:bCs/>
          <w:lang w:val="es-ES" w:eastAsia="ko-KR"/>
        </w:rPr>
        <w:t>–</w:t>
      </w:r>
      <w:r w:rsidRPr="00CC5FE3">
        <w:rPr>
          <w:rFonts w:eastAsia="Malgun Gothic"/>
          <w:bCs/>
          <w:lang w:val="es-ES" w:eastAsia="ko-KR"/>
        </w:rPr>
        <w:tab/>
        <w:t>opiniones actualizadas sobre el futuro de las Cuestiones de la CE</w:t>
      </w:r>
      <w:r w:rsidR="00823B1F" w:rsidRPr="00CC5FE3">
        <w:rPr>
          <w:rFonts w:eastAsia="Malgun Gothic"/>
          <w:bCs/>
          <w:lang w:val="es-ES" w:eastAsia="ko-KR"/>
        </w:rPr>
        <w:t> </w:t>
      </w:r>
      <w:r w:rsidRPr="00CC5FE3">
        <w:rPr>
          <w:rFonts w:eastAsia="Malgun Gothic"/>
          <w:bCs/>
          <w:lang w:val="es-ES" w:eastAsia="ko-KR"/>
        </w:rPr>
        <w:t>2 (</w:t>
      </w:r>
      <w:hyperlink r:id="rId87" w:history="1">
        <w:r w:rsidRPr="00CC5FE3">
          <w:rPr>
            <w:rStyle w:val="Hyperlink"/>
            <w:lang w:val="es-ES"/>
          </w:rPr>
          <w:t>TDAG-WG-futureSGQ/</w:t>
        </w:r>
        <w:r w:rsidRPr="00CC5FE3">
          <w:rPr>
            <w:rStyle w:val="Hyperlink"/>
            <w:rFonts w:eastAsia="Malgun Gothic"/>
            <w:lang w:val="es-ES" w:eastAsia="ko-KR"/>
          </w:rPr>
          <w:t>48</w:t>
        </w:r>
      </w:hyperlink>
      <w:r w:rsidRPr="00CC5FE3">
        <w:rPr>
          <w:lang w:val="es-ES"/>
        </w:rPr>
        <w:t>)</w:t>
      </w:r>
    </w:p>
    <w:p w14:paraId="36689705" w14:textId="77777777" w:rsidR="000B7E7B" w:rsidRPr="00CC5FE3" w:rsidRDefault="000B7E7B" w:rsidP="00823B1F">
      <w:pPr>
        <w:pStyle w:val="Headingb"/>
        <w:rPr>
          <w:lang w:val="es-ES"/>
        </w:rPr>
      </w:pPr>
      <w:r w:rsidRPr="00CC5FE3">
        <w:rPr>
          <w:lang w:val="es-ES"/>
        </w:rPr>
        <w:t>Correspondencia de las actividades de las Cuestiones de estudio del UIT-D con otros Sectores de la UIT</w:t>
      </w:r>
    </w:p>
    <w:p w14:paraId="65767E65" w14:textId="77777777" w:rsidR="000B7E7B" w:rsidRPr="00CC5FE3" w:rsidRDefault="000B7E7B" w:rsidP="00823B1F">
      <w:pPr>
        <w:rPr>
          <w:bCs/>
          <w:lang w:val="es-ES"/>
        </w:rPr>
      </w:pPr>
      <w:r w:rsidRPr="00CC5FE3">
        <w:rPr>
          <w:lang w:val="es-ES"/>
        </w:rPr>
        <w:t>Durante este periodo de estudios, se mantuvo la correspondencia de las actividades con otros Sectores de la UIT con el fin de identificar posibles ámbitos de interés común, facilitar la coordinación y estrechar aún más la colaboración. La CE 2 nombró coordinadores a dos miembros del equipo de dirección a fin de facilitar la elaboración y el intercambio de estos cuadros de correspondencias: Sr. Arseny Plossky (Federación de Rusia), Correlator para la Cuestión 4/1, y Sr. Haim Mazar (Israel), Correlator para la Cuestión 7/2.</w:t>
      </w:r>
    </w:p>
    <w:p w14:paraId="0DDBD1E5" w14:textId="77777777" w:rsidR="000B7E7B" w:rsidRPr="00CC5FE3" w:rsidRDefault="000B7E7B" w:rsidP="00823B1F">
      <w:pPr>
        <w:rPr>
          <w:lang w:val="es-ES"/>
        </w:rPr>
      </w:pPr>
      <w:r w:rsidRPr="00CC5FE3">
        <w:rPr>
          <w:lang w:val="es-ES"/>
        </w:rPr>
        <w:t>Los cuadros de correspondencia intersectorial se actualizaron con respecto al anterior periodo de estudios a fin de tener en cuenta la evolución de las actividades en los tres Sectores de la UIT. Todos los documentos sobre relaciones intersectoriales se mantuvieron como documentos de trabajo en el registro común que gestiona actualmente el Grupo de Coordinación Intersectorial (GCIS) sobre cuestiones de interés mutuo. Se mantendrán actualizados mediante la coordinación entre el GCIS y los representantes de los tres Sectores de la UIT.</w:t>
      </w:r>
    </w:p>
    <w:p w14:paraId="450FF291" w14:textId="77777777" w:rsidR="000B7E7B" w:rsidRPr="00CC5FE3" w:rsidRDefault="000B7E7B" w:rsidP="00823B1F">
      <w:pPr>
        <w:rPr>
          <w:lang w:val="es-ES"/>
        </w:rPr>
      </w:pPr>
      <w:r w:rsidRPr="00CC5FE3">
        <w:rPr>
          <w:lang w:val="es-ES"/>
        </w:rPr>
        <w:t>Para más información, sírvase consultar los siguientes documentos:</w:t>
      </w:r>
    </w:p>
    <w:p w14:paraId="0FD97D3F" w14:textId="77777777" w:rsidR="000B7E7B" w:rsidRPr="00CC5FE3" w:rsidRDefault="000B7E7B" w:rsidP="00823B1F">
      <w:pPr>
        <w:pStyle w:val="enumlev1"/>
        <w:rPr>
          <w:lang w:val="es-ES"/>
        </w:rPr>
      </w:pPr>
      <w:r w:rsidRPr="00CC5FE3">
        <w:rPr>
          <w:lang w:val="es-ES"/>
        </w:rPr>
        <w:t>–</w:t>
      </w:r>
      <w:r w:rsidRPr="00CC5FE3">
        <w:rPr>
          <w:lang w:val="es-ES"/>
        </w:rPr>
        <w:tab/>
        <w:t>correspondencia de las Cuestiones de la CE 1 y la CE 2 del UIT-D con los Grupos de Trabajo del UIT-R (</w:t>
      </w:r>
      <w:hyperlink r:id="rId88" w:history="1">
        <w:r w:rsidRPr="00CC5FE3">
          <w:rPr>
            <w:rStyle w:val="Hyperlink"/>
            <w:lang w:val="es-ES"/>
          </w:rPr>
          <w:t>enlace</w:t>
        </w:r>
      </w:hyperlink>
      <w:r w:rsidRPr="00CC5FE3">
        <w:rPr>
          <w:lang w:val="es-ES"/>
        </w:rPr>
        <w:t>);</w:t>
      </w:r>
    </w:p>
    <w:p w14:paraId="25A681D3" w14:textId="25DD0EF7" w:rsidR="000B7E7B" w:rsidRPr="00CC5FE3" w:rsidRDefault="000B7E7B" w:rsidP="00823B1F">
      <w:pPr>
        <w:pStyle w:val="enumlev1"/>
        <w:rPr>
          <w:lang w:val="es-ES"/>
        </w:rPr>
      </w:pPr>
      <w:r w:rsidRPr="00CC5FE3">
        <w:rPr>
          <w:lang w:val="es-ES"/>
        </w:rPr>
        <w:t>–</w:t>
      </w:r>
      <w:r w:rsidRPr="00CC5FE3">
        <w:rPr>
          <w:lang w:val="es-ES"/>
        </w:rPr>
        <w:tab/>
        <w:t>correspondencia de las Cuestiones de la CE 1 y la CE 2 del UIT-D con las Cuestiones del UIT</w:t>
      </w:r>
      <w:r w:rsidR="00823B1F" w:rsidRPr="00CC5FE3">
        <w:rPr>
          <w:lang w:val="es-ES"/>
        </w:rPr>
        <w:noBreakHyphen/>
      </w:r>
      <w:r w:rsidRPr="00CC5FE3">
        <w:rPr>
          <w:lang w:val="es-ES"/>
        </w:rPr>
        <w:t>T (</w:t>
      </w:r>
      <w:hyperlink r:id="rId89" w:history="1">
        <w:r w:rsidRPr="00CC5FE3">
          <w:rPr>
            <w:rStyle w:val="Hyperlink"/>
            <w:lang w:val="es-ES"/>
          </w:rPr>
          <w:t>enlace</w:t>
        </w:r>
      </w:hyperlink>
      <w:r w:rsidRPr="00CC5FE3">
        <w:rPr>
          <w:lang w:val="es-ES"/>
        </w:rPr>
        <w:t>).</w:t>
      </w:r>
    </w:p>
    <w:p w14:paraId="7FCF4E5F" w14:textId="77777777" w:rsidR="000B7E7B" w:rsidRPr="00CC5FE3" w:rsidRDefault="000B7E7B" w:rsidP="00823B1F">
      <w:pPr>
        <w:pStyle w:val="Headingb"/>
        <w:rPr>
          <w:lang w:val="es-ES"/>
        </w:rPr>
      </w:pPr>
      <w:r w:rsidRPr="00CC5FE3">
        <w:rPr>
          <w:lang w:val="es-ES"/>
        </w:rPr>
        <w:t xml:space="preserve">Resolución 9 de la CMDT (Rev. </w:t>
      </w:r>
      <w:r w:rsidRPr="00CC5FE3">
        <w:rPr>
          <w:rFonts w:eastAsia="Malgun Gothic"/>
          <w:lang w:val="es-ES" w:eastAsia="ko-KR"/>
        </w:rPr>
        <w:t>Kigali</w:t>
      </w:r>
      <w:r w:rsidRPr="00CC5FE3">
        <w:rPr>
          <w:lang w:val="es-ES"/>
        </w:rPr>
        <w:t>, 20</w:t>
      </w:r>
      <w:r w:rsidRPr="00CC5FE3">
        <w:rPr>
          <w:rFonts w:eastAsia="Malgun Gothic"/>
          <w:lang w:val="es-ES" w:eastAsia="ko-KR"/>
        </w:rPr>
        <w:t>22</w:t>
      </w:r>
      <w:r w:rsidRPr="00CC5FE3">
        <w:rPr>
          <w:lang w:val="es-ES"/>
        </w:rPr>
        <w:t>)</w:t>
      </w:r>
    </w:p>
    <w:p w14:paraId="4EFE80BB" w14:textId="49B76182" w:rsidR="000B7E7B" w:rsidRPr="00CC5FE3" w:rsidRDefault="000B7E7B" w:rsidP="00823B1F">
      <w:pPr>
        <w:rPr>
          <w:lang w:val="es-ES"/>
        </w:rPr>
      </w:pPr>
      <w:r w:rsidRPr="00CC5FE3">
        <w:rPr>
          <w:lang w:val="es-ES"/>
        </w:rPr>
        <w:t>Al objeto de aplicar la Resolución 9 de la CMDT (Rev. Buenos Aires, 2022), en particular, de satisfacer las necesidades de los países en desarrollo que en ella se relacionan, la CE</w:t>
      </w:r>
      <w:r w:rsidR="00823B1F" w:rsidRPr="00CC5FE3">
        <w:rPr>
          <w:lang w:val="es-ES"/>
        </w:rPr>
        <w:t> </w:t>
      </w:r>
      <w:r w:rsidRPr="00CC5FE3">
        <w:rPr>
          <w:lang w:val="es-ES"/>
        </w:rPr>
        <w:t>2 adoptó el siguiente enfoque:</w:t>
      </w:r>
    </w:p>
    <w:p w14:paraId="149D6745" w14:textId="77777777" w:rsidR="000B7E7B" w:rsidRPr="00CC5FE3" w:rsidRDefault="000B7E7B" w:rsidP="00823B1F">
      <w:pPr>
        <w:pStyle w:val="enumlev1"/>
        <w:rPr>
          <w:lang w:val="es-ES"/>
        </w:rPr>
      </w:pPr>
      <w:r w:rsidRPr="00CC5FE3">
        <w:rPr>
          <w:lang w:val="es-ES"/>
        </w:rPr>
        <w:t>–</w:t>
      </w:r>
      <w:r w:rsidRPr="00CC5FE3">
        <w:rPr>
          <w:lang w:val="es-ES"/>
        </w:rPr>
        <w:tab/>
        <w:t>La CE 2 nombró dos coordinadores que garantizaran la actualización continua de este tema: Sr. Hideo Imanaka (Japón), Vicepresidente de la CE 2 del UIT-D, y Sr. Haim Mazar (Israel), Correlator para la Cuestión 7/2.</w:t>
      </w:r>
    </w:p>
    <w:p w14:paraId="758F73AA" w14:textId="74AB620B" w:rsidR="000B7E7B" w:rsidRPr="00CC5FE3" w:rsidRDefault="000B7E7B" w:rsidP="00823B1F">
      <w:pPr>
        <w:pStyle w:val="enumlev1"/>
        <w:rPr>
          <w:lang w:val="es-ES"/>
        </w:rPr>
      </w:pPr>
      <w:r w:rsidRPr="00CC5FE3">
        <w:rPr>
          <w:lang w:val="es-ES"/>
        </w:rPr>
        <w:t>–</w:t>
      </w:r>
      <w:r w:rsidRPr="00CC5FE3">
        <w:rPr>
          <w:lang w:val="es-ES"/>
        </w:rPr>
        <w:tab/>
        <w:t>Dado que no todas las Cuestiones guardan necesariamente relación con la Resolución</w:t>
      </w:r>
      <w:r w:rsidR="00823B1F" w:rsidRPr="00CC5FE3">
        <w:rPr>
          <w:lang w:val="es-ES"/>
        </w:rPr>
        <w:t> </w:t>
      </w:r>
      <w:r w:rsidRPr="00CC5FE3">
        <w:rPr>
          <w:lang w:val="es-ES"/>
        </w:rPr>
        <w:t>9, se pidió a los equipos de dirección de los Grupos de Relator que examinaran la pertinencia de sus mandatos con esta Resolución.</w:t>
      </w:r>
    </w:p>
    <w:p w14:paraId="1B554A67" w14:textId="77777777" w:rsidR="000B7E7B" w:rsidRPr="00CC5FE3" w:rsidRDefault="000B7E7B" w:rsidP="00823B1F">
      <w:pPr>
        <w:pStyle w:val="enumlev1"/>
        <w:rPr>
          <w:lang w:val="es-ES"/>
        </w:rPr>
      </w:pPr>
      <w:r w:rsidRPr="00CC5FE3">
        <w:rPr>
          <w:lang w:val="es-ES"/>
        </w:rPr>
        <w:t>–</w:t>
      </w:r>
      <w:r w:rsidRPr="00CC5FE3">
        <w:rPr>
          <w:lang w:val="es-ES"/>
        </w:rPr>
        <w:tab/>
        <w:t>Se invitó a los Grupos de Relator a analizar las contribuciones recibidas y utilizar la información proporcionada periódicamente por el UIT-R (presentaciones en plenaria, declaraciones de coordinación entrantes) para determinar los temas pertinentes para una futura colaboración.</w:t>
      </w:r>
    </w:p>
    <w:p w14:paraId="32141ED2" w14:textId="27760615" w:rsidR="000B7E7B" w:rsidRPr="00CC5FE3" w:rsidRDefault="000B7E7B" w:rsidP="00823B1F">
      <w:pPr>
        <w:rPr>
          <w:lang w:val="es-ES"/>
        </w:rPr>
      </w:pPr>
      <w:r w:rsidRPr="00CC5FE3">
        <w:rPr>
          <w:lang w:val="es-ES"/>
        </w:rPr>
        <w:t>Como resultado de este ejercicio, se ha elaborado un cuadro de correspondencia de las contribuciones recibidas de la CE 2 con los tipos de asistencia descritos en la Resolución</w:t>
      </w:r>
      <w:r w:rsidR="00823B1F" w:rsidRPr="00CC5FE3">
        <w:rPr>
          <w:lang w:val="es-ES"/>
        </w:rPr>
        <w:t> </w:t>
      </w:r>
      <w:r w:rsidRPr="00CC5FE3">
        <w:rPr>
          <w:lang w:val="es-ES"/>
        </w:rPr>
        <w:t xml:space="preserve">9, que </w:t>
      </w:r>
      <w:r w:rsidRPr="00CC5FE3">
        <w:rPr>
          <w:lang w:val="es-ES"/>
        </w:rPr>
        <w:lastRenderedPageBreak/>
        <w:t>figura en el Anexo</w:t>
      </w:r>
      <w:r w:rsidR="00823B1F" w:rsidRPr="00CC5FE3">
        <w:rPr>
          <w:lang w:val="es-ES"/>
        </w:rPr>
        <w:t> </w:t>
      </w:r>
      <w:r w:rsidRPr="00CC5FE3">
        <w:rPr>
          <w:lang w:val="es-ES"/>
        </w:rPr>
        <w:t xml:space="preserve">6. En el </w:t>
      </w:r>
      <w:r w:rsidRPr="00CC5FE3">
        <w:rPr>
          <w:b/>
          <w:bCs/>
          <w:lang w:val="es-ES"/>
        </w:rPr>
        <w:t>Anexo 7</w:t>
      </w:r>
      <w:r w:rsidRPr="00CC5FE3">
        <w:rPr>
          <w:lang w:val="es-ES"/>
        </w:rPr>
        <w:t xml:space="preserve"> figura un cuadro recopilatorio con el número total de posibles temas de interés para cada tipo de asistencia descrito en la Resolución 9.</w:t>
      </w:r>
    </w:p>
    <w:p w14:paraId="48EF2A1E" w14:textId="77777777" w:rsidR="000B7E7B" w:rsidRPr="00CC5FE3" w:rsidRDefault="000B7E7B" w:rsidP="00823B1F">
      <w:pPr>
        <w:rPr>
          <w:lang w:val="es-ES"/>
        </w:rPr>
      </w:pPr>
      <w:r w:rsidRPr="00CC5FE3">
        <w:rPr>
          <w:lang w:val="es-ES"/>
        </w:rPr>
        <w:t>Para más información, sírvase consultar los siguientes documentos:</w:t>
      </w:r>
    </w:p>
    <w:p w14:paraId="1A2F93D9" w14:textId="77777777" w:rsidR="000B7E7B" w:rsidRPr="00CC5FE3" w:rsidRDefault="000B7E7B" w:rsidP="00823B1F">
      <w:pPr>
        <w:pStyle w:val="enumlev1"/>
        <w:rPr>
          <w:lang w:val="es-ES"/>
        </w:rPr>
      </w:pPr>
      <w:r w:rsidRPr="00CC5FE3">
        <w:rPr>
          <w:lang w:val="es-ES"/>
        </w:rPr>
        <w:t>–</w:t>
      </w:r>
      <w:r w:rsidRPr="00CC5FE3">
        <w:rPr>
          <w:lang w:val="es-ES"/>
        </w:rPr>
        <w:tab/>
        <w:t xml:space="preserve">informe del Presidente de la CE 2 al GADT (2020): Sección 3.2 de </w:t>
      </w:r>
      <w:hyperlink r:id="rId90" w:history="1">
        <w:r w:rsidRPr="00CC5FE3">
          <w:rPr>
            <w:rStyle w:val="Hyperlink"/>
            <w:lang w:val="es-ES"/>
          </w:rPr>
          <w:t>TDAG-23/6</w:t>
        </w:r>
      </w:hyperlink>
      <w:r w:rsidRPr="00CC5FE3">
        <w:rPr>
          <w:lang w:val="es-ES"/>
        </w:rPr>
        <w:t>;</w:t>
      </w:r>
    </w:p>
    <w:p w14:paraId="2E47A23B" w14:textId="77777777" w:rsidR="000B7E7B" w:rsidRPr="00CC5FE3" w:rsidRDefault="000B7E7B" w:rsidP="00823B1F">
      <w:pPr>
        <w:pStyle w:val="enumlev1"/>
        <w:rPr>
          <w:lang w:val="es-ES"/>
        </w:rPr>
      </w:pPr>
      <w:r w:rsidRPr="00CC5FE3">
        <w:rPr>
          <w:lang w:val="es-ES"/>
        </w:rPr>
        <w:t>–</w:t>
      </w:r>
      <w:r w:rsidRPr="00CC5FE3">
        <w:rPr>
          <w:lang w:val="es-ES"/>
        </w:rPr>
        <w:tab/>
        <w:t xml:space="preserve">acciones propuestas por los Coordinadores: </w:t>
      </w:r>
      <w:hyperlink r:id="rId91" w:history="1">
        <w:r w:rsidRPr="00CC5FE3">
          <w:rPr>
            <w:rStyle w:val="Hyperlink"/>
            <w:lang w:val="es-ES"/>
          </w:rPr>
          <w:t>2/161</w:t>
        </w:r>
      </w:hyperlink>
      <w:r w:rsidRPr="00CC5FE3">
        <w:rPr>
          <w:lang w:val="es-ES"/>
        </w:rPr>
        <w:t>.</w:t>
      </w:r>
    </w:p>
    <w:p w14:paraId="0D278655" w14:textId="77777777" w:rsidR="000B7E7B" w:rsidRPr="00CC5FE3" w:rsidRDefault="000B7E7B" w:rsidP="00823B1F">
      <w:pPr>
        <w:pStyle w:val="enumlev1"/>
        <w:rPr>
          <w:lang w:val="es-ES"/>
        </w:rPr>
      </w:pPr>
      <w:r w:rsidRPr="00CC5FE3">
        <w:rPr>
          <w:lang w:val="es-ES"/>
        </w:rPr>
        <w:t>–</w:t>
      </w:r>
      <w:r w:rsidRPr="00CC5FE3">
        <w:rPr>
          <w:lang w:val="es-ES"/>
        </w:rPr>
        <w:tab/>
        <w:t xml:space="preserve">informe de los Coordinadores (con el cuadro de correspondencia): </w:t>
      </w:r>
      <w:hyperlink r:id="rId92" w:history="1">
        <w:r w:rsidRPr="00CC5FE3">
          <w:rPr>
            <w:rStyle w:val="Hyperlink"/>
            <w:lang w:val="es-ES"/>
          </w:rPr>
          <w:t>2/402</w:t>
        </w:r>
      </w:hyperlink>
      <w:r w:rsidRPr="00CC5FE3">
        <w:rPr>
          <w:lang w:val="es-ES"/>
        </w:rPr>
        <w:t>.</w:t>
      </w:r>
    </w:p>
    <w:p w14:paraId="405916A3" w14:textId="77777777" w:rsidR="000B7E7B" w:rsidRPr="00CC5FE3" w:rsidRDefault="000B7E7B" w:rsidP="00823B1F">
      <w:pPr>
        <w:pStyle w:val="Headingb"/>
        <w:rPr>
          <w:lang w:val="es-ES"/>
        </w:rPr>
      </w:pPr>
      <w:r w:rsidRPr="00CC5FE3">
        <w:rPr>
          <w:lang w:val="es-ES"/>
        </w:rPr>
        <w:t>Comité de Coordinación de la Terminología de la UIT (CCT UIT)</w:t>
      </w:r>
    </w:p>
    <w:p w14:paraId="34C6480D" w14:textId="77777777" w:rsidR="000B7E7B" w:rsidRPr="00CC5FE3" w:rsidRDefault="000B7E7B" w:rsidP="00823B1F">
      <w:pPr>
        <w:rPr>
          <w:lang w:val="es-ES" w:bidi="en-US"/>
        </w:rPr>
      </w:pPr>
      <w:r w:rsidRPr="00CC5FE3">
        <w:rPr>
          <w:lang w:val="es-ES" w:bidi="en-US"/>
        </w:rPr>
        <w:t>En la Resolución 154 de la Conferencia de Plenipotenciarios (Rev. Bucarest, 2022) sobre la utilización de los seis idiomas oficiales de la Unión en igualdad de condiciones, se señala la importancia de la labor del Comité de Coordinación de la Terminología (CCT) de la UIT, que acuerda y adopta términos y definiciones en el campo de las telecomunicaciones/TIC de los tres Sectores de la UIT. De conformidad con la disposición 12.3 de la Resolución 1 de la CMDT, el Vicepresidente Tongning Wu (China) fue nombrado representante del UIT-D ante el CCT UIT por la CE 2.</w:t>
      </w:r>
    </w:p>
    <w:p w14:paraId="35C6F696" w14:textId="77777777" w:rsidR="000B7E7B" w:rsidRPr="00CC5FE3" w:rsidRDefault="000B7E7B" w:rsidP="00823B1F">
      <w:pPr>
        <w:rPr>
          <w:lang w:val="es-ES" w:bidi="en-US"/>
        </w:rPr>
      </w:pPr>
      <w:r w:rsidRPr="00CC5FE3">
        <w:rPr>
          <w:lang w:val="es-ES" w:bidi="en-US"/>
        </w:rPr>
        <w:t>Durante el periodo de estudios 2022-2025, el CCT UIT se reunió en nueve ocasiones. En estas reuniones se examinaron las declaraciones de coordinación y las contribuciones con asuntos relativos a la terminología, y se acordó la actualización de la base de datos terminológica de la UIT, especialmente la denominada Parte 3, con términos, acrónimos y definiciones.</w:t>
      </w:r>
    </w:p>
    <w:p w14:paraId="2CEEA67E" w14:textId="77777777" w:rsidR="000B7E7B" w:rsidRPr="00CC5FE3" w:rsidRDefault="000B7E7B" w:rsidP="00823B1F">
      <w:pPr>
        <w:rPr>
          <w:lang w:val="es-ES" w:bidi="en-US"/>
        </w:rPr>
      </w:pPr>
      <w:r w:rsidRPr="00CC5FE3">
        <w:rPr>
          <w:lang w:val="es-ES" w:bidi="en-US"/>
        </w:rPr>
        <w:t>Si bien la CE 2 no propuso ningún término adicional durante este periodo de estudios, se debatieron algunos posibles términos candidatos (por ejemplo, seguridad digital) para una posible propuesta futura. Varios términos y definiciones propuestos por las Comisiones de Estudio del UIT</w:t>
      </w:r>
      <w:r w:rsidRPr="00CC5FE3">
        <w:rPr>
          <w:lang w:val="es-ES" w:bidi="en-US"/>
        </w:rPr>
        <w:noBreakHyphen/>
        <w:t>R y el UIT-T incluyen también términos generales que podrían utilizarse en el contexto de las Cuestiones de estudio del UIT-D, como "aplicación/servicio de IA", "cadena de bloques", "servicios financieros digitales" y "teléfono inteligente", entre otros.</w:t>
      </w:r>
    </w:p>
    <w:p w14:paraId="5A760CFC" w14:textId="77777777" w:rsidR="000B7E7B" w:rsidRPr="00CC5FE3" w:rsidRDefault="000B7E7B" w:rsidP="00823B1F">
      <w:pPr>
        <w:rPr>
          <w:lang w:val="es-ES" w:bidi="en-US"/>
        </w:rPr>
      </w:pPr>
      <w:r w:rsidRPr="00CC5FE3">
        <w:rPr>
          <w:lang w:val="es-ES" w:bidi="en-US"/>
        </w:rPr>
        <w:t>Se invitó a todos los Grupos de Relator a debatir nuevos términos y a realizar un seguimiento en la materia mediante declaraciones de coordinación con el CCT UIT, según procediera. Se invitó periódicamente a los participantes de la CE 2 a mantenerse al corriente de la evolución de las reuniones y se les alentó a participar en los trabajos del CCT de la UIT para lograr una mejor armonización del vocabulario en toda la UIT.</w:t>
      </w:r>
    </w:p>
    <w:p w14:paraId="7DDCF7E2" w14:textId="190FF56C" w:rsidR="000B7E7B" w:rsidRPr="00CC5FE3" w:rsidRDefault="000B7E7B" w:rsidP="00823B1F">
      <w:pPr>
        <w:rPr>
          <w:lang w:val="es-ES" w:bidi="en-US"/>
        </w:rPr>
      </w:pPr>
      <w:r w:rsidRPr="00CC5FE3">
        <w:rPr>
          <w:lang w:val="es-ES" w:bidi="en-US"/>
        </w:rPr>
        <w:t>Para más información, sírvase consultar los siguientes documentos:</w:t>
      </w:r>
    </w:p>
    <w:p w14:paraId="211E9F3A" w14:textId="35A7904F" w:rsidR="000B7E7B" w:rsidRPr="00CC5FE3" w:rsidRDefault="000B7E7B" w:rsidP="00823B1F">
      <w:pPr>
        <w:pStyle w:val="enumlev1"/>
        <w:rPr>
          <w:bCs/>
          <w:iCs/>
          <w:lang w:val="es-ES" w:bidi="en-US"/>
        </w:rPr>
      </w:pPr>
      <w:r w:rsidRPr="00CC5FE3">
        <w:rPr>
          <w:bCs/>
          <w:iCs/>
          <w:lang w:val="es-ES" w:bidi="en-US"/>
        </w:rPr>
        <w:t>–</w:t>
      </w:r>
      <w:r w:rsidRPr="00CC5FE3">
        <w:rPr>
          <w:bCs/>
          <w:iCs/>
          <w:lang w:val="es-ES" w:bidi="en-US"/>
        </w:rPr>
        <w:tab/>
        <w:t xml:space="preserve">resumen de los debates de las reuniones del CCT UIT (periodo 2022-2025): </w:t>
      </w:r>
      <w:hyperlink r:id="rId93" w:history="1">
        <w:r w:rsidRPr="00CC5FE3">
          <w:rPr>
            <w:rStyle w:val="Hyperlink"/>
            <w:bCs/>
            <w:iCs/>
            <w:lang w:val="es-ES" w:bidi="en-US"/>
          </w:rPr>
          <w:t>R19-CCV/51</w:t>
        </w:r>
      </w:hyperlink>
      <w:r w:rsidRPr="00CC5FE3">
        <w:rPr>
          <w:bCs/>
          <w:iCs/>
          <w:lang w:val="es-ES" w:bidi="en-US"/>
        </w:rPr>
        <w:t xml:space="preserve"> (10 de noviembre de 2022), </w:t>
      </w:r>
      <w:hyperlink r:id="rId94" w:history="1">
        <w:r w:rsidRPr="00CC5FE3">
          <w:rPr>
            <w:rStyle w:val="Hyperlink"/>
            <w:bCs/>
            <w:iCs/>
            <w:lang w:val="es-ES" w:bidi="en-US"/>
          </w:rPr>
          <w:t>CCT/1</w:t>
        </w:r>
      </w:hyperlink>
      <w:r w:rsidRPr="00CC5FE3">
        <w:rPr>
          <w:bCs/>
          <w:iCs/>
          <w:lang w:val="es-ES" w:bidi="en-US"/>
        </w:rPr>
        <w:t xml:space="preserve"> (18 de abril de 2023), </w:t>
      </w:r>
      <w:hyperlink r:id="rId95" w:history="1">
        <w:r w:rsidRPr="00CC5FE3">
          <w:rPr>
            <w:rStyle w:val="Hyperlink"/>
            <w:bCs/>
            <w:iCs/>
            <w:lang w:val="es-ES" w:bidi="en-US"/>
          </w:rPr>
          <w:t>CCT/37</w:t>
        </w:r>
      </w:hyperlink>
      <w:r w:rsidRPr="00CC5FE3">
        <w:rPr>
          <w:bCs/>
          <w:iCs/>
          <w:lang w:val="es-ES" w:bidi="en-US"/>
        </w:rPr>
        <w:t xml:space="preserve"> (26 de septiembre de</w:t>
      </w:r>
      <w:r w:rsidR="00823B1F" w:rsidRPr="00CC5FE3">
        <w:rPr>
          <w:bCs/>
          <w:iCs/>
          <w:lang w:val="es-ES" w:bidi="en-US"/>
        </w:rPr>
        <w:t> </w:t>
      </w:r>
      <w:r w:rsidRPr="00CC5FE3">
        <w:rPr>
          <w:bCs/>
          <w:iCs/>
          <w:lang w:val="es-ES" w:bidi="en-US"/>
        </w:rPr>
        <w:t xml:space="preserve">2023), </w:t>
      </w:r>
      <w:hyperlink r:id="rId96" w:history="1">
        <w:r w:rsidRPr="00CC5FE3">
          <w:rPr>
            <w:rStyle w:val="Hyperlink"/>
            <w:bCs/>
            <w:iCs/>
            <w:lang w:val="es-ES" w:bidi="en-US"/>
          </w:rPr>
          <w:t>CCT/60</w:t>
        </w:r>
      </w:hyperlink>
      <w:r w:rsidRPr="00CC5FE3">
        <w:rPr>
          <w:bCs/>
          <w:iCs/>
          <w:lang w:val="es-ES" w:bidi="en-US"/>
        </w:rPr>
        <w:t xml:space="preserve"> (16 de abril de 2024), </w:t>
      </w:r>
      <w:hyperlink r:id="rId97" w:history="1">
        <w:r w:rsidRPr="00CC5FE3">
          <w:rPr>
            <w:rStyle w:val="Hyperlink"/>
            <w:bCs/>
            <w:iCs/>
            <w:lang w:val="es-ES" w:bidi="en-US"/>
          </w:rPr>
          <w:t>CCT/73</w:t>
        </w:r>
      </w:hyperlink>
      <w:r w:rsidRPr="00CC5FE3">
        <w:rPr>
          <w:bCs/>
          <w:iCs/>
          <w:lang w:val="es-ES" w:bidi="en-US"/>
        </w:rPr>
        <w:t xml:space="preserve"> (25 de junio de 2024), </w:t>
      </w:r>
      <w:hyperlink r:id="rId98" w:history="1">
        <w:r w:rsidRPr="00CC5FE3">
          <w:rPr>
            <w:rStyle w:val="Hyperlink"/>
            <w:bCs/>
            <w:iCs/>
            <w:lang w:val="es-ES" w:bidi="en-US"/>
          </w:rPr>
          <w:t>CCT/87</w:t>
        </w:r>
      </w:hyperlink>
      <w:r w:rsidRPr="00CC5FE3">
        <w:rPr>
          <w:bCs/>
          <w:iCs/>
          <w:lang w:val="es-ES" w:bidi="en-US"/>
        </w:rPr>
        <w:t xml:space="preserve"> (17 de septiembre de 2024), </w:t>
      </w:r>
      <w:hyperlink r:id="rId99" w:history="1">
        <w:r w:rsidRPr="00CC5FE3">
          <w:rPr>
            <w:rStyle w:val="Hyperlink"/>
            <w:bCs/>
            <w:iCs/>
            <w:lang w:val="es-ES" w:bidi="en-US"/>
          </w:rPr>
          <w:t>CCT/97</w:t>
        </w:r>
      </w:hyperlink>
      <w:r w:rsidRPr="00CC5FE3">
        <w:rPr>
          <w:bCs/>
          <w:iCs/>
          <w:lang w:val="es-ES" w:bidi="en-US"/>
        </w:rPr>
        <w:t xml:space="preserve"> (10 de diciembre de 2024) y </w:t>
      </w:r>
      <w:hyperlink r:id="rId100" w:history="1">
        <w:r w:rsidRPr="00CC5FE3">
          <w:rPr>
            <w:rStyle w:val="Hyperlink"/>
            <w:bCs/>
            <w:iCs/>
            <w:lang w:val="es-ES" w:bidi="en-US"/>
          </w:rPr>
          <w:t>CCT/110</w:t>
        </w:r>
      </w:hyperlink>
      <w:r w:rsidRPr="00CC5FE3">
        <w:rPr>
          <w:bCs/>
          <w:iCs/>
          <w:lang w:val="es-ES" w:bidi="en-US"/>
        </w:rPr>
        <w:t xml:space="preserve"> (30 de enero de</w:t>
      </w:r>
      <w:r w:rsidR="00823B1F" w:rsidRPr="00CC5FE3">
        <w:rPr>
          <w:bCs/>
          <w:iCs/>
          <w:lang w:val="es-ES" w:bidi="en-US"/>
        </w:rPr>
        <w:t> </w:t>
      </w:r>
      <w:r w:rsidRPr="00CC5FE3">
        <w:rPr>
          <w:bCs/>
          <w:iCs/>
          <w:lang w:val="es-ES" w:bidi="en-US"/>
        </w:rPr>
        <w:t xml:space="preserve">2025), </w:t>
      </w:r>
      <w:hyperlink r:id="rId101" w:history="1">
        <w:r w:rsidRPr="00CC5FE3">
          <w:rPr>
            <w:rStyle w:val="Hyperlink"/>
            <w:bCs/>
            <w:iCs/>
            <w:lang w:val="es-ES" w:bidi="en-US"/>
          </w:rPr>
          <w:t>CCT/137</w:t>
        </w:r>
      </w:hyperlink>
      <w:r w:rsidRPr="00CC5FE3">
        <w:rPr>
          <w:bCs/>
          <w:iCs/>
          <w:lang w:val="es-ES" w:bidi="en-US"/>
        </w:rPr>
        <w:t xml:space="preserve"> (11 de marzo de 2025);</w:t>
      </w:r>
    </w:p>
    <w:p w14:paraId="2ECF2CF1" w14:textId="77777777" w:rsidR="000B7E7B" w:rsidRPr="00CC5FE3" w:rsidRDefault="000B7E7B" w:rsidP="00823B1F">
      <w:pPr>
        <w:pStyle w:val="enumlev1"/>
        <w:rPr>
          <w:bCs/>
          <w:iCs/>
          <w:lang w:val="es-ES" w:bidi="en-US"/>
        </w:rPr>
      </w:pPr>
      <w:r w:rsidRPr="00CC5FE3">
        <w:rPr>
          <w:bCs/>
          <w:iCs/>
          <w:lang w:val="es-ES" w:bidi="en-US"/>
        </w:rPr>
        <w:t>–</w:t>
      </w:r>
      <w:r w:rsidRPr="00CC5FE3">
        <w:rPr>
          <w:bCs/>
          <w:iCs/>
          <w:lang w:val="es-ES" w:bidi="en-US"/>
        </w:rPr>
        <w:tab/>
        <w:t xml:space="preserve">informes del Coordinador: </w:t>
      </w:r>
      <w:hyperlink r:id="rId102" w:history="1">
        <w:r w:rsidRPr="00CC5FE3">
          <w:rPr>
            <w:rStyle w:val="Hyperlink"/>
            <w:bCs/>
            <w:iCs/>
            <w:lang w:val="es-ES" w:bidi="en-US"/>
          </w:rPr>
          <w:t>2/159</w:t>
        </w:r>
      </w:hyperlink>
      <w:r w:rsidRPr="00CC5FE3">
        <w:rPr>
          <w:bCs/>
          <w:iCs/>
          <w:lang w:val="es-ES" w:bidi="en-US"/>
        </w:rPr>
        <w:t xml:space="preserve"> (2023) y </w:t>
      </w:r>
      <w:hyperlink r:id="rId103" w:history="1">
        <w:r w:rsidRPr="00CC5FE3">
          <w:rPr>
            <w:rStyle w:val="Hyperlink"/>
            <w:bCs/>
            <w:iCs/>
            <w:lang w:val="es-ES" w:bidi="en-US"/>
          </w:rPr>
          <w:t>2/286</w:t>
        </w:r>
      </w:hyperlink>
      <w:r w:rsidRPr="00CC5FE3">
        <w:rPr>
          <w:bCs/>
          <w:iCs/>
          <w:lang w:val="es-ES" w:bidi="en-US"/>
        </w:rPr>
        <w:t xml:space="preserve"> (2024).</w:t>
      </w:r>
    </w:p>
    <w:p w14:paraId="5CFBEE38" w14:textId="77777777" w:rsidR="000B7E7B" w:rsidRPr="00CC5FE3" w:rsidRDefault="000B7E7B" w:rsidP="00823B1F">
      <w:pPr>
        <w:pStyle w:val="Headingb"/>
        <w:rPr>
          <w:lang w:val="es-ES"/>
        </w:rPr>
      </w:pPr>
      <w:r w:rsidRPr="00CC5FE3">
        <w:rPr>
          <w:lang w:val="es-ES"/>
        </w:rPr>
        <w:t>Grupo de Expertos en indicadores de TIC en el hogar (GEH) y Grupo de Expertos en indicadores de telecomunicaciones/TIC (GEIT)</w:t>
      </w:r>
    </w:p>
    <w:p w14:paraId="47EEBDEC" w14:textId="540F29A6" w:rsidR="000B7E7B" w:rsidRPr="00CC5FE3" w:rsidRDefault="000B7E7B" w:rsidP="00823B1F">
      <w:pPr>
        <w:rPr>
          <w:lang w:val="es-ES"/>
        </w:rPr>
      </w:pPr>
      <w:r w:rsidRPr="00CC5FE3">
        <w:rPr>
          <w:lang w:val="es-ES"/>
        </w:rPr>
        <w:t>Con miras a aplicar la Resolución 131, Medición de las tecnologías de la información y la comunicación para la construcción de una sociedad de la información integradora e inclusiva, de la Conferencia de Plenipotenciarios (PP) (Rev. Bucarest, 2018) y la Resolución 8, Recopilación y difusión de información y estadísticas, de la CMDT (Rev. Kigali, 2022), la CE</w:t>
      </w:r>
      <w:r w:rsidR="00823B1F" w:rsidRPr="00CC5FE3">
        <w:rPr>
          <w:lang w:val="es-ES"/>
        </w:rPr>
        <w:t> </w:t>
      </w:r>
      <w:r w:rsidRPr="00CC5FE3">
        <w:rPr>
          <w:lang w:val="es-ES"/>
        </w:rPr>
        <w:t xml:space="preserve">2 nombró </w:t>
      </w:r>
      <w:r w:rsidRPr="00CC5FE3">
        <w:rPr>
          <w:lang w:val="es-ES"/>
        </w:rPr>
        <w:lastRenderedPageBreak/>
        <w:t>coordinadora a la Vicepresidenta Sra. Mina Seonmin Jun (República de Corea) para explorar las posibles sinergias con la labor en materia de estadísticas del UIT-D, a saber, el Grupo de Expertos en Indicadores de TIC en el Hogar (GEH) y del Grupo de Expertos en Indicadores de Telecomunicaciones/TIC (GEIT).</w:t>
      </w:r>
    </w:p>
    <w:p w14:paraId="2CF8EFEF" w14:textId="77777777" w:rsidR="000B7E7B" w:rsidRPr="00CC5FE3" w:rsidRDefault="000B7E7B" w:rsidP="00823B1F">
      <w:pPr>
        <w:rPr>
          <w:lang w:val="es-ES"/>
        </w:rPr>
      </w:pPr>
      <w:r w:rsidRPr="00CC5FE3">
        <w:rPr>
          <w:lang w:val="es-ES"/>
        </w:rPr>
        <w:t>La Coordinadora informó periódicamente a la CE 2 sobre las actividades conexas y los progresos realizados. La CE 2 señaló varios temas de interés para sus Cuestiones de estudio, como la medición de las competencias en materia de TIC, los OTT y los residuos electrónicos, así como la creación de un nuevo subgrupo sobre medición del uso de la IA mediante encuestas en los hogares. La CE 2 también recibió periódicamente actualizaciones complementarias de la BDT sobre su proyecto en curso y sobre las publicaciones con miras a su posterior consideración e incorporación en los estudios en curso, según proceda.</w:t>
      </w:r>
    </w:p>
    <w:p w14:paraId="65197E8F" w14:textId="77777777" w:rsidR="000B7E7B" w:rsidRPr="00CC5FE3" w:rsidRDefault="000B7E7B" w:rsidP="00823B1F">
      <w:pPr>
        <w:rPr>
          <w:lang w:val="es-ES"/>
        </w:rPr>
      </w:pPr>
      <w:r w:rsidRPr="00CC5FE3">
        <w:rPr>
          <w:lang w:val="es-ES"/>
        </w:rPr>
        <w:t>Para más información, sírvase consultar los siguientes documentos:</w:t>
      </w:r>
    </w:p>
    <w:p w14:paraId="1E1932E1" w14:textId="77777777" w:rsidR="000B7E7B" w:rsidRPr="00CC5FE3" w:rsidRDefault="000B7E7B" w:rsidP="00823B1F">
      <w:pPr>
        <w:pStyle w:val="enumlev1"/>
        <w:rPr>
          <w:lang w:val="es-ES"/>
        </w:rPr>
      </w:pPr>
      <w:r w:rsidRPr="00CC5FE3">
        <w:rPr>
          <w:lang w:val="es-ES"/>
        </w:rPr>
        <w:t>–</w:t>
      </w:r>
      <w:r w:rsidRPr="00CC5FE3">
        <w:rPr>
          <w:lang w:val="es-ES"/>
        </w:rPr>
        <w:tab/>
        <w:t xml:space="preserve">informes de la Coordinadora: </w:t>
      </w:r>
      <w:hyperlink r:id="rId104" w:history="1">
        <w:r w:rsidRPr="00CC5FE3">
          <w:rPr>
            <w:rStyle w:val="Hyperlink"/>
            <w:lang w:val="es-ES"/>
          </w:rPr>
          <w:t>2/174</w:t>
        </w:r>
      </w:hyperlink>
      <w:r w:rsidRPr="00CC5FE3">
        <w:rPr>
          <w:lang w:val="es-ES"/>
        </w:rPr>
        <w:t xml:space="preserve"> (2023) y </w:t>
      </w:r>
      <w:hyperlink r:id="rId105" w:history="1">
        <w:r w:rsidRPr="00CC5FE3">
          <w:rPr>
            <w:rStyle w:val="Hyperlink"/>
            <w:lang w:val="es-ES"/>
          </w:rPr>
          <w:t>2/323</w:t>
        </w:r>
      </w:hyperlink>
      <w:r w:rsidRPr="00CC5FE3">
        <w:rPr>
          <w:lang w:val="es-ES"/>
        </w:rPr>
        <w:t xml:space="preserve"> (2024);</w:t>
      </w:r>
    </w:p>
    <w:p w14:paraId="47C1B00A" w14:textId="77777777" w:rsidR="000B7E7B" w:rsidRPr="00CC5FE3" w:rsidRDefault="000B7E7B" w:rsidP="00823B1F">
      <w:pPr>
        <w:pStyle w:val="enumlev1"/>
        <w:rPr>
          <w:lang w:val="es-ES"/>
        </w:rPr>
      </w:pPr>
      <w:r w:rsidRPr="00CC5FE3">
        <w:rPr>
          <w:lang w:val="es-ES"/>
        </w:rPr>
        <w:t>–</w:t>
      </w:r>
      <w:r w:rsidRPr="00CC5FE3">
        <w:rPr>
          <w:lang w:val="es-ES"/>
        </w:rPr>
        <w:tab/>
        <w:t xml:space="preserve">contribuciones de la BDT: </w:t>
      </w:r>
      <w:hyperlink r:id="rId106" w:history="1">
        <w:r w:rsidRPr="00CC5FE3">
          <w:rPr>
            <w:rStyle w:val="Hyperlink"/>
            <w:lang w:val="es-ES"/>
          </w:rPr>
          <w:t>2/57</w:t>
        </w:r>
      </w:hyperlink>
      <w:r w:rsidRPr="00CC5FE3">
        <w:rPr>
          <w:lang w:val="es-ES"/>
        </w:rPr>
        <w:t xml:space="preserve"> (2022), </w:t>
      </w:r>
      <w:hyperlink r:id="rId107" w:history="1">
        <w:r w:rsidRPr="00CC5FE3">
          <w:rPr>
            <w:rStyle w:val="Hyperlink"/>
            <w:lang w:val="es-ES"/>
          </w:rPr>
          <w:t>2/168</w:t>
        </w:r>
      </w:hyperlink>
      <w:r w:rsidRPr="00CC5FE3">
        <w:rPr>
          <w:lang w:val="es-ES"/>
        </w:rPr>
        <w:t xml:space="preserve"> (2023) y </w:t>
      </w:r>
      <w:hyperlink r:id="rId108" w:history="1">
        <w:r w:rsidRPr="00CC5FE3">
          <w:rPr>
            <w:rStyle w:val="Hyperlink"/>
            <w:lang w:val="es-ES"/>
          </w:rPr>
          <w:t>2/292</w:t>
        </w:r>
      </w:hyperlink>
      <w:r w:rsidRPr="00CC5FE3">
        <w:rPr>
          <w:lang w:val="es-ES"/>
        </w:rPr>
        <w:t xml:space="preserve"> (2024).</w:t>
      </w:r>
    </w:p>
    <w:p w14:paraId="6C8B425A" w14:textId="77777777" w:rsidR="000B7E7B" w:rsidRPr="00CC5FE3" w:rsidRDefault="000B7E7B" w:rsidP="00823B1F">
      <w:pPr>
        <w:pStyle w:val="Headingb"/>
        <w:rPr>
          <w:lang w:val="es-ES"/>
        </w:rPr>
      </w:pPr>
      <w:r w:rsidRPr="00CC5FE3">
        <w:rPr>
          <w:lang w:val="es-ES"/>
        </w:rPr>
        <w:t>Sinergias con los proyectos de la BDT</w:t>
      </w:r>
    </w:p>
    <w:p w14:paraId="357D64EA" w14:textId="145F4B08" w:rsidR="000B7E7B" w:rsidRPr="00CC5FE3" w:rsidRDefault="000B7E7B" w:rsidP="00823B1F">
      <w:pPr>
        <w:rPr>
          <w:lang w:val="es-ES"/>
        </w:rPr>
      </w:pPr>
      <w:r w:rsidRPr="00CC5FE3">
        <w:rPr>
          <w:lang w:val="es-ES"/>
        </w:rPr>
        <w:t>Con objeto de fortalecer las sinergias entre las Comisiones de Estudio y las iniciativas de la BDT, la CE</w:t>
      </w:r>
      <w:r w:rsidR="00823B1F" w:rsidRPr="00CC5FE3">
        <w:rPr>
          <w:lang w:val="es-ES"/>
        </w:rPr>
        <w:t> </w:t>
      </w:r>
      <w:r w:rsidRPr="00CC5FE3">
        <w:rPr>
          <w:lang w:val="es-ES"/>
        </w:rPr>
        <w:t>2 designó Coordinadores de sinergias de las Cuestiones de estudio y las actividades de la UIT, como los proyectos de la BDT, a los Vicepresidentes Sra. Zainab Ardo (Nigeria) y Sr. Mushfig Guluyev (Azerbaiyán).</w:t>
      </w:r>
    </w:p>
    <w:p w14:paraId="26954657" w14:textId="77777777" w:rsidR="000B7E7B" w:rsidRPr="00CC5FE3" w:rsidRDefault="000B7E7B" w:rsidP="00823B1F">
      <w:pPr>
        <w:rPr>
          <w:lang w:val="es-ES"/>
        </w:rPr>
      </w:pPr>
      <w:r w:rsidRPr="00CC5FE3">
        <w:rPr>
          <w:lang w:val="es-ES"/>
        </w:rPr>
        <w:t>A fin de propiciar tales sinergias, se realizaron las actividades siguientes:</w:t>
      </w:r>
    </w:p>
    <w:p w14:paraId="47B84F92" w14:textId="77777777" w:rsidR="000B7E7B" w:rsidRPr="00CC5FE3" w:rsidRDefault="000B7E7B" w:rsidP="00823B1F">
      <w:pPr>
        <w:pStyle w:val="enumlev1"/>
        <w:rPr>
          <w:lang w:val="es-ES"/>
        </w:rPr>
      </w:pPr>
      <w:r w:rsidRPr="00CC5FE3">
        <w:rPr>
          <w:lang w:val="es-ES"/>
        </w:rPr>
        <w:t>–</w:t>
      </w:r>
      <w:r w:rsidRPr="00CC5FE3">
        <w:rPr>
          <w:lang w:val="es-ES"/>
        </w:rPr>
        <w:tab/>
        <w:t>La CE 2 recibió periódicamente información actualizada de la BDT sobre sus proyectos en curso y la introducción de un tablero de proyectos. En las contribuciones también se presentaba una matriz de correspondencia entre estos proyectos y las Cuestiones de estudio actuales, lo que facilitó la identificación de proyectos pertinentes para su inclusión en los estudios actuales.</w:t>
      </w:r>
    </w:p>
    <w:p w14:paraId="04D17753" w14:textId="16A2F90A" w:rsidR="000B7E7B" w:rsidRPr="00CC5FE3" w:rsidRDefault="000B7E7B" w:rsidP="00823B1F">
      <w:pPr>
        <w:pStyle w:val="enumlev1"/>
        <w:rPr>
          <w:lang w:val="es-ES"/>
        </w:rPr>
      </w:pPr>
      <w:r w:rsidRPr="00CC5FE3">
        <w:rPr>
          <w:lang w:val="es-ES"/>
        </w:rPr>
        <w:t>–</w:t>
      </w:r>
      <w:r w:rsidRPr="00CC5FE3">
        <w:rPr>
          <w:lang w:val="es-ES"/>
        </w:rPr>
        <w:tab/>
        <w:t>La CE 2 organizó una "sesión informativa sobre proyectos de la BDT para la transformación digital", presidida por los dos Coordinadores de la CE</w:t>
      </w:r>
      <w:r w:rsidR="00823B1F" w:rsidRPr="00CC5FE3">
        <w:rPr>
          <w:lang w:val="es-ES"/>
        </w:rPr>
        <w:t> </w:t>
      </w:r>
      <w:r w:rsidRPr="00CC5FE3">
        <w:rPr>
          <w:lang w:val="es-ES"/>
        </w:rPr>
        <w:t>2, en la que se presentaron con más detalle algunos proyectos de la UIT relacionados con la transformación digital y sus repercusiones sobre el terreno.</w:t>
      </w:r>
    </w:p>
    <w:p w14:paraId="72DB521D" w14:textId="77777777" w:rsidR="000B7E7B" w:rsidRPr="00CC5FE3" w:rsidRDefault="000B7E7B" w:rsidP="00823B1F">
      <w:pPr>
        <w:rPr>
          <w:lang w:val="es-ES"/>
        </w:rPr>
      </w:pPr>
      <w:r w:rsidRPr="00CC5FE3">
        <w:rPr>
          <w:lang w:val="es-ES"/>
        </w:rPr>
        <w:t>Los Miembros acogieron con gran satisfacción estas iniciativas, y los equipos de dirección de los Grupos de Relator tuvieron en cuenta estos proyectos y sus vínculos con las Cuestiones de estudio para su inclusión en sus estudios.</w:t>
      </w:r>
    </w:p>
    <w:p w14:paraId="62EA0DC1" w14:textId="77777777" w:rsidR="000B7E7B" w:rsidRPr="00CC5FE3" w:rsidRDefault="000B7E7B" w:rsidP="00823B1F">
      <w:pPr>
        <w:rPr>
          <w:lang w:val="es-ES"/>
        </w:rPr>
      </w:pPr>
      <w:r w:rsidRPr="00CC5FE3">
        <w:rPr>
          <w:lang w:val="es-ES"/>
        </w:rPr>
        <w:t>Para más información, sírvase consultar los siguientes documentos:</w:t>
      </w:r>
    </w:p>
    <w:p w14:paraId="481EA29E" w14:textId="77777777" w:rsidR="000B7E7B" w:rsidRPr="00CC5FE3" w:rsidRDefault="000B7E7B" w:rsidP="00823B1F">
      <w:pPr>
        <w:pStyle w:val="enumlev1"/>
        <w:rPr>
          <w:lang w:val="es-ES"/>
        </w:rPr>
      </w:pPr>
      <w:r w:rsidRPr="00CC5FE3">
        <w:rPr>
          <w:lang w:val="es-ES"/>
        </w:rPr>
        <w:t>–</w:t>
      </w:r>
      <w:r w:rsidRPr="00CC5FE3">
        <w:rPr>
          <w:lang w:val="es-ES"/>
        </w:rPr>
        <w:tab/>
        <w:t xml:space="preserve">contribuciones de la BDT: </w:t>
      </w:r>
      <w:hyperlink r:id="rId109" w:history="1">
        <w:r w:rsidRPr="00CC5FE3">
          <w:rPr>
            <w:rStyle w:val="Hyperlink"/>
            <w:lang w:val="es-ES"/>
          </w:rPr>
          <w:t>2/61</w:t>
        </w:r>
      </w:hyperlink>
      <w:r w:rsidRPr="00CC5FE3">
        <w:rPr>
          <w:lang w:val="es-ES"/>
        </w:rPr>
        <w:t xml:space="preserve"> (2022), </w:t>
      </w:r>
      <w:hyperlink r:id="rId110" w:history="1">
        <w:r w:rsidRPr="00CC5FE3">
          <w:rPr>
            <w:rStyle w:val="Hyperlink"/>
            <w:lang w:val="es-ES"/>
          </w:rPr>
          <w:t>2/170</w:t>
        </w:r>
      </w:hyperlink>
      <w:r w:rsidRPr="00CC5FE3">
        <w:rPr>
          <w:lang w:val="es-ES"/>
        </w:rPr>
        <w:t xml:space="preserve"> (2023) y </w:t>
      </w:r>
      <w:hyperlink r:id="rId111" w:history="1">
        <w:r w:rsidRPr="00CC5FE3">
          <w:rPr>
            <w:rStyle w:val="Hyperlink"/>
            <w:lang w:val="es-ES"/>
          </w:rPr>
          <w:t>2/305</w:t>
        </w:r>
      </w:hyperlink>
      <w:r w:rsidRPr="00CC5FE3">
        <w:rPr>
          <w:lang w:val="es-ES"/>
        </w:rPr>
        <w:t xml:space="preserve"> (2024);</w:t>
      </w:r>
    </w:p>
    <w:p w14:paraId="5A516AC1" w14:textId="77777777" w:rsidR="000B7E7B" w:rsidRPr="00CC5FE3" w:rsidRDefault="000B7E7B" w:rsidP="00823B1F">
      <w:pPr>
        <w:pStyle w:val="enumlev1"/>
        <w:rPr>
          <w:lang w:val="es-ES"/>
        </w:rPr>
      </w:pPr>
      <w:r w:rsidRPr="00CC5FE3">
        <w:rPr>
          <w:lang w:val="es-ES"/>
        </w:rPr>
        <w:t>–</w:t>
      </w:r>
      <w:r w:rsidRPr="00CC5FE3">
        <w:rPr>
          <w:lang w:val="es-ES"/>
        </w:rPr>
        <w:tab/>
        <w:t xml:space="preserve">sesión informativa sobre los proyectos de la BDT en favor de la transformación digital: </w:t>
      </w:r>
      <w:hyperlink r:id="rId112" w:history="1">
        <w:r w:rsidRPr="00CC5FE3">
          <w:rPr>
            <w:rStyle w:val="Hyperlink"/>
            <w:bCs/>
            <w:lang w:val="es-ES"/>
          </w:rPr>
          <w:t>programa</w:t>
        </w:r>
      </w:hyperlink>
      <w:r w:rsidRPr="00CC5FE3">
        <w:rPr>
          <w:bCs/>
          <w:lang w:val="es-ES"/>
        </w:rPr>
        <w:t xml:space="preserve">, </w:t>
      </w:r>
      <w:hyperlink r:id="rId113" w:history="1">
        <w:r w:rsidRPr="00CC5FE3">
          <w:rPr>
            <w:rStyle w:val="Hyperlink"/>
            <w:bCs/>
            <w:lang w:val="es-ES"/>
          </w:rPr>
          <w:t>informe</w:t>
        </w:r>
      </w:hyperlink>
      <w:r w:rsidRPr="00CC5FE3">
        <w:rPr>
          <w:bCs/>
          <w:lang w:val="es-ES"/>
        </w:rPr>
        <w:t xml:space="preserve"> </w:t>
      </w:r>
      <w:r w:rsidRPr="00CC5FE3">
        <w:rPr>
          <w:lang w:val="es-ES"/>
        </w:rPr>
        <w:t>(Anexo 6).</w:t>
      </w:r>
    </w:p>
    <w:p w14:paraId="00794269" w14:textId="77777777" w:rsidR="000B7E7B" w:rsidRPr="00CC5FE3" w:rsidRDefault="000B7E7B" w:rsidP="00823B1F">
      <w:pPr>
        <w:pStyle w:val="Headingb"/>
        <w:rPr>
          <w:rFonts w:eastAsia="Malgun Gothic"/>
          <w:lang w:val="es-ES" w:eastAsia="ko-KR"/>
        </w:rPr>
      </w:pPr>
      <w:r w:rsidRPr="00CC5FE3">
        <w:rPr>
          <w:rFonts w:eastAsia="Malgun Gothic"/>
          <w:lang w:val="es-ES" w:eastAsia="ko-KR"/>
        </w:rPr>
        <w:t>Participación de la juventud y las mujeres en los trabajos de las Comisiones de Estudio del UIT-D</w:t>
      </w:r>
    </w:p>
    <w:p w14:paraId="46F576E2" w14:textId="77777777" w:rsidR="000B7E7B" w:rsidRPr="00CC5FE3" w:rsidRDefault="000B7E7B" w:rsidP="00823B1F">
      <w:pPr>
        <w:rPr>
          <w:rFonts w:eastAsia="Malgun Gothic"/>
          <w:lang w:val="es-ES" w:eastAsia="ko-KR"/>
        </w:rPr>
      </w:pPr>
      <w:r w:rsidRPr="00CC5FE3">
        <w:rPr>
          <w:rFonts w:eastAsia="Malgun Gothic"/>
          <w:lang w:val="es-ES" w:eastAsia="ko-KR"/>
        </w:rPr>
        <w:t>De conformidad con las Resoluciones 55 y 76 (Rev. Kigali, 2022) de la CMDT y con el objetivo de organizar reuniones de Comisiones de Estudio inclusivas y con perspectiva de género, se invitó periódicamente a los Miembros a apoyar y fomentar la participación de las mujeres y los jóvenes en su delegación.</w:t>
      </w:r>
    </w:p>
    <w:p w14:paraId="51DE938B" w14:textId="22942F77" w:rsidR="000B7E7B" w:rsidRPr="00CC5FE3" w:rsidRDefault="000B7E7B" w:rsidP="00823B1F">
      <w:pPr>
        <w:rPr>
          <w:rFonts w:eastAsia="Malgun Gothic"/>
          <w:lang w:val="es-ES" w:eastAsia="ko-KR"/>
        </w:rPr>
      </w:pPr>
      <w:r w:rsidRPr="00CC5FE3">
        <w:rPr>
          <w:rFonts w:eastAsia="Malgun Gothic"/>
          <w:lang w:val="es-ES" w:eastAsia="ko-KR"/>
        </w:rPr>
        <w:lastRenderedPageBreak/>
        <w:t>A fin de facilitar su implicación, la CE 2 nombró Coordinadora a la Vicepresidenta, Sra.</w:t>
      </w:r>
      <w:r w:rsidR="00823B1F" w:rsidRPr="00CC5FE3">
        <w:rPr>
          <w:rFonts w:eastAsia="Malgun Gothic"/>
          <w:lang w:val="es-ES" w:eastAsia="ko-KR"/>
        </w:rPr>
        <w:t> </w:t>
      </w:r>
      <w:r w:rsidRPr="00CC5FE3">
        <w:rPr>
          <w:rFonts w:eastAsia="Malgun Gothic"/>
          <w:lang w:val="es-ES" w:eastAsia="ko-KR"/>
        </w:rPr>
        <w:t>Alina Modan (Rumania), sucedida por la Vicepresidenta, Sra. Madaline Clapon (Rumania) a partir de</w:t>
      </w:r>
      <w:r w:rsidR="00823B1F" w:rsidRPr="00CC5FE3">
        <w:rPr>
          <w:rFonts w:eastAsia="Malgun Gothic"/>
          <w:lang w:val="es-ES" w:eastAsia="ko-KR"/>
        </w:rPr>
        <w:t> </w:t>
      </w:r>
      <w:r w:rsidRPr="00CC5FE3">
        <w:rPr>
          <w:rFonts w:eastAsia="Malgun Gothic"/>
          <w:lang w:val="es-ES" w:eastAsia="ko-KR"/>
        </w:rPr>
        <w:t>2023. Se ejecutaron las acciones siguientes:</w:t>
      </w:r>
    </w:p>
    <w:p w14:paraId="62CF1FD3" w14:textId="77777777" w:rsidR="000B7E7B" w:rsidRPr="00CC5FE3" w:rsidRDefault="000B7E7B" w:rsidP="00823B1F">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t>Durante la primera reunión anual de la CE 2 (2022), varios Enviados juveniles de Generation Connect participaron en las delegaciones de sus respectivos países asistentes a la reunión para seguir los debates y las cuestiones en curso. También organizaron un evento paralelo (diálogo intergeneracional) durante la semana de la reunión, donde se les brindó la oportunidad de dar a conocer su impresión general, junto con algunas ideas para su consideración por los Grupos de Relator.</w:t>
      </w:r>
    </w:p>
    <w:p w14:paraId="3F04C3CF" w14:textId="77777777" w:rsidR="000B7E7B" w:rsidRPr="00CC5FE3" w:rsidRDefault="000B7E7B" w:rsidP="00823B1F">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t>Además, durante la segunda reunión anual de la CE 2 (2023) se organizó un debate oficioso sobre la participación de la juventud entre algunos miembros jóvenes y los equipos de dirección de la CE 2 que, bajo la dirección de la Coordinadora, tenía por objeto estudiar cómo los jóvenes participantes podrían involucrarse más en los trabajos de las Comisiones de Estudio respetando al mismo tiempo las normas y los procedimientos vigentes. Se debatieron varias ideas prácticas, que los equipos de dirección examinaron para decidir si se seguiría trabajando en ellas.</w:t>
      </w:r>
    </w:p>
    <w:p w14:paraId="34D8B417" w14:textId="77777777" w:rsidR="000B7E7B" w:rsidRPr="00CC5FE3" w:rsidRDefault="000B7E7B" w:rsidP="00823B1F">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t xml:space="preserve">Como seguimiento de este debate oficioso, la Coordinadora colaboró con la División de Inclusión Digital de la BDT y los equipos de dirección de los Grupos de Relator interesados para que tres jóvenes participaran como moderadores u oradores durante los talleres organizados </w:t>
      </w:r>
      <w:proofErr w:type="gramStart"/>
      <w:r w:rsidRPr="00CC5FE3">
        <w:rPr>
          <w:rFonts w:eastAsia="Malgun Gothic"/>
          <w:lang w:val="es-ES" w:eastAsia="ko-KR"/>
        </w:rPr>
        <w:t>conjuntamente con</w:t>
      </w:r>
      <w:proofErr w:type="gramEnd"/>
      <w:r w:rsidRPr="00CC5FE3">
        <w:rPr>
          <w:rFonts w:eastAsia="Malgun Gothic"/>
          <w:lang w:val="es-ES" w:eastAsia="ko-KR"/>
        </w:rPr>
        <w:t xml:space="preserve"> las reuniones de los Grupos de Relator en abril y mayo de 2024.</w:t>
      </w:r>
    </w:p>
    <w:p w14:paraId="7881B2AA" w14:textId="77777777" w:rsidR="000B7E7B" w:rsidRPr="00CC5FE3" w:rsidRDefault="000B7E7B" w:rsidP="00823B1F">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t>De manera periódica, la BDT y los miembros presentaron contribuciones con acciones y propuestas para promover la participación de los jóvenes y las mujeres, que recibieron el apoyo de los participantes en la reunión.</w:t>
      </w:r>
    </w:p>
    <w:p w14:paraId="22B01B92" w14:textId="77777777" w:rsidR="000B7E7B" w:rsidRPr="00CC5FE3" w:rsidRDefault="000B7E7B" w:rsidP="00823B1F">
      <w:pPr>
        <w:rPr>
          <w:rFonts w:eastAsia="Malgun Gothic"/>
          <w:lang w:val="es-ES" w:eastAsia="ko-KR"/>
        </w:rPr>
      </w:pPr>
      <w:r w:rsidRPr="00CC5FE3">
        <w:rPr>
          <w:rFonts w:eastAsia="Malgun Gothic"/>
          <w:lang w:val="es-ES" w:eastAsia="ko-KR"/>
        </w:rPr>
        <w:t>Cada una de estas colaboraciones aportó perspectivas nuevas que contribuyeron a la labor de las Cuestiones de estudio.</w:t>
      </w:r>
    </w:p>
    <w:p w14:paraId="591E7499" w14:textId="77777777" w:rsidR="000B7E7B" w:rsidRPr="00CC5FE3" w:rsidRDefault="000B7E7B" w:rsidP="00823B1F">
      <w:pPr>
        <w:rPr>
          <w:rFonts w:eastAsia="Malgun Gothic"/>
          <w:lang w:val="es-ES" w:eastAsia="ko-KR"/>
        </w:rPr>
      </w:pPr>
      <w:r w:rsidRPr="00CC5FE3">
        <w:rPr>
          <w:rFonts w:eastAsia="Malgun Gothic"/>
          <w:lang w:val="es-ES" w:eastAsia="ko-KR"/>
        </w:rPr>
        <w:t>Para más información, sírvase consultar los siguientes documentos:</w:t>
      </w:r>
    </w:p>
    <w:p w14:paraId="006BF325" w14:textId="77777777" w:rsidR="000B7E7B" w:rsidRPr="00CC5FE3" w:rsidRDefault="000B7E7B" w:rsidP="00823B1F">
      <w:pPr>
        <w:pStyle w:val="enumlev1"/>
        <w:rPr>
          <w:rFonts w:eastAsia="Malgun Gothic"/>
          <w:bCs/>
          <w:lang w:val="es-ES" w:eastAsia="ko-KR"/>
        </w:rPr>
      </w:pPr>
      <w:r w:rsidRPr="00CC5FE3">
        <w:rPr>
          <w:rFonts w:eastAsia="Malgun Gothic"/>
          <w:bCs/>
          <w:lang w:val="es-ES" w:eastAsia="ko-KR"/>
        </w:rPr>
        <w:t>–</w:t>
      </w:r>
      <w:r w:rsidRPr="00CC5FE3">
        <w:rPr>
          <w:rFonts w:eastAsia="Malgun Gothic"/>
          <w:bCs/>
          <w:lang w:val="es-ES" w:eastAsia="ko-KR"/>
        </w:rPr>
        <w:tab/>
        <w:t xml:space="preserve">informe del Coordinador: </w:t>
      </w:r>
      <w:hyperlink r:id="rId114" w:history="1">
        <w:r w:rsidRPr="00CC5FE3">
          <w:rPr>
            <w:rStyle w:val="Hyperlink"/>
            <w:rFonts w:eastAsia="Malgun Gothic"/>
            <w:bCs/>
            <w:lang w:val="es-ES" w:eastAsia="ko-KR"/>
          </w:rPr>
          <w:t>2/288</w:t>
        </w:r>
      </w:hyperlink>
      <w:r w:rsidRPr="00CC5FE3">
        <w:rPr>
          <w:rFonts w:eastAsia="Malgun Gothic"/>
          <w:bCs/>
          <w:lang w:val="es-ES" w:eastAsia="ko-KR"/>
        </w:rPr>
        <w:t>;</w:t>
      </w:r>
    </w:p>
    <w:p w14:paraId="485B7296" w14:textId="77777777" w:rsidR="000B7E7B" w:rsidRPr="00CC5FE3" w:rsidRDefault="000B7E7B" w:rsidP="00823B1F">
      <w:pPr>
        <w:pStyle w:val="enumlev1"/>
        <w:rPr>
          <w:rFonts w:eastAsia="Malgun Gothic"/>
          <w:bCs/>
          <w:lang w:val="es-ES" w:eastAsia="ko-KR"/>
        </w:rPr>
      </w:pPr>
      <w:r w:rsidRPr="00CC5FE3">
        <w:rPr>
          <w:rFonts w:eastAsia="Malgun Gothic"/>
          <w:bCs/>
          <w:lang w:val="es-ES" w:eastAsia="ko-KR"/>
        </w:rPr>
        <w:t>–</w:t>
      </w:r>
      <w:r w:rsidRPr="00CC5FE3">
        <w:rPr>
          <w:rFonts w:eastAsia="Malgun Gothic"/>
          <w:bCs/>
          <w:lang w:val="es-ES" w:eastAsia="ko-KR"/>
        </w:rPr>
        <w:tab/>
        <w:t xml:space="preserve">contribuciones de la BDT: </w:t>
      </w:r>
      <w:hyperlink r:id="rId115" w:history="1">
        <w:r w:rsidRPr="00CC5FE3">
          <w:rPr>
            <w:rStyle w:val="Hyperlink"/>
            <w:rFonts w:eastAsia="Malgun Gothic"/>
            <w:bCs/>
            <w:lang w:val="es-ES" w:eastAsia="ko-KR"/>
          </w:rPr>
          <w:t>2/60</w:t>
        </w:r>
      </w:hyperlink>
      <w:r w:rsidRPr="00CC5FE3">
        <w:rPr>
          <w:rFonts w:eastAsia="Malgun Gothic"/>
          <w:bCs/>
          <w:lang w:val="es-ES" w:eastAsia="ko-KR"/>
        </w:rPr>
        <w:t xml:space="preserve"> (2022), </w:t>
      </w:r>
      <w:hyperlink r:id="rId116" w:history="1">
        <w:r w:rsidRPr="00CC5FE3">
          <w:rPr>
            <w:rStyle w:val="Hyperlink"/>
            <w:rFonts w:eastAsia="Malgun Gothic"/>
            <w:bCs/>
            <w:lang w:val="es-ES" w:eastAsia="ko-KR"/>
          </w:rPr>
          <w:t>2/160</w:t>
        </w:r>
      </w:hyperlink>
      <w:r w:rsidRPr="00CC5FE3">
        <w:rPr>
          <w:rFonts w:eastAsia="Malgun Gothic"/>
          <w:bCs/>
          <w:lang w:val="es-ES" w:eastAsia="ko-KR"/>
        </w:rPr>
        <w:t xml:space="preserve"> (2023) y </w:t>
      </w:r>
      <w:hyperlink r:id="rId117" w:history="1">
        <w:r w:rsidRPr="00CC5FE3">
          <w:rPr>
            <w:rStyle w:val="Hyperlink"/>
            <w:rFonts w:eastAsia="Malgun Gothic"/>
            <w:bCs/>
            <w:lang w:val="es-ES" w:eastAsia="ko-KR"/>
          </w:rPr>
          <w:t>2/178</w:t>
        </w:r>
      </w:hyperlink>
      <w:r w:rsidRPr="00CC5FE3">
        <w:rPr>
          <w:rFonts w:eastAsia="Malgun Gothic"/>
          <w:bCs/>
          <w:lang w:val="es-ES" w:eastAsia="ko-KR"/>
        </w:rPr>
        <w:t xml:space="preserve"> (2023);</w:t>
      </w:r>
    </w:p>
    <w:p w14:paraId="7747BB68" w14:textId="77777777" w:rsidR="000B7E7B" w:rsidRPr="00CC5FE3" w:rsidRDefault="000B7E7B" w:rsidP="00823B1F">
      <w:pPr>
        <w:pStyle w:val="enumlev1"/>
        <w:rPr>
          <w:rFonts w:eastAsia="Malgun Gothic"/>
          <w:bCs/>
          <w:lang w:val="es-ES" w:eastAsia="ko-KR"/>
        </w:rPr>
      </w:pPr>
      <w:r w:rsidRPr="00CC5FE3">
        <w:rPr>
          <w:rFonts w:eastAsia="Malgun Gothic"/>
          <w:bCs/>
          <w:lang w:val="es-ES" w:eastAsia="ko-KR"/>
        </w:rPr>
        <w:t>–</w:t>
      </w:r>
      <w:r w:rsidRPr="00CC5FE3">
        <w:rPr>
          <w:rFonts w:eastAsia="Malgun Gothic"/>
          <w:bCs/>
          <w:lang w:val="es-ES" w:eastAsia="ko-KR"/>
        </w:rPr>
        <w:tab/>
        <w:t>contribuciones de los miembros a las plenarias de la CE 2</w:t>
      </w:r>
      <w:r w:rsidRPr="00CC5FE3">
        <w:rPr>
          <w:rFonts w:eastAsia="Malgun Gothic"/>
          <w:bCs/>
          <w:vertAlign w:val="superscript"/>
          <w:lang w:val="es-ES" w:eastAsia="ko-KR"/>
        </w:rPr>
        <w:footnoteReference w:id="13"/>
      </w:r>
      <w:r w:rsidRPr="00CC5FE3">
        <w:rPr>
          <w:rFonts w:eastAsia="Malgun Gothic"/>
          <w:bCs/>
          <w:lang w:val="es-ES" w:eastAsia="ko-KR"/>
        </w:rPr>
        <w:t xml:space="preserve">: </w:t>
      </w:r>
      <w:hyperlink r:id="rId118" w:history="1">
        <w:r w:rsidRPr="00CC5FE3">
          <w:rPr>
            <w:rStyle w:val="Hyperlink"/>
            <w:rFonts w:eastAsia="Malgun Gothic"/>
            <w:bCs/>
            <w:lang w:val="es-ES" w:eastAsia="ko-KR"/>
          </w:rPr>
          <w:t>2/250</w:t>
        </w:r>
      </w:hyperlink>
      <w:r w:rsidRPr="00CC5FE3">
        <w:rPr>
          <w:rFonts w:eastAsia="Malgun Gothic"/>
          <w:bCs/>
          <w:lang w:val="es-ES" w:eastAsia="ko-KR"/>
        </w:rPr>
        <w:t xml:space="preserve"> (2024) y </w:t>
      </w:r>
      <w:hyperlink r:id="rId119" w:history="1">
        <w:r w:rsidRPr="00CC5FE3">
          <w:rPr>
            <w:rStyle w:val="Hyperlink"/>
            <w:rFonts w:eastAsia="Malgun Gothic"/>
            <w:bCs/>
            <w:lang w:val="es-ES" w:eastAsia="ko-KR"/>
          </w:rPr>
          <w:t>2/256</w:t>
        </w:r>
      </w:hyperlink>
      <w:r w:rsidRPr="00CC5FE3">
        <w:rPr>
          <w:rFonts w:eastAsia="Malgun Gothic"/>
          <w:bCs/>
          <w:lang w:val="es-ES" w:eastAsia="ko-KR"/>
        </w:rPr>
        <w:t xml:space="preserve"> (2024).</w:t>
      </w:r>
    </w:p>
    <w:p w14:paraId="15ED8510" w14:textId="77777777" w:rsidR="000B7E7B" w:rsidRPr="00CC5FE3" w:rsidRDefault="000B7E7B" w:rsidP="00823B1F">
      <w:pPr>
        <w:pStyle w:val="Headingb"/>
        <w:rPr>
          <w:lang w:val="es-ES"/>
        </w:rPr>
      </w:pPr>
      <w:r w:rsidRPr="00CC5FE3">
        <w:rPr>
          <w:lang w:val="es-ES"/>
        </w:rPr>
        <w:t>Colaboración con la CMSI</w:t>
      </w:r>
    </w:p>
    <w:p w14:paraId="54166917" w14:textId="4B24FB53" w:rsidR="000B7E7B" w:rsidRPr="00CC5FE3" w:rsidRDefault="000B7E7B" w:rsidP="00912730">
      <w:pPr>
        <w:rPr>
          <w:lang w:val="es-ES"/>
        </w:rPr>
      </w:pPr>
      <w:r w:rsidRPr="00CC5FE3">
        <w:rPr>
          <w:lang w:val="es-ES"/>
        </w:rPr>
        <w:t>A fin de tratar de lograr una estrecha armonización entre el Proceso de la CMSI y la Agenda</w:t>
      </w:r>
      <w:r w:rsidR="0065683A" w:rsidRPr="00CC5FE3">
        <w:rPr>
          <w:lang w:val="es-ES"/>
        </w:rPr>
        <w:t> </w:t>
      </w:r>
      <w:r w:rsidRPr="00CC5FE3">
        <w:rPr>
          <w:lang w:val="es-ES"/>
        </w:rPr>
        <w:t>2030 para el Desarrollo Sostenible, reclamada por el Examen General de la Asamblea General de las Naciones Unidas sobre la CMSI</w:t>
      </w:r>
      <w:r w:rsidRPr="00CC5FE3">
        <w:rPr>
          <w:vertAlign w:val="superscript"/>
          <w:lang w:val="es-ES"/>
        </w:rPr>
        <w:footnoteReference w:id="14"/>
      </w:r>
      <w:r w:rsidRPr="00CC5FE3">
        <w:rPr>
          <w:lang w:val="es-ES"/>
        </w:rPr>
        <w:t>, y recomendada por el Grupo de Trabajo del Consejo de la</w:t>
      </w:r>
      <w:r w:rsidR="0065683A" w:rsidRPr="00CC5FE3">
        <w:rPr>
          <w:lang w:val="es-ES"/>
        </w:rPr>
        <w:t> </w:t>
      </w:r>
      <w:r w:rsidRPr="00CC5FE3">
        <w:rPr>
          <w:lang w:val="es-ES"/>
        </w:rPr>
        <w:t xml:space="preserve">UIT sobre la CMSI+ODS (GTC-CMSI+ODS) con el fin de intensificar la cooperación entre las Comisiones </w:t>
      </w:r>
      <w:r w:rsidRPr="00CC5FE3">
        <w:rPr>
          <w:lang w:val="es-ES"/>
        </w:rPr>
        <w:lastRenderedPageBreak/>
        <w:t>de Estudio de la UIT y la Secretaría de la CMSI para contribuir al Proceso de la CMSI y los ODS, se invitó regularmente a la secretaría de la CMSI a facilitar información actualizada sobre las actividades más recientes, tanto de los actos de la CMSI como de otros contextos, incluidos el proceso de la CMSI, el Foro de la CMSI, el Inventario de la CMSI y los Premios de la CMSI, haciendo hincapié en la participación de las Comisiones de Estudio del UIT-D y su potencial de colaboración en el futuro. Se destacó la coordinación del proceso de la CMSI con los organismos de las Naciones Unidas con miras a implementar líneas de acción y promover los Objetivos de Desarrollo Sostenible. También se incluyeron los resultados de los Foros de la CMSI, en particular sobre el proceso de revisión de la CMSI+20.</w:t>
      </w:r>
    </w:p>
    <w:p w14:paraId="7ACA6C9F" w14:textId="7AE6F387" w:rsidR="000B7E7B" w:rsidRPr="00CC5FE3" w:rsidRDefault="000B7E7B" w:rsidP="00912730">
      <w:pPr>
        <w:rPr>
          <w:bCs/>
          <w:lang w:val="es-ES"/>
        </w:rPr>
      </w:pPr>
      <w:r w:rsidRPr="00CC5FE3">
        <w:rPr>
          <w:lang w:val="es-ES"/>
        </w:rPr>
        <w:t>Dado que todas las Cuestiones de estudio guardan relación con las Líneas de Acción de la CMSI, la CE</w:t>
      </w:r>
      <w:r w:rsidR="00912730" w:rsidRPr="00CC5FE3">
        <w:rPr>
          <w:lang w:val="es-ES"/>
        </w:rPr>
        <w:t> </w:t>
      </w:r>
      <w:r w:rsidRPr="00CC5FE3">
        <w:rPr>
          <w:lang w:val="es-ES"/>
        </w:rPr>
        <w:t>2 seguirá buscando oportunidades para crear sinergias con la CMSI aprovechando las colaboraciones estudiadas y logradas durante este periodo de estudios.</w:t>
      </w:r>
    </w:p>
    <w:p w14:paraId="42B604BA" w14:textId="77777777" w:rsidR="000B7E7B" w:rsidRPr="00CC5FE3" w:rsidRDefault="000B7E7B" w:rsidP="00912730">
      <w:pPr>
        <w:rPr>
          <w:lang w:val="es-ES"/>
        </w:rPr>
      </w:pPr>
      <w:r w:rsidRPr="00CC5FE3">
        <w:rPr>
          <w:lang w:val="es-ES"/>
        </w:rPr>
        <w:t>Para más información, sírvase consultar los siguientes documentos:</w:t>
      </w:r>
    </w:p>
    <w:p w14:paraId="5BE01BE0" w14:textId="77777777" w:rsidR="000B7E7B" w:rsidRPr="00CC5FE3" w:rsidRDefault="000B7E7B" w:rsidP="00912730">
      <w:pPr>
        <w:pStyle w:val="enumlev1"/>
        <w:rPr>
          <w:lang w:val="es-ES"/>
        </w:rPr>
      </w:pPr>
      <w:r w:rsidRPr="00CC5FE3">
        <w:rPr>
          <w:lang w:val="es-ES"/>
        </w:rPr>
        <w:t>–</w:t>
      </w:r>
      <w:r w:rsidRPr="00CC5FE3">
        <w:rPr>
          <w:lang w:val="es-ES"/>
        </w:rPr>
        <w:tab/>
        <w:t xml:space="preserve">contribuciones de la Secretaría de la CMSI: </w:t>
      </w:r>
      <w:hyperlink r:id="rId120" w:history="1">
        <w:r w:rsidRPr="00CC5FE3">
          <w:rPr>
            <w:rStyle w:val="Hyperlink"/>
            <w:lang w:val="es-ES"/>
          </w:rPr>
          <w:t>2/62</w:t>
        </w:r>
      </w:hyperlink>
      <w:r w:rsidRPr="00CC5FE3">
        <w:rPr>
          <w:lang w:val="es-ES"/>
        </w:rPr>
        <w:t xml:space="preserve"> (2022), </w:t>
      </w:r>
      <w:hyperlink r:id="rId121" w:history="1">
        <w:r w:rsidRPr="00CC5FE3">
          <w:rPr>
            <w:rStyle w:val="Hyperlink"/>
            <w:lang w:val="es-ES"/>
          </w:rPr>
          <w:t>2/63</w:t>
        </w:r>
      </w:hyperlink>
      <w:r w:rsidRPr="00CC5FE3">
        <w:rPr>
          <w:lang w:val="es-ES"/>
        </w:rPr>
        <w:t xml:space="preserve"> (2022), </w:t>
      </w:r>
      <w:hyperlink r:id="rId122" w:history="1">
        <w:r w:rsidRPr="00CC5FE3">
          <w:rPr>
            <w:rStyle w:val="Hyperlink"/>
            <w:lang w:val="es-ES"/>
          </w:rPr>
          <w:t>2/64</w:t>
        </w:r>
      </w:hyperlink>
      <w:r w:rsidRPr="00CC5FE3">
        <w:rPr>
          <w:lang w:val="es-ES"/>
        </w:rPr>
        <w:t xml:space="preserve"> (2022), </w:t>
      </w:r>
      <w:hyperlink r:id="rId123" w:history="1">
        <w:r w:rsidRPr="00CC5FE3">
          <w:rPr>
            <w:rStyle w:val="Hyperlink"/>
            <w:lang w:val="es-ES"/>
          </w:rPr>
          <w:t>2/65</w:t>
        </w:r>
      </w:hyperlink>
      <w:r w:rsidRPr="00CC5FE3">
        <w:rPr>
          <w:lang w:val="es-ES"/>
        </w:rPr>
        <w:t xml:space="preserve"> (2022), </w:t>
      </w:r>
      <w:hyperlink r:id="rId124" w:history="1">
        <w:r w:rsidRPr="00CC5FE3">
          <w:rPr>
            <w:rStyle w:val="Hyperlink"/>
            <w:lang w:val="es-ES"/>
          </w:rPr>
          <w:t>2/66</w:t>
        </w:r>
      </w:hyperlink>
      <w:r w:rsidRPr="00CC5FE3">
        <w:rPr>
          <w:lang w:val="es-ES"/>
        </w:rPr>
        <w:t xml:space="preserve"> (2022), </w:t>
      </w:r>
      <w:hyperlink r:id="rId125" w:history="1">
        <w:r w:rsidRPr="00CC5FE3">
          <w:rPr>
            <w:rStyle w:val="Hyperlink"/>
            <w:lang w:val="es-ES"/>
          </w:rPr>
          <w:t>2/176</w:t>
        </w:r>
      </w:hyperlink>
      <w:r w:rsidRPr="00CC5FE3">
        <w:rPr>
          <w:lang w:val="es-ES"/>
        </w:rPr>
        <w:t xml:space="preserve"> (2023), </w:t>
      </w:r>
      <w:hyperlink r:id="rId126" w:history="1">
        <w:r w:rsidRPr="00CC5FE3">
          <w:rPr>
            <w:rStyle w:val="Hyperlink"/>
            <w:lang w:val="es-ES"/>
          </w:rPr>
          <w:t>2/308</w:t>
        </w:r>
      </w:hyperlink>
      <w:r w:rsidRPr="00CC5FE3">
        <w:rPr>
          <w:lang w:val="es-ES"/>
        </w:rPr>
        <w:t xml:space="preserve"> (2024) y </w:t>
      </w:r>
      <w:hyperlink r:id="rId127" w:history="1">
        <w:r w:rsidRPr="00CC5FE3">
          <w:rPr>
            <w:rStyle w:val="Hyperlink"/>
            <w:lang w:val="es-ES"/>
          </w:rPr>
          <w:t>2/412</w:t>
        </w:r>
      </w:hyperlink>
      <w:r w:rsidRPr="00CC5FE3">
        <w:rPr>
          <w:lang w:val="es-ES"/>
        </w:rPr>
        <w:t xml:space="preserve"> (2025).</w:t>
      </w:r>
    </w:p>
    <w:p w14:paraId="1C58EEE7" w14:textId="77777777" w:rsidR="000B7E7B" w:rsidRPr="00CC5FE3" w:rsidRDefault="000B7E7B" w:rsidP="00912730">
      <w:pPr>
        <w:pStyle w:val="Headingb"/>
        <w:rPr>
          <w:lang w:val="es-ES"/>
        </w:rPr>
      </w:pPr>
      <w:r w:rsidRPr="00CC5FE3">
        <w:rPr>
          <w:lang w:val="es-ES"/>
        </w:rPr>
        <w:t>Herramientas de colaboración</w:t>
      </w:r>
    </w:p>
    <w:p w14:paraId="1AD1D735" w14:textId="77777777" w:rsidR="000B7E7B" w:rsidRPr="00CC5FE3" w:rsidRDefault="000B7E7B" w:rsidP="00912730">
      <w:pPr>
        <w:rPr>
          <w:lang w:val="es-ES"/>
        </w:rPr>
      </w:pPr>
      <w:r w:rsidRPr="00CC5FE3">
        <w:rPr>
          <w:lang w:val="es-ES"/>
        </w:rPr>
        <w:t xml:space="preserve">Las </w:t>
      </w:r>
      <w:hyperlink r:id="rId128" w:history="1">
        <w:r w:rsidRPr="00CC5FE3">
          <w:rPr>
            <w:rStyle w:val="Hyperlink"/>
            <w:lang w:val="es-ES"/>
          </w:rPr>
          <w:t>herramientas de colaboración</w:t>
        </w:r>
      </w:hyperlink>
      <w:r w:rsidRPr="00CC5FE3">
        <w:rPr>
          <w:lang w:val="es-ES"/>
        </w:rPr>
        <w:t xml:space="preserve"> para facilitar la participación electrónica en los trabajos de las Comisiones de Estudio del UIT-D están evolucionando. Además de los servicios de participación a distancia y difusión por la web disponibles en los idiomas de trabajo de las distintas reuniones, se proporcionan listas de correo a los participantes y los miembros de los equipos de dirección.</w:t>
      </w:r>
    </w:p>
    <w:p w14:paraId="7F39C412" w14:textId="77777777" w:rsidR="000B7E7B" w:rsidRPr="00CC5FE3" w:rsidRDefault="000B7E7B" w:rsidP="00912730">
      <w:pPr>
        <w:rPr>
          <w:lang w:val="es-ES"/>
        </w:rPr>
      </w:pPr>
      <w:r w:rsidRPr="00CC5FE3">
        <w:rPr>
          <w:lang w:val="es-ES"/>
        </w:rPr>
        <w:t>También se han creado canales de Microsoft Teams para que los equipos de dirección de cada Cuestión los utilicen según les convenga. Los miembros de los equipos de dirección de las Cuestiones valoran muy positivamente el sistema de subtitulado automático y traducción en varios idiomas, habida cuenta de que algunos participantes no hablaban inglés con fluidez.</w:t>
      </w:r>
    </w:p>
    <w:p w14:paraId="6623F31A" w14:textId="19BC6E87" w:rsidR="000B7E7B" w:rsidRPr="00CC5FE3" w:rsidRDefault="000B7E7B" w:rsidP="00912730">
      <w:pPr>
        <w:rPr>
          <w:lang w:val="es-ES"/>
        </w:rPr>
      </w:pPr>
      <w:r w:rsidRPr="00CC5FE3">
        <w:rPr>
          <w:lang w:val="es-ES"/>
        </w:rPr>
        <w:t>Se ha incorporado un repositorio y tablero de contribuciones</w:t>
      </w:r>
      <w:r w:rsidRPr="00CC5FE3">
        <w:rPr>
          <w:vertAlign w:val="superscript"/>
          <w:lang w:val="es-ES"/>
        </w:rPr>
        <w:footnoteReference w:id="15"/>
      </w:r>
      <w:r w:rsidRPr="00CC5FE3">
        <w:rPr>
          <w:lang w:val="es-ES"/>
        </w:rPr>
        <w:t>, que facilita la búsqueda de contribuciones anteriores y los resúmenes conexos y que se actualiza periódicamente. El sistema de traducción automática de documentos denominado "ITUTranslate"</w:t>
      </w:r>
      <w:r w:rsidRPr="00CC5FE3">
        <w:rPr>
          <w:vertAlign w:val="superscript"/>
          <w:lang w:val="es-ES"/>
        </w:rPr>
        <w:footnoteReference w:id="16"/>
      </w:r>
      <w:r w:rsidRPr="00CC5FE3">
        <w:rPr>
          <w:lang w:val="es-ES"/>
        </w:rPr>
        <w:t xml:space="preserve"> ha sido incluido en el repositorio de gestión de documentos, al que solo pueden acceder usuarios TIES. Dicho sistema permite traducir contribuciones, informes y otros documentos de reuniones entre idiomas oficiales de las Naciones Unidas. Todas las páginas web de las Comisiones de Estudio del UIT</w:t>
      </w:r>
      <w:r w:rsidR="005F3240" w:rsidRPr="00CC5FE3">
        <w:rPr>
          <w:lang w:val="es-ES"/>
        </w:rPr>
        <w:noBreakHyphen/>
      </w:r>
      <w:r w:rsidRPr="00CC5FE3">
        <w:rPr>
          <w:lang w:val="es-ES"/>
        </w:rPr>
        <w:t>D también pueden traducirse a todos los idiomas oficiales de las Naciones Unidas gracias al complemento ITUTranslate. También se puso a prueba la interpretación basada en IA en las últimas reuniones conjuntas de los equipos directivos de la CE</w:t>
      </w:r>
      <w:r w:rsidR="005F3240" w:rsidRPr="00CC5FE3">
        <w:rPr>
          <w:lang w:val="es-ES"/>
        </w:rPr>
        <w:t> </w:t>
      </w:r>
      <w:r w:rsidRPr="00CC5FE3">
        <w:rPr>
          <w:lang w:val="es-ES"/>
        </w:rPr>
        <w:t>1 y la CE</w:t>
      </w:r>
      <w:r w:rsidR="005F3240" w:rsidRPr="00CC5FE3">
        <w:rPr>
          <w:lang w:val="es-ES"/>
        </w:rPr>
        <w:t> </w:t>
      </w:r>
      <w:r w:rsidRPr="00CC5FE3">
        <w:rPr>
          <w:lang w:val="es-ES"/>
        </w:rPr>
        <w:t>2, con comentarios positivos de los participantes.</w:t>
      </w:r>
    </w:p>
    <w:p w14:paraId="0C32235C" w14:textId="77777777" w:rsidR="000B7E7B" w:rsidRPr="00CC5FE3" w:rsidRDefault="000B7E7B" w:rsidP="00912730">
      <w:pPr>
        <w:rPr>
          <w:lang w:val="es-ES"/>
        </w:rPr>
      </w:pPr>
      <w:r w:rsidRPr="00CC5FE3">
        <w:rPr>
          <w:lang w:val="es-ES"/>
        </w:rPr>
        <w:t>Se alentó a los participantes en las Comisiones de Estudio a examinar las herramientas disponibles y enviar comentarios a la secretaría para contribuir a su mejora.</w:t>
      </w:r>
    </w:p>
    <w:p w14:paraId="1804BBAD" w14:textId="77777777" w:rsidR="003D7B26" w:rsidRDefault="003D7B26">
      <w:pPr>
        <w:tabs>
          <w:tab w:val="clear" w:pos="1134"/>
          <w:tab w:val="clear" w:pos="1871"/>
          <w:tab w:val="clear" w:pos="2268"/>
        </w:tabs>
        <w:overflowPunct/>
        <w:autoSpaceDE/>
        <w:autoSpaceDN/>
        <w:adjustRightInd/>
        <w:spacing w:before="0"/>
        <w:textAlignment w:val="auto"/>
        <w:rPr>
          <w:rFonts w:cs="Times New Roman Bold"/>
          <w:b/>
          <w:lang w:val="es-ES"/>
        </w:rPr>
      </w:pPr>
      <w:r>
        <w:rPr>
          <w:lang w:val="es-ES"/>
        </w:rPr>
        <w:br w:type="page"/>
      </w:r>
    </w:p>
    <w:p w14:paraId="7A833E02" w14:textId="42642C4F" w:rsidR="000B7E7B" w:rsidRPr="00CC5FE3" w:rsidRDefault="000B7E7B" w:rsidP="00912730">
      <w:pPr>
        <w:pStyle w:val="Headingb"/>
        <w:rPr>
          <w:lang w:val="es-ES"/>
        </w:rPr>
      </w:pPr>
      <w:r w:rsidRPr="00CC5FE3">
        <w:rPr>
          <w:lang w:val="es-ES"/>
        </w:rPr>
        <w:lastRenderedPageBreak/>
        <w:t>Resultado de la encuesta sobre la labor de las Comisiones de Estudio del UIT-D (8º periodo de estudios, 2022</w:t>
      </w:r>
      <w:r w:rsidR="005F3240" w:rsidRPr="00CC5FE3">
        <w:rPr>
          <w:lang w:val="es-ES"/>
        </w:rPr>
        <w:noBreakHyphen/>
      </w:r>
      <w:r w:rsidRPr="00CC5FE3">
        <w:rPr>
          <w:lang w:val="es-ES"/>
        </w:rPr>
        <w:t>2025)</w:t>
      </w:r>
    </w:p>
    <w:p w14:paraId="17EEDEC5" w14:textId="774429BC" w:rsidR="000B7E7B" w:rsidRPr="00CC5FE3" w:rsidRDefault="000B7E7B" w:rsidP="00912730">
      <w:pPr>
        <w:rPr>
          <w:lang w:val="es-ES"/>
        </w:rPr>
      </w:pPr>
      <w:r w:rsidRPr="00CC5FE3">
        <w:rPr>
          <w:lang w:val="es-ES"/>
        </w:rPr>
        <w:t>De conformidad con la Sección 3.10.5.4 de la Resolución 1 (Rev. Kigali, 2022), las Comisiones de Estudio del UIT</w:t>
      </w:r>
      <w:r w:rsidR="005F3240" w:rsidRPr="00CC5FE3">
        <w:rPr>
          <w:lang w:val="es-ES"/>
        </w:rPr>
        <w:noBreakHyphen/>
      </w:r>
      <w:r w:rsidRPr="00CC5FE3">
        <w:rPr>
          <w:lang w:val="es-ES"/>
        </w:rPr>
        <w:t>D publicaron una encuesta conjunta para determinar en qué medida los Miembros del UIT</w:t>
      </w:r>
      <w:r w:rsidR="005F3240" w:rsidRPr="00CC5FE3">
        <w:rPr>
          <w:lang w:val="es-ES"/>
        </w:rPr>
        <w:noBreakHyphen/>
      </w:r>
      <w:r w:rsidRPr="00CC5FE3">
        <w:rPr>
          <w:lang w:val="es-ES"/>
        </w:rPr>
        <w:t>D, en particular los países en desarrollo, se benefician de los resultados de los estudios.</w:t>
      </w:r>
    </w:p>
    <w:p w14:paraId="41E4F1C6" w14:textId="40115FEE" w:rsidR="000B7E7B" w:rsidRPr="00CC5FE3" w:rsidRDefault="000B7E7B" w:rsidP="00912730">
      <w:pPr>
        <w:rPr>
          <w:lang w:val="es-ES"/>
        </w:rPr>
      </w:pPr>
      <w:r w:rsidRPr="00CC5FE3">
        <w:rPr>
          <w:lang w:val="es-ES"/>
        </w:rPr>
        <w:t>El proyecto de cuestionario se presentó en las reuniones de las Comisiones de Estudio 1 y 2 del UIT</w:t>
      </w:r>
      <w:r w:rsidR="005F3240" w:rsidRPr="00CC5FE3">
        <w:rPr>
          <w:lang w:val="es-ES"/>
        </w:rPr>
        <w:noBreakHyphen/>
      </w:r>
      <w:r w:rsidRPr="00CC5FE3">
        <w:rPr>
          <w:lang w:val="es-ES"/>
        </w:rPr>
        <w:t>D de noviembre de 2024, con el fin de recabar sus observaciones. La versión final de este cuestionario se publicó el 8 de enero de 2025 como encuesta en línea dirigida a los Miembros del UIT</w:t>
      </w:r>
      <w:r w:rsidR="005F3240" w:rsidRPr="00CC5FE3">
        <w:rPr>
          <w:lang w:val="es-ES"/>
        </w:rPr>
        <w:noBreakHyphen/>
      </w:r>
      <w:r w:rsidRPr="00CC5FE3">
        <w:rPr>
          <w:lang w:val="es-ES"/>
        </w:rPr>
        <w:t xml:space="preserve">D (véase el Documento </w:t>
      </w:r>
      <w:hyperlink r:id="rId129" w:history="1">
        <w:r w:rsidRPr="00CC5FE3">
          <w:rPr>
            <w:rStyle w:val="Hyperlink"/>
            <w:szCs w:val="24"/>
            <w:lang w:val="es-ES"/>
          </w:rPr>
          <w:t>BDT/PPS/CSTG-7</w:t>
        </w:r>
      </w:hyperlink>
      <w:r w:rsidRPr="00CC5FE3">
        <w:rPr>
          <w:lang w:val="es-ES"/>
        </w:rPr>
        <w:t>) con vigencia hasta el 7 de febrero de 2025</w:t>
      </w:r>
      <w:r w:rsidR="005F3240" w:rsidRPr="00CC5FE3">
        <w:rPr>
          <w:lang w:val="es-ES"/>
        </w:rPr>
        <w:t>.</w:t>
      </w:r>
    </w:p>
    <w:p w14:paraId="071C1A57" w14:textId="77777777" w:rsidR="000B7E7B" w:rsidRPr="00CC5FE3" w:rsidRDefault="000B7E7B" w:rsidP="00912730">
      <w:pPr>
        <w:rPr>
          <w:rFonts w:eastAsia="Malgun Gothic"/>
          <w:lang w:val="es-ES" w:eastAsia="ko-KR"/>
        </w:rPr>
      </w:pPr>
      <w:r w:rsidRPr="00CC5FE3">
        <w:rPr>
          <w:rFonts w:eastAsia="Malgun Gothic"/>
          <w:lang w:val="es-ES" w:eastAsia="ko-KR"/>
        </w:rPr>
        <w:t>Se analizaron las respuestas recibidas durante la encuesta conjunta y se presentó un informe durante la cuarta y última reunión de las Comisiones de Estudio. El informe abarcaba las siguientes secciones:</w:t>
      </w:r>
    </w:p>
    <w:p w14:paraId="5C2B342D" w14:textId="386BD85B" w:rsidR="000B7E7B" w:rsidRPr="00CC5FE3" w:rsidRDefault="00912730" w:rsidP="00912730">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Sección 1 – Estadísticas de participación en la encuesta, con 74 respuestas recibidas de todos los tipos de miembros y de las seis regiones</w:t>
      </w:r>
      <w:r w:rsidRPr="00CC5FE3">
        <w:rPr>
          <w:rFonts w:eastAsia="Malgun Gothic"/>
          <w:lang w:val="es-ES" w:eastAsia="ko-KR"/>
        </w:rPr>
        <w:t>.</w:t>
      </w:r>
    </w:p>
    <w:p w14:paraId="007D8183" w14:textId="5AB24E19" w:rsidR="000B7E7B" w:rsidRPr="00CC5FE3" w:rsidRDefault="00912730" w:rsidP="00912730">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Sec</w:t>
      </w:r>
      <w:r w:rsidRPr="00CC5FE3">
        <w:rPr>
          <w:rFonts w:eastAsia="Malgun Gothic"/>
          <w:lang w:val="es-ES" w:eastAsia="ko-KR"/>
        </w:rPr>
        <w:t>ció</w:t>
      </w:r>
      <w:r w:rsidR="000B7E7B" w:rsidRPr="00CC5FE3">
        <w:rPr>
          <w:rFonts w:eastAsia="Malgun Gothic"/>
          <w:lang w:val="es-ES" w:eastAsia="ko-KR"/>
        </w:rPr>
        <w:t xml:space="preserve">n 2: Aspectos </w:t>
      </w:r>
      <w:r w:rsidR="00CC5FE3" w:rsidRPr="00CC5FE3">
        <w:rPr>
          <w:rFonts w:eastAsia="Malgun Gothic"/>
          <w:lang w:val="es-ES" w:eastAsia="ko-KR"/>
        </w:rPr>
        <w:t>generales</w:t>
      </w:r>
      <w:r w:rsidR="000B7E7B" w:rsidRPr="00CC5FE3">
        <w:rPr>
          <w:rFonts w:eastAsia="Malgun Gothic"/>
          <w:lang w:val="es-ES" w:eastAsia="ko-KR"/>
        </w:rPr>
        <w:t>, incluida la participación en las Comisiones de Estudio del UIT</w:t>
      </w:r>
      <w:r w:rsidR="005F3240" w:rsidRPr="00CC5FE3">
        <w:rPr>
          <w:rFonts w:eastAsia="Malgun Gothic"/>
          <w:lang w:val="es-ES" w:eastAsia="ko-KR"/>
        </w:rPr>
        <w:noBreakHyphen/>
      </w:r>
      <w:r w:rsidR="000B7E7B" w:rsidRPr="00CC5FE3">
        <w:rPr>
          <w:rFonts w:eastAsia="Malgun Gothic"/>
          <w:lang w:val="es-ES" w:eastAsia="ko-KR"/>
        </w:rPr>
        <w:t>D, la colaboración intersectorial y los talleres, así como la utilización y eficacia de los recursos e instrumentos del UIT-D.</w:t>
      </w:r>
    </w:p>
    <w:p w14:paraId="69DE25ED" w14:textId="3DEC8C6B" w:rsidR="000B7E7B" w:rsidRPr="00CC5FE3" w:rsidRDefault="00912730" w:rsidP="00912730">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Sección 3 – Estructura y temas de estudio de las Comisiones de Estudio del UIT</w:t>
      </w:r>
      <w:r w:rsidR="005F3240" w:rsidRPr="00CC5FE3">
        <w:rPr>
          <w:rFonts w:eastAsia="Malgun Gothic"/>
          <w:lang w:val="es-ES" w:eastAsia="ko-KR"/>
        </w:rPr>
        <w:noBreakHyphen/>
      </w:r>
      <w:r w:rsidR="000B7E7B" w:rsidRPr="00CC5FE3">
        <w:rPr>
          <w:rFonts w:eastAsia="Malgun Gothic"/>
          <w:lang w:val="es-ES" w:eastAsia="ko-KR"/>
        </w:rPr>
        <w:t>D, incluido el conocimiento y la pertinencia de las Comisiones de Estudio del UIT</w:t>
      </w:r>
      <w:r w:rsidR="005F3240" w:rsidRPr="00CC5FE3">
        <w:rPr>
          <w:rFonts w:eastAsia="Malgun Gothic"/>
          <w:lang w:val="es-ES" w:eastAsia="ko-KR"/>
        </w:rPr>
        <w:noBreakHyphen/>
      </w:r>
      <w:r w:rsidR="000B7E7B" w:rsidRPr="00CC5FE3">
        <w:rPr>
          <w:rFonts w:eastAsia="Malgun Gothic"/>
          <w:lang w:val="es-ES" w:eastAsia="ko-KR"/>
        </w:rPr>
        <w:t>D, evaluación de los temas de estudio, así como comentarios sobre la estructura (por ejemplo, organización, equipos de gestión, Cuestiones)</w:t>
      </w:r>
      <w:r w:rsidRPr="00CC5FE3">
        <w:rPr>
          <w:rFonts w:eastAsia="Malgun Gothic"/>
          <w:lang w:val="es-ES" w:eastAsia="ko-KR"/>
        </w:rPr>
        <w:t>.</w:t>
      </w:r>
    </w:p>
    <w:p w14:paraId="0A61DCCE" w14:textId="71F6C369" w:rsidR="000B7E7B" w:rsidRPr="00CC5FE3" w:rsidRDefault="00912730" w:rsidP="00912730">
      <w:pPr>
        <w:pStyle w:val="enumlev1"/>
        <w:rPr>
          <w:rFonts w:eastAsia="Malgun Gothic"/>
          <w:lang w:val="es-ES" w:eastAsia="ko-KR"/>
        </w:rPr>
      </w:pPr>
      <w:r w:rsidRPr="00CC5FE3">
        <w:rPr>
          <w:rFonts w:eastAsia="Malgun Gothic"/>
          <w:lang w:val="es-ES" w:eastAsia="ko-KR"/>
        </w:rPr>
        <w:t>–</w:t>
      </w:r>
      <w:r w:rsidRPr="00CC5FE3">
        <w:rPr>
          <w:rFonts w:eastAsia="Malgun Gothic"/>
          <w:lang w:val="es-ES" w:eastAsia="ko-KR"/>
        </w:rPr>
        <w:tab/>
      </w:r>
      <w:r w:rsidR="000B7E7B" w:rsidRPr="00CC5FE3">
        <w:rPr>
          <w:rFonts w:eastAsia="Malgun Gothic"/>
          <w:lang w:val="es-ES" w:eastAsia="ko-KR"/>
        </w:rPr>
        <w:t>Sección 4 – Trabajos y resultados de las Comisiones de Estudio del UIT-D, incluidos los niveles de satisfacción e importancia de las actuales Cuestiones de estudio, utilización de los resultados de las Comisiones de Estudio, armonización con las metas estratégicas y las iniciativas regionales, así como sugerencias de mejora.</w:t>
      </w:r>
    </w:p>
    <w:p w14:paraId="67607265" w14:textId="3237CF5F" w:rsidR="000B7E7B" w:rsidRPr="00CC5FE3" w:rsidRDefault="000B7E7B" w:rsidP="00612FBF">
      <w:pPr>
        <w:rPr>
          <w:rFonts w:eastAsia="Malgun Gothic"/>
          <w:lang w:val="es-ES" w:eastAsia="ko-KR"/>
        </w:rPr>
      </w:pPr>
      <w:r w:rsidRPr="00CC5FE3">
        <w:rPr>
          <w:rFonts w:eastAsia="Malgun Gothic"/>
          <w:lang w:val="es-ES" w:eastAsia="ko-KR"/>
        </w:rPr>
        <w:t>Los aspectos más destacados y la versión completa del informe figuran en el Documento</w:t>
      </w:r>
      <w:r w:rsidR="005F3240" w:rsidRPr="00CC5FE3">
        <w:rPr>
          <w:rFonts w:eastAsia="Malgun Gothic"/>
          <w:lang w:val="es-ES" w:eastAsia="ko-KR"/>
        </w:rPr>
        <w:t> </w:t>
      </w:r>
      <w:hyperlink r:id="rId130" w:history="1">
        <w:r w:rsidRPr="00CC5FE3">
          <w:rPr>
            <w:rStyle w:val="Hyperlink"/>
            <w:rFonts w:eastAsia="Malgun Gothic"/>
            <w:szCs w:val="24"/>
            <w:lang w:val="es-ES" w:eastAsia="ko-KR"/>
          </w:rPr>
          <w:t>2/385</w:t>
        </w:r>
      </w:hyperlink>
      <w:r w:rsidRPr="00CC5FE3">
        <w:rPr>
          <w:rFonts w:eastAsia="Malgun Gothic"/>
          <w:lang w:val="es-ES" w:eastAsia="ko-KR"/>
        </w:rPr>
        <w:t>. Las conclusiones de las encuestas pueden resultar útiles para los miembros como parte de los preparativos para la CMDT</w:t>
      </w:r>
      <w:r w:rsidR="005F3240" w:rsidRPr="00CC5FE3">
        <w:rPr>
          <w:rFonts w:eastAsia="Malgun Gothic"/>
          <w:lang w:val="es-ES" w:eastAsia="ko-KR"/>
        </w:rPr>
        <w:noBreakHyphen/>
      </w:r>
      <w:r w:rsidRPr="00CC5FE3">
        <w:rPr>
          <w:rFonts w:eastAsia="Malgun Gothic"/>
          <w:lang w:val="es-ES" w:eastAsia="ko-KR"/>
        </w:rPr>
        <w:t>25, en particular las secciones pertinentes a los debates sobre el futuro de las Cuestiones y los métodos de trabajo de las Comisiones de Estudio.</w:t>
      </w:r>
    </w:p>
    <w:p w14:paraId="7A11894B" w14:textId="33C76E22" w:rsidR="000B7E7B" w:rsidRPr="00CC5FE3" w:rsidRDefault="000B7E7B" w:rsidP="00612FBF">
      <w:pPr>
        <w:pStyle w:val="Headingb"/>
        <w:rPr>
          <w:lang w:val="es-ES"/>
        </w:rPr>
      </w:pPr>
      <w:r w:rsidRPr="00CC5FE3">
        <w:rPr>
          <w:lang w:val="es-ES"/>
        </w:rPr>
        <w:t>Conclusión</w:t>
      </w:r>
    </w:p>
    <w:p w14:paraId="61D999DC" w14:textId="77777777" w:rsidR="005F3240" w:rsidRDefault="000B7E7B" w:rsidP="00612FBF">
      <w:pPr>
        <w:rPr>
          <w:lang w:val="es-ES"/>
        </w:rPr>
      </w:pPr>
      <w:r w:rsidRPr="00CC5FE3">
        <w:rPr>
          <w:lang w:val="es-ES"/>
        </w:rPr>
        <w:t xml:space="preserve">La Comisión de Estudio </w:t>
      </w:r>
      <w:r w:rsidRPr="00895CEE">
        <w:rPr>
          <w:rStyle w:val="DateChar"/>
          <w:lang w:val="es-ES"/>
        </w:rPr>
        <w:t>2</w:t>
      </w:r>
      <w:r w:rsidRPr="00CC5FE3">
        <w:rPr>
          <w:lang w:val="es-ES"/>
        </w:rPr>
        <w:t xml:space="preserve"> ha llevado a buen término su mandato gracias a la tenacidad, la dedicación, la perseverancia, la flexibilidad y los conocimientos técnicos especializados de todas las partes implicadas, a saber, el Equipo de Dirección de la CE 2, los </w:t>
      </w:r>
      <w:proofErr w:type="gramStart"/>
      <w:r w:rsidRPr="00CC5FE3">
        <w:rPr>
          <w:lang w:val="es-ES"/>
        </w:rPr>
        <w:t>Vicepresidentes</w:t>
      </w:r>
      <w:proofErr w:type="gramEnd"/>
      <w:r w:rsidRPr="00CC5FE3">
        <w:rPr>
          <w:lang w:val="es-ES"/>
        </w:rPr>
        <w:t>, Relatores y Correlatores, Vicerrelatores, Coordinadores, la Secretaría, los contribuyentes activos, los participantes en las reuniones, los intérpretes y los traductores y todas las personas que trabajan entre bastidores. Gracias al gran apoyo recibido de la Directora de la BDT y su personal, la Comisión ha cumplido su misión.</w:t>
      </w:r>
    </w:p>
    <w:p w14:paraId="0DCD0513" w14:textId="73F069AE" w:rsidR="000B7E7B" w:rsidRPr="008C6949" w:rsidRDefault="000B7E7B" w:rsidP="00612FBF">
      <w:pPr>
        <w:rPr>
          <w:b/>
          <w:lang w:val="es-ES"/>
        </w:rPr>
        <w:sectPr w:rsidR="000B7E7B" w:rsidRPr="008C6949" w:rsidSect="00A63D1D">
          <w:headerReference w:type="default" r:id="rId131"/>
          <w:footerReference w:type="first" r:id="rId132"/>
          <w:pgSz w:w="11907" w:h="16840" w:code="9"/>
          <w:pgMar w:top="1418" w:right="1134" w:bottom="1418" w:left="1134" w:header="720" w:footer="720" w:gutter="0"/>
          <w:cols w:space="720"/>
          <w:titlePg/>
          <w:docGrid w:linePitch="326"/>
        </w:sectPr>
      </w:pPr>
    </w:p>
    <w:p w14:paraId="0D486313" w14:textId="77777777" w:rsidR="000B7E7B" w:rsidRPr="00FA4573" w:rsidRDefault="000B7E7B" w:rsidP="000B7E7B">
      <w:pPr>
        <w:spacing w:after="120"/>
        <w:jc w:val="center"/>
        <w:rPr>
          <w:b/>
          <w:bCs/>
        </w:rPr>
      </w:pPr>
      <w:r w:rsidRPr="00FA4573">
        <w:rPr>
          <w:b/>
          <w:bCs/>
        </w:rPr>
        <w:lastRenderedPageBreak/>
        <w:t>Annexes</w:t>
      </w:r>
    </w:p>
    <w:p w14:paraId="2D0D9A15" w14:textId="77777777" w:rsidR="000B7E7B" w:rsidRPr="00FA4573" w:rsidRDefault="000B7E7B" w:rsidP="000B7E7B">
      <w:pPr>
        <w:pStyle w:val="Heading5"/>
        <w:ind w:left="0" w:firstLine="0"/>
      </w:pPr>
      <w:r w:rsidRPr="00FA4573">
        <w:t xml:space="preserve">Annex 1: Appointed chair, vice-chairs, </w:t>
      </w:r>
      <w:proofErr w:type="gramStart"/>
      <w:r w:rsidRPr="00FA4573">
        <w:t>rapporteurs</w:t>
      </w:r>
      <w:proofErr w:type="gramEnd"/>
      <w:r w:rsidRPr="00FA4573">
        <w:t xml:space="preserve"> and vice-rapporteurs of ITU-D Study Group 2 Questions for the 2022-2025 study period</w:t>
      </w:r>
    </w:p>
    <w:p w14:paraId="7DDCEAB9" w14:textId="77777777" w:rsidR="000B7E7B" w:rsidRPr="00FA4573" w:rsidRDefault="000B7E7B" w:rsidP="000B7E7B">
      <w:pPr>
        <w:spacing w:after="120"/>
        <w:rPr>
          <w:bCs/>
          <w:szCs w:val="24"/>
        </w:rPr>
      </w:pPr>
      <w:r w:rsidRPr="00FA4573">
        <w:rPr>
          <w:b/>
          <w:szCs w:val="24"/>
        </w:rPr>
        <w:t>Table 1A: List of chair and vice-chairs</w:t>
      </w:r>
      <w:r w:rsidRPr="00FA4573">
        <w:rPr>
          <w:bCs/>
          <w:szCs w:val="24"/>
        </w:rPr>
        <w:t xml:space="preserve"> (also available at this </w:t>
      </w:r>
      <w:hyperlink r:id="rId133" w:history="1">
        <w:r w:rsidRPr="00FA4573">
          <w:rPr>
            <w:rStyle w:val="Hyperlink"/>
            <w:bCs/>
            <w:szCs w:val="24"/>
          </w:rPr>
          <w:t>web page</w:t>
        </w:r>
      </w:hyperlink>
      <w:r w:rsidRPr="00FA4573">
        <w:rPr>
          <w:bCs/>
          <w:szCs w:val="24"/>
        </w:rPr>
        <w:t>) and their attendance (O: physical, O</w:t>
      </w:r>
      <w:r w:rsidRPr="00FA4573">
        <w:rPr>
          <w:bCs/>
          <w:szCs w:val="24"/>
          <w:vertAlign w:val="superscript"/>
        </w:rPr>
        <w:t>R</w:t>
      </w:r>
      <w:r w:rsidRPr="00FA4573">
        <w:rPr>
          <w:bCs/>
          <w:szCs w:val="24"/>
        </w:rPr>
        <w:t>: remote)</w:t>
      </w:r>
    </w:p>
    <w:tbl>
      <w:tblPr>
        <w:tblW w:w="13984" w:type="dxa"/>
        <w:jc w:val="center"/>
        <w:tblCellMar>
          <w:left w:w="0" w:type="dxa"/>
          <w:right w:w="0" w:type="dxa"/>
        </w:tblCellMar>
        <w:tblLook w:val="04A0" w:firstRow="1" w:lastRow="0" w:firstColumn="1" w:lastColumn="0" w:noHBand="0" w:noVBand="1"/>
      </w:tblPr>
      <w:tblGrid>
        <w:gridCol w:w="1124"/>
        <w:gridCol w:w="5771"/>
        <w:gridCol w:w="1182"/>
        <w:gridCol w:w="1183"/>
        <w:gridCol w:w="1182"/>
        <w:gridCol w:w="1183"/>
        <w:gridCol w:w="1186"/>
        <w:gridCol w:w="1173"/>
      </w:tblGrid>
      <w:tr w:rsidR="000B7E7B" w:rsidRPr="00FA4573" w14:paraId="1D510276" w14:textId="77777777" w:rsidTr="00857FB6">
        <w:trPr>
          <w:trHeight w:val="293"/>
          <w:jc w:val="center"/>
        </w:trPr>
        <w:tc>
          <w:tcPr>
            <w:tcW w:w="1124"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1F25A5E8" w14:textId="77777777" w:rsidR="000B7E7B" w:rsidRPr="00FA4573" w:rsidRDefault="000B7E7B" w:rsidP="00857FB6">
            <w:pPr>
              <w:spacing w:before="0"/>
              <w:rPr>
                <w:bCs/>
                <w:sz w:val="22"/>
                <w:szCs w:val="22"/>
              </w:rPr>
            </w:pPr>
          </w:p>
        </w:tc>
        <w:tc>
          <w:tcPr>
            <w:tcW w:w="5771"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025A81F0" w14:textId="77777777" w:rsidR="000B7E7B" w:rsidRPr="00FA4573" w:rsidRDefault="000B7E7B" w:rsidP="00857FB6">
            <w:pPr>
              <w:spacing w:before="0"/>
              <w:rPr>
                <w:bCs/>
                <w:sz w:val="22"/>
                <w:szCs w:val="22"/>
              </w:rPr>
            </w:pPr>
            <w:r w:rsidRPr="00FA4573">
              <w:rPr>
                <w:bCs/>
                <w:sz w:val="22"/>
                <w:szCs w:val="22"/>
              </w:rPr>
              <w:t>ITU-D STUDY GROUP 2</w:t>
            </w:r>
          </w:p>
        </w:tc>
        <w:tc>
          <w:tcPr>
            <w:tcW w:w="7089" w:type="dxa"/>
            <w:gridSpan w:val="6"/>
            <w:tcBorders>
              <w:top w:val="single" w:sz="8" w:space="0" w:color="000000"/>
              <w:left w:val="single" w:sz="8" w:space="0" w:color="000000"/>
              <w:right w:val="single" w:sz="8" w:space="0" w:color="000000"/>
            </w:tcBorders>
            <w:shd w:val="clear" w:color="auto" w:fill="C6D9F1"/>
          </w:tcPr>
          <w:p w14:paraId="653780B1" w14:textId="77777777" w:rsidR="000B7E7B" w:rsidRPr="00FA4573" w:rsidRDefault="000B7E7B" w:rsidP="00857FB6">
            <w:pPr>
              <w:spacing w:before="0"/>
              <w:jc w:val="center"/>
              <w:rPr>
                <w:bCs/>
                <w:sz w:val="22"/>
                <w:szCs w:val="22"/>
              </w:rPr>
            </w:pPr>
            <w:r w:rsidRPr="00FA4573">
              <w:rPr>
                <w:bCs/>
                <w:sz w:val="22"/>
                <w:szCs w:val="22"/>
              </w:rPr>
              <w:t>Attendance</w:t>
            </w:r>
          </w:p>
        </w:tc>
      </w:tr>
      <w:tr w:rsidR="000B7E7B" w:rsidRPr="00FA4573" w14:paraId="22E08BED" w14:textId="77777777" w:rsidTr="00857FB6">
        <w:trPr>
          <w:trHeight w:val="288"/>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7D83286" w14:textId="77777777" w:rsidR="000B7E7B" w:rsidRPr="00FA4573" w:rsidRDefault="000B7E7B" w:rsidP="00857FB6">
            <w:pPr>
              <w:spacing w:before="0"/>
              <w:rPr>
                <w:bCs/>
                <w:sz w:val="22"/>
                <w:szCs w:val="22"/>
              </w:rPr>
            </w:pPr>
          </w:p>
        </w:tc>
        <w:tc>
          <w:tcPr>
            <w:tcW w:w="5771"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C17075C" w14:textId="77777777" w:rsidR="000B7E7B" w:rsidRPr="00FA4573" w:rsidRDefault="000B7E7B" w:rsidP="00857FB6">
            <w:pPr>
              <w:spacing w:before="0"/>
              <w:rPr>
                <w:bCs/>
                <w:sz w:val="22"/>
                <w:szCs w:val="22"/>
              </w:rPr>
            </w:pPr>
          </w:p>
        </w:tc>
        <w:tc>
          <w:tcPr>
            <w:tcW w:w="1182" w:type="dxa"/>
            <w:tcBorders>
              <w:left w:val="single" w:sz="8" w:space="0" w:color="000000"/>
              <w:bottom w:val="single" w:sz="8" w:space="0" w:color="000000"/>
              <w:right w:val="single" w:sz="8" w:space="0" w:color="000000"/>
            </w:tcBorders>
            <w:shd w:val="clear" w:color="auto" w:fill="C6D9F1"/>
          </w:tcPr>
          <w:p w14:paraId="2A82359B" w14:textId="77777777" w:rsidR="000B7E7B" w:rsidRPr="00FA4573" w:rsidRDefault="000B7E7B" w:rsidP="00857FB6">
            <w:pPr>
              <w:spacing w:before="0"/>
              <w:jc w:val="center"/>
              <w:rPr>
                <w:bCs/>
                <w:sz w:val="22"/>
                <w:szCs w:val="22"/>
              </w:rPr>
            </w:pPr>
            <w:r w:rsidRPr="00FA4573">
              <w:rPr>
                <w:bCs/>
                <w:sz w:val="18"/>
                <w:szCs w:val="18"/>
              </w:rPr>
              <w:t>2022 SG2</w:t>
            </w:r>
          </w:p>
        </w:tc>
        <w:tc>
          <w:tcPr>
            <w:tcW w:w="1183" w:type="dxa"/>
            <w:tcBorders>
              <w:left w:val="single" w:sz="8" w:space="0" w:color="000000"/>
              <w:bottom w:val="single" w:sz="8" w:space="0" w:color="000000"/>
              <w:right w:val="single" w:sz="8" w:space="0" w:color="000000"/>
            </w:tcBorders>
            <w:shd w:val="clear" w:color="auto" w:fill="C6D9F1"/>
          </w:tcPr>
          <w:p w14:paraId="604F4556" w14:textId="77777777" w:rsidR="000B7E7B" w:rsidRPr="00FA4573" w:rsidRDefault="000B7E7B" w:rsidP="00857FB6">
            <w:pPr>
              <w:spacing w:before="0"/>
              <w:jc w:val="center"/>
              <w:rPr>
                <w:bCs/>
                <w:sz w:val="18"/>
                <w:szCs w:val="18"/>
              </w:rPr>
            </w:pPr>
            <w:r w:rsidRPr="00FA4573">
              <w:rPr>
                <w:bCs/>
                <w:sz w:val="18"/>
                <w:szCs w:val="18"/>
              </w:rPr>
              <w:t>2023 RGQ2</w:t>
            </w:r>
          </w:p>
        </w:tc>
        <w:tc>
          <w:tcPr>
            <w:tcW w:w="1182" w:type="dxa"/>
            <w:tcBorders>
              <w:left w:val="single" w:sz="8" w:space="0" w:color="000000"/>
              <w:bottom w:val="single" w:sz="8" w:space="0" w:color="000000"/>
              <w:right w:val="single" w:sz="8" w:space="0" w:color="000000"/>
            </w:tcBorders>
            <w:shd w:val="clear" w:color="auto" w:fill="C6D9F1"/>
          </w:tcPr>
          <w:p w14:paraId="5C23DFC3" w14:textId="77777777" w:rsidR="000B7E7B" w:rsidRPr="00FA4573" w:rsidRDefault="000B7E7B" w:rsidP="00857FB6">
            <w:pPr>
              <w:spacing w:before="0"/>
              <w:jc w:val="center"/>
              <w:rPr>
                <w:bCs/>
                <w:sz w:val="18"/>
                <w:szCs w:val="18"/>
              </w:rPr>
            </w:pPr>
            <w:r w:rsidRPr="00FA4573">
              <w:rPr>
                <w:bCs/>
                <w:sz w:val="18"/>
                <w:szCs w:val="18"/>
              </w:rPr>
              <w:t>2023 SG2</w:t>
            </w:r>
          </w:p>
        </w:tc>
        <w:tc>
          <w:tcPr>
            <w:tcW w:w="1183" w:type="dxa"/>
            <w:tcBorders>
              <w:left w:val="single" w:sz="8" w:space="0" w:color="000000"/>
              <w:bottom w:val="single" w:sz="8" w:space="0" w:color="000000"/>
              <w:right w:val="single" w:sz="8" w:space="0" w:color="000000"/>
            </w:tcBorders>
            <w:shd w:val="clear" w:color="auto" w:fill="C6D9F1"/>
          </w:tcPr>
          <w:p w14:paraId="674C2EC7" w14:textId="77777777" w:rsidR="000B7E7B" w:rsidRPr="00FA4573" w:rsidRDefault="000B7E7B" w:rsidP="00857FB6">
            <w:pPr>
              <w:spacing w:before="0"/>
              <w:jc w:val="center"/>
              <w:rPr>
                <w:bCs/>
                <w:sz w:val="18"/>
                <w:szCs w:val="18"/>
              </w:rPr>
            </w:pPr>
            <w:r w:rsidRPr="00FA4573">
              <w:rPr>
                <w:bCs/>
                <w:sz w:val="18"/>
                <w:szCs w:val="18"/>
              </w:rPr>
              <w:t>202</w:t>
            </w:r>
            <w:r w:rsidRPr="00FA4573">
              <w:rPr>
                <w:bCs/>
                <w:sz w:val="18"/>
                <w:szCs w:val="18"/>
                <w:lang w:eastAsia="ko-KR"/>
              </w:rPr>
              <w:t>4</w:t>
            </w:r>
            <w:r w:rsidRPr="00FA4573">
              <w:rPr>
                <w:bCs/>
                <w:sz w:val="18"/>
                <w:szCs w:val="18"/>
              </w:rPr>
              <w:t xml:space="preserve"> </w:t>
            </w:r>
            <w:r w:rsidRPr="00FA4573">
              <w:rPr>
                <w:bCs/>
                <w:sz w:val="18"/>
                <w:szCs w:val="18"/>
                <w:lang w:eastAsia="ko-KR"/>
              </w:rPr>
              <w:t>RGQ</w:t>
            </w:r>
            <w:r w:rsidRPr="00FA4573">
              <w:rPr>
                <w:bCs/>
                <w:sz w:val="18"/>
                <w:szCs w:val="18"/>
              </w:rPr>
              <w:t>2</w:t>
            </w:r>
          </w:p>
        </w:tc>
        <w:tc>
          <w:tcPr>
            <w:tcW w:w="1186" w:type="dxa"/>
            <w:tcBorders>
              <w:left w:val="single" w:sz="8" w:space="0" w:color="000000"/>
              <w:bottom w:val="single" w:sz="8" w:space="0" w:color="000000"/>
              <w:right w:val="single" w:sz="8" w:space="0" w:color="000000"/>
            </w:tcBorders>
            <w:shd w:val="clear" w:color="auto" w:fill="C6D9F1"/>
          </w:tcPr>
          <w:p w14:paraId="70AB7A8E" w14:textId="77777777" w:rsidR="000B7E7B" w:rsidRPr="00FA4573" w:rsidRDefault="000B7E7B" w:rsidP="00857FB6">
            <w:pPr>
              <w:spacing w:before="0"/>
              <w:jc w:val="center"/>
              <w:rPr>
                <w:bCs/>
                <w:sz w:val="18"/>
                <w:szCs w:val="18"/>
                <w:lang w:eastAsia="ko-KR"/>
              </w:rPr>
            </w:pPr>
            <w:r w:rsidRPr="00FA4573">
              <w:rPr>
                <w:bCs/>
                <w:sz w:val="18"/>
                <w:szCs w:val="18"/>
                <w:lang w:eastAsia="ko-KR"/>
              </w:rPr>
              <w:t>2024 SG2</w:t>
            </w:r>
          </w:p>
        </w:tc>
        <w:tc>
          <w:tcPr>
            <w:tcW w:w="1173" w:type="dxa"/>
            <w:tcBorders>
              <w:left w:val="single" w:sz="8" w:space="0" w:color="000000"/>
              <w:bottom w:val="single" w:sz="8" w:space="0" w:color="000000"/>
              <w:right w:val="single" w:sz="8" w:space="0" w:color="000000"/>
            </w:tcBorders>
            <w:shd w:val="clear" w:color="auto" w:fill="C6D9F1"/>
          </w:tcPr>
          <w:p w14:paraId="7D8999DC" w14:textId="77777777" w:rsidR="000B7E7B" w:rsidRPr="00FA4573" w:rsidRDefault="000B7E7B" w:rsidP="00857FB6">
            <w:pPr>
              <w:spacing w:before="0"/>
              <w:jc w:val="center"/>
              <w:rPr>
                <w:bCs/>
                <w:sz w:val="18"/>
                <w:szCs w:val="18"/>
                <w:lang w:eastAsia="ko-KR"/>
              </w:rPr>
            </w:pPr>
            <w:r w:rsidRPr="00FA4573">
              <w:rPr>
                <w:bCs/>
                <w:sz w:val="18"/>
                <w:szCs w:val="18"/>
                <w:lang w:eastAsia="ko-KR"/>
              </w:rPr>
              <w:t>202</w:t>
            </w:r>
            <w:r w:rsidRPr="00FA4573">
              <w:rPr>
                <w:rFonts w:eastAsia="Malgun Gothic" w:hint="eastAsia"/>
                <w:bCs/>
                <w:sz w:val="18"/>
                <w:szCs w:val="18"/>
                <w:lang w:eastAsia="ko-KR"/>
              </w:rPr>
              <w:t>5</w:t>
            </w:r>
            <w:r w:rsidRPr="00FA4573">
              <w:rPr>
                <w:bCs/>
                <w:sz w:val="18"/>
                <w:szCs w:val="18"/>
                <w:lang w:eastAsia="ko-KR"/>
              </w:rPr>
              <w:t xml:space="preserve"> SG2</w:t>
            </w:r>
          </w:p>
        </w:tc>
      </w:tr>
      <w:tr w:rsidR="000B7E7B" w:rsidRPr="00FA4573" w14:paraId="6C913B6F" w14:textId="77777777" w:rsidTr="00857FB6">
        <w:trPr>
          <w:trHeight w:val="169"/>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1B64D872" w14:textId="77777777" w:rsidR="000B7E7B" w:rsidRPr="00FA4573" w:rsidRDefault="000B7E7B" w:rsidP="00857FB6">
            <w:pPr>
              <w:spacing w:before="0"/>
              <w:rPr>
                <w:bCs/>
                <w:sz w:val="22"/>
                <w:szCs w:val="22"/>
              </w:rPr>
            </w:pPr>
            <w:r w:rsidRPr="00FA4573">
              <w:rPr>
                <w:bCs/>
                <w:sz w:val="22"/>
                <w:szCs w:val="22"/>
              </w:rPr>
              <w:t>Chair</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D03C9F" w14:textId="77777777" w:rsidR="000B7E7B" w:rsidRPr="00FA4573" w:rsidRDefault="000B7E7B" w:rsidP="00857FB6">
            <w:pPr>
              <w:spacing w:before="0"/>
              <w:rPr>
                <w:bCs/>
                <w:sz w:val="22"/>
                <w:szCs w:val="22"/>
              </w:rPr>
            </w:pPr>
            <w:r w:rsidRPr="00FA4573">
              <w:rPr>
                <w:bCs/>
                <w:sz w:val="22"/>
                <w:szCs w:val="22"/>
              </w:rPr>
              <w:t>Mr Fadel Digham (Egypt)</w:t>
            </w:r>
          </w:p>
        </w:tc>
        <w:tc>
          <w:tcPr>
            <w:tcW w:w="1182" w:type="dxa"/>
            <w:tcBorders>
              <w:top w:val="single" w:sz="8" w:space="0" w:color="000000"/>
              <w:left w:val="single" w:sz="8" w:space="0" w:color="000000"/>
              <w:bottom w:val="single" w:sz="8" w:space="0" w:color="000000"/>
              <w:right w:val="single" w:sz="8" w:space="0" w:color="000000"/>
            </w:tcBorders>
          </w:tcPr>
          <w:p w14:paraId="7DB263DE" w14:textId="77777777" w:rsidR="000B7E7B" w:rsidRPr="00FA4573" w:rsidRDefault="000B7E7B" w:rsidP="00857FB6">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FAE401F" w14:textId="77777777" w:rsidR="000B7E7B" w:rsidRPr="00FA4573" w:rsidRDefault="000B7E7B" w:rsidP="00857FB6">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1ADEC480" w14:textId="77777777" w:rsidR="000B7E7B" w:rsidRPr="00FA4573" w:rsidRDefault="000B7E7B" w:rsidP="00857FB6">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6F2510CE" w14:textId="77777777" w:rsidR="000B7E7B" w:rsidRPr="00FA4573" w:rsidRDefault="000B7E7B" w:rsidP="00857FB6">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7C02926A" w14:textId="77777777" w:rsidR="000B7E7B" w:rsidRPr="00FA4573" w:rsidRDefault="000B7E7B" w:rsidP="00857FB6">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09B7D5C9" w14:textId="77777777" w:rsidR="000B7E7B" w:rsidRPr="00FA4573" w:rsidRDefault="000B7E7B" w:rsidP="00857FB6">
            <w:pPr>
              <w:spacing w:before="0"/>
              <w:jc w:val="center"/>
              <w:rPr>
                <w:bCs/>
                <w:sz w:val="22"/>
                <w:szCs w:val="22"/>
              </w:rPr>
            </w:pPr>
            <w:r w:rsidRPr="00FA4573">
              <w:rPr>
                <w:bCs/>
                <w:sz w:val="22"/>
                <w:szCs w:val="22"/>
              </w:rPr>
              <w:t>O</w:t>
            </w:r>
          </w:p>
        </w:tc>
      </w:tr>
      <w:tr w:rsidR="000B7E7B" w:rsidRPr="00FA4573" w14:paraId="5D4F8C14" w14:textId="77777777" w:rsidTr="00857FB6">
        <w:trPr>
          <w:trHeight w:val="169"/>
          <w:jc w:val="center"/>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AA2131A" w14:textId="77777777" w:rsidR="000B7E7B" w:rsidRPr="00FA4573" w:rsidRDefault="000B7E7B" w:rsidP="00857FB6">
            <w:pPr>
              <w:spacing w:before="0"/>
              <w:rPr>
                <w:bCs/>
                <w:sz w:val="22"/>
                <w:szCs w:val="22"/>
              </w:rPr>
            </w:pPr>
            <w:r w:rsidRPr="00FA4573">
              <w:rPr>
                <w:bCs/>
                <w:sz w:val="22"/>
                <w:szCs w:val="22"/>
              </w:rPr>
              <w:t>Vice-chairs</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C396FF" w14:textId="77777777" w:rsidR="000B7E7B" w:rsidRPr="00FA4573" w:rsidRDefault="000B7E7B" w:rsidP="00857FB6">
            <w:pPr>
              <w:spacing w:before="0"/>
              <w:contextualSpacing/>
              <w:rPr>
                <w:rFonts w:cstheme="minorHAnsi"/>
                <w:bCs/>
                <w:szCs w:val="24"/>
              </w:rPr>
            </w:pPr>
            <w:r w:rsidRPr="00FA4573">
              <w:rPr>
                <w:rFonts w:eastAsiaTheme="minorEastAsia" w:cstheme="minorHAnsi"/>
                <w:color w:val="000000" w:themeColor="text1"/>
                <w:kern w:val="24"/>
                <w:szCs w:val="24"/>
              </w:rPr>
              <w:t>Mr Hideo Imanaka (Japan)</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2884AA93" w14:textId="77777777" w:rsidR="000B7E7B" w:rsidRPr="00FA4573" w:rsidRDefault="000B7E7B" w:rsidP="00857FB6">
            <w:pPr>
              <w:spacing w:before="0"/>
              <w:contextualSpacing/>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4909F80" w14:textId="77777777" w:rsidR="000B7E7B" w:rsidRPr="00FA4573" w:rsidRDefault="000B7E7B" w:rsidP="00857FB6">
            <w:pPr>
              <w:spacing w:before="0"/>
              <w:contextualSpacing/>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3B4399AA" w14:textId="77777777" w:rsidR="000B7E7B" w:rsidRPr="00FA4573" w:rsidRDefault="000B7E7B" w:rsidP="00857FB6">
            <w:pPr>
              <w:spacing w:before="0"/>
              <w:contextualSpacing/>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2B6AD006" w14:textId="77777777" w:rsidR="000B7E7B" w:rsidRPr="00FA4573" w:rsidRDefault="000B7E7B" w:rsidP="00857FB6">
            <w:pPr>
              <w:spacing w:before="0"/>
              <w:contextualSpacing/>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3BBB31AC" w14:textId="77777777" w:rsidR="000B7E7B" w:rsidRPr="00FA4573" w:rsidRDefault="000B7E7B" w:rsidP="00857FB6">
            <w:pPr>
              <w:spacing w:before="0"/>
              <w:contextualSpacing/>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176D75DE" w14:textId="77777777" w:rsidR="000B7E7B" w:rsidRPr="00FA4573" w:rsidRDefault="000B7E7B" w:rsidP="00857FB6">
            <w:pPr>
              <w:spacing w:before="0"/>
              <w:contextualSpacing/>
              <w:jc w:val="center"/>
              <w:rPr>
                <w:bCs/>
                <w:sz w:val="22"/>
                <w:szCs w:val="22"/>
              </w:rPr>
            </w:pPr>
            <w:r w:rsidRPr="00FA4573">
              <w:rPr>
                <w:bCs/>
                <w:sz w:val="22"/>
                <w:szCs w:val="22"/>
              </w:rPr>
              <w:t>O</w:t>
            </w:r>
          </w:p>
        </w:tc>
      </w:tr>
      <w:tr w:rsidR="000B7E7B" w:rsidRPr="00FA4573" w14:paraId="0A736D74" w14:textId="77777777" w:rsidTr="00857FB6">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FBDD194"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1DED56" w14:textId="77777777" w:rsidR="000B7E7B" w:rsidRPr="00FA4573" w:rsidRDefault="000B7E7B" w:rsidP="00857FB6">
            <w:pPr>
              <w:spacing w:before="0"/>
              <w:rPr>
                <w:rFonts w:cstheme="minorHAnsi"/>
                <w:bCs/>
                <w:szCs w:val="24"/>
              </w:rPr>
            </w:pPr>
            <w:r w:rsidRPr="00FA4573">
              <w:rPr>
                <w:rFonts w:eastAsiaTheme="minorEastAsia" w:cstheme="minorHAnsi"/>
                <w:color w:val="000000" w:themeColor="text1"/>
                <w:kern w:val="24"/>
                <w:szCs w:val="24"/>
              </w:rPr>
              <w:t xml:space="preserve">Ms Mina Seonmin Jun (Republic of Korea)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5726DC86"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8E6EA2F" w14:textId="77777777" w:rsidR="000B7E7B" w:rsidRPr="00FA4573" w:rsidRDefault="000B7E7B" w:rsidP="00857FB6">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1DB2B6F6" w14:textId="77777777" w:rsidR="000B7E7B" w:rsidRPr="00FA4573" w:rsidRDefault="000B7E7B" w:rsidP="00857FB6">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6C21C372" w14:textId="77777777" w:rsidR="000B7E7B" w:rsidRPr="00FA4573" w:rsidRDefault="000B7E7B" w:rsidP="00857FB6">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6653E293"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3B280C7A" w14:textId="77777777" w:rsidR="000B7E7B" w:rsidRPr="00FA4573" w:rsidRDefault="000B7E7B" w:rsidP="00857FB6">
            <w:pPr>
              <w:spacing w:before="0"/>
              <w:jc w:val="center"/>
              <w:rPr>
                <w:bCs/>
                <w:sz w:val="22"/>
                <w:szCs w:val="22"/>
              </w:rPr>
            </w:pPr>
            <w:r w:rsidRPr="00FA4573">
              <w:rPr>
                <w:bCs/>
                <w:sz w:val="22"/>
                <w:szCs w:val="22"/>
              </w:rPr>
              <w:t>O</w:t>
            </w:r>
          </w:p>
        </w:tc>
      </w:tr>
      <w:tr w:rsidR="000B7E7B" w:rsidRPr="00FA4573" w14:paraId="2703FC76" w14:textId="77777777" w:rsidTr="00857FB6">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93AB969"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E7A273" w14:textId="77777777" w:rsidR="000B7E7B" w:rsidRPr="00FA4573" w:rsidRDefault="000B7E7B" w:rsidP="00857FB6">
            <w:pPr>
              <w:spacing w:before="0"/>
              <w:rPr>
                <w:rFonts w:cstheme="minorHAnsi"/>
                <w:bCs/>
                <w:szCs w:val="24"/>
              </w:rPr>
            </w:pPr>
            <w:r w:rsidRPr="00FA4573">
              <w:rPr>
                <w:rFonts w:eastAsiaTheme="minorEastAsia" w:cstheme="minorHAnsi"/>
                <w:color w:val="000000" w:themeColor="text1"/>
                <w:kern w:val="24"/>
                <w:szCs w:val="24"/>
              </w:rPr>
              <w:t xml:space="preserve">Mr Tongning Wu (China)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4D4FDD2F"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0BE531E3"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72B794D3" w14:textId="77777777" w:rsidR="000B7E7B" w:rsidRPr="00FA4573" w:rsidRDefault="000B7E7B" w:rsidP="00857FB6">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7D547CF" w14:textId="77777777" w:rsidR="000B7E7B" w:rsidRPr="00FA4573" w:rsidRDefault="000B7E7B" w:rsidP="00857FB6">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1C308C12" w14:textId="77777777" w:rsidR="000B7E7B" w:rsidRPr="00FA4573" w:rsidRDefault="000B7E7B" w:rsidP="00857FB6">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0D7A470A" w14:textId="77777777" w:rsidR="000B7E7B" w:rsidRPr="00FA4573" w:rsidRDefault="000B7E7B" w:rsidP="00857FB6">
            <w:pPr>
              <w:spacing w:before="0"/>
              <w:jc w:val="center"/>
              <w:rPr>
                <w:bCs/>
                <w:sz w:val="22"/>
                <w:szCs w:val="22"/>
              </w:rPr>
            </w:pPr>
            <w:r w:rsidRPr="00FA4573">
              <w:rPr>
                <w:bCs/>
                <w:sz w:val="22"/>
                <w:szCs w:val="22"/>
              </w:rPr>
              <w:t>O</w:t>
            </w:r>
          </w:p>
        </w:tc>
      </w:tr>
      <w:tr w:rsidR="000B7E7B" w:rsidRPr="00FA4573" w14:paraId="414835A1" w14:textId="77777777" w:rsidTr="00857FB6">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5EF90CB0"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8A344" w14:textId="77777777" w:rsidR="000B7E7B" w:rsidRPr="00FA4573" w:rsidRDefault="000B7E7B" w:rsidP="00857FB6">
            <w:pPr>
              <w:spacing w:before="0"/>
              <w:rPr>
                <w:rFonts w:cstheme="minorHAnsi"/>
                <w:bCs/>
                <w:color w:val="A6A6A6" w:themeColor="background1" w:themeShade="A6"/>
                <w:szCs w:val="24"/>
              </w:rPr>
            </w:pPr>
            <w:r w:rsidRPr="00FA4573">
              <w:rPr>
                <w:rFonts w:eastAsiaTheme="minorEastAsia" w:cstheme="minorHAnsi"/>
                <w:color w:val="000000" w:themeColor="text1"/>
                <w:kern w:val="24"/>
                <w:szCs w:val="24"/>
              </w:rPr>
              <w:t xml:space="preserve">Ms Zainab Ardo (Nigeria)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304C2DB0"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5818570" w14:textId="77777777" w:rsidR="000B7E7B" w:rsidRPr="00FA4573" w:rsidRDefault="000B7E7B" w:rsidP="00857FB6">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04E904FD" w14:textId="77777777" w:rsidR="000B7E7B" w:rsidRPr="00FA4573" w:rsidRDefault="000B7E7B" w:rsidP="00857FB6">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A711594" w14:textId="77777777" w:rsidR="000B7E7B" w:rsidRPr="00FA4573" w:rsidRDefault="000B7E7B" w:rsidP="00857FB6">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5F55CD65"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79B574A1"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r>
      <w:tr w:rsidR="000B7E7B" w:rsidRPr="00FA4573" w14:paraId="61B51702" w14:textId="77777777" w:rsidTr="00857FB6">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A3E461F"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14C491" w14:textId="77777777" w:rsidR="000B7E7B" w:rsidRPr="00FA4573" w:rsidRDefault="000B7E7B" w:rsidP="00857FB6">
            <w:pPr>
              <w:spacing w:before="0"/>
              <w:rPr>
                <w:rFonts w:cstheme="minorHAnsi"/>
                <w:bCs/>
                <w:szCs w:val="24"/>
              </w:rPr>
            </w:pPr>
            <w:r w:rsidRPr="00FA4573">
              <w:rPr>
                <w:rFonts w:eastAsiaTheme="minorEastAsia" w:cstheme="minorHAnsi"/>
                <w:color w:val="000000" w:themeColor="text1"/>
                <w:kern w:val="24"/>
                <w:szCs w:val="24"/>
              </w:rPr>
              <w:t xml:space="preserve">Mr Mohamed Lamine Minthe (Guinea)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41C5B615"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58E72170" w14:textId="77777777" w:rsidR="000B7E7B" w:rsidRPr="00FA4573" w:rsidRDefault="000B7E7B" w:rsidP="00857FB6">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35FAAF6A" w14:textId="77777777" w:rsidR="000B7E7B" w:rsidRPr="00FA4573" w:rsidRDefault="000B7E7B" w:rsidP="00857FB6">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6D28344C" w14:textId="77777777" w:rsidR="000B7E7B" w:rsidRPr="00FA4573" w:rsidRDefault="000B7E7B" w:rsidP="00857FB6">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3A6B29B1" w14:textId="77777777" w:rsidR="000B7E7B" w:rsidRPr="00FA4573" w:rsidRDefault="000B7E7B" w:rsidP="00857FB6">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3C2B3C4C"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r>
      <w:tr w:rsidR="000B7E7B" w:rsidRPr="00FA4573" w14:paraId="018EF8FD" w14:textId="77777777" w:rsidTr="00857FB6">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7B409B0A"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88BD60" w14:textId="77777777" w:rsidR="000B7E7B" w:rsidRPr="00400739" w:rsidRDefault="000B7E7B" w:rsidP="00857FB6">
            <w:pPr>
              <w:spacing w:before="0"/>
              <w:rPr>
                <w:rFonts w:cstheme="minorHAnsi"/>
                <w:bCs/>
                <w:szCs w:val="24"/>
                <w:lang w:val="es-ES"/>
              </w:rPr>
            </w:pPr>
            <w:r w:rsidRPr="00400739">
              <w:rPr>
                <w:rFonts w:eastAsiaTheme="minorEastAsia" w:cstheme="minorHAnsi"/>
                <w:color w:val="000000" w:themeColor="text1"/>
                <w:kern w:val="24"/>
                <w:szCs w:val="24"/>
                <w:lang w:val="es-ES"/>
              </w:rPr>
              <w:t xml:space="preserve">Mr Víctor Antonio Martínez Sánchez (Paraguay) </w:t>
            </w:r>
            <w:r w:rsidRPr="00400739">
              <w:rPr>
                <w:rFonts w:eastAsiaTheme="minorEastAsia" w:cstheme="minorHAnsi"/>
                <w:color w:val="000000" w:themeColor="text1"/>
                <w:kern w:val="24"/>
                <w:szCs w:val="24"/>
                <w:lang w:val="es-ES"/>
              </w:rPr>
              <w:tab/>
            </w:r>
          </w:p>
        </w:tc>
        <w:tc>
          <w:tcPr>
            <w:tcW w:w="1182" w:type="dxa"/>
            <w:tcBorders>
              <w:top w:val="single" w:sz="8" w:space="0" w:color="000000"/>
              <w:left w:val="single" w:sz="8" w:space="0" w:color="000000"/>
              <w:bottom w:val="single" w:sz="8" w:space="0" w:color="000000"/>
              <w:right w:val="single" w:sz="8" w:space="0" w:color="000000"/>
            </w:tcBorders>
          </w:tcPr>
          <w:p w14:paraId="30D5F7B3"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1B8C5031"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70ED2A2F" w14:textId="77777777" w:rsidR="000B7E7B" w:rsidRPr="00FA4573" w:rsidRDefault="000B7E7B" w:rsidP="00857FB6">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55784ABA" w14:textId="77777777" w:rsidR="000B7E7B" w:rsidRPr="00FA4573" w:rsidRDefault="000B7E7B" w:rsidP="00857FB6">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02D7B2F1" w14:textId="77777777" w:rsidR="000B7E7B" w:rsidRPr="00FA4573" w:rsidRDefault="000B7E7B" w:rsidP="00857FB6">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27F87436" w14:textId="77777777" w:rsidR="000B7E7B" w:rsidRPr="00FA4573" w:rsidRDefault="000B7E7B" w:rsidP="00857FB6">
            <w:pPr>
              <w:spacing w:before="0"/>
              <w:jc w:val="center"/>
              <w:rPr>
                <w:bCs/>
                <w:sz w:val="22"/>
                <w:szCs w:val="22"/>
              </w:rPr>
            </w:pPr>
            <w:r w:rsidRPr="00FA4573">
              <w:rPr>
                <w:bCs/>
                <w:sz w:val="22"/>
                <w:szCs w:val="22"/>
              </w:rPr>
              <w:t>O</w:t>
            </w:r>
          </w:p>
        </w:tc>
      </w:tr>
      <w:tr w:rsidR="000B7E7B" w:rsidRPr="00FA4573" w14:paraId="09A3CE20" w14:textId="77777777" w:rsidTr="00857FB6">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4F2C352"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C1095" w14:textId="77777777" w:rsidR="000B7E7B" w:rsidRPr="00FA4573" w:rsidRDefault="000B7E7B" w:rsidP="00857FB6">
            <w:pPr>
              <w:spacing w:before="0"/>
              <w:rPr>
                <w:rFonts w:cstheme="minorHAnsi"/>
                <w:bCs/>
                <w:i/>
                <w:iCs/>
                <w:szCs w:val="24"/>
              </w:rPr>
            </w:pPr>
            <w:r w:rsidRPr="00FA4573">
              <w:rPr>
                <w:rFonts w:eastAsiaTheme="minorEastAsia" w:cstheme="minorHAnsi"/>
                <w:color w:val="000000" w:themeColor="text1"/>
                <w:kern w:val="24"/>
                <w:szCs w:val="24"/>
              </w:rPr>
              <w:t xml:space="preserve">Mr Dominique Würges (France)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2B5509BC"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8633075" w14:textId="77777777" w:rsidR="000B7E7B" w:rsidRPr="00FA4573" w:rsidRDefault="000B7E7B" w:rsidP="00857FB6">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1046FD6E" w14:textId="77777777" w:rsidR="000B7E7B" w:rsidRPr="00FA4573" w:rsidRDefault="000B7E7B" w:rsidP="00857FB6">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E75216E" w14:textId="77777777" w:rsidR="000B7E7B" w:rsidRPr="00FA4573" w:rsidRDefault="000B7E7B" w:rsidP="00857FB6">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3E9042D7"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3F610FB1"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r>
      <w:tr w:rsidR="000B7E7B" w:rsidRPr="00FA4573" w14:paraId="6A3E3CD1" w14:textId="77777777" w:rsidTr="00857FB6">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C27466A"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C53177" w14:textId="77777777" w:rsidR="000B7E7B" w:rsidRPr="00FA4573" w:rsidRDefault="000B7E7B" w:rsidP="00857FB6">
            <w:pPr>
              <w:spacing w:before="0"/>
              <w:rPr>
                <w:rFonts w:cstheme="minorHAnsi"/>
                <w:bCs/>
                <w:color w:val="A6A6A6" w:themeColor="background1" w:themeShade="A6"/>
                <w:szCs w:val="24"/>
              </w:rPr>
            </w:pPr>
            <w:r w:rsidRPr="00FA4573">
              <w:rPr>
                <w:rFonts w:eastAsiaTheme="minorEastAsia" w:cstheme="minorHAnsi"/>
                <w:color w:val="A6A6A6" w:themeColor="background1" w:themeShade="A6"/>
                <w:kern w:val="24"/>
                <w:szCs w:val="24"/>
              </w:rPr>
              <w:t>Ms Alina Modan (Romania)</w:t>
            </w:r>
          </w:p>
        </w:tc>
        <w:tc>
          <w:tcPr>
            <w:tcW w:w="1182" w:type="dxa"/>
            <w:tcBorders>
              <w:top w:val="single" w:sz="8" w:space="0" w:color="000000"/>
              <w:left w:val="single" w:sz="8" w:space="0" w:color="000000"/>
              <w:bottom w:val="single" w:sz="8" w:space="0" w:color="000000"/>
              <w:right w:val="single" w:sz="8" w:space="0" w:color="000000"/>
            </w:tcBorders>
          </w:tcPr>
          <w:p w14:paraId="5D077DDE" w14:textId="77777777" w:rsidR="000B7E7B" w:rsidRPr="00FA4573" w:rsidRDefault="000B7E7B" w:rsidP="00857FB6">
            <w:pPr>
              <w:spacing w:before="0"/>
              <w:jc w:val="center"/>
              <w:rPr>
                <w:rFonts w:eastAsiaTheme="minorEastAsia" w:cstheme="minorHAnsi"/>
                <w:color w:val="A6A6A6" w:themeColor="background1" w:themeShade="A6"/>
                <w:kern w:val="24"/>
                <w:szCs w:val="24"/>
              </w:rPr>
            </w:pPr>
            <w:r w:rsidRPr="00FA4573">
              <w:rPr>
                <w:rFonts w:eastAsiaTheme="minorEastAsia" w:cstheme="minorHAnsi"/>
                <w:color w:val="A6A6A6" w:themeColor="background1" w:themeShade="A6"/>
                <w:kern w:val="24"/>
                <w:szCs w:val="24"/>
              </w:rPr>
              <w:t>O</w:t>
            </w:r>
            <w:r w:rsidRPr="00FA4573">
              <w:rPr>
                <w:rFonts w:eastAsiaTheme="minorEastAsia" w:cstheme="minorHAnsi"/>
                <w:color w:val="A6A6A6" w:themeColor="background1" w:themeShade="A6"/>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03748D1C" w14:textId="77777777" w:rsidR="000B7E7B" w:rsidRPr="00FA4573" w:rsidRDefault="000B7E7B" w:rsidP="00857FB6">
            <w:pPr>
              <w:spacing w:before="0"/>
              <w:jc w:val="center"/>
              <w:rPr>
                <w:rFonts w:ascii="Calibri" w:hAnsi="Calibri"/>
                <w:color w:val="A6A6A6" w:themeColor="background1" w:themeShade="A6"/>
                <w:sz w:val="12"/>
                <w:szCs w:val="12"/>
              </w:rPr>
            </w:pPr>
          </w:p>
        </w:tc>
        <w:tc>
          <w:tcPr>
            <w:tcW w:w="4724" w:type="dxa"/>
            <w:gridSpan w:val="4"/>
            <w:tcBorders>
              <w:top w:val="single" w:sz="8" w:space="0" w:color="000000"/>
              <w:left w:val="single" w:sz="8" w:space="0" w:color="000000"/>
              <w:bottom w:val="single" w:sz="8" w:space="0" w:color="000000"/>
              <w:right w:val="single" w:sz="8" w:space="0" w:color="000000"/>
            </w:tcBorders>
          </w:tcPr>
          <w:p w14:paraId="29562E62" w14:textId="77777777" w:rsidR="000B7E7B" w:rsidRPr="00FA4573" w:rsidRDefault="000B7E7B" w:rsidP="00857FB6">
            <w:pPr>
              <w:spacing w:before="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w:t>
            </w:r>
            <w:r w:rsidRPr="00FA4573">
              <w:rPr>
                <w:rFonts w:ascii="Calibri" w:hAnsi="Calibri"/>
                <w:color w:val="A6A6A6" w:themeColor="background1" w:themeShade="A6"/>
                <w:sz w:val="12"/>
                <w:szCs w:val="12"/>
              </w:rPr>
              <w:br/>
              <w:t>June 2023)</w:t>
            </w:r>
          </w:p>
        </w:tc>
      </w:tr>
      <w:tr w:rsidR="000B7E7B" w:rsidRPr="00FA4573" w14:paraId="3E1A1D61" w14:textId="77777777" w:rsidTr="00857FB6">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70B0083F"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94F6D" w14:textId="77777777" w:rsidR="000B7E7B" w:rsidRPr="00400739" w:rsidRDefault="000B7E7B" w:rsidP="00857FB6">
            <w:pPr>
              <w:spacing w:before="0"/>
              <w:rPr>
                <w:rFonts w:eastAsiaTheme="minorEastAsia" w:cstheme="minorHAnsi"/>
                <w:color w:val="000000" w:themeColor="text1"/>
                <w:kern w:val="24"/>
                <w:szCs w:val="24"/>
                <w:lang w:val="es-ES"/>
              </w:rPr>
            </w:pPr>
            <w:r w:rsidRPr="00400739">
              <w:rPr>
                <w:rFonts w:eastAsiaTheme="minorEastAsia" w:cstheme="minorHAnsi"/>
                <w:color w:val="000000" w:themeColor="text1"/>
                <w:kern w:val="24"/>
                <w:szCs w:val="24"/>
                <w:lang w:val="es-ES"/>
              </w:rPr>
              <w:t>Ms Carmen Madalina Clapon (Romania)</w:t>
            </w:r>
          </w:p>
        </w:tc>
        <w:tc>
          <w:tcPr>
            <w:tcW w:w="2365" w:type="dxa"/>
            <w:gridSpan w:val="2"/>
            <w:tcBorders>
              <w:top w:val="single" w:sz="8" w:space="0" w:color="000000"/>
              <w:left w:val="single" w:sz="8" w:space="0" w:color="000000"/>
              <w:bottom w:val="single" w:sz="8" w:space="0" w:color="000000"/>
              <w:right w:val="single" w:sz="8" w:space="0" w:color="000000"/>
            </w:tcBorders>
            <w:vAlign w:val="center"/>
          </w:tcPr>
          <w:p w14:paraId="2DA8C9DD" w14:textId="77777777" w:rsidR="000B7E7B" w:rsidRPr="00FA4573" w:rsidRDefault="000B7E7B" w:rsidP="00857FB6">
            <w:pPr>
              <w:spacing w:before="0"/>
              <w:jc w:val="center"/>
              <w:rPr>
                <w:rFonts w:ascii="Calibri" w:hAnsi="Calibri"/>
                <w:color w:val="000000"/>
                <w:sz w:val="12"/>
                <w:szCs w:val="12"/>
              </w:rPr>
            </w:pPr>
            <w:r w:rsidRPr="00FA4573">
              <w:rPr>
                <w:rFonts w:ascii="Calibri" w:hAnsi="Calibri"/>
                <w:color w:val="000000"/>
                <w:sz w:val="12"/>
                <w:szCs w:val="12"/>
              </w:rPr>
              <w:t>(Not appointed yet)</w:t>
            </w:r>
          </w:p>
        </w:tc>
        <w:tc>
          <w:tcPr>
            <w:tcW w:w="1182" w:type="dxa"/>
            <w:tcBorders>
              <w:top w:val="single" w:sz="8" w:space="0" w:color="000000"/>
              <w:left w:val="single" w:sz="8" w:space="0" w:color="000000"/>
              <w:bottom w:val="single" w:sz="8" w:space="0" w:color="000000"/>
              <w:right w:val="single" w:sz="8" w:space="0" w:color="000000"/>
            </w:tcBorders>
            <w:vAlign w:val="center"/>
          </w:tcPr>
          <w:p w14:paraId="3F54DEC7" w14:textId="77777777" w:rsidR="000B7E7B" w:rsidRPr="00FA4573" w:rsidRDefault="000B7E7B" w:rsidP="00857FB6">
            <w:pPr>
              <w:spacing w:before="0"/>
              <w:jc w:val="center"/>
              <w:rPr>
                <w:rFonts w:ascii="Calibri" w:hAnsi="Calibri"/>
                <w:color w:val="000000"/>
                <w:sz w:val="12"/>
                <w:szCs w:val="1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5F35AAD" w14:textId="77777777" w:rsidR="000B7E7B" w:rsidRPr="00FA4573" w:rsidRDefault="000B7E7B" w:rsidP="00857FB6">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53EA6548" w14:textId="77777777" w:rsidR="000B7E7B" w:rsidRPr="00FA4573" w:rsidRDefault="000B7E7B" w:rsidP="00857FB6">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623C4B1A" w14:textId="77777777" w:rsidR="000B7E7B" w:rsidRPr="00FA4573" w:rsidRDefault="000B7E7B" w:rsidP="00857FB6">
            <w:pPr>
              <w:spacing w:before="0"/>
              <w:jc w:val="center"/>
              <w:rPr>
                <w:bCs/>
                <w:sz w:val="22"/>
                <w:szCs w:val="22"/>
              </w:rPr>
            </w:pPr>
            <w:r w:rsidRPr="00FA4573">
              <w:rPr>
                <w:bCs/>
                <w:sz w:val="22"/>
                <w:szCs w:val="22"/>
              </w:rPr>
              <w:t>O</w:t>
            </w:r>
          </w:p>
        </w:tc>
      </w:tr>
      <w:tr w:rsidR="000B7E7B" w:rsidRPr="00FA4573" w14:paraId="2988AD7A" w14:textId="77777777" w:rsidTr="00857FB6">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AE5F286"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5C1D1" w14:textId="77777777" w:rsidR="000B7E7B" w:rsidRPr="00FA4573" w:rsidRDefault="000B7E7B" w:rsidP="00857FB6">
            <w:pPr>
              <w:spacing w:before="0"/>
              <w:rPr>
                <w:rFonts w:eastAsia="Malgun Gothic" w:cstheme="minorHAnsi"/>
                <w:color w:val="000000" w:themeColor="text1"/>
                <w:kern w:val="24"/>
                <w:szCs w:val="24"/>
                <w:lang w:eastAsia="ko-KR"/>
              </w:rPr>
            </w:pPr>
            <w:r w:rsidRPr="00FA4573">
              <w:rPr>
                <w:rFonts w:eastAsiaTheme="minorEastAsia" w:cstheme="minorHAnsi"/>
                <w:color w:val="000000" w:themeColor="text1"/>
                <w:kern w:val="24"/>
                <w:szCs w:val="24"/>
              </w:rPr>
              <w:t>Mr Javokhir Aripov</w:t>
            </w:r>
            <w:r w:rsidRPr="00FA4573">
              <w:rPr>
                <w:rFonts w:eastAsia="Malgun Gothic" w:cstheme="minorHAnsi"/>
                <w:color w:val="000000" w:themeColor="text1"/>
                <w:kern w:val="24"/>
                <w:szCs w:val="24"/>
                <w:lang w:eastAsia="ko-KR"/>
              </w:rPr>
              <w:t xml:space="preserve"> </w:t>
            </w:r>
            <w:r w:rsidRPr="00FA4573">
              <w:rPr>
                <w:rFonts w:eastAsiaTheme="minorEastAsia" w:cstheme="minorHAnsi"/>
                <w:color w:val="000000" w:themeColor="text1"/>
                <w:kern w:val="24"/>
                <w:szCs w:val="24"/>
              </w:rPr>
              <w:t>(Uzbekistan)</w:t>
            </w:r>
          </w:p>
        </w:tc>
        <w:tc>
          <w:tcPr>
            <w:tcW w:w="4730" w:type="dxa"/>
            <w:gridSpan w:val="4"/>
            <w:tcBorders>
              <w:top w:val="single" w:sz="8" w:space="0" w:color="000000"/>
              <w:left w:val="single" w:sz="8" w:space="0" w:color="000000"/>
              <w:bottom w:val="single" w:sz="8" w:space="0" w:color="000000"/>
              <w:right w:val="single" w:sz="8" w:space="0" w:color="000000"/>
            </w:tcBorders>
            <w:vAlign w:val="center"/>
          </w:tcPr>
          <w:p w14:paraId="36393F2D" w14:textId="77777777" w:rsidR="000B7E7B" w:rsidRPr="00FA4573" w:rsidRDefault="000B7E7B" w:rsidP="00857FB6">
            <w:pPr>
              <w:spacing w:before="0"/>
              <w:jc w:val="center"/>
              <w:rPr>
                <w:bCs/>
                <w:sz w:val="22"/>
                <w:szCs w:val="22"/>
              </w:rPr>
            </w:pPr>
            <w:r w:rsidRPr="00FA4573">
              <w:rPr>
                <w:rFonts w:ascii="Calibri" w:hAnsi="Calibri"/>
                <w:color w:val="000000"/>
                <w:sz w:val="12"/>
                <w:szCs w:val="12"/>
              </w:rPr>
              <w:t>(Not appointed yet)</w:t>
            </w:r>
          </w:p>
        </w:tc>
        <w:tc>
          <w:tcPr>
            <w:tcW w:w="1186" w:type="dxa"/>
            <w:tcBorders>
              <w:top w:val="single" w:sz="8" w:space="0" w:color="000000"/>
              <w:left w:val="single" w:sz="8" w:space="0" w:color="000000"/>
              <w:bottom w:val="single" w:sz="8" w:space="0" w:color="000000"/>
              <w:right w:val="single" w:sz="8" w:space="0" w:color="000000"/>
            </w:tcBorders>
          </w:tcPr>
          <w:p w14:paraId="4D39696E" w14:textId="77777777" w:rsidR="000B7E7B" w:rsidRPr="00FA4573" w:rsidRDefault="000B7E7B" w:rsidP="00857FB6">
            <w:pPr>
              <w:spacing w:before="0"/>
              <w:jc w:val="center"/>
              <w:rPr>
                <w:bCs/>
                <w:sz w:val="22"/>
                <w:szCs w:val="22"/>
              </w:rPr>
            </w:pPr>
          </w:p>
        </w:tc>
        <w:tc>
          <w:tcPr>
            <w:tcW w:w="1173" w:type="dxa"/>
            <w:tcBorders>
              <w:top w:val="single" w:sz="8" w:space="0" w:color="000000"/>
              <w:left w:val="single" w:sz="8" w:space="0" w:color="000000"/>
              <w:bottom w:val="single" w:sz="8" w:space="0" w:color="000000"/>
              <w:right w:val="single" w:sz="8" w:space="0" w:color="000000"/>
            </w:tcBorders>
          </w:tcPr>
          <w:p w14:paraId="2E8E70C3" w14:textId="77777777" w:rsidR="000B7E7B" w:rsidRPr="00FA4573" w:rsidRDefault="000B7E7B" w:rsidP="00857FB6">
            <w:pPr>
              <w:spacing w:before="0"/>
              <w:jc w:val="center"/>
              <w:rPr>
                <w:bCs/>
                <w:sz w:val="22"/>
                <w:szCs w:val="22"/>
              </w:rPr>
            </w:pPr>
          </w:p>
        </w:tc>
      </w:tr>
      <w:tr w:rsidR="000B7E7B" w:rsidRPr="00FA4573" w14:paraId="5A812149" w14:textId="77777777" w:rsidTr="00857FB6">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7B73E37B"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EACE6F" w14:textId="77777777" w:rsidR="000B7E7B" w:rsidRPr="00FA4573" w:rsidRDefault="000B7E7B" w:rsidP="00857FB6">
            <w:pPr>
              <w:spacing w:before="0"/>
              <w:rPr>
                <w:rFonts w:cstheme="minorHAnsi"/>
                <w:bCs/>
                <w:color w:val="A6A6A6" w:themeColor="background1" w:themeShade="A6"/>
                <w:szCs w:val="24"/>
              </w:rPr>
            </w:pPr>
            <w:r w:rsidRPr="00FA4573">
              <w:rPr>
                <w:rFonts w:eastAsiaTheme="minorEastAsia" w:cstheme="minorHAnsi"/>
                <w:color w:val="A6A6A6" w:themeColor="background1" w:themeShade="A6"/>
                <w:kern w:val="24"/>
                <w:szCs w:val="24"/>
              </w:rPr>
              <w:t xml:space="preserve">Mr Diyor Rajabov (Uzbekistan) </w:t>
            </w:r>
            <w:r w:rsidRPr="00FA4573">
              <w:rPr>
                <w:rFonts w:eastAsiaTheme="minorEastAsia" w:cstheme="minorHAnsi"/>
                <w:color w:val="A6A6A6" w:themeColor="background1" w:themeShade="A6"/>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75FE4FC3" w14:textId="77777777" w:rsidR="000B7E7B" w:rsidRPr="00FA4573" w:rsidRDefault="000B7E7B" w:rsidP="00857FB6">
            <w:pPr>
              <w:spacing w:before="0"/>
              <w:jc w:val="center"/>
              <w:rPr>
                <w:rFonts w:eastAsiaTheme="minorEastAsia" w:cstheme="minorHAnsi"/>
                <w:color w:val="A6A6A6" w:themeColor="background1" w:themeShade="A6"/>
                <w:kern w:val="24"/>
                <w:szCs w:val="24"/>
              </w:rPr>
            </w:pPr>
            <w:r w:rsidRPr="00FA4573">
              <w:rPr>
                <w:bCs/>
                <w:color w:val="A6A6A6" w:themeColor="background1" w:themeShade="A6"/>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846EB12" w14:textId="77777777" w:rsidR="000B7E7B" w:rsidRPr="00FA4573" w:rsidRDefault="000B7E7B" w:rsidP="00857FB6">
            <w:pPr>
              <w:spacing w:before="0"/>
              <w:jc w:val="center"/>
              <w:rPr>
                <w:bCs/>
                <w:color w:val="A6A6A6" w:themeColor="background1" w:themeShade="A6"/>
                <w:sz w:val="22"/>
                <w:szCs w:val="22"/>
              </w:rPr>
            </w:pPr>
            <w:r w:rsidRPr="00FA4573">
              <w:rPr>
                <w:rFonts w:eastAsiaTheme="minorEastAsia" w:cstheme="minorHAnsi"/>
                <w:color w:val="A6A6A6" w:themeColor="background1" w:themeShade="A6"/>
                <w:kern w:val="24"/>
                <w:szCs w:val="24"/>
              </w:rPr>
              <w:t>O</w:t>
            </w:r>
            <w:r w:rsidRPr="00FA4573">
              <w:rPr>
                <w:rFonts w:eastAsiaTheme="minorEastAsia" w:cstheme="minorHAnsi"/>
                <w:color w:val="A6A6A6" w:themeColor="background1" w:themeShade="A6"/>
                <w:kern w:val="24"/>
                <w:szCs w:val="24"/>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13B4D581" w14:textId="77777777" w:rsidR="000B7E7B" w:rsidRPr="00FA4573" w:rsidRDefault="000B7E7B" w:rsidP="00857FB6">
            <w:pPr>
              <w:spacing w:before="0"/>
              <w:jc w:val="center"/>
              <w:rPr>
                <w:rFonts w:eastAsiaTheme="minorEastAsia" w:cstheme="minorHAnsi"/>
                <w:color w:val="A6A6A6" w:themeColor="background1" w:themeShade="A6"/>
                <w:kern w:val="24"/>
                <w:szCs w:val="24"/>
              </w:rPr>
            </w:pPr>
            <w:r w:rsidRPr="00FA4573">
              <w:rPr>
                <w:bCs/>
                <w:color w:val="A6A6A6" w:themeColor="background1" w:themeShade="A6"/>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1B6F5FAD" w14:textId="77777777" w:rsidR="000B7E7B" w:rsidRPr="00FA4573" w:rsidRDefault="000B7E7B" w:rsidP="00857FB6">
            <w:pPr>
              <w:spacing w:before="0"/>
              <w:jc w:val="center"/>
              <w:rPr>
                <w:bCs/>
                <w:color w:val="A6A6A6" w:themeColor="background1" w:themeShade="A6"/>
                <w:sz w:val="22"/>
                <w:szCs w:val="22"/>
              </w:rPr>
            </w:pPr>
            <w:r w:rsidRPr="00FA4573">
              <w:rPr>
                <w:rFonts w:eastAsiaTheme="minorEastAsia" w:cstheme="minorHAnsi"/>
                <w:color w:val="A6A6A6" w:themeColor="background1" w:themeShade="A6"/>
                <w:kern w:val="24"/>
                <w:szCs w:val="24"/>
              </w:rPr>
              <w:t>O</w:t>
            </w:r>
            <w:r w:rsidRPr="00FA4573">
              <w:rPr>
                <w:rFonts w:eastAsiaTheme="minorEastAsia" w:cstheme="minorHAnsi"/>
                <w:color w:val="A6A6A6" w:themeColor="background1" w:themeShade="A6"/>
                <w:kern w:val="24"/>
                <w:szCs w:val="24"/>
                <w:vertAlign w:val="superscript"/>
              </w:rPr>
              <w:t>R</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1AB630F7" w14:textId="77777777" w:rsidR="000B7E7B" w:rsidRPr="00FA4573" w:rsidRDefault="000B7E7B" w:rsidP="00857FB6">
            <w:pPr>
              <w:spacing w:before="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lang w:eastAsia="ko-KR"/>
              </w:rPr>
              <w:t>September</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7E7B" w:rsidRPr="00FA4573" w14:paraId="57C98F87" w14:textId="77777777" w:rsidTr="00857FB6">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26E6D825"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EC921" w14:textId="77777777" w:rsidR="000B7E7B" w:rsidRPr="00FA4573" w:rsidRDefault="000B7E7B" w:rsidP="00857FB6">
            <w:pPr>
              <w:spacing w:before="0"/>
              <w:rPr>
                <w:rFonts w:cstheme="minorHAnsi"/>
                <w:bCs/>
                <w:szCs w:val="24"/>
              </w:rPr>
            </w:pPr>
            <w:r w:rsidRPr="00FA4573">
              <w:rPr>
                <w:rFonts w:eastAsiaTheme="minorEastAsia" w:cstheme="minorHAnsi"/>
                <w:color w:val="000000" w:themeColor="text1"/>
                <w:kern w:val="24"/>
                <w:szCs w:val="24"/>
              </w:rPr>
              <w:t xml:space="preserve">Mr Mushfig Guluyev (Azerbaijan)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4976A79E"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68092DD1"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432F92ED"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13246C6F"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7760AC19" w14:textId="77777777" w:rsidR="000B7E7B" w:rsidRPr="00FA4573" w:rsidRDefault="000B7E7B" w:rsidP="00857FB6">
            <w:pPr>
              <w:spacing w:before="0"/>
              <w:jc w:val="center"/>
              <w:rPr>
                <w:rFonts w:eastAsiaTheme="minorEastAsia" w:cstheme="minorHAnsi"/>
                <w:color w:val="000000" w:themeColor="text1"/>
                <w:kern w:val="24"/>
                <w:szCs w:val="24"/>
              </w:rPr>
            </w:pPr>
          </w:p>
        </w:tc>
        <w:tc>
          <w:tcPr>
            <w:tcW w:w="1173" w:type="dxa"/>
            <w:tcBorders>
              <w:top w:val="single" w:sz="8" w:space="0" w:color="000000"/>
              <w:left w:val="single" w:sz="8" w:space="0" w:color="000000"/>
              <w:bottom w:val="single" w:sz="8" w:space="0" w:color="000000"/>
              <w:right w:val="single" w:sz="8" w:space="0" w:color="000000"/>
            </w:tcBorders>
          </w:tcPr>
          <w:p w14:paraId="52B729C0" w14:textId="77777777" w:rsidR="000B7E7B" w:rsidRPr="00FA4573" w:rsidRDefault="000B7E7B" w:rsidP="00857FB6">
            <w:pPr>
              <w:spacing w:before="0"/>
              <w:jc w:val="center"/>
              <w:rPr>
                <w:rFonts w:eastAsiaTheme="minorEastAsia" w:cstheme="minorHAnsi"/>
                <w:color w:val="000000" w:themeColor="text1"/>
                <w:kern w:val="24"/>
                <w:szCs w:val="24"/>
              </w:rPr>
            </w:pPr>
          </w:p>
        </w:tc>
      </w:tr>
      <w:tr w:rsidR="000B7E7B" w:rsidRPr="00FA4573" w14:paraId="685557D0" w14:textId="77777777" w:rsidTr="00857FB6">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A9413A5" w14:textId="77777777" w:rsidR="000B7E7B" w:rsidRPr="00FA4573" w:rsidRDefault="000B7E7B" w:rsidP="00857FB6">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C28678" w14:textId="77777777" w:rsidR="000B7E7B" w:rsidRPr="00FA4573" w:rsidRDefault="000B7E7B" w:rsidP="00857FB6">
            <w:pPr>
              <w:spacing w:before="0"/>
              <w:rPr>
                <w:rFonts w:cstheme="minorHAnsi"/>
                <w:bCs/>
                <w:szCs w:val="24"/>
              </w:rPr>
            </w:pPr>
            <w:r w:rsidRPr="00FA4573">
              <w:rPr>
                <w:rFonts w:eastAsiaTheme="minorEastAsia" w:cstheme="minorHAnsi"/>
                <w:color w:val="000000" w:themeColor="text1"/>
                <w:kern w:val="24"/>
                <w:szCs w:val="24"/>
              </w:rPr>
              <w:t>Mr Abdelaziz Alzarooni (United Arab Emirates)</w:t>
            </w:r>
          </w:p>
        </w:tc>
        <w:tc>
          <w:tcPr>
            <w:tcW w:w="1182" w:type="dxa"/>
            <w:tcBorders>
              <w:top w:val="single" w:sz="8" w:space="0" w:color="000000"/>
              <w:left w:val="single" w:sz="8" w:space="0" w:color="000000"/>
              <w:bottom w:val="single" w:sz="8" w:space="0" w:color="000000"/>
              <w:right w:val="single" w:sz="8" w:space="0" w:color="000000"/>
            </w:tcBorders>
          </w:tcPr>
          <w:p w14:paraId="3AAD8827" w14:textId="77777777" w:rsidR="000B7E7B" w:rsidRPr="00FA4573" w:rsidRDefault="000B7E7B" w:rsidP="00857FB6">
            <w:pPr>
              <w:spacing w:before="0"/>
              <w:jc w:val="center"/>
              <w:rPr>
                <w:rFonts w:eastAsiaTheme="minorEastAsia" w:cstheme="minorHAnsi"/>
                <w:color w:val="000000" w:themeColor="text1"/>
                <w:kern w:val="24"/>
                <w:szCs w:val="24"/>
              </w:rPr>
            </w:pPr>
          </w:p>
        </w:tc>
        <w:tc>
          <w:tcPr>
            <w:tcW w:w="1183" w:type="dxa"/>
            <w:tcBorders>
              <w:top w:val="single" w:sz="8" w:space="0" w:color="000000"/>
              <w:left w:val="single" w:sz="8" w:space="0" w:color="000000"/>
              <w:bottom w:val="single" w:sz="8" w:space="0" w:color="000000"/>
              <w:right w:val="single" w:sz="8" w:space="0" w:color="000000"/>
            </w:tcBorders>
          </w:tcPr>
          <w:p w14:paraId="2E4D22DA" w14:textId="77777777" w:rsidR="000B7E7B" w:rsidRPr="00FA4573" w:rsidRDefault="000B7E7B" w:rsidP="00857FB6">
            <w:pPr>
              <w:spacing w:before="0"/>
              <w:jc w:val="center"/>
              <w:rPr>
                <w:rFonts w:eastAsiaTheme="minorEastAsia" w:cstheme="minorHAnsi"/>
                <w:color w:val="000000" w:themeColor="text1"/>
                <w:kern w:val="24"/>
                <w:szCs w:val="24"/>
              </w:rPr>
            </w:pPr>
          </w:p>
        </w:tc>
        <w:tc>
          <w:tcPr>
            <w:tcW w:w="1182" w:type="dxa"/>
            <w:tcBorders>
              <w:top w:val="single" w:sz="8" w:space="0" w:color="000000"/>
              <w:left w:val="single" w:sz="8" w:space="0" w:color="000000"/>
              <w:bottom w:val="single" w:sz="8" w:space="0" w:color="000000"/>
              <w:right w:val="single" w:sz="8" w:space="0" w:color="000000"/>
            </w:tcBorders>
          </w:tcPr>
          <w:p w14:paraId="603EC123"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6284418A" w14:textId="77777777" w:rsidR="000B7E7B" w:rsidRPr="00FA4573" w:rsidRDefault="000B7E7B" w:rsidP="00857FB6">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06D34592" w14:textId="77777777" w:rsidR="000B7E7B" w:rsidRPr="00FA4573" w:rsidRDefault="000B7E7B" w:rsidP="00857FB6">
            <w:pPr>
              <w:spacing w:before="0"/>
              <w:jc w:val="center"/>
              <w:rPr>
                <w:rFonts w:eastAsiaTheme="minorEastAsia" w:cstheme="minorHAnsi"/>
                <w:color w:val="000000" w:themeColor="text1"/>
                <w:kern w:val="24"/>
                <w:szCs w:val="24"/>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72209DDF" w14:textId="77777777" w:rsidR="000B7E7B" w:rsidRPr="00474F78" w:rsidRDefault="000B7E7B" w:rsidP="00857FB6">
            <w:pPr>
              <w:spacing w:before="0"/>
              <w:jc w:val="center"/>
              <w:rPr>
                <w:bCs/>
                <w:sz w:val="22"/>
                <w:szCs w:val="22"/>
                <w:lang w:val="fr-CH"/>
              </w:rPr>
            </w:pPr>
          </w:p>
        </w:tc>
      </w:tr>
    </w:tbl>
    <w:p w14:paraId="2D16C4AB" w14:textId="77777777" w:rsidR="000B7E7B" w:rsidRPr="00FA4573" w:rsidRDefault="000B7E7B" w:rsidP="000B7E7B">
      <w:pPr>
        <w:spacing w:before="240" w:after="120"/>
        <w:rPr>
          <w:bCs/>
          <w:szCs w:val="24"/>
        </w:rPr>
      </w:pPr>
      <w:r w:rsidRPr="00FA4573">
        <w:rPr>
          <w:b/>
          <w:szCs w:val="24"/>
        </w:rPr>
        <w:t>Table 2A: List of (co-)rapporteurs and vice-rapporteurs</w:t>
      </w:r>
      <w:r w:rsidRPr="00FA4573">
        <w:rPr>
          <w:bCs/>
          <w:szCs w:val="24"/>
        </w:rPr>
        <w:t xml:space="preserve"> (also available at this </w:t>
      </w:r>
      <w:hyperlink r:id="rId134" w:history="1">
        <w:r w:rsidRPr="00FA4573">
          <w:rPr>
            <w:rStyle w:val="Hyperlink"/>
            <w:bCs/>
            <w:szCs w:val="24"/>
          </w:rPr>
          <w:t>web page</w:t>
        </w:r>
      </w:hyperlink>
      <w:r w:rsidRPr="00FA4573">
        <w:rPr>
          <w:bCs/>
          <w:szCs w:val="24"/>
        </w:rPr>
        <w:t>) and their attendance (O: physical, O</w:t>
      </w:r>
      <w:r w:rsidRPr="00FA4573">
        <w:rPr>
          <w:bCs/>
          <w:szCs w:val="24"/>
          <w:vertAlign w:val="superscript"/>
        </w:rPr>
        <w:t>R</w:t>
      </w:r>
      <w:r w:rsidRPr="00FA4573">
        <w:rPr>
          <w:bCs/>
          <w:szCs w:val="24"/>
        </w:rPr>
        <w:t>: remote)</w:t>
      </w:r>
    </w:p>
    <w:tbl>
      <w:tblPr>
        <w:tblW w:w="15025" w:type="dxa"/>
        <w:jc w:val="center"/>
        <w:tblLayout w:type="fixed"/>
        <w:tblLook w:val="04A0" w:firstRow="1" w:lastRow="0" w:firstColumn="1" w:lastColumn="0" w:noHBand="0" w:noVBand="1"/>
      </w:tblPr>
      <w:tblGrid>
        <w:gridCol w:w="1408"/>
        <w:gridCol w:w="1850"/>
        <w:gridCol w:w="2554"/>
        <w:gridCol w:w="1789"/>
        <w:gridCol w:w="1843"/>
        <w:gridCol w:w="1335"/>
        <w:gridCol w:w="697"/>
        <w:gridCol w:w="713"/>
        <w:gridCol w:w="711"/>
        <w:gridCol w:w="708"/>
        <w:gridCol w:w="708"/>
        <w:gridCol w:w="709"/>
      </w:tblGrid>
      <w:tr w:rsidR="000B7E7B" w:rsidRPr="00FA4573" w14:paraId="099AD723" w14:textId="77777777" w:rsidTr="00857FB6">
        <w:trPr>
          <w:trHeight w:val="372"/>
          <w:tblHeader/>
          <w:jc w:val="center"/>
        </w:trPr>
        <w:tc>
          <w:tcPr>
            <w:tcW w:w="1408" w:type="dxa"/>
            <w:vMerge w:val="restart"/>
            <w:tcBorders>
              <w:top w:val="single" w:sz="4" w:space="0" w:color="9BC2E6"/>
              <w:left w:val="nil"/>
              <w:right w:val="nil"/>
            </w:tcBorders>
            <w:shd w:val="clear" w:color="5B9BD5" w:fill="5B9BD5"/>
            <w:hideMark/>
          </w:tcPr>
          <w:p w14:paraId="5D83A27F" w14:textId="77777777" w:rsidR="000B7E7B" w:rsidRPr="00FA4573" w:rsidRDefault="000B7E7B" w:rsidP="00857FB6">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 xml:space="preserve">Question </w:t>
            </w:r>
          </w:p>
        </w:tc>
        <w:tc>
          <w:tcPr>
            <w:tcW w:w="1850" w:type="dxa"/>
            <w:vMerge w:val="restart"/>
            <w:tcBorders>
              <w:top w:val="single" w:sz="4" w:space="0" w:color="9BC2E6"/>
              <w:left w:val="nil"/>
              <w:right w:val="nil"/>
            </w:tcBorders>
            <w:shd w:val="clear" w:color="5B9BD5" w:fill="5B9BD5"/>
            <w:hideMark/>
          </w:tcPr>
          <w:p w14:paraId="1DFDBBD4" w14:textId="77777777" w:rsidR="000B7E7B" w:rsidRPr="00FA4573" w:rsidRDefault="000B7E7B" w:rsidP="00857FB6">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 xml:space="preserve">Role </w:t>
            </w:r>
          </w:p>
        </w:tc>
        <w:tc>
          <w:tcPr>
            <w:tcW w:w="2554" w:type="dxa"/>
            <w:vMerge w:val="restart"/>
            <w:tcBorders>
              <w:top w:val="single" w:sz="4" w:space="0" w:color="9BC2E6"/>
              <w:left w:val="nil"/>
              <w:right w:val="nil"/>
            </w:tcBorders>
            <w:shd w:val="clear" w:color="5B9BD5" w:fill="5B9BD5"/>
            <w:hideMark/>
          </w:tcPr>
          <w:p w14:paraId="2A1B77C1" w14:textId="77777777" w:rsidR="000B7E7B" w:rsidRPr="00FA4573" w:rsidRDefault="000B7E7B" w:rsidP="00857FB6">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Name of candidate</w:t>
            </w:r>
          </w:p>
        </w:tc>
        <w:tc>
          <w:tcPr>
            <w:tcW w:w="1789" w:type="dxa"/>
            <w:vMerge w:val="restart"/>
            <w:tcBorders>
              <w:top w:val="single" w:sz="4" w:space="0" w:color="9BC2E6"/>
              <w:left w:val="nil"/>
              <w:right w:val="nil"/>
            </w:tcBorders>
            <w:shd w:val="clear" w:color="5B9BD5" w:fill="5B9BD5"/>
            <w:hideMark/>
          </w:tcPr>
          <w:p w14:paraId="7ACDE261" w14:textId="77777777" w:rsidR="000B7E7B" w:rsidRPr="00FA4573" w:rsidRDefault="000B7E7B" w:rsidP="00857FB6">
            <w:pPr>
              <w:overflowPunct/>
              <w:autoSpaceDE/>
              <w:autoSpaceDN/>
              <w:snapToGrid w:val="0"/>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 xml:space="preserve">Organisation </w:t>
            </w:r>
          </w:p>
        </w:tc>
        <w:tc>
          <w:tcPr>
            <w:tcW w:w="1843" w:type="dxa"/>
            <w:vMerge w:val="restart"/>
            <w:tcBorders>
              <w:top w:val="single" w:sz="4" w:space="0" w:color="9BC2E6"/>
              <w:left w:val="nil"/>
              <w:right w:val="nil"/>
            </w:tcBorders>
            <w:shd w:val="clear" w:color="5B9BD5" w:fill="5B9BD5"/>
            <w:hideMark/>
          </w:tcPr>
          <w:p w14:paraId="47729714" w14:textId="77777777" w:rsidR="000B7E7B" w:rsidRPr="00FA4573" w:rsidRDefault="000B7E7B" w:rsidP="00857FB6">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Country</w:t>
            </w:r>
          </w:p>
        </w:tc>
        <w:tc>
          <w:tcPr>
            <w:tcW w:w="1335" w:type="dxa"/>
            <w:vMerge w:val="restart"/>
            <w:tcBorders>
              <w:top w:val="single" w:sz="4" w:space="0" w:color="9BC2E6"/>
              <w:left w:val="nil"/>
              <w:right w:val="single" w:sz="4" w:space="0" w:color="9BC2E6"/>
            </w:tcBorders>
            <w:shd w:val="clear" w:color="5B9BD5" w:fill="5B9BD5"/>
            <w:hideMark/>
          </w:tcPr>
          <w:p w14:paraId="121AAD37" w14:textId="77777777" w:rsidR="000B7E7B" w:rsidRPr="00FA4573" w:rsidRDefault="000B7E7B" w:rsidP="00857FB6">
            <w:pPr>
              <w:overflowPunct/>
              <w:autoSpaceDE/>
              <w:autoSpaceDN/>
              <w:adjustRightInd/>
              <w:spacing w:before="40" w:after="40"/>
              <w:jc w:val="center"/>
              <w:textAlignment w:val="auto"/>
              <w:rPr>
                <w:rFonts w:ascii="Calibri" w:hAnsi="Calibri"/>
                <w:b/>
                <w:bCs/>
                <w:color w:val="FFFFFF"/>
                <w:sz w:val="20"/>
                <w:lang w:eastAsia="zh-CN"/>
              </w:rPr>
            </w:pPr>
            <w:r w:rsidRPr="00FA4573">
              <w:rPr>
                <w:rFonts w:ascii="Calibri" w:hAnsi="Calibri"/>
                <w:b/>
                <w:bCs/>
                <w:color w:val="FFFFFF"/>
                <w:sz w:val="20"/>
                <w:lang w:eastAsia="zh-CN"/>
              </w:rPr>
              <w:t>Region</w:t>
            </w:r>
          </w:p>
        </w:tc>
        <w:tc>
          <w:tcPr>
            <w:tcW w:w="4246" w:type="dxa"/>
            <w:gridSpan w:val="6"/>
            <w:tcBorders>
              <w:top w:val="single" w:sz="4" w:space="0" w:color="9BC2E6"/>
              <w:left w:val="nil"/>
              <w:bottom w:val="single" w:sz="4" w:space="0" w:color="9BC2E6"/>
              <w:right w:val="single" w:sz="4" w:space="0" w:color="9BC2E6"/>
            </w:tcBorders>
            <w:shd w:val="clear" w:color="5B9BD5" w:fill="5B9BD5"/>
          </w:tcPr>
          <w:p w14:paraId="2473CD61" w14:textId="77777777" w:rsidR="000B7E7B" w:rsidRPr="00FA4573" w:rsidRDefault="000B7E7B" w:rsidP="00857FB6">
            <w:pPr>
              <w:overflowPunct/>
              <w:autoSpaceDE/>
              <w:autoSpaceDN/>
              <w:adjustRightInd/>
              <w:spacing w:before="40" w:after="40"/>
              <w:jc w:val="center"/>
              <w:textAlignment w:val="auto"/>
              <w:rPr>
                <w:rFonts w:ascii="Calibri" w:hAnsi="Calibri"/>
                <w:b/>
                <w:bCs/>
                <w:color w:val="FFFFFF"/>
                <w:sz w:val="20"/>
                <w:lang w:eastAsia="zh-CN"/>
              </w:rPr>
            </w:pPr>
            <w:r w:rsidRPr="00FA4573">
              <w:rPr>
                <w:rFonts w:ascii="Calibri" w:hAnsi="Calibri"/>
                <w:b/>
                <w:bCs/>
                <w:color w:val="FFFFFF"/>
                <w:sz w:val="20"/>
                <w:lang w:eastAsia="zh-CN"/>
              </w:rPr>
              <w:t>Attendance</w:t>
            </w:r>
          </w:p>
        </w:tc>
      </w:tr>
      <w:tr w:rsidR="000B7E7B" w:rsidRPr="00FA4573" w14:paraId="6461939A" w14:textId="77777777" w:rsidTr="00857FB6">
        <w:trPr>
          <w:trHeight w:val="372"/>
          <w:tblHeader/>
          <w:jc w:val="center"/>
        </w:trPr>
        <w:tc>
          <w:tcPr>
            <w:tcW w:w="1408" w:type="dxa"/>
            <w:vMerge/>
            <w:tcBorders>
              <w:left w:val="nil"/>
              <w:bottom w:val="single" w:sz="4" w:space="0" w:color="9BC2E6"/>
              <w:right w:val="nil"/>
            </w:tcBorders>
            <w:shd w:val="clear" w:color="5B9BD5" w:fill="5B9BD5"/>
          </w:tcPr>
          <w:p w14:paraId="143C057A" w14:textId="77777777" w:rsidR="000B7E7B" w:rsidRPr="00FA4573" w:rsidRDefault="000B7E7B" w:rsidP="00857FB6">
            <w:pPr>
              <w:overflowPunct/>
              <w:autoSpaceDE/>
              <w:autoSpaceDN/>
              <w:adjustRightInd/>
              <w:spacing w:before="40" w:after="40"/>
              <w:textAlignment w:val="auto"/>
              <w:rPr>
                <w:rFonts w:ascii="Calibri" w:hAnsi="Calibri"/>
                <w:b/>
                <w:bCs/>
                <w:color w:val="FFFFFF"/>
                <w:sz w:val="20"/>
                <w:lang w:eastAsia="zh-CN"/>
              </w:rPr>
            </w:pPr>
          </w:p>
        </w:tc>
        <w:tc>
          <w:tcPr>
            <w:tcW w:w="1850" w:type="dxa"/>
            <w:vMerge/>
            <w:tcBorders>
              <w:left w:val="nil"/>
              <w:right w:val="nil"/>
            </w:tcBorders>
            <w:shd w:val="clear" w:color="5B9BD5" w:fill="5B9BD5"/>
          </w:tcPr>
          <w:p w14:paraId="5DAACFCB" w14:textId="77777777" w:rsidR="000B7E7B" w:rsidRPr="00FA4573" w:rsidRDefault="000B7E7B" w:rsidP="00857FB6">
            <w:pPr>
              <w:overflowPunct/>
              <w:autoSpaceDE/>
              <w:autoSpaceDN/>
              <w:adjustRightInd/>
              <w:spacing w:before="40" w:after="40"/>
              <w:textAlignment w:val="auto"/>
              <w:rPr>
                <w:rFonts w:ascii="Calibri" w:hAnsi="Calibri"/>
                <w:b/>
                <w:bCs/>
                <w:color w:val="FFFFFF"/>
                <w:sz w:val="20"/>
                <w:lang w:eastAsia="zh-CN"/>
              </w:rPr>
            </w:pPr>
          </w:p>
        </w:tc>
        <w:tc>
          <w:tcPr>
            <w:tcW w:w="2554" w:type="dxa"/>
            <w:vMerge/>
            <w:tcBorders>
              <w:left w:val="nil"/>
              <w:bottom w:val="single" w:sz="4" w:space="0" w:color="9BC2E6"/>
              <w:right w:val="nil"/>
            </w:tcBorders>
            <w:shd w:val="clear" w:color="5B9BD5" w:fill="5B9BD5"/>
          </w:tcPr>
          <w:p w14:paraId="7CF27A9B" w14:textId="77777777" w:rsidR="000B7E7B" w:rsidRPr="00FA4573" w:rsidRDefault="000B7E7B" w:rsidP="00857FB6">
            <w:pPr>
              <w:overflowPunct/>
              <w:autoSpaceDE/>
              <w:autoSpaceDN/>
              <w:adjustRightInd/>
              <w:spacing w:before="40" w:after="40"/>
              <w:textAlignment w:val="auto"/>
              <w:rPr>
                <w:rFonts w:ascii="Calibri" w:hAnsi="Calibri"/>
                <w:b/>
                <w:bCs/>
                <w:color w:val="FFFFFF"/>
                <w:sz w:val="20"/>
                <w:lang w:eastAsia="zh-CN"/>
              </w:rPr>
            </w:pPr>
          </w:p>
        </w:tc>
        <w:tc>
          <w:tcPr>
            <w:tcW w:w="1789" w:type="dxa"/>
            <w:vMerge/>
            <w:tcBorders>
              <w:left w:val="nil"/>
              <w:bottom w:val="single" w:sz="4" w:space="0" w:color="9BC2E6"/>
              <w:right w:val="nil"/>
            </w:tcBorders>
            <w:shd w:val="clear" w:color="5B9BD5" w:fill="5B9BD5"/>
          </w:tcPr>
          <w:p w14:paraId="7D5680AB" w14:textId="77777777" w:rsidR="000B7E7B" w:rsidRPr="00FA4573" w:rsidRDefault="000B7E7B" w:rsidP="00857FB6">
            <w:pPr>
              <w:overflowPunct/>
              <w:autoSpaceDE/>
              <w:autoSpaceDN/>
              <w:snapToGrid w:val="0"/>
              <w:spacing w:before="40" w:after="40"/>
              <w:textAlignment w:val="auto"/>
              <w:rPr>
                <w:rFonts w:ascii="Calibri" w:hAnsi="Calibri"/>
                <w:b/>
                <w:bCs/>
                <w:color w:val="FFFFFF"/>
                <w:sz w:val="20"/>
                <w:lang w:eastAsia="zh-CN"/>
              </w:rPr>
            </w:pPr>
          </w:p>
        </w:tc>
        <w:tc>
          <w:tcPr>
            <w:tcW w:w="1843" w:type="dxa"/>
            <w:vMerge/>
            <w:tcBorders>
              <w:left w:val="nil"/>
              <w:bottom w:val="single" w:sz="4" w:space="0" w:color="9BC2E6"/>
              <w:right w:val="nil"/>
            </w:tcBorders>
            <w:shd w:val="clear" w:color="5B9BD5" w:fill="5B9BD5"/>
          </w:tcPr>
          <w:p w14:paraId="7A9323C4" w14:textId="77777777" w:rsidR="000B7E7B" w:rsidRPr="00FA4573" w:rsidRDefault="000B7E7B" w:rsidP="00857FB6">
            <w:pPr>
              <w:overflowPunct/>
              <w:autoSpaceDE/>
              <w:autoSpaceDN/>
              <w:adjustRightInd/>
              <w:spacing w:before="40" w:after="40"/>
              <w:textAlignment w:val="auto"/>
              <w:rPr>
                <w:rFonts w:ascii="Calibri" w:hAnsi="Calibri"/>
                <w:b/>
                <w:bCs/>
                <w:color w:val="FFFFFF"/>
                <w:sz w:val="20"/>
                <w:lang w:eastAsia="zh-CN"/>
              </w:rPr>
            </w:pPr>
          </w:p>
        </w:tc>
        <w:tc>
          <w:tcPr>
            <w:tcW w:w="1335" w:type="dxa"/>
            <w:vMerge/>
            <w:tcBorders>
              <w:left w:val="nil"/>
              <w:bottom w:val="single" w:sz="4" w:space="0" w:color="9BC2E6"/>
              <w:right w:val="single" w:sz="4" w:space="0" w:color="9BC2E6"/>
            </w:tcBorders>
            <w:shd w:val="clear" w:color="5B9BD5" w:fill="5B9BD5"/>
          </w:tcPr>
          <w:p w14:paraId="79D01BF2" w14:textId="77777777" w:rsidR="000B7E7B" w:rsidRPr="00FA4573" w:rsidRDefault="000B7E7B" w:rsidP="00857FB6">
            <w:pPr>
              <w:overflowPunct/>
              <w:autoSpaceDE/>
              <w:autoSpaceDN/>
              <w:adjustRightInd/>
              <w:spacing w:before="40" w:after="40"/>
              <w:jc w:val="center"/>
              <w:textAlignment w:val="auto"/>
              <w:rPr>
                <w:rFonts w:ascii="Calibri" w:hAnsi="Calibri"/>
                <w:b/>
                <w:bCs/>
                <w:color w:val="FFFFFF"/>
                <w:sz w:val="20"/>
                <w:lang w:eastAsia="zh-CN"/>
              </w:rPr>
            </w:pPr>
          </w:p>
        </w:tc>
        <w:tc>
          <w:tcPr>
            <w:tcW w:w="697" w:type="dxa"/>
            <w:tcBorders>
              <w:top w:val="single" w:sz="4" w:space="0" w:color="9BC2E6"/>
              <w:left w:val="nil"/>
              <w:bottom w:val="single" w:sz="4" w:space="0" w:color="9BC2E6"/>
              <w:right w:val="single" w:sz="4" w:space="0" w:color="9BC2E6"/>
            </w:tcBorders>
            <w:shd w:val="clear" w:color="auto" w:fill="5B9BD5"/>
          </w:tcPr>
          <w:p w14:paraId="3FCD1BF5" w14:textId="77777777" w:rsidR="000B7E7B" w:rsidRPr="00FA4573" w:rsidRDefault="000B7E7B" w:rsidP="00857FB6">
            <w:pPr>
              <w:overflowPunct/>
              <w:autoSpaceDE/>
              <w:autoSpaceDN/>
              <w:adjustRightInd/>
              <w:spacing w:before="40" w:after="40"/>
              <w:jc w:val="center"/>
              <w:textAlignment w:val="auto"/>
              <w:rPr>
                <w:rFonts w:ascii="Calibri" w:hAnsi="Calibri"/>
                <w:b/>
                <w:bCs/>
                <w:color w:val="FFFFFF" w:themeColor="background1"/>
                <w:sz w:val="20"/>
                <w:lang w:eastAsia="zh-CN"/>
              </w:rPr>
            </w:pPr>
            <w:r w:rsidRPr="00FA4573">
              <w:rPr>
                <w:bCs/>
                <w:color w:val="FFFFFF" w:themeColor="background1"/>
                <w:sz w:val="20"/>
              </w:rPr>
              <w:t>2022</w:t>
            </w:r>
            <w:r w:rsidRPr="00FA4573">
              <w:rPr>
                <w:bCs/>
                <w:color w:val="FFFFFF" w:themeColor="background1"/>
                <w:sz w:val="20"/>
              </w:rPr>
              <w:br/>
              <w:t>SG2</w:t>
            </w:r>
          </w:p>
        </w:tc>
        <w:tc>
          <w:tcPr>
            <w:tcW w:w="713" w:type="dxa"/>
            <w:tcBorders>
              <w:top w:val="single" w:sz="4" w:space="0" w:color="9BC2E6"/>
              <w:left w:val="nil"/>
              <w:bottom w:val="single" w:sz="4" w:space="0" w:color="9BC2E6"/>
              <w:right w:val="single" w:sz="4" w:space="0" w:color="9BC2E6"/>
            </w:tcBorders>
            <w:shd w:val="clear" w:color="auto" w:fill="5B9BD5"/>
          </w:tcPr>
          <w:p w14:paraId="3AB66863" w14:textId="77777777" w:rsidR="000B7E7B" w:rsidRPr="00FA4573" w:rsidRDefault="000B7E7B" w:rsidP="00857FB6">
            <w:pPr>
              <w:overflowPunct/>
              <w:autoSpaceDE/>
              <w:autoSpaceDN/>
              <w:adjustRightInd/>
              <w:spacing w:before="40" w:after="40"/>
              <w:jc w:val="center"/>
              <w:textAlignment w:val="auto"/>
              <w:rPr>
                <w:rFonts w:ascii="Calibri" w:hAnsi="Calibri"/>
                <w:b/>
                <w:bCs/>
                <w:color w:val="FFFFFF" w:themeColor="background1"/>
                <w:sz w:val="20"/>
                <w:lang w:eastAsia="zh-CN"/>
              </w:rPr>
            </w:pPr>
            <w:r w:rsidRPr="00FA4573">
              <w:rPr>
                <w:bCs/>
                <w:color w:val="FFFFFF" w:themeColor="background1"/>
                <w:sz w:val="20"/>
              </w:rPr>
              <w:t>2023</w:t>
            </w:r>
            <w:r w:rsidRPr="00FA4573">
              <w:rPr>
                <w:bCs/>
                <w:color w:val="FFFFFF" w:themeColor="background1"/>
                <w:sz w:val="20"/>
              </w:rPr>
              <w:br/>
              <w:t>RGQ2</w:t>
            </w:r>
          </w:p>
        </w:tc>
        <w:tc>
          <w:tcPr>
            <w:tcW w:w="711" w:type="dxa"/>
            <w:tcBorders>
              <w:top w:val="single" w:sz="4" w:space="0" w:color="9BC2E6"/>
              <w:left w:val="nil"/>
              <w:bottom w:val="single" w:sz="4" w:space="0" w:color="9BC2E6"/>
              <w:right w:val="single" w:sz="4" w:space="0" w:color="9BC2E6"/>
            </w:tcBorders>
            <w:shd w:val="clear" w:color="auto" w:fill="5B9BD5"/>
          </w:tcPr>
          <w:p w14:paraId="02CF6467" w14:textId="77777777" w:rsidR="000B7E7B" w:rsidRPr="00FA4573" w:rsidRDefault="000B7E7B" w:rsidP="00857FB6">
            <w:pPr>
              <w:overflowPunct/>
              <w:autoSpaceDE/>
              <w:autoSpaceDN/>
              <w:adjustRightInd/>
              <w:spacing w:before="40" w:after="40"/>
              <w:jc w:val="center"/>
              <w:textAlignment w:val="auto"/>
              <w:rPr>
                <w:bCs/>
                <w:color w:val="FFFFFF" w:themeColor="background1"/>
                <w:sz w:val="20"/>
              </w:rPr>
            </w:pPr>
            <w:r w:rsidRPr="00FA4573">
              <w:rPr>
                <w:bCs/>
                <w:color w:val="FFFFFF" w:themeColor="background1"/>
                <w:sz w:val="20"/>
              </w:rPr>
              <w:t>2023 SG2</w:t>
            </w:r>
          </w:p>
        </w:tc>
        <w:tc>
          <w:tcPr>
            <w:tcW w:w="708" w:type="dxa"/>
            <w:tcBorders>
              <w:top w:val="single" w:sz="4" w:space="0" w:color="9BC2E6"/>
              <w:left w:val="nil"/>
              <w:bottom w:val="single" w:sz="4" w:space="0" w:color="9BC2E6"/>
              <w:right w:val="single" w:sz="4" w:space="0" w:color="9BC2E6"/>
            </w:tcBorders>
            <w:shd w:val="clear" w:color="auto" w:fill="5B9BD5"/>
          </w:tcPr>
          <w:p w14:paraId="694B6D00" w14:textId="77777777" w:rsidR="000B7E7B" w:rsidRPr="00FA4573" w:rsidRDefault="000B7E7B" w:rsidP="00857FB6">
            <w:pPr>
              <w:overflowPunct/>
              <w:autoSpaceDE/>
              <w:autoSpaceDN/>
              <w:adjustRightInd/>
              <w:spacing w:before="40" w:after="40"/>
              <w:jc w:val="center"/>
              <w:textAlignment w:val="auto"/>
              <w:rPr>
                <w:bCs/>
                <w:color w:val="FFFFFF" w:themeColor="background1"/>
                <w:sz w:val="20"/>
              </w:rPr>
            </w:pPr>
            <w:r w:rsidRPr="00FA4573">
              <w:rPr>
                <w:bCs/>
                <w:color w:val="FFFFFF" w:themeColor="background1"/>
                <w:sz w:val="20"/>
              </w:rPr>
              <w:t>202</w:t>
            </w:r>
            <w:r w:rsidRPr="00FA4573">
              <w:rPr>
                <w:bCs/>
                <w:color w:val="FFFFFF" w:themeColor="background1"/>
                <w:sz w:val="20"/>
                <w:lang w:eastAsia="ko-KR"/>
              </w:rPr>
              <w:t>4</w:t>
            </w:r>
            <w:r w:rsidRPr="00FA4573">
              <w:rPr>
                <w:bCs/>
                <w:color w:val="FFFFFF" w:themeColor="background1"/>
                <w:sz w:val="20"/>
              </w:rPr>
              <w:t xml:space="preserve"> </w:t>
            </w:r>
            <w:r w:rsidRPr="00FA4573">
              <w:rPr>
                <w:bCs/>
                <w:color w:val="FFFFFF" w:themeColor="background1"/>
                <w:sz w:val="20"/>
                <w:lang w:eastAsia="ko-KR"/>
              </w:rPr>
              <w:t>RGQ</w:t>
            </w:r>
            <w:r w:rsidRPr="00FA4573">
              <w:rPr>
                <w:bCs/>
                <w:color w:val="FFFFFF" w:themeColor="background1"/>
                <w:sz w:val="20"/>
              </w:rPr>
              <w:t>2</w:t>
            </w:r>
          </w:p>
        </w:tc>
        <w:tc>
          <w:tcPr>
            <w:tcW w:w="708" w:type="dxa"/>
            <w:tcBorders>
              <w:top w:val="single" w:sz="4" w:space="0" w:color="9BC2E6"/>
              <w:left w:val="nil"/>
              <w:bottom w:val="single" w:sz="4" w:space="0" w:color="9BC2E6"/>
              <w:right w:val="single" w:sz="4" w:space="0" w:color="9BC2E6"/>
            </w:tcBorders>
            <w:shd w:val="clear" w:color="auto" w:fill="5B9BD5"/>
          </w:tcPr>
          <w:p w14:paraId="0DA191F1" w14:textId="77777777" w:rsidR="000B7E7B" w:rsidRPr="00FA4573" w:rsidRDefault="000B7E7B" w:rsidP="00857FB6">
            <w:pPr>
              <w:overflowPunct/>
              <w:autoSpaceDE/>
              <w:autoSpaceDN/>
              <w:adjustRightInd/>
              <w:spacing w:before="40" w:after="40"/>
              <w:jc w:val="center"/>
              <w:textAlignment w:val="auto"/>
              <w:rPr>
                <w:bCs/>
                <w:color w:val="FFFFFF" w:themeColor="background1"/>
                <w:sz w:val="20"/>
                <w:lang w:eastAsia="ko-KR"/>
              </w:rPr>
            </w:pPr>
            <w:r w:rsidRPr="00FA4573">
              <w:rPr>
                <w:bCs/>
                <w:color w:val="FFFFFF" w:themeColor="background1"/>
                <w:sz w:val="20"/>
                <w:lang w:eastAsia="ko-KR"/>
              </w:rPr>
              <w:t>2024SG2</w:t>
            </w:r>
          </w:p>
        </w:tc>
        <w:tc>
          <w:tcPr>
            <w:tcW w:w="709" w:type="dxa"/>
            <w:tcBorders>
              <w:top w:val="single" w:sz="4" w:space="0" w:color="9BC2E6"/>
              <w:left w:val="nil"/>
              <w:bottom w:val="single" w:sz="4" w:space="0" w:color="9BC2E6"/>
              <w:right w:val="single" w:sz="4" w:space="0" w:color="9BC2E6"/>
            </w:tcBorders>
            <w:shd w:val="clear" w:color="auto" w:fill="5B9BD5"/>
          </w:tcPr>
          <w:p w14:paraId="0A68751D" w14:textId="77777777" w:rsidR="000B7E7B" w:rsidRPr="00FA4573" w:rsidRDefault="000B7E7B" w:rsidP="00857FB6">
            <w:pPr>
              <w:overflowPunct/>
              <w:autoSpaceDE/>
              <w:autoSpaceDN/>
              <w:adjustRightInd/>
              <w:spacing w:before="40" w:after="40"/>
              <w:jc w:val="center"/>
              <w:textAlignment w:val="auto"/>
              <w:rPr>
                <w:bCs/>
                <w:color w:val="FFFFFF" w:themeColor="background1"/>
                <w:sz w:val="20"/>
                <w:lang w:eastAsia="ko-KR"/>
              </w:rPr>
            </w:pPr>
            <w:r w:rsidRPr="00FA4573">
              <w:rPr>
                <w:bCs/>
                <w:color w:val="FFFFFF" w:themeColor="background1"/>
                <w:sz w:val="20"/>
                <w:lang w:eastAsia="ko-KR"/>
              </w:rPr>
              <w:t>202</w:t>
            </w:r>
            <w:r w:rsidRPr="00FA4573">
              <w:rPr>
                <w:rFonts w:eastAsia="Malgun Gothic" w:hint="eastAsia"/>
                <w:bCs/>
                <w:color w:val="FFFFFF" w:themeColor="background1"/>
                <w:sz w:val="20"/>
                <w:lang w:eastAsia="ko-KR"/>
              </w:rPr>
              <w:t>5</w:t>
            </w:r>
            <w:r w:rsidRPr="00FA4573">
              <w:rPr>
                <w:bCs/>
                <w:color w:val="FFFFFF" w:themeColor="background1"/>
                <w:sz w:val="20"/>
                <w:lang w:eastAsia="ko-KR"/>
              </w:rPr>
              <w:t>SG2</w:t>
            </w:r>
          </w:p>
        </w:tc>
      </w:tr>
      <w:tr w:rsidR="000B7E7B" w:rsidRPr="00FA4573" w14:paraId="0154ABD9" w14:textId="77777777" w:rsidTr="00857FB6">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E687262"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F8E19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1F3E682"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000000"/>
                <w:sz w:val="20"/>
              </w:rPr>
              <w:t>Mr Yétondji HOUEYETONGNON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DEAB9F"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D6AB48C"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000000"/>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19D6220"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000000"/>
                <w:sz w:val="20"/>
              </w:rPr>
              <w:t>Africa</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DCA3951" w14:textId="77777777" w:rsidR="000B7E7B" w:rsidRPr="00FA4573" w:rsidRDefault="000B7E7B" w:rsidP="00857FB6">
            <w:pPr>
              <w:spacing w:before="40" w:after="40"/>
              <w:jc w:val="center"/>
              <w:rPr>
                <w:rFonts w:ascii="Calibri" w:hAnsi="Calibri"/>
                <w:sz w:val="20"/>
              </w:rPr>
            </w:pPr>
            <w:r w:rsidRPr="00FA4573">
              <w:rPr>
                <w:rFonts w:ascii="Calibri" w:hAnsi="Calibri"/>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205D482" w14:textId="77777777" w:rsidR="000B7E7B" w:rsidRPr="00FA4573" w:rsidRDefault="000B7E7B" w:rsidP="00857FB6">
            <w:pPr>
              <w:spacing w:before="40" w:after="40"/>
              <w:jc w:val="center"/>
              <w:rPr>
                <w:rFonts w:ascii="Calibri" w:hAnsi="Calibri"/>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4B6514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158C04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4D60397" w14:textId="77777777" w:rsidR="000B7E7B" w:rsidRPr="00474F78" w:rsidRDefault="000B7E7B" w:rsidP="00857FB6">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p>
        </w:tc>
      </w:tr>
      <w:tr w:rsidR="000B7E7B" w:rsidRPr="00FA4573" w14:paraId="5EBFE9D6" w14:textId="77777777" w:rsidTr="00857FB6">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8515E3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97B77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B66865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Javokhir ARIPOV</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3CB6F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F44B34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Uzbekistan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99F249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CIS countries</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4C1869" w14:textId="77777777" w:rsidR="000B7E7B" w:rsidRPr="00FA4573" w:rsidRDefault="000B7E7B" w:rsidP="00857FB6">
            <w:pPr>
              <w:spacing w:before="40" w:after="40"/>
              <w:jc w:val="center"/>
              <w:rPr>
                <w:rFonts w:ascii="Calibri" w:hAnsi="Calibri"/>
                <w:sz w:val="14"/>
                <w:szCs w:val="14"/>
              </w:rPr>
            </w:pPr>
            <w:r w:rsidRPr="00FA4573">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75166A2"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8DB43AD"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2F0B5E3D" w14:textId="77777777" w:rsidTr="00857FB6">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37A941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0908FBA"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4E683BA"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Diyor RAJABOV</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A58300A"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37D5AF"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Uzbekistan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D0D838C"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CIS countries</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A7C7E0F" w14:textId="77777777" w:rsidR="000B7E7B" w:rsidRPr="00FA4573" w:rsidRDefault="000B7E7B" w:rsidP="00857FB6">
            <w:pPr>
              <w:spacing w:before="40" w:after="40"/>
              <w:jc w:val="center"/>
              <w:rPr>
                <w:rFonts w:ascii="Calibri" w:hAnsi="Calibri"/>
                <w:color w:val="A6A6A6" w:themeColor="background1" w:themeShade="A6"/>
                <w:sz w:val="14"/>
                <w:szCs w:val="14"/>
              </w:rPr>
            </w:pPr>
            <w:r w:rsidRPr="00FA4573">
              <w:rPr>
                <w:rFonts w:ascii="Calibri" w:hAnsi="Calibri"/>
                <w:color w:val="A6A6A6" w:themeColor="background1" w:themeShade="A6"/>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4FCC403"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FF89AA1"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50EFC7" w14:textId="77777777" w:rsidR="000B7E7B" w:rsidRPr="00FA4573" w:rsidRDefault="000B7E7B" w:rsidP="00857FB6">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lang w:eastAsia="ko-KR"/>
              </w:rPr>
              <w:t>Sep</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7E7B" w:rsidRPr="00FA4573" w14:paraId="618E43C6" w14:textId="77777777" w:rsidTr="00857FB6">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22B25CC"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lastRenderedPageBreak/>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C55E292"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5E1BE3F" w14:textId="77777777" w:rsidR="000B7E7B" w:rsidRPr="00FA4573" w:rsidRDefault="000B7E7B" w:rsidP="00857FB6">
            <w:pPr>
              <w:spacing w:before="40" w:after="40"/>
              <w:rPr>
                <w:rFonts w:ascii="Calibri" w:hAnsi="Calibri"/>
                <w:color w:val="A6A6A6" w:themeColor="background1" w:themeShade="A6"/>
                <w:sz w:val="20"/>
                <w:lang w:val="fr-FR"/>
              </w:rPr>
            </w:pPr>
            <w:r w:rsidRPr="00FA4573">
              <w:rPr>
                <w:rFonts w:ascii="Calibri" w:hAnsi="Calibri"/>
                <w:color w:val="A6A6A6" w:themeColor="background1" w:themeShade="A6"/>
                <w:sz w:val="20"/>
                <w:lang w:val="fr-FR"/>
              </w:rPr>
              <w:t>Ms Fifatin Carrelle Lucrèce TOHO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04C7477"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01CE38E"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F528ED6"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D3E6FD4" w14:textId="77777777" w:rsidR="000B7E7B" w:rsidRPr="00FA4573" w:rsidRDefault="000B7E7B" w:rsidP="00857FB6">
            <w:pPr>
              <w:spacing w:before="40" w:after="40"/>
              <w:jc w:val="center"/>
              <w:rPr>
                <w:rFonts w:ascii="Calibri" w:hAnsi="Calibri"/>
                <w:color w:val="A6A6A6" w:themeColor="background1" w:themeShade="A6"/>
                <w:sz w:val="20"/>
              </w:rPr>
            </w:pPr>
          </w:p>
        </w:tc>
        <w:tc>
          <w:tcPr>
            <w:tcW w:w="3549"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F54C174" w14:textId="77777777" w:rsidR="000B7E7B" w:rsidRPr="00FA4573" w:rsidRDefault="000B7E7B" w:rsidP="00857FB6">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April 2023)</w:t>
            </w:r>
          </w:p>
        </w:tc>
      </w:tr>
      <w:tr w:rsidR="000B7E7B" w:rsidRPr="00FA4573" w14:paraId="3D9720C4" w14:textId="77777777" w:rsidTr="00857FB6">
        <w:trPr>
          <w:trHeight w:val="32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CAEB7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B7A9E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FD671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Mory KOUROUMA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69DB3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0AB2D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7C3D0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3EC5C1"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35797E"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82C4B2"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C0A60C"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AEFBD6"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004D03" w14:textId="77777777" w:rsidR="000B7E7B" w:rsidRPr="00FA4573" w:rsidRDefault="000B7E7B" w:rsidP="00857FB6">
            <w:pPr>
              <w:spacing w:before="40" w:after="40"/>
              <w:jc w:val="center"/>
              <w:rPr>
                <w:rFonts w:ascii="Calibri" w:hAnsi="Calibri"/>
                <w:color w:val="000000"/>
                <w:sz w:val="20"/>
              </w:rPr>
            </w:pPr>
          </w:p>
        </w:tc>
      </w:tr>
      <w:tr w:rsidR="000B7E7B" w:rsidRPr="00FA4573" w14:paraId="1506F8F4" w14:textId="77777777" w:rsidTr="00857FB6">
        <w:trPr>
          <w:trHeight w:val="32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D0CD4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6017F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849CF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Seydou DIARRA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86DD6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E906F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BE362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308E5A"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D1C2CC"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2AFD7B"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4B0458"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F26156"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8CF105"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319D5525" w14:textId="77777777" w:rsidTr="00857FB6">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895B9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8B9D7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25213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Mariéme Thiam NDOUR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7746E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E8715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Senegal</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51443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B2C69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78D203"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1DAA69"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1F5895"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962F2F"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9CFCDC" w14:textId="77777777" w:rsidR="000B7E7B" w:rsidRPr="00FA4573" w:rsidRDefault="000B7E7B" w:rsidP="00857FB6">
            <w:pPr>
              <w:spacing w:before="40" w:after="40"/>
              <w:jc w:val="center"/>
              <w:rPr>
                <w:rFonts w:ascii="Calibri" w:hAnsi="Calibri"/>
                <w:color w:val="000000"/>
                <w:sz w:val="20"/>
              </w:rPr>
            </w:pPr>
          </w:p>
        </w:tc>
      </w:tr>
      <w:tr w:rsidR="000B7E7B" w:rsidRPr="00FA4573" w14:paraId="4F88B0BC" w14:textId="77777777" w:rsidTr="00857FB6">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BD8426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277908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F1613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Paulette HERNANDEZ</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2C503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0DBC1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6F4EEE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7F0BFB"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FB8F20"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AE8AA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0AF6B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A7019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F4485B"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5C0863BA"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9F108DE"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EEE0E0E"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9E0E05"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Cai CHEN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38CB4FA"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07A886"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8D8DE05"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CA2848" w14:textId="77777777" w:rsidR="000B7E7B" w:rsidRPr="00FA4573" w:rsidRDefault="000B7E7B" w:rsidP="00857FB6">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780A0E" w14:textId="77777777" w:rsidR="000B7E7B" w:rsidRPr="00FA4573" w:rsidRDefault="000B7E7B" w:rsidP="00857FB6">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2681E4" w14:textId="77777777" w:rsidR="000B7E7B" w:rsidRPr="00FA4573" w:rsidRDefault="000B7E7B" w:rsidP="00857FB6">
            <w:pPr>
              <w:spacing w:before="40" w:after="40"/>
              <w:jc w:val="center"/>
              <w:rPr>
                <w:rFonts w:ascii="Calibri" w:hAnsi="Calibri"/>
                <w:color w:val="A6A6A6" w:themeColor="background1" w:themeShade="A6"/>
                <w:sz w:val="20"/>
              </w:rPr>
            </w:pP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51FA9E" w14:textId="77777777" w:rsidR="000B7E7B" w:rsidRPr="00FA4573" w:rsidRDefault="000B7E7B" w:rsidP="00857FB6">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March</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7E7B" w:rsidRPr="00FA4573" w14:paraId="135DC8EC"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E6B8B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498F7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117E2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w:t>
            </w:r>
            <w:r w:rsidRPr="00FA4573">
              <w:rPr>
                <w:rFonts w:ascii="Calibri" w:hAnsi="Calibri"/>
                <w:color w:val="000000"/>
                <w:sz w:val="20"/>
                <w:lang w:eastAsia="ko-KR"/>
              </w:rPr>
              <w:t>s</w:t>
            </w:r>
            <w:r w:rsidRPr="00FA4573">
              <w:rPr>
                <w:rFonts w:ascii="Calibri" w:hAnsi="Calibri"/>
                <w:color w:val="000000"/>
                <w:sz w:val="20"/>
              </w:rPr>
              <w:t xml:space="preserve"> Ying CUI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227C2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01F56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2F64D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3BE3B8" w14:textId="77777777" w:rsidR="000B7E7B" w:rsidRPr="00FA4573" w:rsidRDefault="000B7E7B" w:rsidP="00857FB6">
            <w:pPr>
              <w:spacing w:before="40" w:after="40"/>
              <w:jc w:val="center"/>
              <w:rPr>
                <w:rFonts w:ascii="Calibri" w:hAnsi="Calibri"/>
                <w:color w:val="A6A6A6" w:themeColor="background1" w:themeShade="A6"/>
                <w:sz w:val="12"/>
                <w:szCs w:val="12"/>
              </w:rPr>
            </w:pPr>
            <w:r w:rsidRPr="00FA4573">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9BE75B" w14:textId="77777777" w:rsidR="000B7E7B" w:rsidRPr="00FA4573" w:rsidRDefault="000B7E7B" w:rsidP="00857FB6">
            <w:pPr>
              <w:spacing w:before="40" w:after="40"/>
              <w:jc w:val="center"/>
              <w:rPr>
                <w:rFonts w:ascii="Calibri" w:hAnsi="Calibri"/>
                <w:color w:val="A6A6A6" w:themeColor="background1" w:themeShade="A6"/>
                <w:sz w:val="12"/>
                <w:szCs w:val="12"/>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075BE8" w14:textId="77777777" w:rsidR="000B7E7B" w:rsidRPr="00FA4573" w:rsidRDefault="000B7E7B" w:rsidP="00857FB6">
            <w:pPr>
              <w:spacing w:before="40" w:after="40"/>
              <w:jc w:val="center"/>
              <w:rPr>
                <w:rFonts w:ascii="Calibri" w:hAnsi="Calibri"/>
                <w:color w:val="A6A6A6" w:themeColor="background1" w:themeShade="A6"/>
                <w:sz w:val="12"/>
                <w:szCs w:val="12"/>
              </w:rPr>
            </w:pPr>
            <w:r w:rsidRPr="00FA4573">
              <w:rPr>
                <w:rFonts w:eastAsiaTheme="minorEastAsia" w:cstheme="minorHAnsi"/>
                <w:color w:val="000000" w:themeColor="text1"/>
                <w:kern w:val="24"/>
                <w:sz w:val="20"/>
              </w:rPr>
              <w:t>O</w:t>
            </w:r>
          </w:p>
        </w:tc>
      </w:tr>
      <w:tr w:rsidR="000B7E7B" w:rsidRPr="00FA4573" w14:paraId="3B1C2403"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FF1C01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863926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F3E43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Zhen ZHANG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86DC4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BEA3B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19C1F6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6D0CBB"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8E2DC2"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7E64CA"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ED4FDB"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1D606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08DD3C"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5DD0F52E" w14:textId="77777777" w:rsidTr="00857FB6">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9E501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72993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6D4C5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Hemendra K SHARMA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1692A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03E8F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0DAB6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750A73"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1E9F91"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DC4395"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19970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C3B09A"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5ABB5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790CF2B5" w14:textId="77777777" w:rsidTr="00857FB6">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5ACEF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C37B4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5C410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Yoshihiro NAKAYAMA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38AB1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09B9D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Japan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2AAD4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45ECD5"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9B8D21"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821E9B"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DCDE3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4525B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C4B97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4A4A2A0B" w14:textId="77777777" w:rsidTr="00857FB6">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C8051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77F63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2E1C1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Álvaro NEIRA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F8577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Axon Partners Group</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41305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E7B8C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A91903"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317D0D"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974A65"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0DC31B"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02C869"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CF49AD" w14:textId="77777777" w:rsidR="000B7E7B" w:rsidRPr="00FA4573" w:rsidRDefault="000B7E7B" w:rsidP="00857FB6">
            <w:pPr>
              <w:spacing w:before="40" w:after="40"/>
              <w:jc w:val="center"/>
              <w:rPr>
                <w:rFonts w:ascii="Calibri" w:hAnsi="Calibri"/>
                <w:color w:val="000000"/>
                <w:sz w:val="20"/>
              </w:rPr>
            </w:pPr>
          </w:p>
        </w:tc>
      </w:tr>
      <w:tr w:rsidR="000B7E7B" w:rsidRPr="00FA4573" w14:paraId="1D98E3C5" w14:textId="77777777" w:rsidTr="00857FB6">
        <w:trPr>
          <w:trHeight w:val="417"/>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A3BCAA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2DB312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DF98AF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Isao NAKAJIMA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9562CB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9FE04F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Japan</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110DF6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F5664CD"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066012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467A0C"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EC51280"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96380C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951438A"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634B640D" w14:textId="77777777" w:rsidTr="00857FB6">
        <w:trPr>
          <w:trHeight w:val="324"/>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D66BFD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DAEC6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EAB2B7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Done-Sik YOO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7AE5E9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76FF78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D78287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B489EA"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A1B8A15"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D8D2AB0"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BAB5A5C"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B64CA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7A72BE2"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4FE0E155" w14:textId="77777777" w:rsidTr="00857FB6">
        <w:trPr>
          <w:trHeight w:val="324"/>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4A36B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022DFB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ECDD9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Osther Rock BADOU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DFD1A6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1EBD97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00336B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5643FA"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7A8439"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2F3B10"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F9A76C"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98AAD2"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DE0E8C"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09788D30" w14:textId="77777777" w:rsidTr="00857FB6">
        <w:trPr>
          <w:trHeight w:val="18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13156D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CDE461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337FC0" w14:textId="77777777" w:rsidR="000B7E7B" w:rsidRPr="00400739" w:rsidRDefault="000B7E7B" w:rsidP="00857FB6">
            <w:pPr>
              <w:spacing w:before="40" w:after="40"/>
              <w:rPr>
                <w:rFonts w:ascii="Calibri" w:hAnsi="Calibri"/>
                <w:color w:val="000000"/>
                <w:sz w:val="20"/>
                <w:lang w:val="es-ES"/>
              </w:rPr>
            </w:pPr>
            <w:r w:rsidRPr="00400739">
              <w:rPr>
                <w:rFonts w:ascii="Calibri" w:hAnsi="Calibri"/>
                <w:color w:val="000000"/>
                <w:sz w:val="20"/>
                <w:lang w:val="es-ES"/>
              </w:rPr>
              <w:t>Ms Allomo Francine Tania LOGBO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0B8D22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D63D1A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Côte d'Ivoire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96DD9B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452ABA"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84E9BA"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075B5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47D91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613CE0"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692336"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177DE796" w14:textId="77777777" w:rsidTr="00857FB6">
        <w:trPr>
          <w:trHeight w:val="78"/>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0CD113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61BA18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10E42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Ibrahima SYLLA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C0D8EC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F2B1D4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40EA3A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A91184"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11B23F"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EFE4B0"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2530EC"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D28050"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9147D8"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57FB52A3"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2A2F3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626D5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0A191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Robert Kwambai CHIRCHIR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7284D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5E158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6BA59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BC86BF"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8A0EA7"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60D82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51964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FF058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83B675"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7EE3AD2A"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9E1087"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ED0420"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C42DD9"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1F98BA"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32E892"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10EA14"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F0CE37" w14:textId="77777777" w:rsidR="000B7E7B" w:rsidRPr="00FA4573" w:rsidRDefault="000B7E7B" w:rsidP="00857FB6">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2402BA"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895EE1"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09B840"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EE5947" w14:textId="77777777" w:rsidR="000B7E7B" w:rsidRPr="00FA4573" w:rsidRDefault="000B7E7B" w:rsidP="00857FB6">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July</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7E7B" w:rsidRPr="00FA4573" w14:paraId="1B8E1D9A"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77232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lastRenderedPageBreak/>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8DB6E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AE033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Alicia TAMBE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BD821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354A0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66EBC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70125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7BDC9B"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CB1A14"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B416C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DBB6C1"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FEBC63"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0D12D383"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125C3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675C9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585E8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Geraldo NETO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2E5DB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Telecommunications Management Group, Inc</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CD3F8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0B951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631B7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20D5EF"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BBEC6A"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69A05C"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39BB0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C8813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6D351BC9"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48F91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895EF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0CAC8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Shan XU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440FE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22449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AD44F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3CA7B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FA7FA7"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000CCC"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F7D3F0"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8A7243"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4E202C"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6B10360A"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77EC2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AA561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B4F79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Sandeep Kumar GUPTA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8A0F1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713BD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11B5B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743A8B"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F6A7E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945F14"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6616FF4A"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F60B2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17ACC4"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4BB8D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Mayank MRINAL</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FFD212"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2AE9EF"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5D5729"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E57180" w14:textId="77777777" w:rsidR="000B7E7B" w:rsidRPr="00FA4573" w:rsidRDefault="000B7E7B" w:rsidP="00857FB6">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3FF86A" w14:textId="77777777" w:rsidR="000B7E7B" w:rsidRPr="00FA4573" w:rsidRDefault="000B7E7B" w:rsidP="00857FB6">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29EE33" w14:textId="77777777" w:rsidR="000B7E7B" w:rsidRPr="00FA4573" w:rsidRDefault="000B7E7B" w:rsidP="00857FB6">
            <w:pPr>
              <w:spacing w:before="40" w:after="40"/>
              <w:jc w:val="center"/>
              <w:rPr>
                <w:rFonts w:ascii="Calibri" w:hAnsi="Calibri"/>
                <w:color w:val="A6A6A6" w:themeColor="background1" w:themeShade="A6"/>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A3DF63" w14:textId="77777777" w:rsidR="000B7E7B" w:rsidRPr="00FA4573" w:rsidRDefault="000B7E7B" w:rsidP="00857FB6">
            <w:pPr>
              <w:spacing w:before="40" w:after="40"/>
              <w:jc w:val="center"/>
              <w:rPr>
                <w:rFonts w:ascii="Calibri" w:hAnsi="Calibri"/>
                <w:color w:val="A6A6A6" w:themeColor="background1" w:themeShade="A6"/>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BDB007" w14:textId="77777777" w:rsidR="000B7E7B" w:rsidRPr="00FA4573" w:rsidRDefault="000B7E7B" w:rsidP="00857FB6">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 xml:space="preserve">May </w:t>
            </w:r>
            <w:r w:rsidRPr="00FA4573">
              <w:rPr>
                <w:rFonts w:ascii="Calibri" w:hAnsi="Calibri"/>
                <w:color w:val="A6A6A6" w:themeColor="background1" w:themeShade="A6"/>
                <w:sz w:val="12"/>
                <w:szCs w:val="12"/>
              </w:rPr>
              <w:t>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7E7B" w:rsidRPr="00FA4573" w14:paraId="550FC2D1"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4CB8B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57F1F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EB741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Arseny PLOSSKY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D26A6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47F02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D56ED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0B4545"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6D1D0B"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FFF29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0A11D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5AA15F"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ED8B90"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5D306D27"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B1ABE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1CD74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7B52C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Kübra DIRI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24490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137C2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8D898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E1D8D5"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484695"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C8AED9"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E8AA2E"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D5570A"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78FA8B" w14:textId="77777777" w:rsidR="000B7E7B" w:rsidRPr="00FA4573" w:rsidRDefault="000B7E7B" w:rsidP="00857FB6">
            <w:pPr>
              <w:spacing w:before="40" w:after="40"/>
              <w:jc w:val="center"/>
              <w:rPr>
                <w:rFonts w:ascii="Calibri" w:hAnsi="Calibri"/>
                <w:color w:val="000000"/>
                <w:sz w:val="20"/>
              </w:rPr>
            </w:pPr>
          </w:p>
        </w:tc>
      </w:tr>
      <w:tr w:rsidR="000B7E7B" w:rsidRPr="00FA4573" w14:paraId="66FA73E2" w14:textId="77777777" w:rsidTr="00857FB6">
        <w:trPr>
          <w:trHeight w:val="300"/>
          <w:jc w:val="center"/>
        </w:trPr>
        <w:tc>
          <w:tcPr>
            <w:tcW w:w="14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5D8560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768EA6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Co- Rapporteur</w:t>
            </w:r>
          </w:p>
        </w:tc>
        <w:tc>
          <w:tcPr>
            <w:tcW w:w="255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EF4B96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Vanessa Copetti CRAVO</w:t>
            </w:r>
          </w:p>
        </w:tc>
        <w:tc>
          <w:tcPr>
            <w:tcW w:w="178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D78507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6BB3049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Brazil (Federative Republic of)</w:t>
            </w:r>
          </w:p>
        </w:tc>
        <w:tc>
          <w:tcPr>
            <w:tcW w:w="133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DC3491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D85238"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0D71E24"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7ABFEDA"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C5CDEB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1D9E814"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A924E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3EC7A2FD" w14:textId="77777777" w:rsidTr="00857FB6">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13C928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BCCF37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0A51A9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Nicole DARABIAN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8F8C36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A6C3B8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5338BF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58C92B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p w14:paraId="1CE53B1E"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14"/>
                <w:szCs w:val="14"/>
              </w:rPr>
              <w:t>(</w:t>
            </w:r>
            <w:proofErr w:type="gramStart"/>
            <w:r w:rsidRPr="00FA4573">
              <w:rPr>
                <w:rFonts w:eastAsiaTheme="minorEastAsia" w:cstheme="minorHAnsi"/>
                <w:color w:val="000000" w:themeColor="text1"/>
                <w:kern w:val="24"/>
                <w:sz w:val="14"/>
                <w:szCs w:val="14"/>
              </w:rPr>
              <w:t>as</w:t>
            </w:r>
            <w:proofErr w:type="gramEnd"/>
            <w:r w:rsidRPr="00FA4573">
              <w:rPr>
                <w:rFonts w:eastAsiaTheme="minorEastAsia" w:cstheme="minorHAnsi"/>
                <w:color w:val="000000" w:themeColor="text1"/>
                <w:kern w:val="24"/>
                <w:sz w:val="14"/>
                <w:szCs w:val="14"/>
              </w:rPr>
              <w:t xml:space="preserve"> Vice-Rapporteur)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119B010"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p w14:paraId="71841832"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14"/>
                <w:szCs w:val="14"/>
              </w:rPr>
              <w:t>(</w:t>
            </w:r>
            <w:proofErr w:type="gramStart"/>
            <w:r w:rsidRPr="00FA4573">
              <w:rPr>
                <w:rFonts w:eastAsiaTheme="minorEastAsia" w:cstheme="minorHAnsi"/>
                <w:color w:val="000000" w:themeColor="text1"/>
                <w:kern w:val="24"/>
                <w:sz w:val="14"/>
                <w:szCs w:val="14"/>
              </w:rPr>
              <w:t>as</w:t>
            </w:r>
            <w:proofErr w:type="gramEnd"/>
            <w:r w:rsidRPr="00FA4573">
              <w:rPr>
                <w:rFonts w:eastAsiaTheme="minorEastAsia" w:cstheme="minorHAnsi"/>
                <w:color w:val="000000" w:themeColor="text1"/>
                <w:kern w:val="24"/>
                <w:sz w:val="14"/>
                <w:szCs w:val="14"/>
              </w:rPr>
              <w:t xml:space="preserve"> Vice-Rapporteur)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3A133D1" w14:textId="77777777" w:rsidR="000B7E7B" w:rsidRPr="00FA4573" w:rsidRDefault="000B7E7B" w:rsidP="00857FB6">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A4DCA4C"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556725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06D5E4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0871C1F4" w14:textId="77777777" w:rsidTr="00857FB6">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BC496C9"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D94C74"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E56B0C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Jabin VAHORA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EC92D7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6E31B23"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194B19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06E615F"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59A6017"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283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E651F61" w14:textId="77777777" w:rsidR="000B7E7B" w:rsidRPr="00FA4573" w:rsidRDefault="000B7E7B" w:rsidP="00857FB6">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Oct</w:t>
            </w:r>
            <w:r w:rsidRPr="00FA4573">
              <w:rPr>
                <w:rFonts w:eastAsia="Malgun Gothic" w:cstheme="minorHAnsi"/>
                <w:color w:val="A6A6A6" w:themeColor="background1" w:themeShade="A6"/>
                <w:kern w:val="24"/>
                <w:sz w:val="12"/>
                <w:szCs w:val="12"/>
                <w:lang w:eastAsia="ko-KR"/>
              </w:rPr>
              <w:t>ober</w:t>
            </w:r>
            <w:r w:rsidRPr="00FA4573">
              <w:rPr>
                <w:rFonts w:eastAsiaTheme="minorEastAsia" w:cstheme="minorHAnsi"/>
                <w:color w:val="A6A6A6" w:themeColor="background1" w:themeShade="A6"/>
                <w:kern w:val="24"/>
                <w:sz w:val="12"/>
                <w:szCs w:val="12"/>
              </w:rPr>
              <w:t xml:space="preserve"> 2023)</w:t>
            </w:r>
          </w:p>
        </w:tc>
      </w:tr>
      <w:tr w:rsidR="000B7E7B" w:rsidRPr="00FA4573" w14:paraId="07E1038B" w14:textId="77777777" w:rsidTr="00857FB6">
        <w:trPr>
          <w:trHeight w:val="5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2A6EE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ED75C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CC0F4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Idrissa DIALLO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74368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5B761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CDFC9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5F0098"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A6B0B7"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D65318"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3E87E0"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EF7325"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2112F4" w14:textId="77777777" w:rsidR="000B7E7B" w:rsidRPr="00FA4573" w:rsidRDefault="000B7E7B" w:rsidP="00857FB6">
            <w:pPr>
              <w:spacing w:before="40" w:after="40"/>
              <w:jc w:val="center"/>
              <w:rPr>
                <w:rFonts w:ascii="Calibri" w:hAnsi="Calibri"/>
                <w:color w:val="000000"/>
                <w:sz w:val="20"/>
              </w:rPr>
            </w:pPr>
          </w:p>
        </w:tc>
      </w:tr>
      <w:tr w:rsidR="000B7E7B" w:rsidRPr="00FA4573" w14:paraId="1C0806BC" w14:textId="77777777" w:rsidTr="00857FB6">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51AA5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E01747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DE12C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Rodgers MUMELO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A827D5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B1006F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0E7213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F1463E"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20928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A18B3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65F4AC"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685FD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30E684"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73AACB54" w14:textId="77777777" w:rsidTr="00857FB6">
        <w:trPr>
          <w:trHeight w:val="22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AF7174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445462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A2138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Sidy Mouhamed FALL</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4D3DA2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E6558F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113088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3ABBC4"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424C28"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708168"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215BA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C70770"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753CCF"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14C10918" w14:textId="77777777" w:rsidTr="00857FB6">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A4758B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E23406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6B1DE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Damnam K. BAGOLIBE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D677A1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5C2B2C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Togolese Republic</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9510C2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4D07AB"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2C057C"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DB422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84F542"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C1B5D4"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69391E"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5E5B8500" w14:textId="77777777" w:rsidTr="00857FB6">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86A55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823A0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F9BBB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Kacie YEAROUT</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A3681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DE44D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04461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Americas</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010971"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D3F2EB"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1AE40F"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ABE040"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C6D80E"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216518C9" w14:textId="77777777" w:rsidTr="00857FB6">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0A2AC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176BE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9380D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Xinxin WAN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C3997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E35BC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438F6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E1DE54"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1B09EB"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584833"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D69F7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B0C1B9"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0484BD"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761A94E2" w14:textId="77777777" w:rsidTr="00857FB6">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748D7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64F6A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56993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Prachish KHANNA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40B03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B4202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41E4D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F4C4D4"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2FD6C0"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4E6681"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BF4C2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D8BC6C"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C14FAE"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3EEAA0C8" w14:textId="77777777" w:rsidTr="00857FB6">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CE97A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lastRenderedPageBreak/>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9D2E7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0BB59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Jaesuk YUN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42241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6F761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118A1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EAC634"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C2A7C8"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AB9D4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BD0C0C"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841A1B"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EA271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3C598972" w14:textId="77777777" w:rsidTr="00857FB6">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A26E33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0E75E3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1553E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Teng 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84046B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International Telecommunication Construction Corporation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4E5C21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D5467A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19C724"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F97696"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472F6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F29D98"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94B0E0"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526780"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264C34A2" w14:textId="77777777" w:rsidTr="00857FB6">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FA9C20"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445CEE"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ADE01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Maria BOLSHAKOVA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7BA794"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D8B9F2"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62694E"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6EC0DD"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E98480"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8CEE67"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A2CAD5" w14:textId="77777777" w:rsidR="000B7E7B" w:rsidRPr="00FA4573" w:rsidRDefault="000B7E7B" w:rsidP="00857FB6">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April</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7E7B" w:rsidRPr="00FA4573" w14:paraId="1BE19C47" w14:textId="77777777" w:rsidTr="00857FB6">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8BE9DE" w14:textId="77777777" w:rsidR="000B7E7B" w:rsidRPr="00FA4573" w:rsidRDefault="000B7E7B" w:rsidP="00857FB6">
            <w:pPr>
              <w:spacing w:before="40" w:after="40"/>
              <w:rPr>
                <w:rFonts w:ascii="Calibri" w:hAnsi="Calibri"/>
                <w:sz w:val="20"/>
              </w:rPr>
            </w:pPr>
            <w:r w:rsidRPr="00FA4573">
              <w:rPr>
                <w:rFonts w:ascii="Calibri" w:hAnsi="Calibri"/>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97BA46" w14:textId="77777777" w:rsidR="000B7E7B" w:rsidRPr="00FA4573" w:rsidRDefault="000B7E7B" w:rsidP="00857FB6">
            <w:pPr>
              <w:spacing w:before="40" w:after="40"/>
              <w:rPr>
                <w:rFonts w:ascii="Calibri" w:hAnsi="Calibri"/>
                <w:sz w:val="20"/>
              </w:rPr>
            </w:pPr>
            <w:r w:rsidRPr="00FA4573">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D1D3FD" w14:textId="77777777" w:rsidR="000B7E7B" w:rsidRPr="00FA4573" w:rsidRDefault="000B7E7B" w:rsidP="00857FB6">
            <w:pPr>
              <w:spacing w:before="40" w:after="40"/>
              <w:rPr>
                <w:rFonts w:ascii="Calibri" w:hAnsi="Calibri"/>
                <w:sz w:val="20"/>
              </w:rPr>
            </w:pPr>
            <w:r w:rsidRPr="00FA4573">
              <w:rPr>
                <w:rFonts w:ascii="Calibri" w:hAnsi="Calibri"/>
                <w:sz w:val="20"/>
              </w:rPr>
              <w:t>Ms Uliana STOLIAROVA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BE7277" w14:textId="77777777" w:rsidR="000B7E7B" w:rsidRPr="00FA4573" w:rsidRDefault="000B7E7B" w:rsidP="00857FB6">
            <w:pPr>
              <w:spacing w:before="40" w:after="40"/>
              <w:rPr>
                <w:rFonts w:ascii="Calibri" w:hAnsi="Calibri"/>
                <w:sz w:val="20"/>
              </w:rPr>
            </w:pPr>
            <w:r w:rsidRPr="00FA4573">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3A2C1A" w14:textId="77777777" w:rsidR="000B7E7B" w:rsidRPr="00FA4573" w:rsidRDefault="000B7E7B" w:rsidP="00857FB6">
            <w:pPr>
              <w:spacing w:before="40" w:after="40"/>
              <w:rPr>
                <w:rFonts w:ascii="Calibri" w:hAnsi="Calibri"/>
                <w:sz w:val="20"/>
              </w:rPr>
            </w:pPr>
            <w:r w:rsidRPr="00FA4573">
              <w:rPr>
                <w:rFonts w:ascii="Calibri" w:hAnsi="Calibri"/>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BAB870" w14:textId="77777777" w:rsidR="000B7E7B" w:rsidRPr="00FA4573" w:rsidRDefault="000B7E7B" w:rsidP="00857FB6">
            <w:pPr>
              <w:spacing w:before="40" w:after="40"/>
              <w:rPr>
                <w:rFonts w:ascii="Calibri" w:hAnsi="Calibri"/>
                <w:sz w:val="20"/>
              </w:rPr>
            </w:pPr>
            <w:r w:rsidRPr="00FA4573">
              <w:rPr>
                <w:rFonts w:ascii="Calibri" w:hAnsi="Calibri"/>
                <w:sz w:val="20"/>
              </w:rPr>
              <w:t>CIS countries</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42761C" w14:textId="77777777" w:rsidR="000B7E7B" w:rsidRPr="00FA4573" w:rsidRDefault="000B7E7B" w:rsidP="00857FB6">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B9C659" w14:textId="77777777" w:rsidR="000B7E7B" w:rsidRPr="00FA4573" w:rsidRDefault="000B7E7B" w:rsidP="00857FB6">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FB0452"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1324235C" w14:textId="77777777" w:rsidTr="00857FB6">
        <w:trPr>
          <w:trHeight w:val="49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935052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2131C8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39665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Doğukan Ömer GÜR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F17090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 xml:space="preserve">Administration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1C1C55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1BC106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CE97BC"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9FF058"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D45349"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8BDFF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1C461A"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BA037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1D4DB105" w14:textId="77777777" w:rsidTr="00857FB6">
        <w:trPr>
          <w:trHeight w:val="49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6D313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0554E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96368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Alvaro GARCIA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B76788" w14:textId="77777777" w:rsidR="000B7E7B" w:rsidRPr="00FA4573" w:rsidRDefault="000B7E7B" w:rsidP="00857FB6">
            <w:pPr>
              <w:spacing w:before="40" w:after="40"/>
              <w:rPr>
                <w:rFonts w:ascii="Calibri" w:hAnsi="Calibri"/>
                <w:sz w:val="20"/>
              </w:rPr>
            </w:pPr>
            <w:r w:rsidRPr="00FA4573">
              <w:rPr>
                <w:rFonts w:ascii="Calibri" w:hAnsi="Calibri"/>
                <w:sz w:val="20"/>
              </w:rPr>
              <w:t xml:space="preserve">Axon Partners Group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0BC1F9" w14:textId="77777777" w:rsidR="000B7E7B" w:rsidRPr="00FA4573" w:rsidRDefault="000B7E7B" w:rsidP="00857FB6">
            <w:pPr>
              <w:spacing w:before="40" w:after="40"/>
              <w:rPr>
                <w:rFonts w:ascii="Calibri" w:hAnsi="Calibri"/>
                <w:sz w:val="20"/>
              </w:rPr>
            </w:pPr>
            <w:r w:rsidRPr="00FA4573">
              <w:rPr>
                <w:rFonts w:ascii="Calibri" w:hAnsi="Calibri"/>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1D20B4" w14:textId="77777777" w:rsidR="000B7E7B" w:rsidRPr="00FA4573" w:rsidRDefault="000B7E7B" w:rsidP="00857FB6">
            <w:pPr>
              <w:spacing w:before="40" w:after="40"/>
              <w:rPr>
                <w:rFonts w:ascii="Calibri" w:hAnsi="Calibri"/>
                <w:sz w:val="20"/>
              </w:rPr>
            </w:pPr>
            <w:r w:rsidRPr="00FA4573">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7CA2E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81B4DC"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042008"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0C2ACA40" w14:textId="77777777" w:rsidTr="00857FB6">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88CC5B0"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B88C59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11AEE4"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Samuel TEW</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66F23A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 xml:space="preserve">Axon Partners Group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0B80B80"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F9DDFB3"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9BCAB0"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BBBB1A"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057CE9"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95AD6B" w14:textId="77777777" w:rsidR="000B7E7B" w:rsidRPr="00FA4573" w:rsidRDefault="000B7E7B" w:rsidP="00857FB6">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April</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7E7B" w:rsidRPr="00FA4573" w14:paraId="1895A019" w14:textId="77777777" w:rsidTr="00857FB6">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09DADB3"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C1D8B90"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7FDD7E"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Daniel BATTY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860FDDF"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BF81859"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7CADAF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3FC86A"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F886A9"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5300DA"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545D8C" w14:textId="77777777" w:rsidR="000B7E7B" w:rsidRPr="00FA4573" w:rsidRDefault="000B7E7B" w:rsidP="00857FB6">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April</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7E7B" w:rsidRPr="00FA4573" w14:paraId="3CCB455C" w14:textId="77777777" w:rsidTr="00857FB6">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2BA990" w14:textId="77777777" w:rsidR="000B7E7B" w:rsidRPr="00FA4573" w:rsidRDefault="000B7E7B" w:rsidP="00857FB6">
            <w:pPr>
              <w:spacing w:before="40" w:after="40"/>
              <w:rPr>
                <w:rFonts w:ascii="Calibri" w:hAnsi="Calibri"/>
                <w:sz w:val="20"/>
              </w:rPr>
            </w:pPr>
            <w:r w:rsidRPr="00FA4573">
              <w:rPr>
                <w:rFonts w:ascii="Calibri" w:hAnsi="Calibri"/>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14C1EC" w14:textId="77777777" w:rsidR="000B7E7B" w:rsidRPr="00FA4573" w:rsidRDefault="000B7E7B" w:rsidP="00857FB6">
            <w:pPr>
              <w:spacing w:before="40" w:after="40"/>
              <w:rPr>
                <w:rFonts w:ascii="Calibri" w:hAnsi="Calibri"/>
                <w:sz w:val="20"/>
              </w:rPr>
            </w:pPr>
            <w:r w:rsidRPr="00FA4573">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602E95" w14:textId="77777777" w:rsidR="000B7E7B" w:rsidRPr="00FA4573" w:rsidRDefault="000B7E7B" w:rsidP="00857FB6">
            <w:pPr>
              <w:spacing w:before="40" w:after="40"/>
              <w:rPr>
                <w:rFonts w:ascii="Calibri" w:hAnsi="Calibri"/>
                <w:sz w:val="20"/>
              </w:rPr>
            </w:pPr>
            <w:r w:rsidRPr="00FA4573">
              <w:rPr>
                <w:rFonts w:ascii="Calibri" w:hAnsi="Calibri"/>
                <w:sz w:val="20"/>
              </w:rPr>
              <w:t>Mr Tommaso DE ZAN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E7FEA5" w14:textId="77777777" w:rsidR="000B7E7B" w:rsidRPr="00FA4573" w:rsidRDefault="000B7E7B" w:rsidP="00857FB6">
            <w:pPr>
              <w:spacing w:before="40" w:after="40"/>
              <w:rPr>
                <w:rFonts w:ascii="Calibri" w:hAnsi="Calibri"/>
                <w:sz w:val="20"/>
              </w:rPr>
            </w:pPr>
            <w:r w:rsidRPr="00FA4573">
              <w:rPr>
                <w:rFonts w:ascii="Calibri" w:hAnsi="Calibri"/>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20C4CD" w14:textId="77777777" w:rsidR="000B7E7B" w:rsidRPr="00FA4573" w:rsidRDefault="000B7E7B" w:rsidP="00857FB6">
            <w:pPr>
              <w:spacing w:before="40" w:after="40"/>
              <w:rPr>
                <w:rFonts w:ascii="Calibri" w:hAnsi="Calibri"/>
                <w:sz w:val="20"/>
              </w:rPr>
            </w:pPr>
            <w:r w:rsidRPr="00FA4573">
              <w:rPr>
                <w:rFonts w:ascii="Calibri" w:hAnsi="Calibri"/>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2AC38B" w14:textId="77777777" w:rsidR="000B7E7B" w:rsidRPr="00FA4573" w:rsidRDefault="000B7E7B" w:rsidP="00857FB6">
            <w:pPr>
              <w:spacing w:before="40" w:after="40"/>
              <w:rPr>
                <w:rFonts w:ascii="Calibri" w:hAnsi="Calibri"/>
                <w:sz w:val="20"/>
              </w:rPr>
            </w:pPr>
            <w:r w:rsidRPr="00FA4573">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9C6185" w14:textId="77777777" w:rsidR="000B7E7B" w:rsidRPr="00FA4573" w:rsidRDefault="000B7E7B" w:rsidP="00857FB6">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5603BC" w14:textId="77777777" w:rsidR="000B7E7B" w:rsidRPr="00FA4573" w:rsidRDefault="000B7E7B" w:rsidP="00857FB6">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DA03A8"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6D28CF08" w14:textId="77777777" w:rsidTr="00857FB6">
        <w:trPr>
          <w:trHeight w:val="380"/>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D30A1A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DB7601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6EEDF79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Ibrahima SYLLA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A4066A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3ADCAE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D4D3A3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6BFEC7C"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BE01EF9"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0110CB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210B7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3C299CB"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B92E35B"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363C2573" w14:textId="77777777" w:rsidTr="00857FB6">
        <w:trPr>
          <w:trHeight w:val="3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9B4FD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53586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734B1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Awa Koko Valéry Nadège TRAORE Epouse GOUE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13E1B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C6B37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Côte d'Ivoire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DEFC5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82C2CF"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78640D"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A3337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F96578"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B68A4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E2BB6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5B44EA59" w14:textId="77777777" w:rsidTr="00857FB6">
        <w:trPr>
          <w:trHeight w:val="3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C758E1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D9A02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E141F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Diao TOURE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ADA0F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F04E89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A5BC00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E17CFD"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84F091"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0DD1DB"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3876AD"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2DCCED"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1B6029" w14:textId="77777777" w:rsidR="000B7E7B" w:rsidRPr="00FA4573" w:rsidRDefault="000B7E7B" w:rsidP="00857FB6">
            <w:pPr>
              <w:spacing w:before="40" w:after="40"/>
              <w:jc w:val="center"/>
              <w:rPr>
                <w:rFonts w:ascii="Calibri" w:hAnsi="Calibri"/>
                <w:color w:val="000000"/>
                <w:sz w:val="20"/>
              </w:rPr>
            </w:pPr>
          </w:p>
        </w:tc>
      </w:tr>
      <w:tr w:rsidR="000B7E7B" w:rsidRPr="00FA4573" w14:paraId="232853F6" w14:textId="77777777" w:rsidTr="00857FB6">
        <w:trPr>
          <w:trHeight w:val="2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DF2FE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3E578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B104B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Serigne Abdou Lahatt SYLLA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0E307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659B6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084A7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1C7A1E"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8572B0"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8DC71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1ABE0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F9E19F"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5175F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6D23D34D" w14:textId="77777777" w:rsidTr="00857FB6">
        <w:trPr>
          <w:trHeight w:val="25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29D15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84FFF2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FD004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Junzhi YAN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80117C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CF9577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49EA42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0CB101"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EF53B9"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6BAA51"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718B30"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F59F42"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EB8A4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36553AD1" w14:textId="77777777" w:rsidTr="00857FB6">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6E1C3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3C814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3970B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Jiawei ZANG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A50A9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94505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DA313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9F7D4D"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96B6C9"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EEFF42"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C35054"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EDA00D"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21DE2D"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02D464A3" w14:textId="77777777" w:rsidTr="00857FB6">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EBE2EE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lastRenderedPageBreak/>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11B337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92D969"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Kishik PARK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BAB8847"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E9804CC"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8FD13C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ED6589"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5CE5E1" w14:textId="77777777" w:rsidR="000B7E7B" w:rsidRPr="00FA4573" w:rsidRDefault="000B7E7B" w:rsidP="00857FB6">
            <w:pPr>
              <w:spacing w:before="40" w:after="40"/>
              <w:jc w:val="center"/>
              <w:rPr>
                <w:rFonts w:ascii="Calibri" w:hAnsi="Calibri"/>
                <w:color w:val="A6A6A6" w:themeColor="background1" w:themeShade="A6"/>
                <w:sz w:val="20"/>
              </w:rPr>
            </w:pPr>
          </w:p>
        </w:tc>
        <w:tc>
          <w:tcPr>
            <w:tcW w:w="283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EBA98E" w14:textId="77777777" w:rsidR="000B7E7B" w:rsidRPr="00FA4573" w:rsidRDefault="000B7E7B" w:rsidP="00857FB6">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t xml:space="preserve">October </w:t>
            </w:r>
            <w:r w:rsidRPr="00FA4573">
              <w:rPr>
                <w:rFonts w:eastAsiaTheme="minorEastAsia" w:cstheme="minorHAnsi"/>
                <w:color w:val="A6A6A6" w:themeColor="background1" w:themeShade="A6"/>
                <w:kern w:val="24"/>
                <w:sz w:val="12"/>
                <w:szCs w:val="12"/>
              </w:rPr>
              <w:t>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7E7B" w:rsidRPr="00FA4573" w14:paraId="4C4B9928"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256F9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3704C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BECF4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Tharalika LIVERA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22F59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33918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Sri Lanka (Democratic Socialist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63617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9F7950"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FDAC6E"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CCE4E9"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76762A"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A019F3"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10604F"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12518131"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3F60F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767CA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98E59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Sergei MELNIK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AD94C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International Telecommunication Academy</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322B2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AE573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5520AA"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D2F65F"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426178"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A212F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BE1D18"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6EDE4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45939313"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D5E7E7"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2E5E1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DD462A"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Helen KYEYUNE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D9ABF8"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A74CD1"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3AD45A"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F16626"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E8978C" w14:textId="77777777" w:rsidR="000B7E7B" w:rsidRPr="00FA4573" w:rsidRDefault="000B7E7B" w:rsidP="00857FB6">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0AA43D" w14:textId="77777777" w:rsidR="000B7E7B" w:rsidRPr="00FA4573" w:rsidRDefault="000B7E7B" w:rsidP="00857FB6">
            <w:pPr>
              <w:spacing w:before="40" w:after="40"/>
              <w:jc w:val="center"/>
              <w:rPr>
                <w:rFonts w:ascii="Calibri" w:hAnsi="Calibri"/>
                <w:color w:val="A6A6A6" w:themeColor="background1" w:themeShade="A6"/>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4B6B7D" w14:textId="77777777" w:rsidR="000B7E7B" w:rsidRPr="00FA4573" w:rsidRDefault="000B7E7B" w:rsidP="00857FB6">
            <w:pPr>
              <w:spacing w:before="40" w:after="40"/>
              <w:jc w:val="center"/>
              <w:rPr>
                <w:rFonts w:ascii="Calibri" w:hAnsi="Calibri"/>
                <w:color w:val="A6A6A6" w:themeColor="background1" w:themeShade="A6"/>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675E26" w14:textId="77777777" w:rsidR="000B7E7B" w:rsidRPr="00FA4573" w:rsidRDefault="000B7E7B" w:rsidP="00857FB6">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 xml:space="preserve">Sep </w:t>
            </w:r>
            <w:r w:rsidRPr="00FA4573">
              <w:rPr>
                <w:rFonts w:eastAsiaTheme="minorEastAsia" w:cstheme="minorHAnsi"/>
                <w:color w:val="A6A6A6" w:themeColor="background1" w:themeShade="A6"/>
                <w:kern w:val="24"/>
                <w:sz w:val="12"/>
                <w:szCs w:val="12"/>
              </w:rPr>
              <w:t>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7E7B" w:rsidRPr="00FA4573" w14:paraId="7C8A2885" w14:textId="77777777" w:rsidTr="00857FB6">
        <w:trPr>
          <w:trHeight w:val="75"/>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97E0D6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3D4150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A37C91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Abdulkarim OLOYEDE</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92A7AD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DB7F50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Nigeria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53F123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FAA7C5B"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A7187A0"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06CD36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9F7CF51"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2D944A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42B4F3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32866214"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B41841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B74E69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EBEAA8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Sha WEI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3A0290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25399D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C407BF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0E12798"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8B8E32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7EE854A"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47C3DFB"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D626E5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4300D98"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738AE961"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6D554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6D97F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6B3B98" w14:textId="77777777" w:rsidR="000B7E7B" w:rsidRPr="00FA4573" w:rsidRDefault="000B7E7B" w:rsidP="00857FB6">
            <w:pPr>
              <w:spacing w:before="40" w:after="40"/>
              <w:rPr>
                <w:rFonts w:ascii="Calibri" w:hAnsi="Calibri"/>
                <w:color w:val="000000"/>
                <w:sz w:val="20"/>
                <w:lang w:val="fr-FR"/>
              </w:rPr>
            </w:pPr>
            <w:r w:rsidRPr="00FA4573">
              <w:rPr>
                <w:rFonts w:ascii="Calibri" w:hAnsi="Calibri"/>
                <w:color w:val="000000"/>
                <w:sz w:val="20"/>
                <w:lang w:val="fr-FR"/>
              </w:rPr>
              <w:t>Mr Ahmadou Dit Adi CISSE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D9E26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D04FE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95543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CD7869"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911C4D"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F78CB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DF158A"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4A11AB"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94B25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06647690"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28216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964D4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20577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Babou SARR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C9526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6B9DF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974D6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81C90E"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0AE6FE"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4C6E00"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24B3AA"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0D6D67"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2AF0CB"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36176A48"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252B7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01FE3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82CA2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Armelle MANKO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9297F5" w14:textId="77777777" w:rsidR="000B7E7B" w:rsidRPr="00FA4573" w:rsidRDefault="000B7E7B" w:rsidP="00857FB6">
            <w:pPr>
              <w:spacing w:before="40" w:after="40"/>
              <w:rPr>
                <w:rFonts w:ascii="Calibri" w:hAnsi="Calibri"/>
                <w:color w:val="000000"/>
                <w:sz w:val="20"/>
                <w:lang w:eastAsia="ko-KR"/>
              </w:rPr>
            </w:pPr>
            <w:r w:rsidRPr="00FA4573">
              <w:rPr>
                <w:rFonts w:ascii="Calibri" w:hAnsi="Calibri"/>
                <w:color w:val="000000"/>
                <w:sz w:val="20"/>
                <w:lang w:eastAsia="ko-KR"/>
              </w:rPr>
              <w:t>RIFEN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DC5EA8" w14:textId="77777777" w:rsidR="000B7E7B" w:rsidRPr="00FA4573" w:rsidRDefault="000B7E7B" w:rsidP="00857FB6">
            <w:pPr>
              <w:spacing w:before="40" w:after="40"/>
              <w:rPr>
                <w:rFonts w:ascii="Calibri" w:hAnsi="Calibri"/>
                <w:color w:val="000000"/>
                <w:sz w:val="20"/>
              </w:rPr>
            </w:pP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2825E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42E4B7"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4CF321"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183119"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20780D"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AA811C"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27E8B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02274B50"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B550FA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46DFD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0661A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Turhan MULUK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2DDD52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Intel Corporation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34738E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E5F840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591FFD"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2D1B21"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76A23F"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3B1BE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A9948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B2E5D0"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39B2EEDC"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880DB2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26475F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0F16F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Guoqing LI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4F0FA7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BC48C6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E4C277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92A912"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6CCACA" w14:textId="77777777" w:rsidR="000B7E7B" w:rsidRPr="00FA4573" w:rsidRDefault="000B7E7B" w:rsidP="00857FB6">
            <w:pPr>
              <w:spacing w:before="40" w:after="40"/>
              <w:jc w:val="center"/>
              <w:rPr>
                <w:rFonts w:ascii="Calibri" w:eastAsia="Malgun Gothic" w:hAnsi="Calibri"/>
                <w:color w:val="000000"/>
                <w:sz w:val="20"/>
                <w:lang w:eastAsia="ko-KR"/>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AC8A83"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4AA95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4F6211"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7222E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442E5B90" w14:textId="77777777" w:rsidTr="00857FB6">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082451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0A05A2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AFF7E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Labh SINGH</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3C6B31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8D2109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DD42FE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3E74BB"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10EC2C"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411D56"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0F65C7"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C04EBF"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99CBDB"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694BC7D2" w14:textId="77777777" w:rsidTr="00857FB6">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7B765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777E9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40F77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N Kishor NARANG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61A2E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B39DF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BFAD9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74A300"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9E0299"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D6B259"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84E975"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FD0146"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26B71D" w14:textId="77777777" w:rsidR="000B7E7B" w:rsidRPr="00FA4573" w:rsidRDefault="000B7E7B" w:rsidP="00857FB6">
            <w:pPr>
              <w:spacing w:before="40" w:after="40"/>
              <w:jc w:val="center"/>
              <w:rPr>
                <w:rFonts w:ascii="Calibri" w:hAnsi="Calibri"/>
                <w:color w:val="000000"/>
                <w:sz w:val="20"/>
              </w:rPr>
            </w:pPr>
          </w:p>
        </w:tc>
      </w:tr>
      <w:tr w:rsidR="000B7E7B" w:rsidRPr="00FA4573" w14:paraId="393D2120" w14:textId="77777777" w:rsidTr="00857FB6">
        <w:trPr>
          <w:trHeight w:val="81"/>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B3DBFE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AF790A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75360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Niver Bengü KARABACAK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9A7735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80038D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B91ED2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437849"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6A6C2C"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C4C427"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A5E2D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FCF1D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D63F0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2C5872B3" w14:textId="77777777" w:rsidTr="00857FB6">
        <w:trPr>
          <w:trHeight w:val="111"/>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2CA5D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0E2DB1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9FB947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Aprajita SHARRMA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37B58E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E0F185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425D42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A493430"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563E29D"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3F97E51"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56FEF1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2346DB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0620B4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2B15AEA8" w14:textId="77777777" w:rsidTr="00857FB6">
        <w:trPr>
          <w:trHeight w:val="3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34FBD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AD630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BC14A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Apollinaire BIGIRIMANA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7104B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CF97B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Burundi</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FCCF4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A9AC2B"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3EB661"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E76907"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B4F77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85E2AC"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55CFE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4FF20730" w14:textId="77777777" w:rsidTr="00857FB6">
        <w:trPr>
          <w:trHeight w:val="3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DA1F6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F45B8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676C0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Gnakri Isabelle Sonia GNABRO Epouse KAKOU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A7642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B983A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Côte d'Ivoire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FBAD6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3904B1"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75C8D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A62E47"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4A3BA6"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DF31D5"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87B32F"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10458D56" w14:textId="77777777" w:rsidTr="00857FB6">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0A92A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lastRenderedPageBreak/>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A9F9A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DC1AD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Thomas Wambua LUTI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FF994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A72DF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9AAD3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F45DC4"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BDFDEC"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C318C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9A868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27A2A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98216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3C07E637" w14:textId="77777777" w:rsidTr="00857FB6">
        <w:trPr>
          <w:trHeight w:val="20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4BE2D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49968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20F67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Issa CAMARA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9BEDE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02730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03077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433899"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DF3EE5" w14:textId="77777777" w:rsidR="000B7E7B" w:rsidRPr="00FA4573" w:rsidRDefault="000B7E7B" w:rsidP="00857FB6">
            <w:pPr>
              <w:spacing w:before="40" w:after="40"/>
              <w:jc w:val="center"/>
              <w:rPr>
                <w:rFonts w:ascii="Calibri" w:eastAsia="Malgun Gothic" w:hAnsi="Calibri"/>
                <w:color w:val="000000"/>
                <w:sz w:val="20"/>
                <w:lang w:eastAsia="ko-KR"/>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7C8DAB"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538E9F"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934343" w14:textId="77777777" w:rsidR="000B7E7B" w:rsidRPr="00FA4573" w:rsidRDefault="000B7E7B" w:rsidP="00857FB6">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884D3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29554AB3" w14:textId="77777777" w:rsidTr="00857FB6">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17A9A5"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D3D45E"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86E12E"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79830A"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A51509"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24E485"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5F8B85"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7858E9"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F7DC8E"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D4FB72"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BEFF4F" w14:textId="77777777" w:rsidR="000B7E7B" w:rsidRPr="00FA4573" w:rsidRDefault="000B7E7B" w:rsidP="00857FB6">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July</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7E7B" w:rsidRPr="00FA4573" w14:paraId="71B60A74" w14:textId="77777777" w:rsidTr="00857FB6">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1F761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A013720"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ACB55F"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Shang LI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B6C2F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628C8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B6924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168934"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9A80CE"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4C54C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5D062B"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C2A27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DECEF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0CF739AC" w14:textId="77777777" w:rsidTr="00857FB6">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BBFD9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FCC15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9293C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Yasumitsu TOMIOKA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3B28D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9A456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Japan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663C7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2A8137"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ABE89C"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07630B"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6F6394"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4C02A7"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0E8B00" w14:textId="77777777" w:rsidR="000B7E7B" w:rsidRPr="00FA4573" w:rsidRDefault="000B7E7B" w:rsidP="00857FB6">
            <w:pPr>
              <w:spacing w:before="40" w:after="40"/>
              <w:jc w:val="center"/>
              <w:rPr>
                <w:rFonts w:ascii="Calibri" w:hAnsi="Calibri"/>
                <w:color w:val="000000"/>
                <w:sz w:val="20"/>
              </w:rPr>
            </w:pPr>
          </w:p>
        </w:tc>
      </w:tr>
      <w:tr w:rsidR="000B7E7B" w:rsidRPr="00FA4573" w14:paraId="629433FA" w14:textId="77777777" w:rsidTr="00857FB6">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6C379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9CF62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9C9B73"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Sang-hun LEE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045DB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8C5EF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2424F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ABD009"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589FBF"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F517E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A22D7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B70B84" w14:textId="77777777" w:rsidR="000B7E7B" w:rsidRPr="00FA4573" w:rsidRDefault="000B7E7B" w:rsidP="00857FB6">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41A644"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512DE1DA" w14:textId="77777777" w:rsidTr="00857FB6">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9ADD47" w14:textId="77777777" w:rsidR="000B7E7B" w:rsidRPr="00FA4573" w:rsidRDefault="000B7E7B" w:rsidP="00857FB6">
            <w:pPr>
              <w:spacing w:before="40" w:after="40"/>
              <w:rPr>
                <w:rFonts w:ascii="Calibri" w:hAnsi="Calibri"/>
                <w:sz w:val="20"/>
              </w:rPr>
            </w:pPr>
            <w:r w:rsidRPr="00FA4573">
              <w:rPr>
                <w:rFonts w:ascii="Calibri" w:hAnsi="Calibri"/>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27D65E" w14:textId="77777777" w:rsidR="000B7E7B" w:rsidRPr="00FA4573" w:rsidRDefault="000B7E7B" w:rsidP="00857FB6">
            <w:pPr>
              <w:spacing w:before="40" w:after="40"/>
              <w:rPr>
                <w:rFonts w:ascii="Calibri" w:hAnsi="Calibri"/>
                <w:sz w:val="20"/>
              </w:rPr>
            </w:pPr>
            <w:r w:rsidRPr="00FA4573">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57AB5D" w14:textId="77777777" w:rsidR="000B7E7B" w:rsidRPr="00FA4573" w:rsidRDefault="000B7E7B" w:rsidP="00857FB6">
            <w:pPr>
              <w:spacing w:before="40" w:after="40"/>
              <w:rPr>
                <w:rFonts w:ascii="Calibri" w:hAnsi="Calibri"/>
                <w:sz w:val="20"/>
              </w:rPr>
            </w:pPr>
            <w:r w:rsidRPr="00FA4573">
              <w:rPr>
                <w:rFonts w:ascii="Calibri" w:hAnsi="Calibri"/>
                <w:color w:val="000000"/>
                <w:sz w:val="20"/>
              </w:rPr>
              <w:t>Mr Jean-Manuel CANET</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55F91D" w14:textId="77777777" w:rsidR="000B7E7B" w:rsidRPr="00FA4573" w:rsidRDefault="000B7E7B" w:rsidP="00857FB6">
            <w:pPr>
              <w:spacing w:before="40" w:after="40"/>
              <w:rPr>
                <w:rFonts w:ascii="Calibri" w:hAnsi="Calibri"/>
                <w:sz w:val="20"/>
              </w:rPr>
            </w:pPr>
            <w:r w:rsidRPr="00FA4573">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427759" w14:textId="77777777" w:rsidR="000B7E7B" w:rsidRPr="00FA4573" w:rsidRDefault="000B7E7B" w:rsidP="00857FB6">
            <w:pPr>
              <w:spacing w:before="40" w:after="40"/>
              <w:rPr>
                <w:rFonts w:ascii="Calibri" w:hAnsi="Calibri"/>
                <w:sz w:val="20"/>
              </w:rPr>
            </w:pPr>
            <w:r w:rsidRPr="00FA4573">
              <w:rPr>
                <w:rFonts w:ascii="Calibri" w:hAnsi="Calibri"/>
                <w:sz w:val="20"/>
              </w:rPr>
              <w:t>France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E95271" w14:textId="77777777" w:rsidR="000B7E7B" w:rsidRPr="00FA4573" w:rsidRDefault="000B7E7B" w:rsidP="00857FB6">
            <w:pPr>
              <w:spacing w:before="40" w:after="40"/>
              <w:rPr>
                <w:rFonts w:ascii="Calibri" w:hAnsi="Calibri"/>
                <w:sz w:val="20"/>
              </w:rPr>
            </w:pPr>
            <w:r w:rsidRPr="00FA4573">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0CB356" w14:textId="77777777" w:rsidR="000B7E7B" w:rsidRPr="00FA4573" w:rsidRDefault="000B7E7B" w:rsidP="00857FB6">
            <w:pPr>
              <w:spacing w:before="40" w:after="40"/>
              <w:jc w:val="center"/>
              <w:rPr>
                <w:rFonts w:eastAsiaTheme="minorEastAsia" w:cstheme="minorHAnsi"/>
                <w:kern w:val="24"/>
                <w:sz w:val="20"/>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48AE80" w14:textId="77777777" w:rsidR="000B7E7B" w:rsidRPr="00FA4573" w:rsidRDefault="000B7E7B" w:rsidP="00857FB6">
            <w:pPr>
              <w:spacing w:before="40" w:after="40"/>
              <w:jc w:val="center"/>
              <w:rPr>
                <w:rFonts w:eastAsiaTheme="minorEastAsia" w:cstheme="minorHAnsi"/>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5B508C" w14:textId="77777777" w:rsidR="000B7E7B" w:rsidRPr="00FA4573" w:rsidRDefault="000B7E7B" w:rsidP="00857FB6">
            <w:pPr>
              <w:spacing w:before="40" w:after="40"/>
              <w:jc w:val="center"/>
              <w:rPr>
                <w:rFonts w:eastAsiaTheme="minorEastAsia" w:cstheme="minorHAnsi"/>
                <w:kern w:val="24"/>
                <w:sz w:val="20"/>
              </w:rPr>
            </w:pPr>
            <w:r w:rsidRPr="00FA4573">
              <w:rPr>
                <w:rFonts w:eastAsiaTheme="minorEastAsia" w:cstheme="minorHAnsi"/>
                <w:color w:val="000000" w:themeColor="text1"/>
                <w:kern w:val="24"/>
                <w:sz w:val="20"/>
              </w:rPr>
              <w:t>O</w:t>
            </w:r>
          </w:p>
        </w:tc>
      </w:tr>
      <w:tr w:rsidR="000B7E7B" w:rsidRPr="00FA4573" w14:paraId="525D683D" w14:textId="77777777" w:rsidTr="00857FB6">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3E3D9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CE8C93"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F3A365"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Julia NIETSCH</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D011D1"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483446"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France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30A47DC"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738204"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4F84AE"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A1EE02"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Mar>
              <w:left w:w="57" w:type="dxa"/>
              <w:right w:w="57" w:type="dxa"/>
            </w:tcMar>
            <w:vAlign w:val="center"/>
          </w:tcPr>
          <w:p w14:paraId="2634CB06" w14:textId="77777777" w:rsidR="000B7E7B" w:rsidRPr="00FA4573" w:rsidRDefault="000B7E7B" w:rsidP="00857FB6">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t>May</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0B7E7B" w:rsidRPr="00FA4573" w14:paraId="151F0A9D" w14:textId="77777777" w:rsidTr="00857FB6">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74DBC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213A0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BC610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Ethan MUDAVANHU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E4449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28C52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2030B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FA14F5"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02B645"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1768E8"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205F15"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EC5117"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EFBC7D" w14:textId="77777777" w:rsidR="000B7E7B" w:rsidRPr="00FA4573" w:rsidRDefault="000B7E7B" w:rsidP="00857FB6">
            <w:pPr>
              <w:spacing w:before="40" w:after="40"/>
              <w:jc w:val="center"/>
              <w:rPr>
                <w:rFonts w:eastAsiaTheme="minorEastAsia" w:cstheme="minorHAnsi"/>
                <w:color w:val="000000" w:themeColor="text1"/>
                <w:kern w:val="24"/>
                <w:sz w:val="20"/>
              </w:rPr>
            </w:pPr>
          </w:p>
        </w:tc>
      </w:tr>
      <w:tr w:rsidR="000B7E7B" w:rsidRPr="00FA4573" w14:paraId="61A1C99B" w14:textId="77777777" w:rsidTr="00857FB6">
        <w:trPr>
          <w:trHeight w:val="75"/>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2E6DE9B" w14:textId="77777777" w:rsidR="000B7E7B" w:rsidRPr="00FA4573" w:rsidRDefault="000B7E7B" w:rsidP="00857FB6">
            <w:pPr>
              <w:spacing w:before="40" w:after="40"/>
              <w:rPr>
                <w:rFonts w:ascii="Calibri" w:hAnsi="Calibri"/>
                <w:b/>
                <w:bCs/>
                <w:color w:val="000000"/>
                <w:sz w:val="20"/>
              </w:rPr>
            </w:pPr>
            <w:r w:rsidRPr="00FA4573">
              <w:rPr>
                <w:rFonts w:ascii="Calibri" w:hAnsi="Calibri"/>
                <w:color w:val="000000"/>
                <w:sz w:val="20"/>
              </w:rPr>
              <w:t>Question 7/2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DF6DBA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254FBA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Tongning WU</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147A7D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4FE98F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63F9FA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1DD055D"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7239B00"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BFE1D2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EB125F3"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D09D1BD"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CC0203F"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0BA0D788" w14:textId="77777777" w:rsidTr="00857FB6">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6C02C6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574573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B43A79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Haim MAZAR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D81ED7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C7F568D" w14:textId="77777777" w:rsidR="000B7E7B" w:rsidRPr="00FA4573" w:rsidRDefault="000B7E7B" w:rsidP="00857FB6">
            <w:pPr>
              <w:spacing w:before="40" w:after="40"/>
              <w:rPr>
                <w:rFonts w:ascii="Calibri" w:hAnsi="Calibri"/>
                <w:color w:val="000000"/>
                <w:sz w:val="20"/>
                <w:lang w:eastAsia="ko-KR"/>
              </w:rPr>
            </w:pPr>
            <w:r w:rsidRPr="00FA4573">
              <w:rPr>
                <w:rFonts w:ascii="Calibri" w:hAnsi="Calibri"/>
                <w:color w:val="000000"/>
                <w:sz w:val="20"/>
                <w:lang w:eastAsia="ko-KR"/>
              </w:rPr>
              <w:t>Israel</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C285023" w14:textId="77777777" w:rsidR="000B7E7B" w:rsidRPr="00FA4573" w:rsidRDefault="000B7E7B" w:rsidP="00857FB6">
            <w:pPr>
              <w:spacing w:before="40" w:after="40"/>
              <w:rPr>
                <w:rFonts w:ascii="Calibri" w:hAnsi="Calibri"/>
                <w:color w:val="000000"/>
                <w:sz w:val="20"/>
                <w:lang w:eastAsia="ko-KR"/>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19744BA"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33470B6"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DD4A121"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1362C8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6564694"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6DE5CF4"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34AD3BBA" w14:textId="77777777" w:rsidTr="00857FB6">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793C8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148CE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6EE6D7"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Keamogetswe MATOMELA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9AAD4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F681A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Botswana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D84C4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F3994F"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4D5127"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2F1CC2"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6F2548"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F5F6B9"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07008E" w14:textId="77777777" w:rsidR="000B7E7B" w:rsidRPr="00FA4573" w:rsidRDefault="000B7E7B" w:rsidP="00857FB6">
            <w:pPr>
              <w:spacing w:before="40" w:after="40"/>
              <w:jc w:val="center"/>
              <w:rPr>
                <w:rFonts w:ascii="Calibri" w:hAnsi="Calibri"/>
                <w:color w:val="000000"/>
                <w:sz w:val="20"/>
              </w:rPr>
            </w:pPr>
          </w:p>
        </w:tc>
      </w:tr>
      <w:tr w:rsidR="000B7E7B" w:rsidRPr="00FA4573" w14:paraId="34E55C89" w14:textId="77777777" w:rsidTr="00857FB6">
        <w:trPr>
          <w:trHeight w:val="13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D9170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5533D2"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B1D5D5"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Diarrassouba BAKARY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651E5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4A319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Côte d'Ivoire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5D7854"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DDD568"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50B4AD"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3005AC"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567380"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99C214"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B7452A"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0B7E7B" w:rsidRPr="00FA4573" w14:paraId="2E03ACE5" w14:textId="77777777" w:rsidTr="00857FB6">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1BCC6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7DAD6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728A1B"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Diao TOURE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291C79"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365906"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0219D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A52A36" w14:textId="77777777" w:rsidR="000B7E7B" w:rsidRPr="00FA4573" w:rsidRDefault="000B7E7B" w:rsidP="00857FB6">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5137CD" w14:textId="77777777" w:rsidR="000B7E7B" w:rsidRPr="00FA4573" w:rsidRDefault="000B7E7B" w:rsidP="00857FB6">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D699AD"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D25266" w14:textId="77777777" w:rsidR="000B7E7B" w:rsidRPr="00FA4573" w:rsidRDefault="000B7E7B" w:rsidP="00857FB6">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AFD0A5" w14:textId="77777777" w:rsidR="000B7E7B" w:rsidRPr="00FA4573" w:rsidRDefault="000B7E7B" w:rsidP="00857FB6">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E42F9E" w14:textId="77777777" w:rsidR="000B7E7B" w:rsidRPr="00FA4573" w:rsidRDefault="000B7E7B" w:rsidP="00857FB6">
            <w:pPr>
              <w:spacing w:before="40" w:after="40"/>
              <w:jc w:val="center"/>
              <w:rPr>
                <w:rFonts w:ascii="Calibri" w:hAnsi="Calibri"/>
                <w:color w:val="000000"/>
                <w:sz w:val="20"/>
              </w:rPr>
            </w:pPr>
          </w:p>
        </w:tc>
      </w:tr>
      <w:tr w:rsidR="000B7E7B" w:rsidRPr="00FA4573" w14:paraId="32E56663" w14:textId="77777777" w:rsidTr="00857FB6">
        <w:trPr>
          <w:trHeight w:val="2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0CA7A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87AE8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3FE94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Ms Aminata Niang DIAGNE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E54061"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E39F2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5E8EAA"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93D944"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02C073"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9DBED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AF0762"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BB2D2C" w14:textId="77777777" w:rsidR="000B7E7B" w:rsidRPr="00FA4573" w:rsidRDefault="000B7E7B" w:rsidP="00857FB6">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C09A1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01DDF357" w14:textId="77777777" w:rsidTr="00857FB6">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95B69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8B65E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DD1F41D"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8ECD3B"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644254"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514797"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3432BD"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8B500E"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8B094A"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F064C7"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56FABC" w14:textId="77777777" w:rsidR="000B7E7B" w:rsidRPr="00FA4573" w:rsidRDefault="000B7E7B" w:rsidP="00857FB6">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July</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0B7E7B" w:rsidRPr="00FA4573" w14:paraId="43E03A27" w14:textId="77777777" w:rsidTr="00857FB6">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CCF99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8FFD68"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F970AD"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Mr Wenhua 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6453E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Institute of Communications</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F44B9E"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05D6CC" w14:textId="77777777" w:rsidR="000B7E7B" w:rsidRPr="00FA4573" w:rsidRDefault="000B7E7B" w:rsidP="00857FB6">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0E273F"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04A59A" w14:textId="77777777" w:rsidR="000B7E7B" w:rsidRPr="00FA4573" w:rsidRDefault="000B7E7B" w:rsidP="00857FB6">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51FFC1"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CD5DC9"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93DD94"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A876BE"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5AAC5955" w14:textId="77777777" w:rsidTr="00857FB6">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23D000" w14:textId="77777777" w:rsidR="000B7E7B" w:rsidRPr="00474F78" w:rsidRDefault="000B7E7B" w:rsidP="00857FB6">
            <w:pPr>
              <w:spacing w:before="40" w:after="40"/>
              <w:rPr>
                <w:rFonts w:ascii="Calibri" w:hAnsi="Calibri"/>
                <w:sz w:val="20"/>
              </w:rPr>
            </w:pPr>
            <w:r w:rsidRPr="00474F78">
              <w:rPr>
                <w:rFonts w:ascii="Calibri" w:hAnsi="Calibri"/>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EF3DB5" w14:textId="77777777" w:rsidR="000B7E7B" w:rsidRPr="00474F78" w:rsidRDefault="000B7E7B" w:rsidP="00857FB6">
            <w:pPr>
              <w:spacing w:before="40" w:after="40"/>
              <w:rPr>
                <w:rFonts w:ascii="Calibri" w:hAnsi="Calibri"/>
                <w:sz w:val="20"/>
              </w:rPr>
            </w:pPr>
            <w:r w:rsidRPr="00474F78">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1F1AF2" w14:textId="77777777" w:rsidR="000B7E7B" w:rsidRPr="00474F78" w:rsidRDefault="000B7E7B" w:rsidP="00857FB6">
            <w:pPr>
              <w:spacing w:before="40" w:after="40"/>
              <w:rPr>
                <w:rFonts w:ascii="Calibri" w:hAnsi="Calibri"/>
                <w:sz w:val="20"/>
              </w:rPr>
            </w:pPr>
            <w:r w:rsidRPr="00FA4573">
              <w:rPr>
                <w:rFonts w:ascii="Calibri" w:hAnsi="Calibri"/>
                <w:sz w:val="20"/>
              </w:rPr>
              <w:t>Mehmet Akif ESIN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59C015" w14:textId="77777777" w:rsidR="000B7E7B" w:rsidRPr="00474F78" w:rsidRDefault="000B7E7B" w:rsidP="00857FB6">
            <w:pPr>
              <w:spacing w:before="40" w:after="40"/>
              <w:rPr>
                <w:rFonts w:ascii="Calibri" w:hAnsi="Calibri"/>
                <w:sz w:val="20"/>
              </w:rPr>
            </w:pPr>
            <w:r w:rsidRPr="00474F78">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2ABD5F" w14:textId="77777777" w:rsidR="000B7E7B" w:rsidRPr="00474F78" w:rsidRDefault="000B7E7B" w:rsidP="00857FB6">
            <w:pPr>
              <w:spacing w:before="40" w:after="40"/>
              <w:rPr>
                <w:rFonts w:ascii="Calibri" w:hAnsi="Calibri"/>
                <w:sz w:val="20"/>
              </w:rPr>
            </w:pPr>
            <w:r w:rsidRPr="00474F78">
              <w:rPr>
                <w:rFonts w:ascii="Calibri" w:hAnsi="Calibri"/>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AFB3E3" w14:textId="77777777" w:rsidR="000B7E7B" w:rsidRPr="00474F78" w:rsidRDefault="000B7E7B" w:rsidP="00857FB6">
            <w:pPr>
              <w:spacing w:before="40" w:after="40"/>
              <w:rPr>
                <w:rFonts w:ascii="Calibri" w:hAnsi="Calibri"/>
                <w:sz w:val="20"/>
              </w:rPr>
            </w:pPr>
            <w:r w:rsidRPr="00474F78">
              <w:rPr>
                <w:rFonts w:ascii="Calibri" w:hAnsi="Calibri"/>
                <w:sz w:val="20"/>
              </w:rPr>
              <w:t>Europe</w:t>
            </w:r>
          </w:p>
        </w:tc>
        <w:tc>
          <w:tcPr>
            <w:tcW w:w="3537"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94E527"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14"/>
                <w:szCs w:val="14"/>
              </w:rPr>
              <w:t>(Not appointed yet)</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27F345" w14:textId="77777777" w:rsidR="000B7E7B" w:rsidRPr="00FA4573" w:rsidRDefault="000B7E7B" w:rsidP="00857FB6">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0B7E7B" w:rsidRPr="00FA4573" w14:paraId="23A47F41" w14:textId="77777777" w:rsidTr="00857FB6">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EC05B8"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A436A4"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D10067"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Hüseyin Avni YAVUZARSLAN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094C8E"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CAB4F4"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8CFEE3" w14:textId="77777777" w:rsidR="000B7E7B" w:rsidRPr="00FA4573" w:rsidRDefault="000B7E7B" w:rsidP="00857FB6">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1B02E2"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4A8FAF" w14:textId="77777777" w:rsidR="000B7E7B" w:rsidRPr="00FA4573" w:rsidRDefault="000B7E7B" w:rsidP="00857FB6">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7728E1" w14:textId="77777777" w:rsidR="000B7E7B" w:rsidRPr="00FA4573" w:rsidRDefault="000B7E7B" w:rsidP="00857FB6">
            <w:pPr>
              <w:spacing w:before="40" w:after="40"/>
              <w:jc w:val="center"/>
              <w:rPr>
                <w:rFonts w:eastAsia="Malgun Gothic" w:cstheme="minorHAnsi"/>
                <w:color w:val="A6A6A6" w:themeColor="background1" w:themeShade="A6"/>
                <w:kern w:val="24"/>
                <w:sz w:val="20"/>
                <w:lang w:eastAsia="ko-KR"/>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6826C3"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A3FDAC"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47B2D5" w14:textId="77777777" w:rsidR="000B7E7B" w:rsidRPr="00FA4573" w:rsidRDefault="000B7E7B" w:rsidP="00857FB6">
            <w:pPr>
              <w:spacing w:before="40" w:after="40"/>
              <w:jc w:val="center"/>
              <w:rPr>
                <w:rFonts w:eastAsiaTheme="minorEastAsia" w:cstheme="minorHAnsi"/>
                <w:color w:val="A6A6A6" w:themeColor="background1" w:themeShade="A6"/>
                <w:kern w:val="24"/>
                <w:sz w:val="20"/>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w:t>
            </w:r>
            <w:r w:rsidRPr="00FA4573">
              <w:rPr>
                <w:rFonts w:ascii="Calibri" w:eastAsia="Malgun Gothic" w:hAnsi="Calibri" w:hint="eastAsia"/>
                <w:color w:val="A6A6A6" w:themeColor="background1" w:themeShade="A6"/>
                <w:sz w:val="12"/>
                <w:szCs w:val="12"/>
                <w:lang w:eastAsia="ko-KR"/>
              </w:rPr>
              <w:t>an</w:t>
            </w:r>
            <w:r w:rsidRPr="00FA4573">
              <w:rPr>
                <w:rFonts w:ascii="Calibri" w:hAnsi="Calibri"/>
                <w:color w:val="A6A6A6" w:themeColor="background1" w:themeShade="A6"/>
                <w:sz w:val="12"/>
                <w:szCs w:val="12"/>
              </w:rPr>
              <w:t xml:space="preserve"> 202</w:t>
            </w:r>
            <w:r w:rsidRPr="00FA4573">
              <w:rPr>
                <w:rFonts w:ascii="Calibri" w:eastAsia="Malgun Gothic" w:hAnsi="Calibri" w:hint="eastAsia"/>
                <w:color w:val="A6A6A6" w:themeColor="background1" w:themeShade="A6"/>
                <w:sz w:val="12"/>
                <w:szCs w:val="12"/>
                <w:lang w:eastAsia="ko-KR"/>
              </w:rPr>
              <w:t>5</w:t>
            </w:r>
            <w:r w:rsidRPr="00FA4573">
              <w:rPr>
                <w:rFonts w:ascii="Calibri" w:hAnsi="Calibri"/>
                <w:color w:val="A6A6A6" w:themeColor="background1" w:themeShade="A6"/>
                <w:sz w:val="12"/>
                <w:szCs w:val="12"/>
              </w:rPr>
              <w:t>)</w:t>
            </w:r>
          </w:p>
        </w:tc>
      </w:tr>
    </w:tbl>
    <w:p w14:paraId="78B2AD56" w14:textId="77777777" w:rsidR="000B7E7B" w:rsidRPr="00FA4573" w:rsidRDefault="000B7E7B" w:rsidP="000B7E7B">
      <w:pPr>
        <w:tabs>
          <w:tab w:val="clear" w:pos="1134"/>
          <w:tab w:val="clear" w:pos="1871"/>
          <w:tab w:val="clear" w:pos="2268"/>
        </w:tabs>
        <w:overflowPunct/>
        <w:autoSpaceDE/>
        <w:autoSpaceDN/>
        <w:adjustRightInd/>
        <w:spacing w:before="0"/>
        <w:textAlignment w:val="auto"/>
        <w:sectPr w:rsidR="000B7E7B" w:rsidRPr="00FA4573" w:rsidSect="00A63D1D">
          <w:headerReference w:type="default" r:id="rId135"/>
          <w:footerReference w:type="default" r:id="rId136"/>
          <w:headerReference w:type="first" r:id="rId137"/>
          <w:pgSz w:w="16840" w:h="11907" w:orient="landscape" w:code="9"/>
          <w:pgMar w:top="1134" w:right="1418" w:bottom="1134" w:left="1418" w:header="720" w:footer="720" w:gutter="0"/>
          <w:cols w:space="720"/>
          <w:docGrid w:linePitch="326"/>
        </w:sectPr>
      </w:pPr>
    </w:p>
    <w:p w14:paraId="79B0BC71" w14:textId="77777777" w:rsidR="000B7E7B" w:rsidRPr="00FA4573" w:rsidRDefault="000B7E7B" w:rsidP="000B7E7B">
      <w:pPr>
        <w:spacing w:after="120"/>
        <w:rPr>
          <w:b/>
          <w:bCs/>
        </w:rPr>
      </w:pPr>
      <w:r w:rsidRPr="00FA4573">
        <w:rPr>
          <w:b/>
          <w:bCs/>
        </w:rPr>
        <w:lastRenderedPageBreak/>
        <w:t>Annex 2: List of ITU-D Study Group coordinators on key topics of interest</w:t>
      </w:r>
    </w:p>
    <w:p w14:paraId="0C3A332A" w14:textId="77777777" w:rsidR="000B7E7B" w:rsidRPr="00FA4573" w:rsidRDefault="000B7E7B" w:rsidP="000B7E7B">
      <w:pPr>
        <w:spacing w:after="120"/>
        <w:rPr>
          <w:b/>
          <w:bCs/>
        </w:rPr>
      </w:pPr>
      <w:r w:rsidRPr="00FA4573">
        <w:rPr>
          <w:b/>
          <w:szCs w:val="24"/>
        </w:rPr>
        <w:t>Table 3A: List of appointed coordinators</w:t>
      </w:r>
      <w:r w:rsidRPr="00FA4573">
        <w:rPr>
          <w:bCs/>
          <w:szCs w:val="24"/>
        </w:rPr>
        <w:t xml:space="preserve"> </w:t>
      </w:r>
    </w:p>
    <w:tbl>
      <w:tblPr>
        <w:tblStyle w:val="TableGrid"/>
        <w:tblW w:w="9062" w:type="dxa"/>
        <w:tblLayout w:type="fixed"/>
        <w:tblLook w:val="04A0" w:firstRow="1" w:lastRow="0" w:firstColumn="1" w:lastColumn="0" w:noHBand="0" w:noVBand="1"/>
      </w:tblPr>
      <w:tblGrid>
        <w:gridCol w:w="4243"/>
        <w:gridCol w:w="4819"/>
      </w:tblGrid>
      <w:tr w:rsidR="000B7E7B" w:rsidRPr="00FA4573" w14:paraId="7E42BFDC" w14:textId="77777777" w:rsidTr="00857FB6">
        <w:tc>
          <w:tcPr>
            <w:tcW w:w="4243" w:type="dxa"/>
            <w:shd w:val="clear" w:color="auto" w:fill="C6D9F1" w:themeFill="text2" w:themeFillTint="33"/>
            <w:hideMark/>
          </w:tcPr>
          <w:p w14:paraId="2FC98C54" w14:textId="77777777" w:rsidR="000B7E7B" w:rsidRPr="00FA4573" w:rsidRDefault="000B7E7B" w:rsidP="00857FB6">
            <w:pPr>
              <w:spacing w:before="60" w:after="60"/>
              <w:rPr>
                <w:b/>
                <w:bCs/>
              </w:rPr>
            </w:pPr>
            <w:r w:rsidRPr="00FA4573">
              <w:rPr>
                <w:b/>
                <w:bCs/>
              </w:rPr>
              <w:t>Topic</w:t>
            </w:r>
          </w:p>
        </w:tc>
        <w:tc>
          <w:tcPr>
            <w:tcW w:w="4819" w:type="dxa"/>
            <w:shd w:val="clear" w:color="auto" w:fill="C6D9F1" w:themeFill="text2" w:themeFillTint="33"/>
            <w:hideMark/>
          </w:tcPr>
          <w:p w14:paraId="62194396" w14:textId="77777777" w:rsidR="000B7E7B" w:rsidRPr="00FA4573" w:rsidRDefault="000B7E7B" w:rsidP="00857FB6">
            <w:pPr>
              <w:tabs>
                <w:tab w:val="left" w:pos="6940"/>
              </w:tabs>
              <w:spacing w:before="60" w:after="60"/>
            </w:pPr>
            <w:r w:rsidRPr="00FA4573">
              <w:rPr>
                <w:b/>
                <w:bCs/>
              </w:rPr>
              <w:t>Responsible person(s)</w:t>
            </w:r>
          </w:p>
        </w:tc>
      </w:tr>
      <w:tr w:rsidR="000B7E7B" w:rsidRPr="00FA4573" w14:paraId="1E11D3D2" w14:textId="77777777" w:rsidTr="00857FB6">
        <w:trPr>
          <w:trHeight w:val="174"/>
        </w:trPr>
        <w:tc>
          <w:tcPr>
            <w:tcW w:w="4243" w:type="dxa"/>
            <w:hideMark/>
          </w:tcPr>
          <w:p w14:paraId="61C74A1D" w14:textId="77777777" w:rsidR="000B7E7B" w:rsidRPr="00FA4573" w:rsidRDefault="000B7E7B" w:rsidP="00857FB6">
            <w:pPr>
              <w:spacing w:before="60" w:after="60"/>
            </w:pPr>
            <w:r w:rsidRPr="00FA4573">
              <w:t>1. Backup to the SG chair</w:t>
            </w:r>
          </w:p>
        </w:tc>
        <w:tc>
          <w:tcPr>
            <w:tcW w:w="4819" w:type="dxa"/>
            <w:hideMark/>
          </w:tcPr>
          <w:p w14:paraId="357329A8" w14:textId="77777777" w:rsidR="000B7E7B" w:rsidRPr="00FA4573" w:rsidRDefault="000B7E7B" w:rsidP="00857FB6">
            <w:pPr>
              <w:spacing w:before="60" w:after="60"/>
            </w:pPr>
            <w:r w:rsidRPr="00FA4573">
              <w:t>Mr Dominique WÜRGES (France)</w:t>
            </w:r>
          </w:p>
        </w:tc>
      </w:tr>
      <w:tr w:rsidR="000B7E7B" w:rsidRPr="00FA4573" w14:paraId="26E97DDF" w14:textId="77777777" w:rsidTr="00857FB6">
        <w:trPr>
          <w:trHeight w:val="339"/>
        </w:trPr>
        <w:tc>
          <w:tcPr>
            <w:tcW w:w="4243" w:type="dxa"/>
            <w:hideMark/>
          </w:tcPr>
          <w:p w14:paraId="2CF7E533" w14:textId="77777777" w:rsidR="000B7E7B" w:rsidRPr="00FA4573" w:rsidRDefault="000B7E7B" w:rsidP="00857FB6">
            <w:pPr>
              <w:spacing w:before="60" w:after="60"/>
            </w:pPr>
            <w:r w:rsidRPr="00FA4573">
              <w:t>2. Plenary liaison statements</w:t>
            </w:r>
          </w:p>
        </w:tc>
        <w:tc>
          <w:tcPr>
            <w:tcW w:w="4819" w:type="dxa"/>
          </w:tcPr>
          <w:p w14:paraId="3D209B10" w14:textId="77777777" w:rsidR="000B7E7B" w:rsidRPr="00FA4573" w:rsidRDefault="000B7E7B" w:rsidP="00857FB6">
            <w:pPr>
              <w:spacing w:before="60" w:after="60"/>
            </w:pPr>
            <w:r w:rsidRPr="00FA4573">
              <w:t>Mr Mohamed Lamine MINTHE (Guinea)</w:t>
            </w:r>
          </w:p>
        </w:tc>
      </w:tr>
      <w:tr w:rsidR="000B7E7B" w:rsidRPr="00FA4573" w14:paraId="150E4F72" w14:textId="77777777" w:rsidTr="00857FB6">
        <w:trPr>
          <w:trHeight w:val="559"/>
        </w:trPr>
        <w:tc>
          <w:tcPr>
            <w:tcW w:w="4243" w:type="dxa"/>
            <w:hideMark/>
          </w:tcPr>
          <w:p w14:paraId="668E8B4F" w14:textId="77777777" w:rsidR="000B7E7B" w:rsidRPr="00FA4573" w:rsidRDefault="000B7E7B" w:rsidP="00857FB6">
            <w:pPr>
              <w:spacing w:before="60" w:after="60"/>
            </w:pPr>
            <w:r w:rsidRPr="00FA4573">
              <w:t>3. Joint activities (annual deliverables, workshops, webinars)</w:t>
            </w:r>
          </w:p>
        </w:tc>
        <w:tc>
          <w:tcPr>
            <w:tcW w:w="4819" w:type="dxa"/>
          </w:tcPr>
          <w:p w14:paraId="0583317E" w14:textId="77777777" w:rsidR="000B7E7B" w:rsidRPr="00FA4573" w:rsidRDefault="000B7E7B" w:rsidP="00857FB6">
            <w:pPr>
              <w:spacing w:before="60" w:after="60"/>
              <w:rPr>
                <w:rFonts w:eastAsia="Malgun Gothic"/>
                <w:color w:val="A6A6A6" w:themeColor="background1" w:themeShade="A6"/>
                <w:lang w:eastAsia="ko-KR"/>
              </w:rPr>
            </w:pPr>
            <w:r w:rsidRPr="00FA4573">
              <w:rPr>
                <w:color w:val="A6A6A6" w:themeColor="background1" w:themeShade="A6"/>
              </w:rPr>
              <w:t>Mr Diyor RAJABOV (Uzbekistan)</w:t>
            </w:r>
            <w:r w:rsidRPr="00FA4573">
              <w:rPr>
                <w:rFonts w:eastAsia="Malgun Gothic" w:hint="eastAsia"/>
                <w:color w:val="A6A6A6" w:themeColor="background1" w:themeShade="A6"/>
                <w:lang w:eastAsia="ko-KR"/>
              </w:rPr>
              <w:t xml:space="preserve"> (until September 2024)</w:t>
            </w:r>
          </w:p>
        </w:tc>
      </w:tr>
      <w:tr w:rsidR="000B7E7B" w:rsidRPr="00FA4573" w14:paraId="3B2483F5" w14:textId="77777777" w:rsidTr="00857FB6">
        <w:trPr>
          <w:trHeight w:val="316"/>
        </w:trPr>
        <w:tc>
          <w:tcPr>
            <w:tcW w:w="4243" w:type="dxa"/>
            <w:hideMark/>
          </w:tcPr>
          <w:p w14:paraId="610A8362" w14:textId="77777777" w:rsidR="000B7E7B" w:rsidRPr="00FA4573" w:rsidRDefault="000B7E7B" w:rsidP="00857FB6">
            <w:pPr>
              <w:spacing w:before="60" w:after="60"/>
            </w:pPr>
            <w:r w:rsidRPr="00FA4573">
              <w:t>4. Council working groups</w:t>
            </w:r>
          </w:p>
        </w:tc>
        <w:tc>
          <w:tcPr>
            <w:tcW w:w="4819" w:type="dxa"/>
          </w:tcPr>
          <w:p w14:paraId="6B5F1E91" w14:textId="77777777" w:rsidR="000B7E7B" w:rsidRPr="00FA4573" w:rsidRDefault="000B7E7B" w:rsidP="00857FB6">
            <w:pPr>
              <w:spacing w:before="60" w:after="60"/>
            </w:pPr>
            <w:r w:rsidRPr="00FA4573">
              <w:t>Mr Abdelaziz ALZAROONI (UAE)</w:t>
            </w:r>
          </w:p>
        </w:tc>
      </w:tr>
      <w:tr w:rsidR="000B7E7B" w:rsidRPr="00FA4573" w14:paraId="4F5DD829" w14:textId="77777777" w:rsidTr="00857FB6">
        <w:trPr>
          <w:trHeight w:val="497"/>
        </w:trPr>
        <w:tc>
          <w:tcPr>
            <w:tcW w:w="4243" w:type="dxa"/>
            <w:hideMark/>
          </w:tcPr>
          <w:p w14:paraId="02E71B69" w14:textId="77777777" w:rsidR="000B7E7B" w:rsidRPr="00FA4573" w:rsidRDefault="000B7E7B" w:rsidP="00857FB6">
            <w:pPr>
              <w:spacing w:before="60" w:after="60"/>
            </w:pPr>
            <w:r w:rsidRPr="00FA4573">
              <w:t>5. Youth and women engagement</w:t>
            </w:r>
          </w:p>
        </w:tc>
        <w:tc>
          <w:tcPr>
            <w:tcW w:w="4819" w:type="dxa"/>
          </w:tcPr>
          <w:p w14:paraId="7713309B" w14:textId="77777777" w:rsidR="000B7E7B" w:rsidRPr="00FD39BB" w:rsidRDefault="000B7E7B" w:rsidP="00857FB6">
            <w:pPr>
              <w:spacing w:before="60" w:after="60"/>
              <w:rPr>
                <w:rFonts w:eastAsia="Malgun Gothic"/>
                <w:color w:val="A6A6A6" w:themeColor="background1" w:themeShade="A6"/>
                <w:lang w:val="es-ES" w:eastAsia="ko-KR"/>
              </w:rPr>
            </w:pPr>
            <w:r w:rsidRPr="00FD39BB">
              <w:rPr>
                <w:color w:val="A6A6A6" w:themeColor="background1" w:themeShade="A6"/>
                <w:lang w:val="es-ES"/>
              </w:rPr>
              <w:t>Ms Alina MODAN (Romania)</w:t>
            </w:r>
            <w:r w:rsidRPr="00FD39BB">
              <w:rPr>
                <w:rFonts w:eastAsia="Malgun Gothic" w:hint="eastAsia"/>
                <w:color w:val="A6A6A6" w:themeColor="background1" w:themeShade="A6"/>
                <w:lang w:val="es-ES" w:eastAsia="ko-KR"/>
              </w:rPr>
              <w:t xml:space="preserve"> (until June 2023)</w:t>
            </w:r>
          </w:p>
          <w:p w14:paraId="363CA39F" w14:textId="77777777" w:rsidR="000B7E7B" w:rsidRPr="00FA4573" w:rsidRDefault="000B7E7B" w:rsidP="00857FB6">
            <w:pPr>
              <w:spacing w:before="60" w:after="60"/>
              <w:rPr>
                <w:rFonts w:eastAsia="Malgun Gothic"/>
                <w:lang w:eastAsia="ko-KR"/>
              </w:rPr>
            </w:pPr>
            <w:r w:rsidRPr="00FA4573">
              <w:rPr>
                <w:rFonts w:eastAsia="Malgun Gothic" w:hint="eastAsia"/>
                <w:lang w:eastAsia="ko-KR"/>
              </w:rPr>
              <w:t>Ms Madalina CLAPON (Romania) (from October 2023)</w:t>
            </w:r>
          </w:p>
        </w:tc>
      </w:tr>
      <w:tr w:rsidR="000B7E7B" w:rsidRPr="0065683A" w14:paraId="3D0D00F3" w14:textId="77777777" w:rsidTr="00857FB6">
        <w:trPr>
          <w:trHeight w:val="407"/>
        </w:trPr>
        <w:tc>
          <w:tcPr>
            <w:tcW w:w="4243" w:type="dxa"/>
            <w:hideMark/>
          </w:tcPr>
          <w:p w14:paraId="5E3A8F15" w14:textId="77777777" w:rsidR="000B7E7B" w:rsidRPr="00FA4573" w:rsidRDefault="000B7E7B" w:rsidP="00857FB6">
            <w:pPr>
              <w:spacing w:before="60" w:after="60"/>
            </w:pPr>
            <w:r w:rsidRPr="00FA4573">
              <w:t>6. Delegate on-boarding (</w:t>
            </w:r>
            <w:proofErr w:type="gramStart"/>
            <w:r w:rsidRPr="00FA4573">
              <w:t>e.g.</w:t>
            </w:r>
            <w:proofErr w:type="gramEnd"/>
            <w:r w:rsidRPr="00FA4573">
              <w:t xml:space="preserve"> induction)</w:t>
            </w:r>
          </w:p>
        </w:tc>
        <w:tc>
          <w:tcPr>
            <w:tcW w:w="4819" w:type="dxa"/>
          </w:tcPr>
          <w:p w14:paraId="079011F1" w14:textId="77777777" w:rsidR="000B7E7B" w:rsidRPr="00FD39BB" w:rsidRDefault="000B7E7B" w:rsidP="00857FB6">
            <w:pPr>
              <w:spacing w:before="60" w:after="60"/>
              <w:rPr>
                <w:lang w:val="es-ES"/>
              </w:rPr>
            </w:pPr>
            <w:r w:rsidRPr="00FD39BB">
              <w:rPr>
                <w:lang w:val="es-ES"/>
              </w:rPr>
              <w:t>Mr Victor Antonio MARTÍNEZ SÁNCHEZ (Paraguay)</w:t>
            </w:r>
          </w:p>
        </w:tc>
      </w:tr>
      <w:tr w:rsidR="000B7E7B" w:rsidRPr="00FA4573" w14:paraId="210552CE" w14:textId="77777777" w:rsidTr="00857FB6">
        <w:trPr>
          <w:trHeight w:val="372"/>
        </w:trPr>
        <w:tc>
          <w:tcPr>
            <w:tcW w:w="4243" w:type="dxa"/>
            <w:hideMark/>
          </w:tcPr>
          <w:p w14:paraId="36EA3F2C" w14:textId="77777777" w:rsidR="000B7E7B" w:rsidRPr="00FA4573" w:rsidRDefault="000B7E7B" w:rsidP="00857FB6">
            <w:pPr>
              <w:spacing w:before="60" w:after="60"/>
            </w:pPr>
            <w:r w:rsidRPr="00FA4573">
              <w:t>7. WTDC Resolution 9</w:t>
            </w:r>
          </w:p>
        </w:tc>
        <w:tc>
          <w:tcPr>
            <w:tcW w:w="4819" w:type="dxa"/>
          </w:tcPr>
          <w:p w14:paraId="53864D1B" w14:textId="77777777" w:rsidR="000B7E7B" w:rsidRPr="00FA4573" w:rsidRDefault="000B7E7B" w:rsidP="00857FB6">
            <w:pPr>
              <w:spacing w:before="60" w:after="60"/>
            </w:pPr>
            <w:r w:rsidRPr="00FA4573">
              <w:t>Mr Hideo IMANAKA (Japan)</w:t>
            </w:r>
          </w:p>
          <w:p w14:paraId="6248E1A5" w14:textId="77777777" w:rsidR="000B7E7B" w:rsidRPr="00FA4573" w:rsidRDefault="000B7E7B" w:rsidP="00857FB6">
            <w:pPr>
              <w:spacing w:before="60" w:after="60"/>
            </w:pPr>
            <w:r w:rsidRPr="00FA4573">
              <w:t>Mr Haim MAZAR (ATDI, France)</w:t>
            </w:r>
          </w:p>
        </w:tc>
      </w:tr>
      <w:tr w:rsidR="000B7E7B" w:rsidRPr="00FA4573" w14:paraId="704884FA" w14:textId="77777777" w:rsidTr="00857FB6">
        <w:trPr>
          <w:trHeight w:val="378"/>
        </w:trPr>
        <w:tc>
          <w:tcPr>
            <w:tcW w:w="4243" w:type="dxa"/>
            <w:hideMark/>
          </w:tcPr>
          <w:p w14:paraId="644676D6" w14:textId="77777777" w:rsidR="000B7E7B" w:rsidRPr="00FA4573" w:rsidRDefault="000B7E7B" w:rsidP="00857FB6">
            <w:pPr>
              <w:spacing w:before="60" w:after="60"/>
            </w:pPr>
            <w:r w:rsidRPr="00FA4573">
              <w:t>8. Statistics (EGTI, EGH)</w:t>
            </w:r>
          </w:p>
        </w:tc>
        <w:tc>
          <w:tcPr>
            <w:tcW w:w="4819" w:type="dxa"/>
          </w:tcPr>
          <w:p w14:paraId="7E49CCF3" w14:textId="77777777" w:rsidR="000B7E7B" w:rsidRPr="00FA4573" w:rsidRDefault="000B7E7B" w:rsidP="00857FB6">
            <w:pPr>
              <w:spacing w:before="60" w:after="60"/>
            </w:pPr>
            <w:r w:rsidRPr="00FA4573">
              <w:t>Ms Mina Seonmin JUN (Rep. of Korea)</w:t>
            </w:r>
          </w:p>
        </w:tc>
      </w:tr>
      <w:tr w:rsidR="000B7E7B" w:rsidRPr="00FA4573" w14:paraId="785BF9B5" w14:textId="77777777" w:rsidTr="00857FB6">
        <w:trPr>
          <w:trHeight w:val="385"/>
        </w:trPr>
        <w:tc>
          <w:tcPr>
            <w:tcW w:w="4243" w:type="dxa"/>
            <w:hideMark/>
          </w:tcPr>
          <w:p w14:paraId="29227105" w14:textId="77777777" w:rsidR="000B7E7B" w:rsidRPr="00FA4573" w:rsidRDefault="000B7E7B" w:rsidP="00857FB6">
            <w:pPr>
              <w:spacing w:before="60" w:after="60"/>
            </w:pPr>
            <w:r w:rsidRPr="00FA4573">
              <w:t>9. ITU-CCT (Vocabulary)</w:t>
            </w:r>
          </w:p>
        </w:tc>
        <w:tc>
          <w:tcPr>
            <w:tcW w:w="4819" w:type="dxa"/>
          </w:tcPr>
          <w:p w14:paraId="29568C95" w14:textId="77777777" w:rsidR="000B7E7B" w:rsidRPr="00FA4573" w:rsidRDefault="000B7E7B" w:rsidP="00857FB6">
            <w:pPr>
              <w:spacing w:before="60" w:after="60"/>
            </w:pPr>
            <w:r w:rsidRPr="00FA4573">
              <w:t>Mr Tongning WU (China)</w:t>
            </w:r>
          </w:p>
        </w:tc>
      </w:tr>
      <w:tr w:rsidR="000B7E7B" w:rsidRPr="00FA4573" w14:paraId="366DF4DB" w14:textId="77777777" w:rsidTr="00857FB6">
        <w:trPr>
          <w:trHeight w:val="377"/>
        </w:trPr>
        <w:tc>
          <w:tcPr>
            <w:tcW w:w="4243" w:type="dxa"/>
            <w:hideMark/>
          </w:tcPr>
          <w:p w14:paraId="7B877CD3" w14:textId="77777777" w:rsidR="000B7E7B" w:rsidRPr="00FA4573" w:rsidRDefault="000B7E7B" w:rsidP="00857FB6">
            <w:pPr>
              <w:spacing w:before="60" w:after="60"/>
            </w:pPr>
            <w:r w:rsidRPr="00FA4573">
              <w:t>10. Inter-sectoral mappings</w:t>
            </w:r>
          </w:p>
        </w:tc>
        <w:tc>
          <w:tcPr>
            <w:tcW w:w="4819" w:type="dxa"/>
          </w:tcPr>
          <w:p w14:paraId="17CCB665" w14:textId="77777777" w:rsidR="000B7E7B" w:rsidRPr="00FA4573" w:rsidRDefault="000B7E7B" w:rsidP="00857FB6">
            <w:pPr>
              <w:spacing w:before="60" w:after="60"/>
            </w:pPr>
            <w:r w:rsidRPr="00FA4573">
              <w:t>Mr Haim MAZAR (ATDI, France)</w:t>
            </w:r>
          </w:p>
          <w:p w14:paraId="237E1164" w14:textId="77777777" w:rsidR="000B7E7B" w:rsidRPr="00FA4573" w:rsidRDefault="000B7E7B" w:rsidP="00857FB6">
            <w:pPr>
              <w:spacing w:before="60" w:after="60"/>
            </w:pPr>
            <w:r w:rsidRPr="00FA4573">
              <w:t>Mr Arseny PLOSSKY (Russian Federation)</w:t>
            </w:r>
          </w:p>
        </w:tc>
      </w:tr>
      <w:tr w:rsidR="000B7E7B" w:rsidRPr="00FA4573" w14:paraId="644A8253" w14:textId="77777777" w:rsidTr="00857FB6">
        <w:trPr>
          <w:trHeight w:val="368"/>
        </w:trPr>
        <w:tc>
          <w:tcPr>
            <w:tcW w:w="4243" w:type="dxa"/>
            <w:hideMark/>
          </w:tcPr>
          <w:p w14:paraId="335752FF" w14:textId="77777777" w:rsidR="000B7E7B" w:rsidRPr="00FA4573" w:rsidRDefault="000B7E7B" w:rsidP="00857FB6">
            <w:pPr>
              <w:spacing w:before="60" w:after="60"/>
            </w:pPr>
            <w:r w:rsidRPr="00FA4573">
              <w:t>11. Synergies of study Questions with ITU actions (</w:t>
            </w:r>
            <w:proofErr w:type="gramStart"/>
            <w:r w:rsidRPr="00FA4573">
              <w:t>e.g.</w:t>
            </w:r>
            <w:proofErr w:type="gramEnd"/>
            <w:r w:rsidRPr="00FA4573">
              <w:t xml:space="preserve"> projects)</w:t>
            </w:r>
          </w:p>
        </w:tc>
        <w:tc>
          <w:tcPr>
            <w:tcW w:w="4819" w:type="dxa"/>
          </w:tcPr>
          <w:p w14:paraId="3817C785" w14:textId="77777777" w:rsidR="000B7E7B" w:rsidRPr="00FA4573" w:rsidRDefault="000B7E7B" w:rsidP="00857FB6">
            <w:pPr>
              <w:spacing w:before="60" w:after="60"/>
            </w:pPr>
            <w:r w:rsidRPr="00FA4573">
              <w:t>Ms Zainab ARDO (Nigeria)</w:t>
            </w:r>
          </w:p>
          <w:p w14:paraId="034E0CB7" w14:textId="77777777" w:rsidR="000B7E7B" w:rsidRPr="00FA4573" w:rsidRDefault="000B7E7B" w:rsidP="00857FB6">
            <w:pPr>
              <w:spacing w:before="60" w:after="60"/>
            </w:pPr>
            <w:r w:rsidRPr="00FA4573">
              <w:t>Mr Mushfig GULUYEV (Azerbaijan)</w:t>
            </w:r>
          </w:p>
        </w:tc>
      </w:tr>
      <w:tr w:rsidR="000B7E7B" w:rsidRPr="00FA4573" w14:paraId="5D57081E" w14:textId="77777777" w:rsidTr="00857FB6">
        <w:trPr>
          <w:trHeight w:val="389"/>
        </w:trPr>
        <w:tc>
          <w:tcPr>
            <w:tcW w:w="4243" w:type="dxa"/>
            <w:hideMark/>
          </w:tcPr>
          <w:p w14:paraId="19768CB0" w14:textId="77777777" w:rsidR="000B7E7B" w:rsidRPr="00FA4573" w:rsidRDefault="000B7E7B" w:rsidP="00857FB6">
            <w:pPr>
              <w:spacing w:before="60" w:after="60"/>
            </w:pPr>
            <w:r w:rsidRPr="00FA4573">
              <w:t>12. Dashboard for monitoring Question progress</w:t>
            </w:r>
          </w:p>
        </w:tc>
        <w:tc>
          <w:tcPr>
            <w:tcW w:w="4819" w:type="dxa"/>
          </w:tcPr>
          <w:p w14:paraId="740000F2" w14:textId="77777777" w:rsidR="000B7E7B" w:rsidRPr="00FA4573" w:rsidRDefault="000B7E7B" w:rsidP="00857FB6">
            <w:pPr>
              <w:overflowPunct/>
              <w:autoSpaceDE/>
              <w:autoSpaceDN/>
              <w:adjustRightInd/>
              <w:spacing w:before="40" w:afterLines="40" w:after="96"/>
              <w:textAlignment w:val="auto"/>
              <w:rPr>
                <w:rFonts w:eastAsia="Malgun Gothic"/>
                <w:color w:val="A6A6A6" w:themeColor="background1" w:themeShade="A6"/>
                <w:lang w:eastAsia="ko-KR"/>
              </w:rPr>
            </w:pPr>
            <w:r w:rsidRPr="00FA4573">
              <w:rPr>
                <w:color w:val="A6A6A6" w:themeColor="background1" w:themeShade="A6"/>
              </w:rPr>
              <w:t>Q1/2, Q2/2: Mr Diyor RAJABOV (Uzbekistan)</w:t>
            </w:r>
            <w:r w:rsidRPr="00FA4573">
              <w:rPr>
                <w:rFonts w:eastAsia="Malgun Gothic"/>
                <w:color w:val="A6A6A6" w:themeColor="background1" w:themeShade="A6"/>
                <w:lang w:eastAsia="ko-KR"/>
              </w:rPr>
              <w:t xml:space="preserve"> (until </w:t>
            </w:r>
            <w:r w:rsidRPr="00FA4573">
              <w:rPr>
                <w:rFonts w:eastAsia="Malgun Gothic" w:hint="eastAsia"/>
                <w:color w:val="A6A6A6" w:themeColor="background1" w:themeShade="A6"/>
                <w:lang w:eastAsia="ko-KR"/>
              </w:rPr>
              <w:t xml:space="preserve">September </w:t>
            </w:r>
            <w:r w:rsidRPr="00FA4573">
              <w:rPr>
                <w:rFonts w:eastAsia="Malgun Gothic"/>
                <w:color w:val="A6A6A6" w:themeColor="background1" w:themeShade="A6"/>
                <w:lang w:eastAsia="ko-KR"/>
              </w:rPr>
              <w:t>2024)</w:t>
            </w:r>
          </w:p>
          <w:p w14:paraId="3F3128EB" w14:textId="77777777" w:rsidR="000B7E7B" w:rsidRPr="00FA4573" w:rsidRDefault="000B7E7B" w:rsidP="00857FB6">
            <w:pPr>
              <w:overflowPunct/>
              <w:autoSpaceDE/>
              <w:autoSpaceDN/>
              <w:adjustRightInd/>
              <w:spacing w:before="40" w:afterLines="40" w:after="96"/>
              <w:textAlignment w:val="auto"/>
              <w:rPr>
                <w:lang w:val="fr-FR"/>
              </w:rPr>
            </w:pPr>
            <w:r w:rsidRPr="00FA4573">
              <w:rPr>
                <w:lang w:val="fr-FR"/>
              </w:rPr>
              <w:t>Q3/2, Q5/2, Q6/</w:t>
            </w:r>
            <w:proofErr w:type="gramStart"/>
            <w:r w:rsidRPr="00FA4573">
              <w:rPr>
                <w:lang w:val="fr-FR"/>
              </w:rPr>
              <w:t>2:</w:t>
            </w:r>
            <w:proofErr w:type="gramEnd"/>
            <w:r w:rsidRPr="00FA4573">
              <w:rPr>
                <w:lang w:val="fr-FR"/>
              </w:rPr>
              <w:t xml:space="preserve"> Mr Dominique WÜRGES (France)</w:t>
            </w:r>
          </w:p>
          <w:p w14:paraId="5BFB9384" w14:textId="77777777" w:rsidR="000B7E7B" w:rsidRPr="00FA4573" w:rsidRDefault="000B7E7B" w:rsidP="00857FB6">
            <w:pPr>
              <w:overflowPunct/>
              <w:autoSpaceDE/>
              <w:autoSpaceDN/>
              <w:adjustRightInd/>
              <w:spacing w:before="40" w:afterLines="40" w:after="96"/>
              <w:textAlignment w:val="auto"/>
              <w:rPr>
                <w:lang w:val="en-US"/>
              </w:rPr>
            </w:pPr>
            <w:r w:rsidRPr="00FA4573">
              <w:rPr>
                <w:lang w:val="en-US"/>
              </w:rPr>
              <w:t xml:space="preserve">Q4/2, Q7/2: </w:t>
            </w:r>
            <w:r w:rsidRPr="00FA4573">
              <w:t>Mr Tongning WU (China)</w:t>
            </w:r>
          </w:p>
        </w:tc>
      </w:tr>
      <w:tr w:rsidR="000B7E7B" w:rsidRPr="00FA4573" w14:paraId="4D612DBD" w14:textId="77777777" w:rsidTr="00857FB6">
        <w:trPr>
          <w:trHeight w:val="389"/>
        </w:trPr>
        <w:tc>
          <w:tcPr>
            <w:tcW w:w="4243" w:type="dxa"/>
          </w:tcPr>
          <w:p w14:paraId="6EDF4694" w14:textId="77777777" w:rsidR="000B7E7B" w:rsidRPr="00FA4573" w:rsidRDefault="000B7E7B" w:rsidP="00857FB6">
            <w:pPr>
              <w:spacing w:before="60" w:after="60"/>
            </w:pPr>
            <w:r w:rsidRPr="00FA4573">
              <w:t>13. Coordination with TSAG Rapporteur Group on sustainable Digital Transformation (RG-DT)</w:t>
            </w:r>
          </w:p>
        </w:tc>
        <w:tc>
          <w:tcPr>
            <w:tcW w:w="4819" w:type="dxa"/>
          </w:tcPr>
          <w:p w14:paraId="06A39A40" w14:textId="77777777" w:rsidR="000B7E7B" w:rsidRPr="00FA4573" w:rsidRDefault="000B7E7B" w:rsidP="00857FB6">
            <w:pPr>
              <w:overflowPunct/>
              <w:autoSpaceDE/>
              <w:autoSpaceDN/>
              <w:adjustRightInd/>
              <w:spacing w:before="40" w:afterLines="40" w:after="96"/>
              <w:textAlignment w:val="auto"/>
              <w:rPr>
                <w:lang w:val="en-US"/>
              </w:rPr>
            </w:pPr>
            <w:r w:rsidRPr="00FA4573">
              <w:t>Mr Mohamed Lamine MINTHE (Guinea)</w:t>
            </w:r>
          </w:p>
        </w:tc>
      </w:tr>
      <w:tr w:rsidR="000B7E7B" w:rsidRPr="00FA4573" w14:paraId="22BD76C1" w14:textId="77777777" w:rsidTr="00857FB6">
        <w:trPr>
          <w:trHeight w:val="389"/>
        </w:trPr>
        <w:tc>
          <w:tcPr>
            <w:tcW w:w="4243" w:type="dxa"/>
          </w:tcPr>
          <w:p w14:paraId="2424971C" w14:textId="77777777" w:rsidR="000B7E7B" w:rsidRPr="00FA4573" w:rsidRDefault="000B7E7B" w:rsidP="00857FB6">
            <w:pPr>
              <w:spacing w:before="60" w:after="60"/>
            </w:pPr>
            <w:r w:rsidRPr="00FA4573">
              <w:t>1</w:t>
            </w:r>
            <w:r w:rsidRPr="00FA4573">
              <w:rPr>
                <w:rFonts w:hint="eastAsia"/>
                <w:lang w:eastAsia="ko-KR"/>
              </w:rPr>
              <w:t>4</w:t>
            </w:r>
            <w:r w:rsidRPr="00FA4573">
              <w:t xml:space="preserve">. Future </w:t>
            </w:r>
            <w:r w:rsidRPr="00FA4573">
              <w:rPr>
                <w:rFonts w:hint="eastAsia"/>
                <w:lang w:eastAsia="ko-KR"/>
              </w:rPr>
              <w:t>s</w:t>
            </w:r>
            <w:r w:rsidRPr="00FA4573">
              <w:t>tudy Questions</w:t>
            </w:r>
          </w:p>
        </w:tc>
        <w:tc>
          <w:tcPr>
            <w:tcW w:w="4819" w:type="dxa"/>
          </w:tcPr>
          <w:p w14:paraId="2AC5D2C8" w14:textId="77777777" w:rsidR="000B7E7B" w:rsidRPr="00FA4573" w:rsidRDefault="000B7E7B" w:rsidP="00857FB6">
            <w:pPr>
              <w:overflowPunct/>
              <w:autoSpaceDE/>
              <w:autoSpaceDN/>
              <w:adjustRightInd/>
              <w:spacing w:before="40" w:afterLines="40" w:after="96"/>
              <w:textAlignment w:val="auto"/>
              <w:rPr>
                <w:rFonts w:eastAsia="Malgun Gothic"/>
                <w:color w:val="A6A6A6" w:themeColor="background1" w:themeShade="A6"/>
                <w:lang w:eastAsia="ko-KR"/>
              </w:rPr>
            </w:pPr>
            <w:r w:rsidRPr="00FA4573">
              <w:rPr>
                <w:color w:val="A6A6A6" w:themeColor="background1" w:themeShade="A6"/>
              </w:rPr>
              <w:t>Mr Abdelaziz ALZAROONI (UAE)</w:t>
            </w:r>
            <w:r w:rsidRPr="00FA4573">
              <w:rPr>
                <w:rFonts w:eastAsia="Malgun Gothic" w:hint="eastAsia"/>
                <w:color w:val="A6A6A6" w:themeColor="background1" w:themeShade="A6"/>
                <w:lang w:eastAsia="ko-KR"/>
              </w:rPr>
              <w:t xml:space="preserve"> (until December 2024)</w:t>
            </w:r>
          </w:p>
          <w:p w14:paraId="023412AF" w14:textId="77777777" w:rsidR="000B7E7B" w:rsidRPr="00FA4573" w:rsidRDefault="000B7E7B" w:rsidP="00857FB6">
            <w:pPr>
              <w:overflowPunct/>
              <w:autoSpaceDE/>
              <w:autoSpaceDN/>
              <w:adjustRightInd/>
              <w:spacing w:before="40" w:afterLines="40" w:after="96"/>
              <w:textAlignment w:val="auto"/>
              <w:rPr>
                <w:rFonts w:eastAsia="Malgun Gothic"/>
                <w:lang w:eastAsia="ko-KR"/>
              </w:rPr>
            </w:pPr>
            <w:r w:rsidRPr="00FA4573">
              <w:t>Mr Victor Antonio MARTÍNEZ SÁNCHEZ (Paraguay)</w:t>
            </w:r>
            <w:r w:rsidRPr="00FA4573">
              <w:rPr>
                <w:rFonts w:eastAsia="Malgun Gothic" w:hint="eastAsia"/>
                <w:lang w:eastAsia="ko-KR"/>
              </w:rPr>
              <w:t xml:space="preserve"> (from January 2025)</w:t>
            </w:r>
          </w:p>
        </w:tc>
      </w:tr>
    </w:tbl>
    <w:p w14:paraId="59817FEA" w14:textId="77777777" w:rsidR="000B7E7B" w:rsidRPr="00FA4573" w:rsidRDefault="000B7E7B" w:rsidP="000B7E7B">
      <w:pPr>
        <w:tabs>
          <w:tab w:val="clear" w:pos="1134"/>
          <w:tab w:val="clear" w:pos="1871"/>
          <w:tab w:val="clear" w:pos="2268"/>
        </w:tabs>
        <w:overflowPunct/>
        <w:autoSpaceDE/>
        <w:autoSpaceDN/>
        <w:adjustRightInd/>
        <w:spacing w:before="0"/>
        <w:textAlignment w:val="auto"/>
        <w:rPr>
          <w:b/>
          <w:bCs/>
        </w:rPr>
      </w:pPr>
      <w:r w:rsidRPr="00FA4573">
        <w:rPr>
          <w:b/>
          <w:bCs/>
        </w:rPr>
        <w:br w:type="page"/>
      </w:r>
    </w:p>
    <w:p w14:paraId="58150E85" w14:textId="77777777" w:rsidR="000B7E7B" w:rsidRPr="00FA4573" w:rsidRDefault="000B7E7B" w:rsidP="000B7E7B">
      <w:pPr>
        <w:overflowPunct/>
        <w:autoSpaceDE/>
        <w:autoSpaceDN/>
        <w:adjustRightInd/>
        <w:spacing w:after="120"/>
        <w:textAlignment w:val="auto"/>
        <w:rPr>
          <w:b/>
          <w:bCs/>
        </w:rPr>
      </w:pPr>
      <w:r w:rsidRPr="00FA4573">
        <w:rPr>
          <w:b/>
          <w:bCs/>
        </w:rPr>
        <w:lastRenderedPageBreak/>
        <w:t>Annex 3: ITU-D Study Group 2</w:t>
      </w:r>
      <w:r w:rsidRPr="00FA4573">
        <w:rPr>
          <w:rFonts w:eastAsia="Malgun Gothic" w:hint="eastAsia"/>
          <w:b/>
          <w:bCs/>
          <w:lang w:eastAsia="ko-KR"/>
        </w:rPr>
        <w:t xml:space="preserve"> meetings and </w:t>
      </w:r>
      <w:r w:rsidRPr="00FA4573">
        <w:rPr>
          <w:b/>
          <w:bCs/>
        </w:rPr>
        <w:t>Rapporteur Group meetings (20</w:t>
      </w:r>
      <w:r w:rsidRPr="00FA4573">
        <w:rPr>
          <w:rFonts w:eastAsia="Malgun Gothic" w:hint="eastAsia"/>
          <w:b/>
          <w:bCs/>
          <w:lang w:eastAsia="ko-KR"/>
        </w:rPr>
        <w:t>22</w:t>
      </w:r>
      <w:r w:rsidRPr="00FA4573">
        <w:rPr>
          <w:b/>
          <w:bCs/>
        </w:rPr>
        <w:t>-202</w:t>
      </w:r>
      <w:r w:rsidRPr="00FA4573">
        <w:rPr>
          <w:rFonts w:eastAsia="Malgun Gothic" w:hint="eastAsia"/>
          <w:b/>
          <w:bCs/>
          <w:lang w:eastAsia="ko-KR"/>
        </w:rPr>
        <w:t>5</w:t>
      </w:r>
      <w:r w:rsidRPr="00FA4573">
        <w:rPr>
          <w:b/>
          <w:bCs/>
        </w:rPr>
        <w:t>)</w:t>
      </w:r>
    </w:p>
    <w:p w14:paraId="3ADAEE57" w14:textId="77777777" w:rsidR="000B7E7B" w:rsidRPr="00FA4573" w:rsidRDefault="000B7E7B" w:rsidP="000B7E7B">
      <w:pPr>
        <w:spacing w:after="120"/>
        <w:rPr>
          <w:b/>
          <w:bCs/>
        </w:rPr>
      </w:pPr>
      <w:r w:rsidRPr="00FA4573">
        <w:rPr>
          <w:b/>
          <w:szCs w:val="24"/>
        </w:rPr>
        <w:t>Table 4A: List of ITU-D Study Group 2 and Rapporteur Group meetings</w:t>
      </w:r>
      <w:r w:rsidRPr="00FA4573">
        <w:rPr>
          <w:bCs/>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1"/>
      </w:tblGrid>
      <w:tr w:rsidR="000B7E7B" w:rsidRPr="00FA4573" w14:paraId="3D5E7E41" w14:textId="77777777" w:rsidTr="00857FB6">
        <w:trPr>
          <w:tblHeader/>
          <w:jc w:val="center"/>
        </w:trPr>
        <w:tc>
          <w:tcPr>
            <w:tcW w:w="2647" w:type="pct"/>
            <w:tcBorders>
              <w:bottom w:val="single" w:sz="4" w:space="0" w:color="auto"/>
            </w:tcBorders>
            <w:shd w:val="clear" w:color="auto" w:fill="5B9BD5"/>
          </w:tcPr>
          <w:p w14:paraId="7BF65A44" w14:textId="77777777" w:rsidR="000B7E7B" w:rsidRPr="00FA4573" w:rsidRDefault="000B7E7B" w:rsidP="00857FB6">
            <w:pPr>
              <w:spacing w:before="20" w:after="20"/>
              <w:rPr>
                <w:b/>
                <w:sz w:val="22"/>
                <w:szCs w:val="22"/>
              </w:rPr>
            </w:pPr>
            <w:r w:rsidRPr="00FA4573">
              <w:rPr>
                <w:b/>
                <w:bCs/>
                <w:sz w:val="22"/>
                <w:szCs w:val="22"/>
              </w:rPr>
              <w:t>Study Group / Rapporteur Group meeting</w:t>
            </w:r>
          </w:p>
        </w:tc>
        <w:tc>
          <w:tcPr>
            <w:tcW w:w="2353" w:type="pct"/>
            <w:tcBorders>
              <w:bottom w:val="single" w:sz="4" w:space="0" w:color="auto"/>
            </w:tcBorders>
            <w:shd w:val="clear" w:color="auto" w:fill="5B9BD5"/>
          </w:tcPr>
          <w:p w14:paraId="34F1DAAA" w14:textId="77777777" w:rsidR="000B7E7B" w:rsidRPr="00FA4573" w:rsidRDefault="000B7E7B" w:rsidP="00857FB6">
            <w:pPr>
              <w:spacing w:before="20" w:after="20"/>
              <w:rPr>
                <w:b/>
                <w:sz w:val="22"/>
                <w:szCs w:val="22"/>
              </w:rPr>
            </w:pPr>
            <w:r w:rsidRPr="00FA4573">
              <w:rPr>
                <w:b/>
                <w:sz w:val="22"/>
                <w:szCs w:val="22"/>
              </w:rPr>
              <w:t>Date and location</w:t>
            </w:r>
          </w:p>
        </w:tc>
      </w:tr>
      <w:tr w:rsidR="000B7E7B" w:rsidRPr="00FA4573" w14:paraId="6749ABCA" w14:textId="77777777" w:rsidTr="00857FB6">
        <w:trPr>
          <w:jc w:val="center"/>
        </w:trPr>
        <w:tc>
          <w:tcPr>
            <w:tcW w:w="2647" w:type="pct"/>
            <w:shd w:val="clear" w:color="auto" w:fill="D9D9D9" w:themeFill="background1" w:themeFillShade="D9"/>
          </w:tcPr>
          <w:p w14:paraId="6D1E5CED" w14:textId="77777777" w:rsidR="000B7E7B" w:rsidRPr="00FA4573" w:rsidRDefault="000B7E7B" w:rsidP="00857FB6">
            <w:pPr>
              <w:spacing w:before="20" w:after="20"/>
              <w:rPr>
                <w:b/>
                <w:sz w:val="22"/>
                <w:szCs w:val="22"/>
              </w:rPr>
            </w:pPr>
            <w:r w:rsidRPr="00FA4573">
              <w:rPr>
                <w:b/>
                <w:sz w:val="22"/>
                <w:szCs w:val="22"/>
              </w:rPr>
              <w:t>Study Group 2 meetings</w:t>
            </w:r>
          </w:p>
        </w:tc>
        <w:tc>
          <w:tcPr>
            <w:tcW w:w="2353" w:type="pct"/>
            <w:shd w:val="clear" w:color="auto" w:fill="D9D9D9" w:themeFill="background1" w:themeFillShade="D9"/>
          </w:tcPr>
          <w:p w14:paraId="40DFDDB8" w14:textId="77777777" w:rsidR="000B7E7B" w:rsidRPr="00FA4573" w:rsidRDefault="000B7E7B" w:rsidP="00857FB6">
            <w:pPr>
              <w:spacing w:before="20" w:after="20"/>
              <w:rPr>
                <w:b/>
                <w:sz w:val="22"/>
                <w:szCs w:val="22"/>
              </w:rPr>
            </w:pPr>
          </w:p>
        </w:tc>
      </w:tr>
      <w:tr w:rsidR="000B7E7B" w:rsidRPr="00FA4573" w14:paraId="30722541" w14:textId="77777777" w:rsidTr="00857FB6">
        <w:trPr>
          <w:jc w:val="center"/>
        </w:trPr>
        <w:tc>
          <w:tcPr>
            <w:tcW w:w="2647" w:type="pct"/>
          </w:tcPr>
          <w:p w14:paraId="10505D52" w14:textId="77777777" w:rsidR="000B7E7B" w:rsidRPr="00FA4573" w:rsidRDefault="00895CEE" w:rsidP="00857FB6">
            <w:pPr>
              <w:spacing w:before="20" w:after="20"/>
              <w:rPr>
                <w:sz w:val="22"/>
                <w:szCs w:val="22"/>
              </w:rPr>
            </w:pPr>
            <w:hyperlink r:id="rId138" w:history="1">
              <w:r w:rsidR="000B7E7B" w:rsidRPr="00FA4573">
                <w:rPr>
                  <w:rStyle w:val="Hyperlink"/>
                  <w:rFonts w:cs="Simplified Arabic"/>
                  <w:sz w:val="22"/>
                  <w:szCs w:val="22"/>
                </w:rPr>
                <w:t>Fourth meeting of ITU-D Study Group 2</w:t>
              </w:r>
            </w:hyperlink>
          </w:p>
        </w:tc>
        <w:tc>
          <w:tcPr>
            <w:tcW w:w="2353" w:type="pct"/>
          </w:tcPr>
          <w:p w14:paraId="7618CCB5" w14:textId="77777777" w:rsidR="000B7E7B" w:rsidRPr="00FA4573" w:rsidRDefault="000B7E7B" w:rsidP="00857FB6">
            <w:pPr>
              <w:spacing w:before="20" w:after="20"/>
              <w:rPr>
                <w:sz w:val="22"/>
                <w:szCs w:val="22"/>
              </w:rPr>
            </w:pPr>
            <w:r w:rsidRPr="00FA4573">
              <w:rPr>
                <w:rFonts w:eastAsia="Malgun Gothic" w:hint="eastAsia"/>
                <w:sz w:val="22"/>
                <w:szCs w:val="22"/>
                <w:lang w:eastAsia="ko-KR"/>
              </w:rPr>
              <w:t>5-9 May 2025</w:t>
            </w:r>
            <w:r w:rsidRPr="00FA4573">
              <w:rPr>
                <w:sz w:val="22"/>
                <w:szCs w:val="22"/>
              </w:rPr>
              <w:t>, Switzerland [Geneva]</w:t>
            </w:r>
          </w:p>
        </w:tc>
      </w:tr>
      <w:tr w:rsidR="000B7E7B" w:rsidRPr="00FA4573" w14:paraId="06DBE1F3" w14:textId="77777777" w:rsidTr="00857FB6">
        <w:trPr>
          <w:jc w:val="center"/>
        </w:trPr>
        <w:tc>
          <w:tcPr>
            <w:tcW w:w="2647" w:type="pct"/>
          </w:tcPr>
          <w:p w14:paraId="260BFEDD" w14:textId="77777777" w:rsidR="000B7E7B" w:rsidRPr="00FA4573" w:rsidRDefault="00895CEE" w:rsidP="00857FB6">
            <w:pPr>
              <w:spacing w:before="20" w:after="20"/>
              <w:rPr>
                <w:sz w:val="22"/>
                <w:szCs w:val="22"/>
              </w:rPr>
            </w:pPr>
            <w:hyperlink r:id="rId139" w:history="1">
              <w:r w:rsidR="000B7E7B" w:rsidRPr="00FA4573">
                <w:rPr>
                  <w:rStyle w:val="Hyperlink"/>
                  <w:rFonts w:cs="Simplified Arabic"/>
                  <w:sz w:val="22"/>
                  <w:szCs w:val="22"/>
                </w:rPr>
                <w:t>Third meeting of ITU-D Study Group 2</w:t>
              </w:r>
            </w:hyperlink>
          </w:p>
        </w:tc>
        <w:tc>
          <w:tcPr>
            <w:tcW w:w="2353" w:type="pct"/>
          </w:tcPr>
          <w:p w14:paraId="353D2C5E" w14:textId="77777777" w:rsidR="000B7E7B" w:rsidRPr="00FA4573" w:rsidRDefault="000B7E7B" w:rsidP="00857FB6">
            <w:pPr>
              <w:spacing w:before="20" w:after="20"/>
              <w:rPr>
                <w:sz w:val="22"/>
                <w:szCs w:val="22"/>
              </w:rPr>
            </w:pPr>
            <w:r w:rsidRPr="00FA4573">
              <w:rPr>
                <w:rFonts w:eastAsia="Malgun Gothic" w:hint="eastAsia"/>
                <w:sz w:val="22"/>
                <w:szCs w:val="22"/>
                <w:lang w:eastAsia="ko-KR"/>
              </w:rPr>
              <w:t>11-15 November 2024</w:t>
            </w:r>
            <w:r w:rsidRPr="00FA4573">
              <w:rPr>
                <w:sz w:val="22"/>
                <w:szCs w:val="22"/>
              </w:rPr>
              <w:t>, Switzerland [Geneva]</w:t>
            </w:r>
          </w:p>
        </w:tc>
      </w:tr>
      <w:tr w:rsidR="000B7E7B" w:rsidRPr="00FA4573" w14:paraId="6C6B845E" w14:textId="77777777" w:rsidTr="00857FB6">
        <w:trPr>
          <w:jc w:val="center"/>
        </w:trPr>
        <w:tc>
          <w:tcPr>
            <w:tcW w:w="2647" w:type="pct"/>
          </w:tcPr>
          <w:p w14:paraId="3C77EBEA" w14:textId="77777777" w:rsidR="000B7E7B" w:rsidRPr="00FA4573" w:rsidRDefault="00895CEE" w:rsidP="00857FB6">
            <w:pPr>
              <w:spacing w:before="20" w:after="20"/>
              <w:rPr>
                <w:sz w:val="22"/>
                <w:szCs w:val="22"/>
              </w:rPr>
            </w:pPr>
            <w:hyperlink r:id="rId140" w:history="1">
              <w:r w:rsidR="000B7E7B" w:rsidRPr="00FA4573">
                <w:rPr>
                  <w:rStyle w:val="Hyperlink"/>
                  <w:rFonts w:cs="Simplified Arabic"/>
                  <w:sz w:val="22"/>
                  <w:szCs w:val="22"/>
                </w:rPr>
                <w:t>Second meeting of ITU-D Study Group 2</w:t>
              </w:r>
            </w:hyperlink>
          </w:p>
        </w:tc>
        <w:tc>
          <w:tcPr>
            <w:tcW w:w="2353" w:type="pct"/>
          </w:tcPr>
          <w:p w14:paraId="5FA2322B" w14:textId="77777777" w:rsidR="000B7E7B" w:rsidRPr="00FA4573" w:rsidRDefault="000B7E7B" w:rsidP="00857FB6">
            <w:pPr>
              <w:spacing w:before="20" w:after="20"/>
              <w:rPr>
                <w:sz w:val="22"/>
                <w:szCs w:val="22"/>
              </w:rPr>
            </w:pPr>
            <w:r w:rsidRPr="00FA4573">
              <w:rPr>
                <w:rFonts w:eastAsia="Malgun Gothic" w:hint="eastAsia"/>
                <w:sz w:val="22"/>
                <w:szCs w:val="22"/>
                <w:lang w:eastAsia="ko-KR"/>
              </w:rPr>
              <w:t xml:space="preserve">30 Oct </w:t>
            </w:r>
            <w:r w:rsidRPr="00FA4573">
              <w:rPr>
                <w:rFonts w:eastAsia="Malgun Gothic"/>
                <w:sz w:val="22"/>
                <w:szCs w:val="22"/>
                <w:lang w:eastAsia="ko-KR"/>
              </w:rPr>
              <w:t>–</w:t>
            </w:r>
            <w:r w:rsidRPr="00FA4573">
              <w:rPr>
                <w:rFonts w:eastAsia="Malgun Gothic" w:hint="eastAsia"/>
                <w:sz w:val="22"/>
                <w:szCs w:val="22"/>
                <w:lang w:eastAsia="ko-KR"/>
              </w:rPr>
              <w:t xml:space="preserve"> 3 Nov 2023</w:t>
            </w:r>
            <w:r w:rsidRPr="00FA4573">
              <w:rPr>
                <w:sz w:val="22"/>
                <w:szCs w:val="22"/>
              </w:rPr>
              <w:t>, Switzerland [Geneva]</w:t>
            </w:r>
          </w:p>
        </w:tc>
      </w:tr>
      <w:tr w:rsidR="000B7E7B" w:rsidRPr="00FA4573" w14:paraId="50A1EF33" w14:textId="77777777" w:rsidTr="00857FB6">
        <w:trPr>
          <w:jc w:val="center"/>
        </w:trPr>
        <w:tc>
          <w:tcPr>
            <w:tcW w:w="2647" w:type="pct"/>
            <w:tcBorders>
              <w:bottom w:val="single" w:sz="4" w:space="0" w:color="auto"/>
            </w:tcBorders>
          </w:tcPr>
          <w:p w14:paraId="73C207CD" w14:textId="77777777" w:rsidR="000B7E7B" w:rsidRPr="00FA4573" w:rsidRDefault="00895CEE" w:rsidP="00857FB6">
            <w:pPr>
              <w:spacing w:before="20" w:after="20"/>
              <w:rPr>
                <w:sz w:val="22"/>
                <w:szCs w:val="22"/>
              </w:rPr>
            </w:pPr>
            <w:hyperlink r:id="rId141" w:history="1">
              <w:r w:rsidR="000B7E7B" w:rsidRPr="00FA4573">
                <w:rPr>
                  <w:rStyle w:val="Hyperlink"/>
                  <w:rFonts w:cs="Simplified Arabic"/>
                  <w:sz w:val="22"/>
                  <w:szCs w:val="22"/>
                </w:rPr>
                <w:t>First meeting of ITU-D Study Group 2</w:t>
              </w:r>
            </w:hyperlink>
          </w:p>
        </w:tc>
        <w:tc>
          <w:tcPr>
            <w:tcW w:w="2353" w:type="pct"/>
            <w:tcBorders>
              <w:bottom w:val="single" w:sz="4" w:space="0" w:color="auto"/>
            </w:tcBorders>
          </w:tcPr>
          <w:p w14:paraId="75B234D6" w14:textId="77777777" w:rsidR="000B7E7B" w:rsidRPr="00FA4573" w:rsidRDefault="000B7E7B" w:rsidP="00857FB6">
            <w:pPr>
              <w:spacing w:before="20" w:after="20"/>
              <w:rPr>
                <w:sz w:val="22"/>
                <w:szCs w:val="22"/>
              </w:rPr>
            </w:pPr>
            <w:r w:rsidRPr="00FA4573">
              <w:rPr>
                <w:rFonts w:eastAsia="Malgun Gothic" w:hint="eastAsia"/>
                <w:sz w:val="22"/>
                <w:szCs w:val="22"/>
                <w:lang w:eastAsia="ko-KR"/>
              </w:rPr>
              <w:t>5-9 December 2022</w:t>
            </w:r>
            <w:r w:rsidRPr="00FA4573">
              <w:rPr>
                <w:sz w:val="22"/>
                <w:szCs w:val="22"/>
              </w:rPr>
              <w:t>, Switzerland [Geneva]</w:t>
            </w:r>
          </w:p>
        </w:tc>
      </w:tr>
      <w:tr w:rsidR="000B7E7B" w:rsidRPr="00FA4573" w14:paraId="456450F8" w14:textId="77777777" w:rsidTr="00857FB6">
        <w:trPr>
          <w:jc w:val="center"/>
        </w:trPr>
        <w:tc>
          <w:tcPr>
            <w:tcW w:w="2647" w:type="pct"/>
            <w:shd w:val="clear" w:color="auto" w:fill="D9D9D9" w:themeFill="background1" w:themeFillShade="D9"/>
          </w:tcPr>
          <w:p w14:paraId="6F62624C" w14:textId="77777777" w:rsidR="000B7E7B" w:rsidRPr="00FA4573" w:rsidRDefault="000B7E7B" w:rsidP="00857FB6">
            <w:pPr>
              <w:spacing w:before="20" w:after="20"/>
              <w:rPr>
                <w:b/>
                <w:sz w:val="22"/>
                <w:szCs w:val="22"/>
              </w:rPr>
            </w:pPr>
            <w:r w:rsidRPr="00FA4573">
              <w:rPr>
                <w:b/>
                <w:sz w:val="22"/>
                <w:szCs w:val="22"/>
              </w:rPr>
              <w:t>Rapporteur Group meetings</w:t>
            </w:r>
          </w:p>
        </w:tc>
        <w:tc>
          <w:tcPr>
            <w:tcW w:w="2353" w:type="pct"/>
            <w:shd w:val="clear" w:color="auto" w:fill="D9D9D9" w:themeFill="background1" w:themeFillShade="D9"/>
          </w:tcPr>
          <w:p w14:paraId="2C61F798" w14:textId="77777777" w:rsidR="000B7E7B" w:rsidRPr="00FA4573" w:rsidRDefault="000B7E7B" w:rsidP="00857FB6">
            <w:pPr>
              <w:spacing w:before="20" w:after="20"/>
              <w:rPr>
                <w:b/>
                <w:sz w:val="22"/>
                <w:szCs w:val="22"/>
              </w:rPr>
            </w:pPr>
          </w:p>
        </w:tc>
      </w:tr>
      <w:tr w:rsidR="000B7E7B" w:rsidRPr="00FA4573" w14:paraId="454D61E2" w14:textId="77777777" w:rsidTr="00857FB6">
        <w:trPr>
          <w:jc w:val="center"/>
        </w:trPr>
        <w:tc>
          <w:tcPr>
            <w:tcW w:w="2647" w:type="pct"/>
          </w:tcPr>
          <w:p w14:paraId="34831043" w14:textId="77777777" w:rsidR="000B7E7B" w:rsidRPr="00FA4573" w:rsidRDefault="00895CEE" w:rsidP="00857FB6">
            <w:pPr>
              <w:spacing w:before="20" w:after="20"/>
              <w:rPr>
                <w:sz w:val="22"/>
                <w:szCs w:val="18"/>
              </w:rPr>
            </w:pPr>
            <w:hyperlink r:id="rId142" w:history="1">
              <w:r w:rsidR="000B7E7B" w:rsidRPr="00FA4573">
                <w:rPr>
                  <w:rStyle w:val="Hyperlink"/>
                  <w:rFonts w:ascii="Calibri" w:hAnsi="Calibri" w:cs="Calibri"/>
                  <w:sz w:val="22"/>
                  <w:szCs w:val="18"/>
                  <w:shd w:val="clear" w:color="auto" w:fill="FFFFFF"/>
                </w:rPr>
                <w:t>Rapporteur Group meetings</w:t>
              </w:r>
            </w:hyperlink>
          </w:p>
        </w:tc>
        <w:tc>
          <w:tcPr>
            <w:tcW w:w="2353" w:type="pct"/>
          </w:tcPr>
          <w:p w14:paraId="2313AFD6" w14:textId="77777777" w:rsidR="000B7E7B" w:rsidRPr="00FA4573" w:rsidRDefault="000B7E7B" w:rsidP="00857FB6">
            <w:pPr>
              <w:spacing w:before="20" w:after="20"/>
              <w:rPr>
                <w:sz w:val="22"/>
                <w:szCs w:val="22"/>
              </w:rPr>
            </w:pPr>
            <w:r w:rsidRPr="00FA4573">
              <w:rPr>
                <w:rFonts w:eastAsia="Malgun Gothic" w:hint="eastAsia"/>
                <w:sz w:val="22"/>
                <w:szCs w:val="22"/>
                <w:lang w:eastAsia="ko-KR"/>
              </w:rPr>
              <w:t xml:space="preserve">29 April </w:t>
            </w:r>
            <w:r w:rsidRPr="00FA4573">
              <w:rPr>
                <w:rFonts w:eastAsia="Malgun Gothic"/>
                <w:sz w:val="22"/>
                <w:szCs w:val="22"/>
                <w:lang w:eastAsia="ko-KR"/>
              </w:rPr>
              <w:t>–</w:t>
            </w:r>
            <w:r w:rsidRPr="00FA4573">
              <w:rPr>
                <w:rFonts w:eastAsia="Malgun Gothic" w:hint="eastAsia"/>
                <w:sz w:val="22"/>
                <w:szCs w:val="22"/>
                <w:lang w:eastAsia="ko-KR"/>
              </w:rPr>
              <w:t xml:space="preserve"> 10 May 2024</w:t>
            </w:r>
            <w:r w:rsidRPr="00FA4573">
              <w:rPr>
                <w:sz w:val="22"/>
                <w:szCs w:val="22"/>
              </w:rPr>
              <w:t>, Switzerland [Geneva]</w:t>
            </w:r>
          </w:p>
        </w:tc>
      </w:tr>
      <w:tr w:rsidR="000B7E7B" w:rsidRPr="00FA4573" w14:paraId="1D381EDA" w14:textId="77777777" w:rsidTr="00857FB6">
        <w:trPr>
          <w:trHeight w:val="252"/>
          <w:jc w:val="center"/>
        </w:trPr>
        <w:tc>
          <w:tcPr>
            <w:tcW w:w="2647" w:type="pct"/>
          </w:tcPr>
          <w:p w14:paraId="44B0FD55" w14:textId="77777777" w:rsidR="000B7E7B" w:rsidRPr="00FA4573" w:rsidRDefault="00895CEE" w:rsidP="00857FB6">
            <w:pPr>
              <w:spacing w:before="20" w:after="20"/>
              <w:rPr>
                <w:sz w:val="22"/>
                <w:szCs w:val="18"/>
              </w:rPr>
            </w:pPr>
            <w:hyperlink r:id="rId143" w:history="1">
              <w:r w:rsidR="000B7E7B" w:rsidRPr="00FA4573">
                <w:rPr>
                  <w:rStyle w:val="Hyperlink"/>
                  <w:rFonts w:ascii="Calibri" w:hAnsi="Calibri" w:cs="Calibri"/>
                  <w:sz w:val="22"/>
                  <w:szCs w:val="18"/>
                  <w:shd w:val="clear" w:color="auto" w:fill="FFFFFF"/>
                </w:rPr>
                <w:t>Rapporteur Group meetings</w:t>
              </w:r>
            </w:hyperlink>
          </w:p>
        </w:tc>
        <w:tc>
          <w:tcPr>
            <w:tcW w:w="2353" w:type="pct"/>
          </w:tcPr>
          <w:p w14:paraId="54F384BD" w14:textId="77777777" w:rsidR="000B7E7B" w:rsidRPr="00FA4573" w:rsidRDefault="000B7E7B" w:rsidP="00857FB6">
            <w:pPr>
              <w:spacing w:before="20" w:after="20"/>
              <w:rPr>
                <w:sz w:val="22"/>
                <w:szCs w:val="22"/>
              </w:rPr>
            </w:pPr>
            <w:r w:rsidRPr="00FA4573">
              <w:rPr>
                <w:rFonts w:eastAsia="Malgun Gothic" w:hint="eastAsia"/>
                <w:sz w:val="22"/>
                <w:szCs w:val="22"/>
                <w:lang w:eastAsia="ko-KR"/>
              </w:rPr>
              <w:t xml:space="preserve">22 May </w:t>
            </w:r>
            <w:r w:rsidRPr="00FA4573">
              <w:rPr>
                <w:rFonts w:eastAsia="Malgun Gothic"/>
                <w:sz w:val="22"/>
                <w:szCs w:val="22"/>
                <w:lang w:eastAsia="ko-KR"/>
              </w:rPr>
              <w:t>–</w:t>
            </w:r>
            <w:r w:rsidRPr="00FA4573">
              <w:rPr>
                <w:rFonts w:eastAsia="Malgun Gothic" w:hint="eastAsia"/>
                <w:sz w:val="22"/>
                <w:szCs w:val="22"/>
                <w:lang w:eastAsia="ko-KR"/>
              </w:rPr>
              <w:t xml:space="preserve"> 2 June 2023</w:t>
            </w:r>
            <w:r w:rsidRPr="00FA4573">
              <w:rPr>
                <w:sz w:val="22"/>
                <w:szCs w:val="22"/>
              </w:rPr>
              <w:t>, Switzerland [Geneva]</w:t>
            </w:r>
          </w:p>
        </w:tc>
      </w:tr>
    </w:tbl>
    <w:p w14:paraId="0D046305" w14:textId="77777777" w:rsidR="000B7E7B" w:rsidRPr="00FA4573" w:rsidRDefault="000B7E7B" w:rsidP="000B7E7B">
      <w:pPr>
        <w:spacing w:after="120"/>
        <w:rPr>
          <w:rStyle w:val="Hyperlink"/>
          <w:rFonts w:eastAsia="Malgun Gothic"/>
          <w:lang w:eastAsia="ko-KR"/>
        </w:rPr>
      </w:pPr>
      <w:r w:rsidRPr="00FA4573">
        <w:t xml:space="preserve">All associated workshops and webinars are detailed in the ITU-D study groups website on the page dedicated to workshops and other events (see </w:t>
      </w:r>
      <w:hyperlink r:id="rId144" w:history="1">
        <w:r w:rsidRPr="00FA4573">
          <w:rPr>
            <w:rStyle w:val="Hyperlink"/>
          </w:rPr>
          <w:t>https://www.itu.int/en/ITU-D/Study-Groups/2022-2025/Pages/events_workshops.aspx</w:t>
        </w:r>
      </w:hyperlink>
      <w:r w:rsidRPr="00FA4573">
        <w:rPr>
          <w:rStyle w:val="Hyperlink"/>
        </w:rPr>
        <w:t>).</w:t>
      </w:r>
    </w:p>
    <w:p w14:paraId="7C5777C7" w14:textId="77777777" w:rsidR="000B7E7B" w:rsidRPr="00FA4573" w:rsidRDefault="000B7E7B" w:rsidP="000B7E7B">
      <w:pPr>
        <w:tabs>
          <w:tab w:val="clear" w:pos="1134"/>
          <w:tab w:val="clear" w:pos="1871"/>
          <w:tab w:val="clear" w:pos="2268"/>
        </w:tabs>
        <w:overflowPunct/>
        <w:autoSpaceDE/>
        <w:autoSpaceDN/>
        <w:adjustRightInd/>
        <w:spacing w:before="0"/>
        <w:textAlignment w:val="auto"/>
      </w:pPr>
      <w:r w:rsidRPr="00FA4573">
        <w:br w:type="page"/>
      </w:r>
    </w:p>
    <w:p w14:paraId="429AF9A4" w14:textId="77777777" w:rsidR="000B7E7B" w:rsidRPr="00FA4573" w:rsidRDefault="000B7E7B" w:rsidP="000B7E7B">
      <w:pPr>
        <w:overflowPunct/>
        <w:autoSpaceDE/>
        <w:autoSpaceDN/>
        <w:adjustRightInd/>
        <w:spacing w:after="120"/>
        <w:textAlignment w:val="auto"/>
        <w:rPr>
          <w:b/>
          <w:bCs/>
        </w:rPr>
      </w:pPr>
      <w:r w:rsidRPr="00FA4573">
        <w:rPr>
          <w:b/>
          <w:bCs/>
        </w:rPr>
        <w:lastRenderedPageBreak/>
        <w:t xml:space="preserve">Annex </w:t>
      </w:r>
      <w:r w:rsidRPr="00FA4573">
        <w:rPr>
          <w:rFonts w:eastAsia="Malgun Gothic" w:hint="eastAsia"/>
          <w:b/>
          <w:bCs/>
          <w:lang w:eastAsia="ko-KR"/>
        </w:rPr>
        <w:t>4</w:t>
      </w:r>
      <w:r w:rsidRPr="00FA4573">
        <w:rPr>
          <w:b/>
          <w:bCs/>
        </w:rPr>
        <w:t>: Draft guidelines for composing rapporteur teams</w:t>
      </w:r>
    </w:p>
    <w:p w14:paraId="4E67D53B" w14:textId="77777777" w:rsidR="000B7E7B" w:rsidRPr="00FA4573" w:rsidRDefault="000B7E7B" w:rsidP="000B7E7B">
      <w:pPr>
        <w:overflowPunct/>
        <w:autoSpaceDE/>
        <w:autoSpaceDN/>
        <w:adjustRightInd/>
        <w:spacing w:after="120"/>
        <w:textAlignment w:val="auto"/>
        <w:rPr>
          <w:rFonts w:eastAsia="Malgun Gothic"/>
          <w:lang w:eastAsia="ko-KR"/>
        </w:rPr>
      </w:pPr>
      <w:r w:rsidRPr="00FA4573">
        <w:rPr>
          <w:rFonts w:eastAsia="Malgun Gothic" w:hint="eastAsia"/>
          <w:lang w:eastAsia="ko-KR"/>
        </w:rPr>
        <w:t xml:space="preserve">Note: </w:t>
      </w:r>
      <w:proofErr w:type="gramStart"/>
      <w:r w:rsidRPr="00FA4573">
        <w:rPr>
          <w:rFonts w:eastAsia="Malgun Gothic" w:hint="eastAsia"/>
          <w:lang w:eastAsia="ko-KR"/>
        </w:rPr>
        <w:t xml:space="preserve">These guidelines were developed by </w:t>
      </w:r>
      <w:r w:rsidRPr="00FA4573">
        <w:rPr>
          <w:szCs w:val="18"/>
        </w:rPr>
        <w:t>Mr Teddy Woodhouse (U</w:t>
      </w:r>
      <w:r w:rsidRPr="00FA4573">
        <w:rPr>
          <w:rFonts w:eastAsia="Malgun Gothic" w:hint="eastAsia"/>
          <w:szCs w:val="18"/>
          <w:lang w:eastAsia="ko-KR"/>
        </w:rPr>
        <w:t>nited Kingdom</w:t>
      </w:r>
      <w:r w:rsidRPr="00FA4573">
        <w:rPr>
          <w:szCs w:val="18"/>
        </w:rPr>
        <w:t>)</w:t>
      </w:r>
      <w:proofErr w:type="gramEnd"/>
      <w:r w:rsidRPr="00FA4573">
        <w:rPr>
          <w:rFonts w:eastAsia="Malgun Gothic" w:hint="eastAsia"/>
          <w:szCs w:val="18"/>
          <w:lang w:eastAsia="ko-KR"/>
        </w:rPr>
        <w:t>.</w:t>
      </w:r>
    </w:p>
    <w:p w14:paraId="006C0B4F" w14:textId="77777777" w:rsidR="000B7E7B" w:rsidRPr="00FA4573" w:rsidRDefault="000B7E7B" w:rsidP="000B7E7B">
      <w:r w:rsidRPr="00FA4573">
        <w:t>This document aims to provide a step-based summary of the process to compose rapporteur teams (collectively referring to rapporteurs, co-rapporteurs, and vice rapporteurs).</w:t>
      </w:r>
    </w:p>
    <w:p w14:paraId="4BFA8521" w14:textId="77777777" w:rsidR="000B7E7B" w:rsidRPr="00FA4573" w:rsidRDefault="000B7E7B" w:rsidP="000B7E7B">
      <w:r w:rsidRPr="00FA4573">
        <w:t xml:space="preserve">This document </w:t>
      </w:r>
      <w:proofErr w:type="gramStart"/>
      <w:r w:rsidRPr="00FA4573">
        <w:t>is provided</w:t>
      </w:r>
      <w:proofErr w:type="gramEnd"/>
      <w:r w:rsidRPr="00FA4573">
        <w:t xml:space="preserve"> for information only and is not legally binding in any way. It provides guidance only </w:t>
      </w:r>
      <w:proofErr w:type="gramStart"/>
      <w:r w:rsidRPr="00FA4573">
        <w:t>insofar as</w:t>
      </w:r>
      <w:proofErr w:type="gramEnd"/>
      <w:r w:rsidRPr="00FA4573">
        <w:t xml:space="preserve"> it remains fully compliant with the ITU Convention and all resolutions of the Plenipotentiary and World Telecommunication Development Conferences, with particular regard to PP Resolution 208 and WTDC Resolution 1.</w:t>
      </w:r>
    </w:p>
    <w:p w14:paraId="64D21C01" w14:textId="77777777" w:rsidR="000B7E7B" w:rsidRPr="00FA4573" w:rsidRDefault="000B7E7B" w:rsidP="000B7E7B">
      <w:pPr>
        <w:pStyle w:val="Heading2"/>
        <w:ind w:left="0" w:firstLine="0"/>
        <w:rPr>
          <w:b w:val="0"/>
          <w:bCs/>
        </w:rPr>
      </w:pPr>
      <w:r w:rsidRPr="00FA4573">
        <w:rPr>
          <w:bCs/>
        </w:rPr>
        <w:t>Summary of Steps</w:t>
      </w:r>
    </w:p>
    <w:p w14:paraId="6B892F92" w14:textId="77777777" w:rsidR="000B7E7B" w:rsidRPr="00FA4573" w:rsidRDefault="000B7E7B" w:rsidP="000B7E7B">
      <w:r w:rsidRPr="00FA4573">
        <w:t>This document structures the process for composing rapporteur teams in seven steps and describes them in chronological order.</w:t>
      </w:r>
    </w:p>
    <w:p w14:paraId="08F2F2BF" w14:textId="77777777" w:rsidR="000B7E7B" w:rsidRPr="00FA4573" w:rsidRDefault="000B7E7B" w:rsidP="000B7E7B">
      <w:pPr>
        <w:ind w:firstLine="720"/>
        <w:rPr>
          <w:b/>
          <w:bCs/>
          <w:lang w:val="fr-FR"/>
        </w:rPr>
      </w:pPr>
      <w:r w:rsidRPr="00FA4573">
        <w:rPr>
          <w:b/>
          <w:bCs/>
          <w:lang w:val="fr-FR"/>
        </w:rPr>
        <w:t xml:space="preserve">Invitation </w:t>
      </w:r>
    </w:p>
    <w:p w14:paraId="6B5742DB" w14:textId="77777777" w:rsidR="000B7E7B" w:rsidRPr="00FA4573" w:rsidRDefault="000B7E7B" w:rsidP="000B7E7B">
      <w:pPr>
        <w:pStyle w:val="ListParagraph"/>
        <w:numPr>
          <w:ilvl w:val="1"/>
          <w:numId w:val="20"/>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 xml:space="preserve">At </w:t>
      </w:r>
      <w:proofErr w:type="gramStart"/>
      <w:r w:rsidRPr="00FA4573">
        <w:rPr>
          <w:i/>
          <w:iCs/>
        </w:rPr>
        <w:t>some</w:t>
      </w:r>
      <w:proofErr w:type="gramEnd"/>
      <w:r w:rsidRPr="00FA4573">
        <w:rPr>
          <w:i/>
          <w:iCs/>
        </w:rPr>
        <w:t xml:space="preserve"> point following WTDC</w:t>
      </w:r>
      <w:r w:rsidRPr="00FA4573">
        <w:t>, the BDT sends a letter of invitation for nominations to ITU-D members.</w:t>
      </w:r>
    </w:p>
    <w:p w14:paraId="0DACB19D" w14:textId="77777777" w:rsidR="000B7E7B" w:rsidRPr="00FA4573" w:rsidRDefault="000B7E7B" w:rsidP="000B7E7B">
      <w:pPr>
        <w:ind w:firstLine="720"/>
        <w:rPr>
          <w:b/>
          <w:bCs/>
        </w:rPr>
      </w:pPr>
      <w:r w:rsidRPr="00FA4573">
        <w:rPr>
          <w:b/>
          <w:bCs/>
        </w:rPr>
        <w:t xml:space="preserve">Nomination Process </w:t>
      </w:r>
    </w:p>
    <w:p w14:paraId="352696CC" w14:textId="77777777" w:rsidR="000B7E7B" w:rsidRPr="00FA4573" w:rsidRDefault="000B7E7B" w:rsidP="000B7E7B">
      <w:pPr>
        <w:pStyle w:val="ListParagraph"/>
        <w:numPr>
          <w:ilvl w:val="0"/>
          <w:numId w:val="21"/>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 xml:space="preserve">For a recommended period of at least four weeks, </w:t>
      </w:r>
      <w:r w:rsidRPr="00FA4573">
        <w:t>ITU-D members submit nominations via online form.</w:t>
      </w:r>
    </w:p>
    <w:p w14:paraId="2473E3E2" w14:textId="77777777" w:rsidR="000B7E7B" w:rsidRPr="00FA4573" w:rsidRDefault="000B7E7B" w:rsidP="000B7E7B">
      <w:pPr>
        <w:pStyle w:val="ListParagraph"/>
        <w:numPr>
          <w:ilvl w:val="0"/>
          <w:numId w:val="21"/>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During this period</w:t>
      </w:r>
      <w:r w:rsidRPr="00FA4573">
        <w:t>, the BDT assures the validity of each nomination received.</w:t>
      </w:r>
    </w:p>
    <w:p w14:paraId="0CFA0B6E" w14:textId="77777777" w:rsidR="000B7E7B" w:rsidRPr="00FA4573" w:rsidRDefault="000B7E7B" w:rsidP="000B7E7B">
      <w:pPr>
        <w:pStyle w:val="ListParagraph"/>
        <w:numPr>
          <w:ilvl w:val="0"/>
          <w:numId w:val="21"/>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Once the deadline has passed</w:t>
      </w:r>
      <w:r w:rsidRPr="00FA4573">
        <w:t>, the BDT identifies overfill for roles for each study Question.</w:t>
      </w:r>
    </w:p>
    <w:p w14:paraId="6F952285" w14:textId="77777777" w:rsidR="000B7E7B" w:rsidRPr="00FA4573" w:rsidRDefault="000B7E7B" w:rsidP="000B7E7B">
      <w:pPr>
        <w:ind w:firstLine="720"/>
        <w:rPr>
          <w:b/>
          <w:bCs/>
        </w:rPr>
      </w:pPr>
      <w:r w:rsidRPr="00FA4573">
        <w:rPr>
          <w:b/>
          <w:bCs/>
        </w:rPr>
        <w:t>Informal Consultations</w:t>
      </w:r>
    </w:p>
    <w:p w14:paraId="475A44EC" w14:textId="77777777" w:rsidR="000B7E7B" w:rsidRPr="00FA4573" w:rsidRDefault="000B7E7B" w:rsidP="000B7E7B">
      <w:pPr>
        <w:pStyle w:val="ListParagraph"/>
        <w:numPr>
          <w:ilvl w:val="0"/>
          <w:numId w:val="22"/>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Recommended at least one month before the first SG meeting</w:t>
      </w:r>
      <w:r w:rsidRPr="00FA4573">
        <w:t xml:space="preserve">, members affected by overfill </w:t>
      </w:r>
      <w:proofErr w:type="gramStart"/>
      <w:r w:rsidRPr="00FA4573">
        <w:t>are notified</w:t>
      </w:r>
      <w:proofErr w:type="gramEnd"/>
      <w:r w:rsidRPr="00FA4573">
        <w:t xml:space="preserve"> and invited to begin informal consultations.</w:t>
      </w:r>
    </w:p>
    <w:p w14:paraId="6D12EE45" w14:textId="77777777" w:rsidR="000B7E7B" w:rsidRPr="00FA4573" w:rsidRDefault="000B7E7B" w:rsidP="000B7E7B">
      <w:pPr>
        <w:ind w:firstLine="720"/>
        <w:rPr>
          <w:b/>
          <w:bCs/>
        </w:rPr>
      </w:pPr>
      <w:r w:rsidRPr="00FA4573">
        <w:rPr>
          <w:b/>
          <w:bCs/>
        </w:rPr>
        <w:t>Team Composition</w:t>
      </w:r>
    </w:p>
    <w:p w14:paraId="0A4BB36C" w14:textId="77777777" w:rsidR="000B7E7B" w:rsidRPr="00FA4573" w:rsidRDefault="000B7E7B" w:rsidP="000B7E7B">
      <w:pPr>
        <w:pStyle w:val="ListParagraph"/>
        <w:numPr>
          <w:ilvl w:val="0"/>
          <w:numId w:val="23"/>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At least 12 days before the first SG meeting (per WTDC Res 1 section 4.2.1.1)</w:t>
      </w:r>
      <w:r w:rsidRPr="00FA4573">
        <w:t>, the Study Group Chairs compose a draft proposal for the rapporteur teams, with consideration to overall team composition and evaluation of individual nominations.</w:t>
      </w:r>
    </w:p>
    <w:p w14:paraId="152EEE82" w14:textId="77777777" w:rsidR="000B7E7B" w:rsidRPr="00FA4573" w:rsidRDefault="000B7E7B" w:rsidP="000B7E7B">
      <w:pPr>
        <w:pStyle w:val="ListParagraph"/>
        <w:numPr>
          <w:ilvl w:val="0"/>
          <w:numId w:val="23"/>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At first Study Group meeting,</w:t>
      </w:r>
      <w:r w:rsidRPr="00FA4573">
        <w:t xml:space="preserve"> the Study Group approves the rapporteur teams in plenary.</w:t>
      </w:r>
    </w:p>
    <w:p w14:paraId="4480B483" w14:textId="77777777" w:rsidR="000B7E7B" w:rsidRPr="00FA4573" w:rsidRDefault="000B7E7B" w:rsidP="000B7E7B">
      <w:pPr>
        <w:pBdr>
          <w:bottom w:val="single" w:sz="6" w:space="1" w:color="auto"/>
        </w:pBdr>
        <w:rPr>
          <w:rFonts w:cstheme="minorHAnsi"/>
        </w:rPr>
      </w:pPr>
    </w:p>
    <w:p w14:paraId="1899E3C7" w14:textId="77777777" w:rsidR="000B7E7B" w:rsidRPr="00FA4573" w:rsidRDefault="000B7E7B" w:rsidP="000B7E7B">
      <w:pPr>
        <w:pStyle w:val="Heading2"/>
        <w:ind w:left="0" w:firstLine="0"/>
        <w:rPr>
          <w:b w:val="0"/>
          <w:bCs/>
        </w:rPr>
      </w:pPr>
      <w:r w:rsidRPr="00FA4573">
        <w:rPr>
          <w:bCs/>
        </w:rPr>
        <w:t>Invitation</w:t>
      </w:r>
    </w:p>
    <w:p w14:paraId="62C40921" w14:textId="77777777" w:rsidR="000B7E7B" w:rsidRPr="00FA4573" w:rsidRDefault="000B7E7B" w:rsidP="000B7E7B">
      <w:r w:rsidRPr="00FA4573">
        <w:t>The BDT should send a letter of invitation for nominations to ITU-D members, associates, and academia. In that letter, it should note:</w:t>
      </w:r>
    </w:p>
    <w:p w14:paraId="159F2DE7" w14:textId="77777777" w:rsidR="000B7E7B" w:rsidRPr="00FA4573" w:rsidRDefault="000B7E7B" w:rsidP="000B7E7B">
      <w:pPr>
        <w:pStyle w:val="ListParagraph"/>
        <w:numPr>
          <w:ilvl w:val="0"/>
          <w:numId w:val="19"/>
        </w:numPr>
        <w:tabs>
          <w:tab w:val="clear" w:pos="1134"/>
          <w:tab w:val="clear" w:pos="1871"/>
          <w:tab w:val="clear" w:pos="2268"/>
        </w:tabs>
        <w:overflowPunct/>
        <w:autoSpaceDE/>
        <w:autoSpaceDN/>
        <w:adjustRightInd/>
        <w:spacing w:before="0" w:after="160" w:line="259" w:lineRule="auto"/>
        <w:textAlignment w:val="auto"/>
      </w:pPr>
      <w:r w:rsidRPr="00FA4573">
        <w:t>Eligibility criteria for valid nominations (in alignment with PP Resolution 208 &amp; WTDC Resolution 1, see below</w:t>
      </w:r>
      <w:proofErr w:type="gramStart"/>
      <w:r w:rsidRPr="00FA4573">
        <w:t>);</w:t>
      </w:r>
      <w:proofErr w:type="gramEnd"/>
    </w:p>
    <w:p w14:paraId="16B0B483" w14:textId="77777777" w:rsidR="000B7E7B" w:rsidRPr="00FA4573" w:rsidRDefault="000B7E7B" w:rsidP="000B7E7B">
      <w:pPr>
        <w:pStyle w:val="ListParagraph"/>
        <w:numPr>
          <w:ilvl w:val="0"/>
          <w:numId w:val="19"/>
        </w:numPr>
        <w:tabs>
          <w:tab w:val="clear" w:pos="1134"/>
          <w:tab w:val="clear" w:pos="1871"/>
          <w:tab w:val="clear" w:pos="2268"/>
        </w:tabs>
        <w:overflowPunct/>
        <w:autoSpaceDE/>
        <w:autoSpaceDN/>
        <w:adjustRightInd/>
        <w:spacing w:before="0" w:after="160" w:line="259" w:lineRule="auto"/>
        <w:textAlignment w:val="auto"/>
      </w:pPr>
      <w:r w:rsidRPr="00FA4573">
        <w:t xml:space="preserve">The critical nature of institutional support for individuals to successfully contribute over the years of the study cycle, including time allocations to prepare and attend meetings and to manage the Question’s </w:t>
      </w:r>
      <w:proofErr w:type="gramStart"/>
      <w:r w:rsidRPr="00FA4573">
        <w:t>workload;</w:t>
      </w:r>
      <w:proofErr w:type="gramEnd"/>
    </w:p>
    <w:p w14:paraId="1409C4E8" w14:textId="77777777" w:rsidR="000B7E7B" w:rsidRPr="00FA4573" w:rsidRDefault="000B7E7B" w:rsidP="000B7E7B">
      <w:pPr>
        <w:pStyle w:val="ListParagraph"/>
        <w:numPr>
          <w:ilvl w:val="0"/>
          <w:numId w:val="19"/>
        </w:numPr>
        <w:tabs>
          <w:tab w:val="clear" w:pos="1134"/>
          <w:tab w:val="clear" w:pos="1871"/>
          <w:tab w:val="clear" w:pos="2268"/>
        </w:tabs>
        <w:overflowPunct/>
        <w:autoSpaceDE/>
        <w:autoSpaceDN/>
        <w:adjustRightInd/>
        <w:spacing w:before="0" w:after="160" w:line="259" w:lineRule="auto"/>
        <w:textAlignment w:val="auto"/>
      </w:pPr>
      <w:r w:rsidRPr="00FA4573">
        <w:t xml:space="preserve">The total number of vice rapporteurs proposed by any administration should be reasonable, so as to observe the principle of </w:t>
      </w:r>
      <w:r w:rsidRPr="00FA4573">
        <w:rPr>
          <w:b/>
          <w:bCs/>
        </w:rPr>
        <w:t>equitable distribution</w:t>
      </w:r>
      <w:r w:rsidRPr="00FA4573">
        <w:t xml:space="preserve"> of posts among the Member States concerned (in alignment with PP Resolution 208 Annex 3 </w:t>
      </w:r>
      <w:r w:rsidRPr="00FA4573">
        <w:rPr>
          <w:i/>
          <w:iCs/>
        </w:rPr>
        <w:t xml:space="preserve">recital </w:t>
      </w:r>
      <w:r w:rsidRPr="00FA4573">
        <w:t>4</w:t>
      </w:r>
      <w:proofErr w:type="gramStart"/>
      <w:r w:rsidRPr="00FA4573">
        <w:t>);</w:t>
      </w:r>
      <w:proofErr w:type="gramEnd"/>
    </w:p>
    <w:p w14:paraId="55D3BE6A" w14:textId="77777777" w:rsidR="000B7E7B" w:rsidRPr="00FA4573" w:rsidRDefault="000B7E7B" w:rsidP="000B7E7B">
      <w:pPr>
        <w:pStyle w:val="ListParagraph"/>
        <w:numPr>
          <w:ilvl w:val="0"/>
          <w:numId w:val="19"/>
        </w:numPr>
        <w:tabs>
          <w:tab w:val="clear" w:pos="1134"/>
          <w:tab w:val="clear" w:pos="1871"/>
          <w:tab w:val="clear" w:pos="2268"/>
        </w:tabs>
        <w:overflowPunct/>
        <w:autoSpaceDE/>
        <w:autoSpaceDN/>
        <w:adjustRightInd/>
        <w:spacing w:before="0" w:after="160" w:line="259" w:lineRule="auto"/>
        <w:textAlignment w:val="auto"/>
      </w:pPr>
      <w:r w:rsidRPr="00FA4573">
        <w:t xml:space="preserve">The Plenipotentiary Conference’s encouragement to Member States and Sector Members to make efforts to ensure gender-balanced representation in candidatures for leadership </w:t>
      </w:r>
      <w:r w:rsidRPr="00FA4573">
        <w:lastRenderedPageBreak/>
        <w:t xml:space="preserve">roles (per PP Resolution 58 </w:t>
      </w:r>
      <w:r w:rsidRPr="00FA4573">
        <w:rPr>
          <w:i/>
          <w:iCs/>
        </w:rPr>
        <w:t>encourages Member States and Sector Members</w:t>
      </w:r>
      <w:r w:rsidRPr="00FA4573">
        <w:t xml:space="preserve"> 9) and WTDC’s invitation to Member States to candidatures for rapporteur and vice rapporteur roles in order to support the active involvement of women as well as men (per WTDC Resolution 55 </w:t>
      </w:r>
      <w:r w:rsidRPr="00FA4573">
        <w:rPr>
          <w:i/>
          <w:iCs/>
        </w:rPr>
        <w:t xml:space="preserve">invites Member States and Sector Members </w:t>
      </w:r>
      <w:r w:rsidRPr="00FA4573">
        <w:t>1);</w:t>
      </w:r>
    </w:p>
    <w:p w14:paraId="373CC2F2" w14:textId="77777777" w:rsidR="000B7E7B" w:rsidRPr="00FA4573" w:rsidRDefault="000B7E7B" w:rsidP="000B7E7B">
      <w:pPr>
        <w:pStyle w:val="ListParagraph"/>
        <w:numPr>
          <w:ilvl w:val="0"/>
          <w:numId w:val="19"/>
        </w:numPr>
        <w:tabs>
          <w:tab w:val="clear" w:pos="1134"/>
          <w:tab w:val="clear" w:pos="1871"/>
          <w:tab w:val="clear" w:pos="2268"/>
        </w:tabs>
        <w:overflowPunct/>
        <w:autoSpaceDE/>
        <w:autoSpaceDN/>
        <w:adjustRightInd/>
        <w:spacing w:before="0" w:after="160" w:line="259" w:lineRule="auto"/>
        <w:textAlignment w:val="auto"/>
      </w:pPr>
      <w:r w:rsidRPr="00FA4573">
        <w:t xml:space="preserve">The objective for each Study Group to compose dedicated, stable rapporteur teams with competent participants who reflect the diversity of ITU-D’s </w:t>
      </w:r>
      <w:proofErr w:type="gramStart"/>
      <w:r w:rsidRPr="00FA4573">
        <w:t>membership;</w:t>
      </w:r>
      <w:proofErr w:type="gramEnd"/>
    </w:p>
    <w:p w14:paraId="310FA0F8" w14:textId="77777777" w:rsidR="000B7E7B" w:rsidRPr="00FA4573" w:rsidRDefault="000B7E7B" w:rsidP="000B7E7B">
      <w:pPr>
        <w:pStyle w:val="ListParagraph"/>
        <w:numPr>
          <w:ilvl w:val="0"/>
          <w:numId w:val="19"/>
        </w:numPr>
        <w:tabs>
          <w:tab w:val="clear" w:pos="1134"/>
          <w:tab w:val="clear" w:pos="1871"/>
          <w:tab w:val="clear" w:pos="2268"/>
        </w:tabs>
        <w:overflowPunct/>
        <w:autoSpaceDE/>
        <w:autoSpaceDN/>
        <w:adjustRightInd/>
        <w:spacing w:before="0" w:after="160" w:line="259" w:lineRule="auto"/>
        <w:textAlignment w:val="auto"/>
      </w:pPr>
      <w:r w:rsidRPr="00FA4573">
        <w:t xml:space="preserve">Nominations will </w:t>
      </w:r>
      <w:proofErr w:type="gramStart"/>
      <w:r w:rsidRPr="00FA4573">
        <w:t>be evaluated</w:t>
      </w:r>
      <w:proofErr w:type="gramEnd"/>
      <w:r w:rsidRPr="00FA4573">
        <w:t xml:space="preserve"> based on each candidate’s experience and ability to participate and their member’s motivation; and</w:t>
      </w:r>
    </w:p>
    <w:p w14:paraId="3F9F28E1" w14:textId="77777777" w:rsidR="000B7E7B" w:rsidRPr="00FA4573" w:rsidRDefault="000B7E7B" w:rsidP="000B7E7B">
      <w:pPr>
        <w:pStyle w:val="ListParagraph"/>
        <w:numPr>
          <w:ilvl w:val="0"/>
          <w:numId w:val="19"/>
        </w:numPr>
        <w:tabs>
          <w:tab w:val="clear" w:pos="1134"/>
          <w:tab w:val="clear" w:pos="1871"/>
          <w:tab w:val="clear" w:pos="2268"/>
        </w:tabs>
        <w:overflowPunct/>
        <w:autoSpaceDE/>
        <w:autoSpaceDN/>
        <w:adjustRightInd/>
        <w:spacing w:before="0" w:after="160" w:line="259" w:lineRule="auto"/>
        <w:textAlignment w:val="auto"/>
      </w:pPr>
      <w:r w:rsidRPr="00FA4573">
        <w:t xml:space="preserve">These guidelines, informed by the ITU Convention, PP Resolution 208, and WTDC Resolution 1, will </w:t>
      </w:r>
      <w:proofErr w:type="gramStart"/>
      <w:r w:rsidRPr="00FA4573">
        <w:t>be used</w:t>
      </w:r>
      <w:proofErr w:type="gramEnd"/>
      <w:r w:rsidRPr="00FA4573">
        <w:t xml:space="preserve"> to evaluate nominations in the event of any overfills of each rapporteur team (and an indication on when an overfill occurs, see below).</w:t>
      </w:r>
    </w:p>
    <w:p w14:paraId="57F010F6" w14:textId="77777777" w:rsidR="000B7E7B" w:rsidRPr="00FA4573" w:rsidRDefault="000B7E7B" w:rsidP="000B7E7B">
      <w:r w:rsidRPr="00FA4573">
        <w:t xml:space="preserve">A copy of these guidelines should </w:t>
      </w:r>
      <w:proofErr w:type="gramStart"/>
      <w:r w:rsidRPr="00FA4573">
        <w:t>be made</w:t>
      </w:r>
      <w:proofErr w:type="gramEnd"/>
      <w:r w:rsidRPr="00FA4573">
        <w:t xml:space="preserve"> available on the ITU website.</w:t>
      </w:r>
    </w:p>
    <w:p w14:paraId="2FC78350" w14:textId="77777777" w:rsidR="000B7E7B" w:rsidRPr="00FA4573" w:rsidRDefault="000B7E7B" w:rsidP="000B7E7B">
      <w:pPr>
        <w:pStyle w:val="Heading2"/>
        <w:ind w:left="0" w:firstLine="0"/>
        <w:rPr>
          <w:b w:val="0"/>
          <w:bCs/>
        </w:rPr>
      </w:pPr>
      <w:r w:rsidRPr="00FA4573">
        <w:rPr>
          <w:bCs/>
        </w:rPr>
        <w:t>Nomination Process</w:t>
      </w:r>
    </w:p>
    <w:p w14:paraId="140554A7" w14:textId="77777777" w:rsidR="000B7E7B" w:rsidRPr="00FA4573" w:rsidRDefault="000B7E7B" w:rsidP="000B7E7B">
      <w:r w:rsidRPr="00FA4573">
        <w:t xml:space="preserve">ITU-D members shall </w:t>
      </w:r>
      <w:proofErr w:type="gramStart"/>
      <w:r w:rsidRPr="00FA4573">
        <w:t>be provided</w:t>
      </w:r>
      <w:proofErr w:type="gramEnd"/>
      <w:r w:rsidRPr="00FA4573">
        <w:t xml:space="preserve"> a clear process for the submission of nominations and a deadline by which nominations must be received.</w:t>
      </w:r>
    </w:p>
    <w:p w14:paraId="2B8D542D" w14:textId="77777777" w:rsidR="000B7E7B" w:rsidRPr="00FA4573" w:rsidRDefault="000B7E7B" w:rsidP="000B7E7B">
      <w:r w:rsidRPr="00FA4573">
        <w:t>Upon receipt of a nomination, the BDT should evaluate its eligibility. Namely, that the nomination:</w:t>
      </w:r>
    </w:p>
    <w:p w14:paraId="67E2FD17" w14:textId="77777777" w:rsidR="000B7E7B" w:rsidRPr="00FA4573" w:rsidRDefault="000B7E7B" w:rsidP="000B7E7B">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Is affiliated to a Member State, ITU-D Sector Member, Associate, or Academia (per WTDC Resolution 1, 3.3.1); and</w:t>
      </w:r>
    </w:p>
    <w:p w14:paraId="0A1444C8" w14:textId="77777777" w:rsidR="000B7E7B" w:rsidRPr="00FA4573" w:rsidRDefault="000B7E7B" w:rsidP="000B7E7B">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rPr>
          <w:i/>
          <w:iCs/>
        </w:rPr>
        <w:t>For rapporteurships,</w:t>
      </w:r>
      <w:r w:rsidRPr="00FA4573">
        <w:t xml:space="preserve"> includes information that enables the Study Group to assess the candidate’s expertise, ability to coordinate, and ability to actively participate in ITU-D activities (per WTDC Res 1, 3.3.3) including </w:t>
      </w:r>
      <w:r w:rsidRPr="00FA4573">
        <w:rPr>
          <w:b/>
          <w:bCs/>
        </w:rPr>
        <w:t>physical participation</w:t>
      </w:r>
      <w:r w:rsidRPr="00FA4573">
        <w:t xml:space="preserve"> in the Study Group meetings (twice per year); or</w:t>
      </w:r>
    </w:p>
    <w:p w14:paraId="469F75F0" w14:textId="77777777" w:rsidR="000B7E7B" w:rsidRPr="00FA4573" w:rsidRDefault="000B7E7B" w:rsidP="000B7E7B">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rPr>
          <w:i/>
          <w:iCs/>
        </w:rPr>
        <w:t>For vice rapporteurships</w:t>
      </w:r>
      <w:r w:rsidRPr="00FA4573">
        <w:t>, includes information that enables the Study Group to assess the candidate’s expertise and experience related to the study Question (per WTDC Res 1, 3.3.5).</w:t>
      </w:r>
    </w:p>
    <w:p w14:paraId="6E7C4463" w14:textId="77777777" w:rsidR="000B7E7B" w:rsidRPr="00FA4573" w:rsidRDefault="000B7E7B" w:rsidP="000B7E7B">
      <w:r w:rsidRPr="00FA4573">
        <w:t xml:space="preserve">Should a revised, eligible nomination </w:t>
      </w:r>
      <w:proofErr w:type="gramStart"/>
      <w:r w:rsidRPr="00FA4573">
        <w:t>be received</w:t>
      </w:r>
      <w:proofErr w:type="gramEnd"/>
      <w:r w:rsidRPr="00FA4573">
        <w:t xml:space="preserve"> by the deadline, the Study Group can consider the nomination. The BDT should make every effort to support each nomination to be complete and eligible: revisions after the deadline to an initial nomination received before the deadline should </w:t>
      </w:r>
      <w:proofErr w:type="gramStart"/>
      <w:r w:rsidRPr="00FA4573">
        <w:t>be considered</w:t>
      </w:r>
      <w:proofErr w:type="gramEnd"/>
      <w:r w:rsidRPr="00FA4573">
        <w:t xml:space="preserve"> where at all possible.</w:t>
      </w:r>
    </w:p>
    <w:p w14:paraId="30587FC1" w14:textId="77777777" w:rsidR="000B7E7B" w:rsidRPr="00FA4573" w:rsidRDefault="000B7E7B" w:rsidP="000B7E7B">
      <w:r w:rsidRPr="00FA4573">
        <w:t xml:space="preserve">Based upon eligible nominations, the BDT should indicate to the Study Group Chairs which rapporteur positions have more than one nomination and which rapporteur teams have more than </w:t>
      </w:r>
      <w:r w:rsidRPr="00FA4573">
        <w:rPr>
          <w:b/>
          <w:bCs/>
        </w:rPr>
        <w:t>two nominations for a vice rapporteur position from any one region</w:t>
      </w:r>
      <w:r w:rsidRPr="00FA4573">
        <w:t>.</w:t>
      </w:r>
      <w:r w:rsidRPr="00FA4573">
        <w:rPr>
          <w:rStyle w:val="FootnoteReference"/>
        </w:rPr>
        <w:footnoteReference w:id="17"/>
      </w:r>
      <w:r w:rsidRPr="00FA4573">
        <w:t xml:space="preserve"> Any such instance should </w:t>
      </w:r>
      <w:proofErr w:type="gramStart"/>
      <w:r w:rsidRPr="00FA4573">
        <w:t>be treated</w:t>
      </w:r>
      <w:proofErr w:type="gramEnd"/>
      <w:r w:rsidRPr="00FA4573">
        <w:t xml:space="preserve"> as an </w:t>
      </w:r>
      <w:r w:rsidRPr="00FA4573">
        <w:rPr>
          <w:i/>
          <w:iCs/>
        </w:rPr>
        <w:t xml:space="preserve">overfill </w:t>
      </w:r>
      <w:r w:rsidRPr="00FA4573">
        <w:t>of the rapporteur team.</w:t>
      </w:r>
    </w:p>
    <w:p w14:paraId="4E29D745" w14:textId="77777777" w:rsidR="000B7E7B" w:rsidRPr="00FA4573" w:rsidRDefault="000B7E7B" w:rsidP="000B7E7B">
      <w:pPr>
        <w:pStyle w:val="Heading2"/>
        <w:ind w:left="0" w:firstLine="0"/>
        <w:rPr>
          <w:b w:val="0"/>
          <w:bCs/>
        </w:rPr>
      </w:pPr>
      <w:r w:rsidRPr="00FA4573">
        <w:rPr>
          <w:bCs/>
        </w:rPr>
        <w:t>Informal Consultations</w:t>
      </w:r>
    </w:p>
    <w:p w14:paraId="363448D6" w14:textId="77777777" w:rsidR="000B7E7B" w:rsidRPr="00FA4573" w:rsidRDefault="000B7E7B" w:rsidP="000B7E7B">
      <w:r w:rsidRPr="00FA4573">
        <w:t>In the event of an overfill of a rapporteur team, the BDT in coordination with the Study Group Chairs, should notify the affected members of this fact and provide sufficient information and time for informal consultations among them. This notification should include:</w:t>
      </w:r>
    </w:p>
    <w:p w14:paraId="0EDAFA42" w14:textId="77777777" w:rsidR="000B7E7B" w:rsidRPr="00FA4573" w:rsidRDefault="000B7E7B" w:rsidP="000B7E7B">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w:t>
      </w:r>
      <w:r w:rsidRPr="00FA4573">
        <w:t xml:space="preserve"> </w:t>
      </w:r>
      <w:r w:rsidRPr="00FA4573">
        <w:rPr>
          <w:i/>
          <w:iCs/>
        </w:rPr>
        <w:t>rapporteurships</w:t>
      </w:r>
      <w:r w:rsidRPr="00FA4573">
        <w:t xml:space="preserve">, a request for the member to reaffirm that they are prepared to allocate sufficient time (estimated at an average of four hours per working week) and budget (the cost of physical participation in two meetings per year, with </w:t>
      </w:r>
      <w:r w:rsidRPr="00FA4573">
        <w:lastRenderedPageBreak/>
        <w:t>supporting information from BDT on fellowships) for each affected candidate to participate in their study Question and notice that any candidate not so reaffirmed may be deferred for a vice rapporteurship;</w:t>
      </w:r>
    </w:p>
    <w:p w14:paraId="01BF7884" w14:textId="77777777" w:rsidR="000B7E7B" w:rsidRPr="00FA4573" w:rsidRDefault="000B7E7B" w:rsidP="000B7E7B">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w:t>
      </w:r>
      <w:r w:rsidRPr="00FA4573">
        <w:t xml:space="preserve"> </w:t>
      </w:r>
      <w:r w:rsidRPr="00FA4573">
        <w:rPr>
          <w:i/>
          <w:iCs/>
        </w:rPr>
        <w:t>vice rapporteurships</w:t>
      </w:r>
      <w:r w:rsidRPr="00FA4573">
        <w:t xml:space="preserve">, a request for the member to reaffirm that they are prepared to allocate sufficient time (estimated at an average of two hours per working week) and budget (with supporting information from BDT on fellowships) for each affected candidate to participate in their study </w:t>
      </w:r>
      <w:proofErr w:type="gramStart"/>
      <w:r w:rsidRPr="00FA4573">
        <w:t>Question;</w:t>
      </w:r>
      <w:proofErr w:type="gramEnd"/>
    </w:p>
    <w:p w14:paraId="297F1ED2" w14:textId="77777777" w:rsidR="000B7E7B" w:rsidRPr="00FA4573" w:rsidRDefault="000B7E7B" w:rsidP="000B7E7B">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t xml:space="preserve">A designated period of time for informal consultations that does not extend past one month before the first Study Group meeting of the </w:t>
      </w:r>
      <w:proofErr w:type="gramStart"/>
      <w:r w:rsidRPr="00FA4573">
        <w:t>cycle;</w:t>
      </w:r>
      <w:proofErr w:type="gramEnd"/>
    </w:p>
    <w:p w14:paraId="0CCE20FB" w14:textId="77777777" w:rsidR="000B7E7B" w:rsidRPr="00FA4573" w:rsidRDefault="000B7E7B" w:rsidP="000B7E7B">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t>Information on all of the candidacies that constitute the overfill (in line with the current Web portal of submitted candidacies</w:t>
      </w:r>
      <w:proofErr w:type="gramStart"/>
      <w:r w:rsidRPr="00FA4573">
        <w:t>);</w:t>
      </w:r>
      <w:proofErr w:type="gramEnd"/>
    </w:p>
    <w:p w14:paraId="5AD3FAA0" w14:textId="77777777" w:rsidR="000B7E7B" w:rsidRPr="00FA4573" w:rsidRDefault="000B7E7B" w:rsidP="000B7E7B">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t xml:space="preserve">The objective for the Study Group to compose dedicated, stable rapporteur teams with competent participants who reflect the diversity of ITU-D’s membership, in line with the ITU Convention, PP Resolution 208, and WTDC Resolution </w:t>
      </w:r>
      <w:proofErr w:type="gramStart"/>
      <w:r w:rsidRPr="00FA4573">
        <w:t>1;</w:t>
      </w:r>
      <w:proofErr w:type="gramEnd"/>
    </w:p>
    <w:p w14:paraId="1142A3DF" w14:textId="77777777" w:rsidR="000B7E7B" w:rsidRPr="00FA4573" w:rsidRDefault="000B7E7B" w:rsidP="000B7E7B">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t xml:space="preserve">A reminder that in any persistent overfill after informal consultations will be resolved by the Study Group, using these </w:t>
      </w:r>
      <w:proofErr w:type="gramStart"/>
      <w:r w:rsidRPr="00FA4573">
        <w:t>guidelines</w:t>
      </w:r>
      <w:proofErr w:type="gramEnd"/>
      <w:r w:rsidRPr="00FA4573">
        <w:t xml:space="preserve"> and based on each candidate’s experience and ability to participate; and</w:t>
      </w:r>
    </w:p>
    <w:p w14:paraId="44954A06" w14:textId="77777777" w:rsidR="000B7E7B" w:rsidRPr="00FA4573" w:rsidRDefault="000B7E7B" w:rsidP="000B7E7B">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t xml:space="preserve">A reminder that those not a part of a rapporteur team can and should remain active participants in </w:t>
      </w:r>
      <w:proofErr w:type="gramStart"/>
      <w:r w:rsidRPr="00FA4573">
        <w:t>all of</w:t>
      </w:r>
      <w:proofErr w:type="gramEnd"/>
      <w:r w:rsidRPr="00FA4573">
        <w:t xml:space="preserve"> the study Question’s activities.</w:t>
      </w:r>
    </w:p>
    <w:p w14:paraId="2E45A1DF" w14:textId="77777777" w:rsidR="000B7E7B" w:rsidRPr="00FA4573" w:rsidRDefault="000B7E7B" w:rsidP="000B7E7B">
      <w:r w:rsidRPr="00FA4573">
        <w:t xml:space="preserve">Based on this notification, members may conduct informal consultations among themselves to aide the process of resolving any overfill. This might include withdrawing or revising one or more nominations with the objective to help facilitate the Study Groups’ composition of rapporteur teams </w:t>
      </w:r>
      <w:r w:rsidRPr="00FA4573">
        <w:rPr>
          <w:rFonts w:cstheme="minorHAnsi"/>
        </w:rPr>
        <w:t>—</w:t>
      </w:r>
      <w:r w:rsidRPr="00FA4573">
        <w:t xml:space="preserve"> but the option for any of these actions remains at the discretion of the member.</w:t>
      </w:r>
      <w:r w:rsidRPr="00FA4573">
        <w:rPr>
          <w:rStyle w:val="FootnoteReference"/>
        </w:rPr>
        <w:footnoteReference w:id="18"/>
      </w:r>
    </w:p>
    <w:p w14:paraId="405FABBF" w14:textId="77777777" w:rsidR="000B7E7B" w:rsidRPr="00FA4573" w:rsidRDefault="000B7E7B" w:rsidP="000B7E7B">
      <w:pPr>
        <w:pStyle w:val="ListParagraph"/>
        <w:numPr>
          <w:ilvl w:val="0"/>
          <w:numId w:val="19"/>
        </w:numPr>
        <w:tabs>
          <w:tab w:val="clear" w:pos="1134"/>
          <w:tab w:val="clear" w:pos="1871"/>
          <w:tab w:val="clear" w:pos="2268"/>
        </w:tabs>
        <w:overflowPunct/>
        <w:autoSpaceDE/>
        <w:autoSpaceDN/>
        <w:adjustRightInd/>
        <w:spacing w:before="0" w:after="160" w:line="259" w:lineRule="auto"/>
        <w:textAlignment w:val="auto"/>
      </w:pPr>
      <w:r w:rsidRPr="00FA4573">
        <w:t xml:space="preserve">Among nominations for </w:t>
      </w:r>
      <w:r w:rsidRPr="00FA4573">
        <w:rPr>
          <w:i/>
          <w:iCs/>
        </w:rPr>
        <w:t>rapporteurship</w:t>
      </w:r>
      <w:r w:rsidRPr="00FA4573">
        <w:t>, efforts should focus on reducing the number of candidacies, identifying willing co-rapporteurs, and/or reaffirming each candidate’s institutional support (including time) to attend the Study Group meetings physically twice a year.</w:t>
      </w:r>
    </w:p>
    <w:p w14:paraId="314CA005" w14:textId="77777777" w:rsidR="000B7E7B" w:rsidRPr="00FA4573" w:rsidRDefault="000B7E7B" w:rsidP="000B7E7B">
      <w:pPr>
        <w:pStyle w:val="ListParagraph"/>
        <w:numPr>
          <w:ilvl w:val="0"/>
          <w:numId w:val="19"/>
        </w:numPr>
        <w:tabs>
          <w:tab w:val="clear" w:pos="1134"/>
          <w:tab w:val="clear" w:pos="1871"/>
          <w:tab w:val="clear" w:pos="2268"/>
        </w:tabs>
        <w:overflowPunct/>
        <w:autoSpaceDE/>
        <w:autoSpaceDN/>
        <w:adjustRightInd/>
        <w:spacing w:before="0" w:after="160" w:line="259" w:lineRule="auto"/>
        <w:textAlignment w:val="auto"/>
      </w:pPr>
      <w:r w:rsidRPr="00FA4573">
        <w:t xml:space="preserve">Among nominations for </w:t>
      </w:r>
      <w:r w:rsidRPr="00FA4573">
        <w:rPr>
          <w:i/>
          <w:iCs/>
        </w:rPr>
        <w:t>vice rapporteurship</w:t>
      </w:r>
      <w:r w:rsidRPr="00FA4573">
        <w:t>, efforts should focus on reducing the number of candidacies to no more than two per region per study Question.</w:t>
      </w:r>
    </w:p>
    <w:p w14:paraId="63A3AD4A" w14:textId="77777777" w:rsidR="000B7E7B" w:rsidRPr="00FA4573" w:rsidRDefault="000B7E7B" w:rsidP="000B7E7B">
      <w:pPr>
        <w:pStyle w:val="Heading2"/>
        <w:ind w:left="0" w:firstLine="0"/>
        <w:rPr>
          <w:b w:val="0"/>
          <w:bCs/>
        </w:rPr>
      </w:pPr>
      <w:r w:rsidRPr="00FA4573">
        <w:rPr>
          <w:bCs/>
        </w:rPr>
        <w:t>Team Composition</w:t>
      </w:r>
    </w:p>
    <w:p w14:paraId="193BE90B" w14:textId="77777777" w:rsidR="000B7E7B" w:rsidRPr="00FA4573" w:rsidRDefault="000B7E7B" w:rsidP="000B7E7B">
      <w:proofErr w:type="gramStart"/>
      <w:r w:rsidRPr="00FA4573">
        <w:t>In the event that</w:t>
      </w:r>
      <w:proofErr w:type="gramEnd"/>
      <w:r w:rsidRPr="00FA4573">
        <w:t xml:space="preserve"> any overfill persists after the period of informal consultations, it remains the responsibility of each of the Study Groups to compose dedicated, stable rapporteur teams with competent participants who reflect the diversity of ITU-D’s membership for each study Question.</w:t>
      </w:r>
    </w:p>
    <w:p w14:paraId="2A6819D3" w14:textId="77777777" w:rsidR="000B7E7B" w:rsidRPr="00FA4573" w:rsidRDefault="000B7E7B" w:rsidP="000B7E7B">
      <w:proofErr w:type="gramStart"/>
      <w:r w:rsidRPr="00FA4573">
        <w:t>Several</w:t>
      </w:r>
      <w:proofErr w:type="gramEnd"/>
      <w:r w:rsidRPr="00FA4573">
        <w:t xml:space="preserve"> factors contribute to the composition of a rapporteur team. These include:</w:t>
      </w:r>
    </w:p>
    <w:p w14:paraId="76B36A6C" w14:textId="77777777" w:rsidR="000B7E7B" w:rsidRPr="00FA4573" w:rsidRDefault="000B7E7B" w:rsidP="000B7E7B">
      <w:pPr>
        <w:pStyle w:val="ListParagraph"/>
        <w:numPr>
          <w:ilvl w:val="0"/>
          <w:numId w:val="27"/>
        </w:numPr>
        <w:tabs>
          <w:tab w:val="clear" w:pos="1134"/>
          <w:tab w:val="clear" w:pos="1871"/>
          <w:tab w:val="clear" w:pos="2268"/>
        </w:tabs>
        <w:overflowPunct/>
        <w:autoSpaceDE/>
        <w:autoSpaceDN/>
        <w:adjustRightInd/>
        <w:spacing w:before="0" w:after="160" w:line="259" w:lineRule="auto"/>
        <w:textAlignment w:val="auto"/>
      </w:pPr>
      <w:r w:rsidRPr="00FA4573">
        <w:t xml:space="preserve">Each candidate has the requisite experience and ability themself and institutional support (including time) from their member to participate </w:t>
      </w:r>
      <w:proofErr w:type="gramStart"/>
      <w:r w:rsidRPr="00FA4573">
        <w:t>actively;</w:t>
      </w:r>
      <w:proofErr w:type="gramEnd"/>
    </w:p>
    <w:p w14:paraId="5C06A8F8" w14:textId="77777777" w:rsidR="000B7E7B" w:rsidRPr="00FA4573" w:rsidRDefault="000B7E7B" w:rsidP="000B7E7B">
      <w:pPr>
        <w:pStyle w:val="ListParagraph"/>
        <w:numPr>
          <w:ilvl w:val="1"/>
          <w:numId w:val="27"/>
        </w:numPr>
        <w:tabs>
          <w:tab w:val="clear" w:pos="1134"/>
          <w:tab w:val="clear" w:pos="1871"/>
          <w:tab w:val="clear" w:pos="2268"/>
        </w:tabs>
        <w:overflowPunct/>
        <w:autoSpaceDE/>
        <w:autoSpaceDN/>
        <w:adjustRightInd/>
        <w:spacing w:before="0" w:after="160" w:line="259" w:lineRule="auto"/>
        <w:textAlignment w:val="auto"/>
      </w:pPr>
      <w:r w:rsidRPr="00FA4573">
        <w:t xml:space="preserve">In the case of a rapporteur or co-rapporteur candidate, this includes being physically present for both meetings each </w:t>
      </w:r>
      <w:proofErr w:type="gramStart"/>
      <w:r w:rsidRPr="00FA4573">
        <w:t>year;</w:t>
      </w:r>
      <w:proofErr w:type="gramEnd"/>
    </w:p>
    <w:p w14:paraId="068D1620" w14:textId="77777777" w:rsidR="000B7E7B" w:rsidRPr="00FA4573" w:rsidRDefault="000B7E7B" w:rsidP="000B7E7B">
      <w:pPr>
        <w:pStyle w:val="ListParagraph"/>
        <w:numPr>
          <w:ilvl w:val="0"/>
          <w:numId w:val="27"/>
        </w:numPr>
        <w:tabs>
          <w:tab w:val="clear" w:pos="1134"/>
          <w:tab w:val="clear" w:pos="1871"/>
          <w:tab w:val="clear" w:pos="2268"/>
        </w:tabs>
        <w:overflowPunct/>
        <w:autoSpaceDE/>
        <w:autoSpaceDN/>
        <w:adjustRightInd/>
        <w:spacing w:before="0" w:after="160" w:line="259" w:lineRule="auto"/>
        <w:textAlignment w:val="auto"/>
      </w:pPr>
      <w:r w:rsidRPr="00FA4573">
        <w:t>The team represents the diversity of the ITU-D’s membership through the individuals’ gender and ability and through members’ membership category and region; and</w:t>
      </w:r>
    </w:p>
    <w:p w14:paraId="6D968FE8" w14:textId="77777777" w:rsidR="000B7E7B" w:rsidRPr="00FA4573" w:rsidRDefault="000B7E7B" w:rsidP="000B7E7B">
      <w:pPr>
        <w:pStyle w:val="ListParagraph"/>
        <w:numPr>
          <w:ilvl w:val="0"/>
          <w:numId w:val="27"/>
        </w:numPr>
        <w:tabs>
          <w:tab w:val="clear" w:pos="1134"/>
          <w:tab w:val="clear" w:pos="1871"/>
          <w:tab w:val="clear" w:pos="2268"/>
        </w:tabs>
        <w:overflowPunct/>
        <w:autoSpaceDE/>
        <w:autoSpaceDN/>
        <w:adjustRightInd/>
        <w:spacing w:before="0" w:after="160" w:line="259" w:lineRule="auto"/>
        <w:textAlignment w:val="auto"/>
      </w:pPr>
      <w:r w:rsidRPr="00FA4573">
        <w:lastRenderedPageBreak/>
        <w:t xml:space="preserve">The team is of an appropriate number that rapporteurs can effectively lead the work and vice rapporteurs have sufficient opportunity to contribute meaningfully and develop new skills in leadership (in alignment with PP Res 208 </w:t>
      </w:r>
      <w:r w:rsidRPr="00FA4573">
        <w:rPr>
          <w:i/>
          <w:iCs/>
        </w:rPr>
        <w:t>resolves</w:t>
      </w:r>
      <w:r w:rsidRPr="00FA4573">
        <w:t xml:space="preserve"> 2).</w:t>
      </w:r>
    </w:p>
    <w:p w14:paraId="441B9FA8" w14:textId="77777777" w:rsidR="000B7E7B" w:rsidRPr="00FA4573" w:rsidRDefault="000B7E7B" w:rsidP="000B7E7B">
      <w:r w:rsidRPr="00FA4573">
        <w:t>Unless provided by the ITU Convention or a PP or WTDC Resolution, no single factor should disqualify or exclusively characterise any nomination. One example is known:</w:t>
      </w:r>
    </w:p>
    <w:p w14:paraId="72C8CAEB" w14:textId="77777777" w:rsidR="000B7E7B" w:rsidRPr="00FA4573" w:rsidRDefault="000B7E7B" w:rsidP="000B7E7B">
      <w:pPr>
        <w:pStyle w:val="ListParagraph"/>
        <w:numPr>
          <w:ilvl w:val="0"/>
          <w:numId w:val="30"/>
        </w:numPr>
        <w:tabs>
          <w:tab w:val="clear" w:pos="1134"/>
          <w:tab w:val="clear" w:pos="1871"/>
          <w:tab w:val="clear" w:pos="2268"/>
        </w:tabs>
        <w:overflowPunct/>
        <w:autoSpaceDE/>
        <w:autoSpaceDN/>
        <w:adjustRightInd/>
        <w:spacing w:before="0" w:after="160" w:line="259" w:lineRule="auto"/>
        <w:textAlignment w:val="auto"/>
      </w:pPr>
      <w:r w:rsidRPr="00FA4573">
        <w:t>WTDC Resolution 1, 3.3.1: An individual can only be a rapporteur or co-rapporteur to a single study Question.</w:t>
      </w:r>
    </w:p>
    <w:p w14:paraId="1C1D7FE0" w14:textId="77777777" w:rsidR="000B7E7B" w:rsidRPr="00FA4573" w:rsidRDefault="000B7E7B" w:rsidP="000B7E7B">
      <w:r w:rsidRPr="00FA4573">
        <w:t xml:space="preserve">However, </w:t>
      </w:r>
      <w:proofErr w:type="gramStart"/>
      <w:r w:rsidRPr="00FA4573">
        <w:t>a number of</w:t>
      </w:r>
      <w:proofErr w:type="gramEnd"/>
      <w:r w:rsidRPr="00FA4573">
        <w:t xml:space="preserve"> factors can contribute to the holistic evaluation of nominations. </w:t>
      </w:r>
      <w:r w:rsidRPr="00FA4573">
        <w:rPr>
          <w:i/>
          <w:iCs/>
        </w:rPr>
        <w:t>Ceteris paribus</w:t>
      </w:r>
      <w:r w:rsidRPr="00FA4573">
        <w:t xml:space="preserve">, a nomination should </w:t>
      </w:r>
      <w:proofErr w:type="gramStart"/>
      <w:r w:rsidRPr="00FA4573">
        <w:t>be preferred</w:t>
      </w:r>
      <w:proofErr w:type="gramEnd"/>
      <w:r w:rsidRPr="00FA4573">
        <w:t xml:space="preserve"> when:</w:t>
      </w:r>
      <w:r w:rsidRPr="00FA4573">
        <w:rPr>
          <w:rStyle w:val="FootnoteReference"/>
        </w:rPr>
        <w:footnoteReference w:id="19"/>
      </w:r>
    </w:p>
    <w:p w14:paraId="32BF7A6F"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is a Chair or Vice Chair of the Study Group to the relevant study Question (per PP Resolution 208 </w:t>
      </w:r>
      <w:r w:rsidRPr="00FA4573">
        <w:rPr>
          <w:i/>
          <w:iCs/>
        </w:rPr>
        <w:t xml:space="preserve">resolves further </w:t>
      </w:r>
      <w:r w:rsidRPr="00FA4573">
        <w:t>1</w:t>
      </w:r>
      <w:proofErr w:type="gramStart"/>
      <w:r w:rsidRPr="00FA4573">
        <w:t>);</w:t>
      </w:r>
      <w:proofErr w:type="gramEnd"/>
    </w:p>
    <w:p w14:paraId="76C8C7CB"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is from a country that does not otherwise hold any other rapporteur, co-rapporteur, or vice rapporteur position within the Study Group (in alignment with PP Resolution 208 </w:t>
      </w:r>
      <w:r w:rsidRPr="00FA4573">
        <w:rPr>
          <w:i/>
          <w:iCs/>
        </w:rPr>
        <w:t xml:space="preserve">resolves further </w:t>
      </w:r>
      <w:r w:rsidRPr="00FA4573">
        <w:t>3</w:t>
      </w:r>
      <w:proofErr w:type="gramStart"/>
      <w:r w:rsidRPr="00FA4573">
        <w:t>);</w:t>
      </w:r>
      <w:proofErr w:type="gramEnd"/>
    </w:p>
    <w:p w14:paraId="0FA59DED"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has demonstrated experience, within the ITU or elsewhere, concordant with their role’s responsibilities (see </w:t>
      </w:r>
      <w:r w:rsidRPr="00FA4573">
        <w:rPr>
          <w:i/>
          <w:iCs/>
        </w:rPr>
        <w:t>Rapporteur’s checklist</w:t>
      </w:r>
      <w:r w:rsidRPr="00FA4573">
        <w:t>, WTDC Resolution 1 Annex 5</w:t>
      </w:r>
      <w:proofErr w:type="gramStart"/>
      <w:r w:rsidRPr="00FA4573">
        <w:t>);</w:t>
      </w:r>
      <w:proofErr w:type="gramEnd"/>
    </w:p>
    <w:p w14:paraId="5FA84538"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has demonstrated experience in the ways of working within the ITU at any level and within any part of the </w:t>
      </w:r>
      <w:proofErr w:type="gramStart"/>
      <w:r w:rsidRPr="00FA4573">
        <w:t>Union;</w:t>
      </w:r>
      <w:proofErr w:type="gramEnd"/>
    </w:p>
    <w:p w14:paraId="5574510E"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has participated in a previous study </w:t>
      </w:r>
      <w:proofErr w:type="gramStart"/>
      <w:r w:rsidRPr="00FA4573">
        <w:t>cycle;</w:t>
      </w:r>
      <w:proofErr w:type="gramEnd"/>
    </w:p>
    <w:p w14:paraId="6A566C83"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has actively participated in a rapporteur, co-rapporteur, or vice rapporteur position in the previous study cycle and is standing for </w:t>
      </w:r>
      <w:proofErr w:type="gramStart"/>
      <w:r w:rsidRPr="00FA4573">
        <w:t>renomination;</w:t>
      </w:r>
      <w:proofErr w:type="gramEnd"/>
    </w:p>
    <w:p w14:paraId="108DC30C"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has been physically present in a previous meeting of the Study </w:t>
      </w:r>
      <w:proofErr w:type="gramStart"/>
      <w:r w:rsidRPr="00FA4573">
        <w:t>Group;</w:t>
      </w:r>
      <w:proofErr w:type="gramEnd"/>
      <w:r w:rsidRPr="00FA4573">
        <w:t xml:space="preserve"> </w:t>
      </w:r>
    </w:p>
    <w:p w14:paraId="29805497"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Financial and time support for the candidate’s nomination has </w:t>
      </w:r>
      <w:proofErr w:type="gramStart"/>
      <w:r w:rsidRPr="00FA4573">
        <w:t>been reaffirmed</w:t>
      </w:r>
      <w:proofErr w:type="gramEnd"/>
      <w:r w:rsidRPr="00FA4573">
        <w:t xml:space="preserve"> by the member (where and as appropriate); or</w:t>
      </w:r>
    </w:p>
    <w:p w14:paraId="3B39E54B"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contributes to a greater diversity of the rapporteur team, </w:t>
      </w:r>
      <w:proofErr w:type="gramStart"/>
      <w:r w:rsidRPr="00FA4573">
        <w:t>with regard to</w:t>
      </w:r>
      <w:proofErr w:type="gramEnd"/>
      <w:r w:rsidRPr="00FA4573">
        <w:t xml:space="preserve"> individuals’ gender and ability and to members’ membership category and region.</w:t>
      </w:r>
    </w:p>
    <w:p w14:paraId="371E502E" w14:textId="77777777" w:rsidR="000B7E7B" w:rsidRPr="00FA4573" w:rsidRDefault="000B7E7B" w:rsidP="000B7E7B">
      <w:r w:rsidRPr="00FA4573">
        <w:t xml:space="preserve">Inversely, </w:t>
      </w:r>
      <w:r w:rsidRPr="00FA4573">
        <w:rPr>
          <w:i/>
          <w:iCs/>
        </w:rPr>
        <w:t>ceteris paribus</w:t>
      </w:r>
      <w:r w:rsidRPr="00FA4573">
        <w:t>, a nomination should be deprioritised when:</w:t>
      </w:r>
      <w:r w:rsidRPr="00FA4573">
        <w:rPr>
          <w:rStyle w:val="FootnoteReference"/>
        </w:rPr>
        <w:footnoteReference w:id="20"/>
      </w:r>
    </w:p>
    <w:p w14:paraId="20F6B7B3"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 a vice rapporteur’s renomination</w:t>
      </w:r>
      <w:r w:rsidRPr="00FA4573">
        <w:t xml:space="preserve">, the candidate failed to participate (either physically or remotely) in at least half of all Study Group meetings during the previous study period (in alignment with PP Resolution 208 Annex 3 </w:t>
      </w:r>
      <w:r w:rsidRPr="00FA4573">
        <w:rPr>
          <w:i/>
          <w:iCs/>
        </w:rPr>
        <w:t xml:space="preserve">recital </w:t>
      </w:r>
      <w:r w:rsidRPr="00FA4573">
        <w:t>6</w:t>
      </w:r>
      <w:proofErr w:type="gramStart"/>
      <w:r w:rsidRPr="00FA4573">
        <w:t>);</w:t>
      </w:r>
      <w:proofErr w:type="gramEnd"/>
    </w:p>
    <w:p w14:paraId="33F21057"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was a rapporteur or co-rapporteur in the previous study cycle and did not physically attend more than one meeting of the study </w:t>
      </w:r>
      <w:proofErr w:type="gramStart"/>
      <w:r w:rsidRPr="00FA4573">
        <w:t>Question;</w:t>
      </w:r>
      <w:proofErr w:type="gramEnd"/>
    </w:p>
    <w:p w14:paraId="6869A9ED"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The candidate was a rapporteur, co-rapporteur, or vice rapporteur in the previous study cycle and did not submit any written contribution to the study Question over the duration of the study cycle;</w:t>
      </w:r>
      <w:r w:rsidRPr="00FA4573">
        <w:rPr>
          <w:rStyle w:val="FootnoteReference"/>
        </w:rPr>
        <w:footnoteReference w:id="21"/>
      </w:r>
      <w:r w:rsidRPr="00FA4573">
        <w:t xml:space="preserve"> or</w:t>
      </w:r>
    </w:p>
    <w:p w14:paraId="38A8DE83" w14:textId="77777777" w:rsidR="000B7E7B" w:rsidRPr="00FA4573" w:rsidRDefault="000B7E7B" w:rsidP="000B7E7B">
      <w:pPr>
        <w:pStyle w:val="ListParagraph"/>
        <w:numPr>
          <w:ilvl w:val="0"/>
          <w:numId w:val="28"/>
        </w:numPr>
        <w:tabs>
          <w:tab w:val="clear" w:pos="1134"/>
          <w:tab w:val="clear" w:pos="1871"/>
          <w:tab w:val="clear" w:pos="2268"/>
        </w:tabs>
        <w:overflowPunct/>
        <w:autoSpaceDE/>
        <w:autoSpaceDN/>
        <w:adjustRightInd/>
        <w:spacing w:before="0" w:after="160" w:line="259" w:lineRule="auto"/>
        <w:textAlignment w:val="auto"/>
      </w:pPr>
      <w:r w:rsidRPr="00FA4573">
        <w:t xml:space="preserve">Financial and time support for the candidate’s nomination has not </w:t>
      </w:r>
      <w:proofErr w:type="gramStart"/>
      <w:r w:rsidRPr="00FA4573">
        <w:t>been reaffirmed</w:t>
      </w:r>
      <w:proofErr w:type="gramEnd"/>
      <w:r w:rsidRPr="00FA4573">
        <w:t xml:space="preserve"> by the member (where and as appropriate).</w:t>
      </w:r>
    </w:p>
    <w:p w14:paraId="416D1345" w14:textId="77777777" w:rsidR="000B7E7B" w:rsidRPr="00FA4573" w:rsidRDefault="000B7E7B" w:rsidP="000B7E7B">
      <w:r w:rsidRPr="00FA4573">
        <w:lastRenderedPageBreak/>
        <w:t xml:space="preserve">This deprioritisation might include the deferral of a rapporteur or co-rapporteur candidate to a vice rapporteurship, given the critical nature of a (co-)rapporteur’s physical presence to </w:t>
      </w:r>
      <w:proofErr w:type="gramStart"/>
      <w:r w:rsidRPr="00FA4573">
        <w:t>adequately chair</w:t>
      </w:r>
      <w:proofErr w:type="gramEnd"/>
      <w:r w:rsidRPr="00FA4573">
        <w:t xml:space="preserve"> the study Question (in line with the </w:t>
      </w:r>
      <w:r w:rsidRPr="00FA4573">
        <w:rPr>
          <w:i/>
          <w:iCs/>
        </w:rPr>
        <w:t>Rapporteur’s checklist</w:t>
      </w:r>
      <w:r w:rsidRPr="00FA4573">
        <w:t>, WTDC Res 1 Annex 5).</w:t>
      </w:r>
    </w:p>
    <w:p w14:paraId="10890314" w14:textId="77777777" w:rsidR="000B7E7B" w:rsidRPr="00FA4573" w:rsidRDefault="000B7E7B" w:rsidP="000B7E7B">
      <w:r w:rsidRPr="00FA4573">
        <w:t>To aide this process of evaluation, the BDT should prepare a report, circulated in an unabridged version only to the Study Group Chairs and Vice Chairs and to members as relates only to their own candidates, that includes, for each candidate:</w:t>
      </w:r>
    </w:p>
    <w:p w14:paraId="7347D4E7" w14:textId="77777777" w:rsidR="000B7E7B" w:rsidRPr="00FA4573" w:rsidRDefault="000B7E7B" w:rsidP="000B7E7B">
      <w:pPr>
        <w:pStyle w:val="ListParagraph"/>
        <w:numPr>
          <w:ilvl w:val="0"/>
          <w:numId w:val="26"/>
        </w:numPr>
        <w:tabs>
          <w:tab w:val="clear" w:pos="1134"/>
          <w:tab w:val="clear" w:pos="1871"/>
          <w:tab w:val="clear" w:pos="2268"/>
        </w:tabs>
        <w:overflowPunct/>
        <w:autoSpaceDE/>
        <w:autoSpaceDN/>
        <w:adjustRightInd/>
        <w:spacing w:before="0" w:after="160" w:line="259" w:lineRule="auto"/>
        <w:textAlignment w:val="auto"/>
      </w:pPr>
      <w:r w:rsidRPr="00FA4573">
        <w:t>An indication if the member’s support for the candidate has been reaffirmed (where and as appropriate</w:t>
      </w:r>
      <w:proofErr w:type="gramStart"/>
      <w:r w:rsidRPr="00FA4573">
        <w:t>);</w:t>
      </w:r>
      <w:proofErr w:type="gramEnd"/>
    </w:p>
    <w:p w14:paraId="25BF9C6D" w14:textId="77777777" w:rsidR="000B7E7B" w:rsidRPr="00FA4573" w:rsidRDefault="000B7E7B" w:rsidP="000B7E7B">
      <w:pPr>
        <w:pStyle w:val="ListParagraph"/>
        <w:numPr>
          <w:ilvl w:val="0"/>
          <w:numId w:val="26"/>
        </w:numPr>
        <w:tabs>
          <w:tab w:val="clear" w:pos="1134"/>
          <w:tab w:val="clear" w:pos="1871"/>
          <w:tab w:val="clear" w:pos="2268"/>
        </w:tabs>
        <w:overflowPunct/>
        <w:autoSpaceDE/>
        <w:autoSpaceDN/>
        <w:adjustRightInd/>
        <w:spacing w:before="0" w:after="160" w:line="259" w:lineRule="auto"/>
        <w:textAlignment w:val="auto"/>
      </w:pPr>
      <w:r w:rsidRPr="00FA4573">
        <w:t>The number of study group meetings that the candidate attended in the last cycle, if any; and</w:t>
      </w:r>
    </w:p>
    <w:p w14:paraId="42E0DAD6" w14:textId="77777777" w:rsidR="000B7E7B" w:rsidRPr="00FA4573" w:rsidRDefault="000B7E7B" w:rsidP="000B7E7B">
      <w:pPr>
        <w:pStyle w:val="ListParagraph"/>
        <w:numPr>
          <w:ilvl w:val="0"/>
          <w:numId w:val="26"/>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 rapporteurships only,</w:t>
      </w:r>
      <w:r w:rsidRPr="00FA4573">
        <w:t xml:space="preserve"> the number of study group meetings that the candidate </w:t>
      </w:r>
      <w:proofErr w:type="gramStart"/>
      <w:r w:rsidRPr="00FA4573">
        <w:t>was recorded</w:t>
      </w:r>
      <w:proofErr w:type="gramEnd"/>
      <w:r w:rsidRPr="00FA4573">
        <w:t xml:space="preserve"> as physically present, if any.</w:t>
      </w:r>
    </w:p>
    <w:p w14:paraId="47382A65" w14:textId="77777777" w:rsidR="000B7E7B" w:rsidRPr="00FA4573" w:rsidRDefault="000B7E7B" w:rsidP="000B7E7B">
      <w:r w:rsidRPr="00FA4573">
        <w:t>Based on this information and with these guidelines, the Study Group Chairs should assemble a draft proposal for each rapporteur team within each Study Group and submit this as a written contribution to the first Study Group meeting. In that effort, they should:</w:t>
      </w:r>
    </w:p>
    <w:p w14:paraId="50BF38AF" w14:textId="77777777" w:rsidR="000B7E7B" w:rsidRPr="00FA4573" w:rsidRDefault="000B7E7B" w:rsidP="000B7E7B">
      <w:pPr>
        <w:pStyle w:val="ListParagraph"/>
        <w:numPr>
          <w:ilvl w:val="0"/>
          <w:numId w:val="29"/>
        </w:numPr>
        <w:tabs>
          <w:tab w:val="clear" w:pos="1134"/>
          <w:tab w:val="clear" w:pos="1871"/>
          <w:tab w:val="clear" w:pos="2268"/>
        </w:tabs>
        <w:overflowPunct/>
        <w:autoSpaceDE/>
        <w:autoSpaceDN/>
        <w:adjustRightInd/>
        <w:spacing w:before="0" w:after="160" w:line="259" w:lineRule="auto"/>
        <w:textAlignment w:val="auto"/>
      </w:pPr>
      <w:r w:rsidRPr="00FA4573">
        <w:t xml:space="preserve">Give particular consideration to the requirements of </w:t>
      </w:r>
      <w:r w:rsidRPr="00FA4573">
        <w:rPr>
          <w:b/>
          <w:bCs/>
        </w:rPr>
        <w:t>competence</w:t>
      </w:r>
      <w:r w:rsidRPr="00FA4573">
        <w:t xml:space="preserve"> and </w:t>
      </w:r>
      <w:r w:rsidRPr="00FA4573">
        <w:rPr>
          <w:b/>
          <w:bCs/>
        </w:rPr>
        <w:t>equitable geographical distribution</w:t>
      </w:r>
      <w:r w:rsidRPr="00FA4573">
        <w:t xml:space="preserve"> as possible and to the need to promote more efficient participation by developing countries (per No. 242 of the ITU Convention, emphasis added</w:t>
      </w:r>
      <w:proofErr w:type="gramStart"/>
      <w:r w:rsidRPr="00FA4573">
        <w:t>);</w:t>
      </w:r>
      <w:proofErr w:type="gramEnd"/>
    </w:p>
    <w:p w14:paraId="52EE832A" w14:textId="77777777" w:rsidR="000B7E7B" w:rsidRPr="00FA4573" w:rsidRDefault="000B7E7B" w:rsidP="000B7E7B">
      <w:pPr>
        <w:pStyle w:val="ListParagraph"/>
        <w:numPr>
          <w:ilvl w:val="1"/>
          <w:numId w:val="29"/>
        </w:numPr>
        <w:tabs>
          <w:tab w:val="clear" w:pos="1134"/>
          <w:tab w:val="clear" w:pos="1871"/>
          <w:tab w:val="clear" w:pos="2268"/>
        </w:tabs>
        <w:overflowPunct/>
        <w:autoSpaceDE/>
        <w:autoSpaceDN/>
        <w:adjustRightInd/>
        <w:spacing w:before="0" w:after="160" w:line="259" w:lineRule="auto"/>
        <w:textAlignment w:val="auto"/>
      </w:pPr>
      <w:r w:rsidRPr="00FA4573">
        <w:t xml:space="preserve">This competence of any candidate should be evaluated based on the information provided by the BDT and supporting information provided by the nominating </w:t>
      </w:r>
      <w:proofErr w:type="gramStart"/>
      <w:r w:rsidRPr="00FA4573">
        <w:t>member;</w:t>
      </w:r>
      <w:proofErr w:type="gramEnd"/>
    </w:p>
    <w:p w14:paraId="232ACA2F" w14:textId="77777777" w:rsidR="000B7E7B" w:rsidRPr="00FA4573" w:rsidRDefault="000B7E7B" w:rsidP="000B7E7B">
      <w:pPr>
        <w:pStyle w:val="ListParagraph"/>
        <w:numPr>
          <w:ilvl w:val="0"/>
          <w:numId w:val="29"/>
        </w:numPr>
        <w:tabs>
          <w:tab w:val="clear" w:pos="1134"/>
          <w:tab w:val="clear" w:pos="1871"/>
          <w:tab w:val="clear" w:pos="2268"/>
        </w:tabs>
        <w:overflowPunct/>
        <w:autoSpaceDE/>
        <w:autoSpaceDN/>
        <w:adjustRightInd/>
        <w:spacing w:before="0" w:after="160" w:line="259" w:lineRule="auto"/>
        <w:textAlignment w:val="auto"/>
      </w:pPr>
      <w:r w:rsidRPr="00FA4573">
        <w:t xml:space="preserve">Appoint </w:t>
      </w:r>
      <w:r w:rsidRPr="00FA4573">
        <w:rPr>
          <w:b/>
          <w:bCs/>
        </w:rPr>
        <w:t>only the number</w:t>
      </w:r>
      <w:r w:rsidRPr="00FA4573">
        <w:t xml:space="preserve"> </w:t>
      </w:r>
      <w:r w:rsidRPr="00FA4573">
        <w:rPr>
          <w:b/>
          <w:bCs/>
        </w:rPr>
        <w:t>of vice-rapporteurs deemed necessary</w:t>
      </w:r>
      <w:r w:rsidRPr="00FA4573">
        <w:t xml:space="preserve"> for the efficient and effective management and functioning of the Question (in alignment with PP Res 208 </w:t>
      </w:r>
      <w:r w:rsidRPr="00FA4573">
        <w:rPr>
          <w:i/>
          <w:iCs/>
        </w:rPr>
        <w:t xml:space="preserve">resolves </w:t>
      </w:r>
      <w:r w:rsidRPr="00FA4573">
        <w:t>2, emphasis added</w:t>
      </w:r>
      <w:proofErr w:type="gramStart"/>
      <w:r w:rsidRPr="00FA4573">
        <w:t>);</w:t>
      </w:r>
      <w:proofErr w:type="gramEnd"/>
    </w:p>
    <w:p w14:paraId="3B9B4471" w14:textId="77777777" w:rsidR="000B7E7B" w:rsidRPr="00FA4573" w:rsidRDefault="000B7E7B" w:rsidP="000B7E7B">
      <w:pPr>
        <w:pStyle w:val="ListParagraph"/>
        <w:numPr>
          <w:ilvl w:val="0"/>
          <w:numId w:val="29"/>
        </w:numPr>
        <w:tabs>
          <w:tab w:val="clear" w:pos="1134"/>
          <w:tab w:val="clear" w:pos="1871"/>
          <w:tab w:val="clear" w:pos="2268"/>
        </w:tabs>
        <w:overflowPunct/>
        <w:autoSpaceDE/>
        <w:autoSpaceDN/>
        <w:adjustRightInd/>
        <w:spacing w:before="0" w:after="160" w:line="259" w:lineRule="auto"/>
        <w:textAlignment w:val="auto"/>
      </w:pPr>
      <w:r w:rsidRPr="00FA4573">
        <w:t xml:space="preserve">Ensure appropriate representation from </w:t>
      </w:r>
      <w:r w:rsidRPr="00FA4573">
        <w:rPr>
          <w:b/>
          <w:bCs/>
        </w:rPr>
        <w:t>developing countries</w:t>
      </w:r>
      <w:r w:rsidRPr="00FA4573">
        <w:t xml:space="preserve">, including the least developed countries, small island developing states, landlocked developing </w:t>
      </w:r>
      <w:proofErr w:type="gramStart"/>
      <w:r w:rsidRPr="00FA4573">
        <w:t>countries</w:t>
      </w:r>
      <w:proofErr w:type="gramEnd"/>
      <w:r w:rsidRPr="00FA4573">
        <w:t xml:space="preserve"> and countries with economies in transition (in alignment with PP Resolution 208 Annex 2 </w:t>
      </w:r>
      <w:r w:rsidRPr="00FA4573">
        <w:rPr>
          <w:i/>
          <w:iCs/>
        </w:rPr>
        <w:t>recital</w:t>
      </w:r>
      <w:r w:rsidRPr="00FA4573">
        <w:t xml:space="preserve"> 1, emphasis added); and</w:t>
      </w:r>
    </w:p>
    <w:p w14:paraId="4E9D74F2" w14:textId="77777777" w:rsidR="000B7E7B" w:rsidRPr="00FA4573" w:rsidRDefault="000B7E7B" w:rsidP="000B7E7B">
      <w:pPr>
        <w:pStyle w:val="ListParagraph"/>
        <w:numPr>
          <w:ilvl w:val="0"/>
          <w:numId w:val="29"/>
        </w:numPr>
        <w:tabs>
          <w:tab w:val="clear" w:pos="1134"/>
          <w:tab w:val="clear" w:pos="1871"/>
          <w:tab w:val="clear" w:pos="2268"/>
        </w:tabs>
        <w:overflowPunct/>
        <w:autoSpaceDE/>
        <w:autoSpaceDN/>
        <w:adjustRightInd/>
        <w:spacing w:before="0" w:after="160" w:line="259" w:lineRule="auto"/>
        <w:textAlignment w:val="auto"/>
      </w:pPr>
      <w:proofErr w:type="gramStart"/>
      <w:r w:rsidRPr="00FA4573">
        <w:t>Utilise</w:t>
      </w:r>
      <w:proofErr w:type="gramEnd"/>
      <w:r w:rsidRPr="00FA4573">
        <w:t xml:space="preserve"> the human resources of as </w:t>
      </w:r>
      <w:r w:rsidRPr="00FA4573">
        <w:rPr>
          <w:b/>
          <w:bCs/>
        </w:rPr>
        <w:t>broad a range of Member States and Sector Members</w:t>
      </w:r>
      <w:r w:rsidRPr="00FA4573">
        <w:t xml:space="preserve"> as possible within the rapporteur team (per PP Resolution 208 Annex 3 </w:t>
      </w:r>
      <w:r w:rsidRPr="00FA4573">
        <w:rPr>
          <w:i/>
          <w:iCs/>
        </w:rPr>
        <w:t xml:space="preserve">recital </w:t>
      </w:r>
      <w:r w:rsidRPr="00FA4573">
        <w:t>2, emphasis added).</w:t>
      </w:r>
    </w:p>
    <w:p w14:paraId="099C5636" w14:textId="77777777" w:rsidR="000B7E7B" w:rsidRPr="00FA4573" w:rsidRDefault="000B7E7B" w:rsidP="000B7E7B">
      <w:r w:rsidRPr="00FA4573">
        <w:t xml:space="preserve">Before submission of the draft proposal to the Study Group, it should </w:t>
      </w:r>
      <w:proofErr w:type="gramStart"/>
      <w:r w:rsidRPr="00FA4573">
        <w:t>be shared</w:t>
      </w:r>
      <w:proofErr w:type="gramEnd"/>
      <w:r w:rsidRPr="00FA4573">
        <w:t xml:space="preserve"> for consultation with the proposed rapporteurs (and/or co-rapporteurs, if appropriate), as relates only to the study Question for which they are provisionally to lead. The Study Group Chair may revise their draft proposal based on this consultation before submission.</w:t>
      </w:r>
    </w:p>
    <w:p w14:paraId="4DA4177B" w14:textId="77777777" w:rsidR="000B7E7B" w:rsidRPr="00FA4573" w:rsidRDefault="000B7E7B" w:rsidP="000B7E7B">
      <w:pPr>
        <w:rPr>
          <w:rFonts w:eastAsia="Malgun Gothic"/>
          <w:lang w:eastAsia="ko-KR"/>
        </w:rPr>
      </w:pPr>
      <w:proofErr w:type="gramStart"/>
      <w:r w:rsidRPr="00FA4573">
        <w:t>Ultimately, this</w:t>
      </w:r>
      <w:proofErr w:type="gramEnd"/>
      <w:r w:rsidRPr="00FA4573">
        <w:t xml:space="preserve"> draft proposal will then need to be adopted by the Study Group at its first meeting, with or without amendments, in accordance with WTDC Res 1 3.3.5. This remains the formal process of appointment for all rapporteurs, co-rapporteurs, and vice rapporteurs.</w:t>
      </w:r>
    </w:p>
    <w:p w14:paraId="2B259690" w14:textId="77777777" w:rsidR="000B7E7B" w:rsidRPr="00FA4573" w:rsidRDefault="000B7E7B" w:rsidP="000B7E7B">
      <w:pPr>
        <w:tabs>
          <w:tab w:val="clear" w:pos="1134"/>
          <w:tab w:val="clear" w:pos="1871"/>
          <w:tab w:val="clear" w:pos="2268"/>
        </w:tabs>
        <w:overflowPunct/>
        <w:autoSpaceDE/>
        <w:autoSpaceDN/>
        <w:adjustRightInd/>
        <w:spacing w:before="0"/>
        <w:textAlignment w:val="auto"/>
        <w:rPr>
          <w:rFonts w:eastAsia="Malgun Gothic"/>
          <w:lang w:eastAsia="ko-KR"/>
        </w:rPr>
      </w:pPr>
    </w:p>
    <w:p w14:paraId="5C0DD3B9" w14:textId="77777777" w:rsidR="000B7E7B" w:rsidRPr="00FA4573" w:rsidRDefault="000B7E7B" w:rsidP="000B7E7B">
      <w:pPr>
        <w:tabs>
          <w:tab w:val="clear" w:pos="1134"/>
          <w:tab w:val="clear" w:pos="1871"/>
          <w:tab w:val="clear" w:pos="2268"/>
        </w:tabs>
        <w:overflowPunct/>
        <w:autoSpaceDE/>
        <w:autoSpaceDN/>
        <w:adjustRightInd/>
        <w:spacing w:before="0"/>
        <w:textAlignment w:val="auto"/>
        <w:rPr>
          <w:rFonts w:eastAsia="Malgun Gothic"/>
          <w:lang w:eastAsia="ko-KR"/>
        </w:rPr>
        <w:sectPr w:rsidR="000B7E7B" w:rsidRPr="00FA4573" w:rsidSect="00A63D1D">
          <w:headerReference w:type="default" r:id="rId145"/>
          <w:pgSz w:w="11907" w:h="16840" w:code="9"/>
          <w:pgMar w:top="1418" w:right="1134" w:bottom="900" w:left="1134" w:header="720" w:footer="720" w:gutter="0"/>
          <w:cols w:space="720"/>
          <w:docGrid w:linePitch="326"/>
        </w:sectPr>
      </w:pPr>
    </w:p>
    <w:p w14:paraId="19805001" w14:textId="77777777" w:rsidR="000B7E7B" w:rsidRPr="00FA4573" w:rsidRDefault="000B7E7B" w:rsidP="000B7E7B">
      <w:pPr>
        <w:overflowPunct/>
        <w:autoSpaceDE/>
        <w:autoSpaceDN/>
        <w:adjustRightInd/>
        <w:spacing w:after="120"/>
        <w:textAlignment w:val="auto"/>
        <w:rPr>
          <w:rFonts w:eastAsia="Malgun Gothic"/>
          <w:b/>
          <w:bCs/>
          <w:lang w:eastAsia="ko-KR"/>
        </w:rPr>
      </w:pPr>
      <w:r w:rsidRPr="00FA4573">
        <w:rPr>
          <w:b/>
          <w:bCs/>
        </w:rPr>
        <w:lastRenderedPageBreak/>
        <w:t xml:space="preserve">Annex </w:t>
      </w:r>
      <w:r w:rsidRPr="00FA4573">
        <w:rPr>
          <w:rFonts w:eastAsia="Malgun Gothic" w:hint="eastAsia"/>
          <w:b/>
          <w:bCs/>
          <w:lang w:eastAsia="ko-KR"/>
        </w:rPr>
        <w:t>5</w:t>
      </w:r>
      <w:r w:rsidRPr="00FA4573">
        <w:rPr>
          <w:b/>
          <w:bCs/>
        </w:rPr>
        <w:t xml:space="preserve">: Draft guidelines </w:t>
      </w:r>
      <w:r w:rsidRPr="00FA4573">
        <w:rPr>
          <w:rFonts w:eastAsia="Malgun Gothic" w:hint="eastAsia"/>
          <w:b/>
          <w:bCs/>
          <w:lang w:eastAsia="ko-KR"/>
        </w:rPr>
        <w:t>on b</w:t>
      </w:r>
      <w:r w:rsidRPr="00FA4573">
        <w:rPr>
          <w:b/>
          <w:bCs/>
        </w:rPr>
        <w:t>etter use of ITU-D Study Group products</w:t>
      </w:r>
    </w:p>
    <w:p w14:paraId="6A89EA23" w14:textId="77777777" w:rsidR="000B7E7B" w:rsidRPr="00474F78" w:rsidRDefault="000B7E7B" w:rsidP="000B7E7B">
      <w:pPr>
        <w:overflowPunct/>
        <w:autoSpaceDE/>
        <w:autoSpaceDN/>
        <w:adjustRightInd/>
        <w:spacing w:after="120"/>
        <w:textAlignment w:val="auto"/>
        <w:rPr>
          <w:rFonts w:eastAsia="Malgun Gothic"/>
          <w:lang w:eastAsia="ko-KR"/>
        </w:rPr>
      </w:pPr>
      <w:r w:rsidRPr="00FA4573">
        <w:rPr>
          <w:rFonts w:eastAsia="Malgun Gothic" w:hint="eastAsia"/>
          <w:lang w:eastAsia="ko-KR"/>
        </w:rPr>
        <w:t xml:space="preserve">Note: </w:t>
      </w:r>
      <w:proofErr w:type="gramStart"/>
      <w:r w:rsidRPr="00FA4573">
        <w:rPr>
          <w:rFonts w:eastAsia="Malgun Gothic" w:hint="eastAsia"/>
          <w:lang w:eastAsia="ko-KR"/>
        </w:rPr>
        <w:t xml:space="preserve">These guidelines were developed by </w:t>
      </w:r>
      <w:r w:rsidRPr="00FA4573">
        <w:rPr>
          <w:szCs w:val="18"/>
        </w:rPr>
        <w:t>Ms Nicola Bennett (Australia)</w:t>
      </w:r>
      <w:proofErr w:type="gramEnd"/>
      <w:r w:rsidRPr="00FA4573">
        <w:rPr>
          <w:szCs w:val="18"/>
        </w:rPr>
        <w:t xml:space="preserve"> and Mr Hideo Imanaka (Japan)</w:t>
      </w:r>
      <w:r w:rsidRPr="00FA4573">
        <w:rPr>
          <w:rFonts w:eastAsia="Malgun Gothic" w:hint="eastAsia"/>
          <w:szCs w:val="18"/>
          <w:lang w:eastAsia="ko-KR"/>
        </w:rPr>
        <w:t>.</w:t>
      </w:r>
    </w:p>
    <w:p w14:paraId="47E82E43" w14:textId="77777777" w:rsidR="000B7E7B" w:rsidRPr="00FA4573" w:rsidRDefault="000B7E7B" w:rsidP="000B7E7B">
      <w:pPr>
        <w:spacing w:before="160"/>
      </w:pPr>
      <w:r w:rsidRPr="00FA4573">
        <w:rPr>
          <w:b/>
          <w:bCs/>
          <w:u w:val="single"/>
        </w:rPr>
        <w:t>Purpose of document</w:t>
      </w:r>
      <w:r w:rsidRPr="00FA4573">
        <w:t xml:space="preserve">: </w:t>
      </w:r>
    </w:p>
    <w:p w14:paraId="3143893F" w14:textId="77777777" w:rsidR="000B7E7B" w:rsidRPr="00FA4573" w:rsidRDefault="000B7E7B" w:rsidP="000B7E7B">
      <w:pPr>
        <w:spacing w:before="160"/>
      </w:pPr>
      <w:r w:rsidRPr="00FA4573">
        <w:t>To identify challenges impacting the effective</w:t>
      </w:r>
      <w:r w:rsidRPr="00FA4573">
        <w:rPr>
          <w:rFonts w:hint="eastAsia"/>
        </w:rPr>
        <w:t xml:space="preserve"> use</w:t>
      </w:r>
      <w:r w:rsidRPr="00FA4573">
        <w:t xml:space="preserve"> of ITU-D Study Group </w:t>
      </w:r>
      <w:proofErr w:type="gramStart"/>
      <w:r w:rsidRPr="00FA4573">
        <w:t>products, and</w:t>
      </w:r>
      <w:proofErr w:type="gramEnd"/>
      <w:r w:rsidRPr="00FA4573">
        <w:t xml:space="preserve"> propose potential solutions to address these pressure points. </w:t>
      </w:r>
    </w:p>
    <w:p w14:paraId="06F5059D" w14:textId="77777777" w:rsidR="000B7E7B" w:rsidRPr="00FA4573" w:rsidRDefault="000B7E7B" w:rsidP="000B7E7B">
      <w:pPr>
        <w:spacing w:before="160"/>
      </w:pPr>
      <w:r w:rsidRPr="00FA4573">
        <w:rPr>
          <w:rFonts w:hint="eastAsia"/>
          <w:b/>
          <w:bCs/>
          <w:u w:val="single"/>
        </w:rPr>
        <w:t>Target ITU-D SG products</w:t>
      </w:r>
      <w:r w:rsidRPr="00FA4573">
        <w:t xml:space="preserve">: </w:t>
      </w:r>
    </w:p>
    <w:p w14:paraId="00E515B5" w14:textId="77777777" w:rsidR="000B7E7B" w:rsidRPr="00FA4573" w:rsidRDefault="000B7E7B" w:rsidP="000B7E7B">
      <w:pPr>
        <w:spacing w:before="160"/>
      </w:pPr>
      <w:r w:rsidRPr="00FA4573">
        <w:t>ITU-D Study Group products include:</w:t>
      </w:r>
    </w:p>
    <w:p w14:paraId="6F7E60AC" w14:textId="77777777" w:rsidR="000B7E7B" w:rsidRPr="00FA4573" w:rsidRDefault="000B7E7B" w:rsidP="000B7E7B">
      <w:pPr>
        <w:pStyle w:val="ListParagraph"/>
        <w:numPr>
          <w:ilvl w:val="0"/>
          <w:numId w:val="32"/>
        </w:numPr>
        <w:tabs>
          <w:tab w:val="clear" w:pos="1134"/>
          <w:tab w:val="clear" w:pos="1871"/>
          <w:tab w:val="clear" w:pos="2268"/>
        </w:tabs>
        <w:overflowPunct/>
        <w:autoSpaceDE/>
        <w:autoSpaceDN/>
        <w:adjustRightInd/>
        <w:spacing w:before="160" w:after="160" w:line="259" w:lineRule="auto"/>
        <w:textAlignment w:val="auto"/>
      </w:pPr>
      <w:r w:rsidRPr="00FA4573">
        <w:t xml:space="preserve">Final Reports from each Study Group </w:t>
      </w:r>
      <w:r w:rsidRPr="00FA4573">
        <w:rPr>
          <w:rFonts w:hint="eastAsia"/>
        </w:rPr>
        <w:t xml:space="preserve">Question </w:t>
      </w:r>
      <w:r w:rsidRPr="00FA4573">
        <w:t>(quadrennial)</w:t>
      </w:r>
    </w:p>
    <w:p w14:paraId="5E4F8EDC" w14:textId="77777777" w:rsidR="000B7E7B" w:rsidRPr="00FA4573" w:rsidRDefault="000B7E7B" w:rsidP="000B7E7B">
      <w:pPr>
        <w:pStyle w:val="ListParagraph"/>
        <w:numPr>
          <w:ilvl w:val="0"/>
          <w:numId w:val="32"/>
        </w:numPr>
        <w:tabs>
          <w:tab w:val="clear" w:pos="1134"/>
          <w:tab w:val="clear" w:pos="1871"/>
          <w:tab w:val="clear" w:pos="2268"/>
        </w:tabs>
        <w:overflowPunct/>
        <w:autoSpaceDE/>
        <w:autoSpaceDN/>
        <w:adjustRightInd/>
        <w:spacing w:before="160" w:after="160" w:line="259" w:lineRule="auto"/>
        <w:textAlignment w:val="auto"/>
      </w:pPr>
      <w:r w:rsidRPr="00FA4573">
        <w:rPr>
          <w:rFonts w:hint="eastAsia"/>
        </w:rPr>
        <w:t>Interim reports from each Study Group Question (annually)</w:t>
      </w:r>
    </w:p>
    <w:p w14:paraId="2D28745A" w14:textId="77777777" w:rsidR="000B7E7B" w:rsidRPr="00FA4573" w:rsidRDefault="000B7E7B" w:rsidP="000B7E7B">
      <w:pPr>
        <w:pStyle w:val="ListParagraph"/>
        <w:numPr>
          <w:ilvl w:val="0"/>
          <w:numId w:val="32"/>
        </w:numPr>
        <w:tabs>
          <w:tab w:val="clear" w:pos="1134"/>
          <w:tab w:val="clear" w:pos="1871"/>
          <w:tab w:val="clear" w:pos="2268"/>
        </w:tabs>
        <w:overflowPunct/>
        <w:autoSpaceDE/>
        <w:autoSpaceDN/>
        <w:adjustRightInd/>
        <w:spacing w:before="160" w:after="160" w:line="259" w:lineRule="auto"/>
        <w:textAlignment w:val="auto"/>
      </w:pPr>
      <w:r w:rsidRPr="00FA4573">
        <w:rPr>
          <w:rFonts w:hint="eastAsia"/>
        </w:rPr>
        <w:t>Workshop reports of each Study Group Question</w:t>
      </w:r>
    </w:p>
    <w:p w14:paraId="04045FCA" w14:textId="77777777" w:rsidR="000B7E7B" w:rsidRPr="00FA4573" w:rsidRDefault="000B7E7B" w:rsidP="000B7E7B">
      <w:pPr>
        <w:pStyle w:val="ListParagraph"/>
        <w:numPr>
          <w:ilvl w:val="0"/>
          <w:numId w:val="32"/>
        </w:numPr>
        <w:tabs>
          <w:tab w:val="clear" w:pos="1134"/>
          <w:tab w:val="clear" w:pos="1871"/>
          <w:tab w:val="clear" w:pos="2268"/>
        </w:tabs>
        <w:overflowPunct/>
        <w:autoSpaceDE/>
        <w:autoSpaceDN/>
        <w:adjustRightInd/>
        <w:spacing w:before="160" w:after="160" w:line="259" w:lineRule="auto"/>
        <w:textAlignment w:val="auto"/>
      </w:pPr>
      <w:r w:rsidRPr="00FA4573">
        <w:t xml:space="preserve">Best practice documents, guidelines, seminars, </w:t>
      </w:r>
      <w:proofErr w:type="gramStart"/>
      <w:r w:rsidRPr="00FA4573">
        <w:t>etc.</w:t>
      </w:r>
      <w:proofErr w:type="gramEnd"/>
      <w:r w:rsidRPr="00FA4573">
        <w:t xml:space="preserve"> </w:t>
      </w:r>
    </w:p>
    <w:tbl>
      <w:tblPr>
        <w:tblStyle w:val="GridTable1Light"/>
        <w:tblW w:w="5000" w:type="pct"/>
        <w:tblLook w:val="04A0" w:firstRow="1" w:lastRow="0" w:firstColumn="1" w:lastColumn="0" w:noHBand="0" w:noVBand="1"/>
      </w:tblPr>
      <w:tblGrid>
        <w:gridCol w:w="2061"/>
        <w:gridCol w:w="5160"/>
        <w:gridCol w:w="7291"/>
      </w:tblGrid>
      <w:tr w:rsidR="000B7E7B" w:rsidRPr="00FA4573" w14:paraId="649D20D0" w14:textId="77777777" w:rsidTr="00857F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0" w:type="pct"/>
            <w:shd w:val="clear" w:color="auto" w:fill="EEECE1" w:themeFill="background2"/>
          </w:tcPr>
          <w:p w14:paraId="36DB799D" w14:textId="77777777" w:rsidR="000B7E7B" w:rsidRPr="00FA4573" w:rsidRDefault="000B7E7B" w:rsidP="00857FB6">
            <w:pPr>
              <w:spacing w:before="160"/>
              <w:rPr>
                <w:sz w:val="22"/>
              </w:rPr>
            </w:pPr>
          </w:p>
        </w:tc>
        <w:tc>
          <w:tcPr>
            <w:tcW w:w="1778" w:type="pct"/>
            <w:shd w:val="clear" w:color="auto" w:fill="EEECE1" w:themeFill="background2"/>
          </w:tcPr>
          <w:p w14:paraId="1CD53C7A" w14:textId="77777777" w:rsidR="000B7E7B" w:rsidRPr="00FA4573" w:rsidRDefault="000B7E7B" w:rsidP="00857FB6">
            <w:pPr>
              <w:spacing w:before="160"/>
              <w:cnfStyle w:val="100000000000" w:firstRow="1" w:lastRow="0" w:firstColumn="0" w:lastColumn="0" w:oddVBand="0" w:evenVBand="0" w:oddHBand="0" w:evenHBand="0" w:firstRowFirstColumn="0" w:firstRowLastColumn="0" w:lastRowFirstColumn="0" w:lastRowLastColumn="0"/>
              <w:rPr>
                <w:sz w:val="22"/>
              </w:rPr>
            </w:pPr>
            <w:r w:rsidRPr="00FA4573">
              <w:rPr>
                <w:sz w:val="22"/>
              </w:rPr>
              <w:t>Challenge</w:t>
            </w:r>
          </w:p>
        </w:tc>
        <w:tc>
          <w:tcPr>
            <w:tcW w:w="2512" w:type="pct"/>
            <w:shd w:val="clear" w:color="auto" w:fill="EEECE1" w:themeFill="background2"/>
          </w:tcPr>
          <w:p w14:paraId="3B7DCFE4" w14:textId="77777777" w:rsidR="000B7E7B" w:rsidRPr="00FA4573" w:rsidRDefault="000B7E7B" w:rsidP="00857FB6">
            <w:pPr>
              <w:spacing w:before="160"/>
              <w:cnfStyle w:val="100000000000" w:firstRow="1" w:lastRow="0" w:firstColumn="0" w:lastColumn="0" w:oddVBand="0" w:evenVBand="0" w:oddHBand="0" w:evenHBand="0" w:firstRowFirstColumn="0" w:firstRowLastColumn="0" w:lastRowFirstColumn="0" w:lastRowLastColumn="0"/>
              <w:rPr>
                <w:sz w:val="22"/>
              </w:rPr>
            </w:pPr>
            <w:r w:rsidRPr="00FA4573">
              <w:rPr>
                <w:sz w:val="22"/>
              </w:rPr>
              <w:t>Proposed solutions</w:t>
            </w:r>
          </w:p>
        </w:tc>
      </w:tr>
      <w:tr w:rsidR="000B7E7B" w:rsidRPr="00FA4573" w14:paraId="6A93554C" w14:textId="77777777" w:rsidTr="00857FB6">
        <w:trPr>
          <w:trHeight w:val="679"/>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7B00B43C" w14:textId="77777777" w:rsidR="000B7E7B" w:rsidRPr="00FA4573" w:rsidRDefault="000B7E7B" w:rsidP="00857FB6">
            <w:pPr>
              <w:spacing w:before="160"/>
              <w:rPr>
                <w:sz w:val="22"/>
              </w:rPr>
            </w:pPr>
            <w:r w:rsidRPr="00FA4573">
              <w:rPr>
                <w:rFonts w:hint="eastAsia"/>
                <w:sz w:val="22"/>
              </w:rPr>
              <w:t>How to find ITU-D SG products</w:t>
            </w:r>
          </w:p>
        </w:tc>
        <w:tc>
          <w:tcPr>
            <w:tcW w:w="1778" w:type="pct"/>
          </w:tcPr>
          <w:p w14:paraId="650F587B"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rFonts w:hint="eastAsia"/>
                <w:sz w:val="22"/>
              </w:rPr>
              <w:t xml:space="preserve">Easy access to the products by </w:t>
            </w:r>
            <w:r w:rsidRPr="00FA4573">
              <w:rPr>
                <w:sz w:val="22"/>
              </w:rPr>
              <w:t>ITU website navigation</w:t>
            </w:r>
          </w:p>
          <w:p w14:paraId="18C25C19"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w:t>
            </w:r>
            <w:r w:rsidRPr="00FA4573">
              <w:rPr>
                <w:rFonts w:hint="eastAsia"/>
                <w:sz w:val="22"/>
              </w:rPr>
              <w:t xml:space="preserve">current </w:t>
            </w:r>
            <w:r w:rsidRPr="00FA4573">
              <w:rPr>
                <w:sz w:val="22"/>
              </w:rPr>
              <w:t xml:space="preserve">ITU webpage makes it difficult to find information, as the reports/interim deliverables </w:t>
            </w:r>
            <w:proofErr w:type="gramStart"/>
            <w:r w:rsidRPr="00FA4573">
              <w:rPr>
                <w:sz w:val="22"/>
              </w:rPr>
              <w:t>are spread</w:t>
            </w:r>
            <w:proofErr w:type="gramEnd"/>
            <w:r w:rsidRPr="00FA4573">
              <w:rPr>
                <w:sz w:val="22"/>
              </w:rPr>
              <w:t xml:space="preserve"> out across multiple webpages. </w:t>
            </w:r>
          </w:p>
          <w:p w14:paraId="7353F6C2"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Example of duplicate landing pages for reports:</w:t>
            </w:r>
          </w:p>
          <w:p w14:paraId="772E5BD9" w14:textId="77777777" w:rsidR="000B7E7B" w:rsidRPr="00FA4573" w:rsidRDefault="00895CEE"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hyperlink r:id="rId146" w:history="1">
              <w:r w:rsidR="000B7E7B" w:rsidRPr="00FA4573">
                <w:rPr>
                  <w:rStyle w:val="Hyperlink"/>
                  <w:sz w:val="22"/>
                </w:rPr>
                <w:t>Best practices being adopted on fit-for-purpose digital regulation tools for consumer protection - ITU</w:t>
              </w:r>
            </w:hyperlink>
            <w:r w:rsidR="000B7E7B" w:rsidRPr="00FA4573">
              <w:rPr>
                <w:rStyle w:val="Hyperlink"/>
                <w:sz w:val="22"/>
              </w:rPr>
              <w:t xml:space="preserve"> </w:t>
            </w:r>
            <w:r w:rsidR="000B7E7B" w:rsidRPr="00FA4573">
              <w:rPr>
                <w:sz w:val="22"/>
              </w:rPr>
              <w:t xml:space="preserve">(ITU hub) AND </w:t>
            </w:r>
            <w:hyperlink r:id="rId147" w:history="1">
              <w:r w:rsidR="000B7E7B" w:rsidRPr="00FA4573">
                <w:rPr>
                  <w:rStyle w:val="Hyperlink"/>
                  <w:sz w:val="22"/>
                </w:rPr>
                <w:t>Best practices being adopted on fit-for-purpose digital regulation tools for consumer protection</w:t>
              </w:r>
            </w:hyperlink>
            <w:r w:rsidR="000B7E7B" w:rsidRPr="00FA4573">
              <w:rPr>
                <w:rStyle w:val="Hyperlink"/>
                <w:sz w:val="22"/>
              </w:rPr>
              <w:t xml:space="preserve"> </w:t>
            </w:r>
            <w:r w:rsidR="000B7E7B" w:rsidRPr="00FA4573">
              <w:rPr>
                <w:sz w:val="22"/>
              </w:rPr>
              <w:t>(SG publication)</w:t>
            </w:r>
          </w:p>
          <w:p w14:paraId="488678E9" w14:textId="77777777" w:rsidR="000B7E7B" w:rsidRPr="00FA4573" w:rsidRDefault="00895CEE"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hyperlink r:id="rId148" w:history="1">
              <w:r w:rsidR="000B7E7B" w:rsidRPr="00FA4573">
                <w:rPr>
                  <w:rStyle w:val="Hyperlink"/>
                  <w:sz w:val="22"/>
                </w:rPr>
                <w:t>1/1 report</w:t>
              </w:r>
            </w:hyperlink>
            <w:r w:rsidR="000B7E7B" w:rsidRPr="00FA4573">
              <w:rPr>
                <w:sz w:val="22"/>
              </w:rPr>
              <w:t xml:space="preserve"> (ITU hub) AND </w:t>
            </w:r>
            <w:hyperlink r:id="rId149" w:history="1">
              <w:r w:rsidR="000B7E7B" w:rsidRPr="00FA4573">
                <w:rPr>
                  <w:rStyle w:val="Hyperlink"/>
                  <w:sz w:val="22"/>
                </w:rPr>
                <w:t>1/1 Report</w:t>
              </w:r>
            </w:hyperlink>
            <w:r w:rsidR="000B7E7B" w:rsidRPr="00FA4573">
              <w:rPr>
                <w:sz w:val="22"/>
              </w:rPr>
              <w:t xml:space="preserve"> (SG publication)</w:t>
            </w:r>
          </w:p>
          <w:p w14:paraId="69D95DD4"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lastRenderedPageBreak/>
              <w:t>There is no search function/tag capability on the ITU</w:t>
            </w:r>
            <w:r w:rsidRPr="00FA4573">
              <w:rPr>
                <w:sz w:val="22"/>
              </w:rPr>
              <w:noBreakHyphen/>
              <w:t>D publications webpage to easily find topics of interest.</w:t>
            </w:r>
          </w:p>
          <w:p w14:paraId="52F19064"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Note - there is a search function for the </w:t>
            </w:r>
            <w:hyperlink r:id="rId150" w:history="1">
              <w:r w:rsidRPr="00FA4573">
                <w:rPr>
                  <w:rStyle w:val="Hyperlink"/>
                  <w:sz w:val="22"/>
                </w:rPr>
                <w:t>general ITU hub</w:t>
              </w:r>
            </w:hyperlink>
            <w:r w:rsidRPr="00FA4573">
              <w:rPr>
                <w:sz w:val="22"/>
              </w:rPr>
              <w:t>.</w:t>
            </w:r>
          </w:p>
        </w:tc>
        <w:tc>
          <w:tcPr>
            <w:tcW w:w="2512" w:type="pct"/>
          </w:tcPr>
          <w:p w14:paraId="183D2845"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lastRenderedPageBreak/>
              <w:t xml:space="preserve">Streamline duplicative webpages on the ITU website (examples provided in the </w:t>
            </w:r>
            <w:r w:rsidRPr="00FA4573">
              <w:rPr>
                <w:i/>
                <w:sz w:val="22"/>
              </w:rPr>
              <w:t>Challenge</w:t>
            </w:r>
            <w:r w:rsidRPr="00FA4573">
              <w:rPr>
                <w:sz w:val="22"/>
              </w:rPr>
              <w:t xml:space="preserve"> column).</w:t>
            </w:r>
          </w:p>
          <w:p w14:paraId="7D3E8DAB"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Include a search/tag function on the </w:t>
            </w:r>
            <w:hyperlink r:id="rId151" w:history="1">
              <w:r w:rsidRPr="00FA4573">
                <w:rPr>
                  <w:rStyle w:val="Hyperlink"/>
                  <w:sz w:val="22"/>
                </w:rPr>
                <w:t>ITU-D Publications</w:t>
              </w:r>
            </w:hyperlink>
            <w:r w:rsidRPr="00FA4573">
              <w:rPr>
                <w:sz w:val="22"/>
              </w:rPr>
              <w:t xml:space="preserve"> webpage and a tag function for the </w:t>
            </w:r>
            <w:hyperlink r:id="rId152" w:history="1">
              <w:r w:rsidRPr="00FA4573">
                <w:rPr>
                  <w:rStyle w:val="Hyperlink"/>
                  <w:sz w:val="22"/>
                </w:rPr>
                <w:t>ITU hub</w:t>
              </w:r>
            </w:hyperlink>
            <w:r w:rsidRPr="00FA4573">
              <w:rPr>
                <w:sz w:val="22"/>
              </w:rPr>
              <w:t>, so users can more easily find the reports/topics they need.</w:t>
            </w:r>
          </w:p>
          <w:p w14:paraId="63CDD892"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One of the tags should be able to filter Study Group products, to assist members searching for these.</w:t>
            </w:r>
          </w:p>
          <w:p w14:paraId="6AFA5831"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Reduce the number of hyperlinks to reach Study Group products.</w:t>
            </w:r>
          </w:p>
          <w:p w14:paraId="21163302"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From one of the ITU-D Study Groups webpages, you need to go through the following links to reach reports: </w:t>
            </w:r>
            <w:hyperlink r:id="rId153" w:history="1">
              <w:r w:rsidRPr="00FA4573">
                <w:rPr>
                  <w:rStyle w:val="Hyperlink"/>
                  <w:sz w:val="22"/>
                </w:rPr>
                <w:t>Study Groups</w:t>
              </w:r>
            </w:hyperlink>
            <w:r w:rsidRPr="00FA4573">
              <w:rPr>
                <w:sz w:val="22"/>
              </w:rPr>
              <w:t xml:space="preserve"> &gt; </w:t>
            </w:r>
            <w:hyperlink r:id="rId154" w:history="1">
              <w:r w:rsidRPr="00FA4573">
                <w:rPr>
                  <w:rStyle w:val="Hyperlink"/>
                  <w:sz w:val="22"/>
                </w:rPr>
                <w:t>Study Group publications</w:t>
              </w:r>
            </w:hyperlink>
            <w:r w:rsidRPr="00FA4573">
              <w:rPr>
                <w:sz w:val="22"/>
              </w:rPr>
              <w:t xml:space="preserve"> &gt; </w:t>
            </w:r>
            <w:hyperlink r:id="rId155" w:history="1">
              <w:r w:rsidRPr="00FA4573">
                <w:rPr>
                  <w:rStyle w:val="Hyperlink"/>
                  <w:sz w:val="22"/>
                </w:rPr>
                <w:t>SG1</w:t>
              </w:r>
            </w:hyperlink>
            <w:r w:rsidRPr="00FA4573">
              <w:rPr>
                <w:sz w:val="22"/>
              </w:rPr>
              <w:t xml:space="preserve"> &gt; </w:t>
            </w:r>
            <w:hyperlink r:id="rId156" w:history="1">
              <w:r w:rsidRPr="00FA4573">
                <w:rPr>
                  <w:rStyle w:val="Hyperlink"/>
                  <w:sz w:val="22"/>
                </w:rPr>
                <w:t>2021</w:t>
              </w:r>
            </w:hyperlink>
            <w:r w:rsidRPr="00FA4573">
              <w:rPr>
                <w:sz w:val="22"/>
              </w:rPr>
              <w:t xml:space="preserve"> &gt; </w:t>
            </w:r>
            <w:hyperlink r:id="rId157" w:history="1">
              <w:r w:rsidRPr="00FA4573">
                <w:rPr>
                  <w:rStyle w:val="Hyperlink"/>
                  <w:sz w:val="22"/>
                </w:rPr>
                <w:t>1/1 report</w:t>
              </w:r>
            </w:hyperlink>
          </w:p>
          <w:p w14:paraId="6BAF9A15"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rStyle w:val="Hyperlink"/>
                <w:sz w:val="22"/>
              </w:rPr>
            </w:pPr>
            <w:r w:rsidRPr="00FA4573">
              <w:rPr>
                <w:sz w:val="22"/>
              </w:rPr>
              <w:t xml:space="preserve">This could be simplified to: </w:t>
            </w:r>
            <w:hyperlink r:id="rId158" w:history="1">
              <w:r w:rsidRPr="00FA4573">
                <w:rPr>
                  <w:rStyle w:val="Hyperlink"/>
                  <w:sz w:val="22"/>
                </w:rPr>
                <w:t>Study Groups</w:t>
              </w:r>
            </w:hyperlink>
            <w:r w:rsidRPr="00FA4573">
              <w:rPr>
                <w:sz w:val="22"/>
              </w:rPr>
              <w:t xml:space="preserve"> &gt; </w:t>
            </w:r>
            <w:hyperlink r:id="rId159" w:history="1">
              <w:r w:rsidRPr="00FA4573">
                <w:rPr>
                  <w:rStyle w:val="Hyperlink"/>
                  <w:sz w:val="22"/>
                </w:rPr>
                <w:t>ITU-D publications</w:t>
              </w:r>
            </w:hyperlink>
            <w:r w:rsidRPr="00FA4573">
              <w:rPr>
                <w:sz w:val="22"/>
              </w:rPr>
              <w:t xml:space="preserve"> OR </w:t>
            </w:r>
            <w:hyperlink r:id="rId160" w:history="1">
              <w:r w:rsidRPr="00FA4573">
                <w:rPr>
                  <w:rStyle w:val="Hyperlink"/>
                  <w:sz w:val="22"/>
                </w:rPr>
                <w:t>ITU hub</w:t>
              </w:r>
            </w:hyperlink>
            <w:r w:rsidRPr="00FA4573">
              <w:rPr>
                <w:sz w:val="22"/>
              </w:rPr>
              <w:t xml:space="preserve"> &gt; user searches/filters by the Study Group tag &gt; </w:t>
            </w:r>
            <w:hyperlink r:id="rId161" w:history="1">
              <w:r w:rsidRPr="00FA4573">
                <w:rPr>
                  <w:rStyle w:val="Hyperlink"/>
                  <w:sz w:val="22"/>
                </w:rPr>
                <w:t>1/1 report</w:t>
              </w:r>
            </w:hyperlink>
          </w:p>
          <w:p w14:paraId="4AB706F9" w14:textId="77777777" w:rsidR="000B7E7B" w:rsidRPr="00FA4573" w:rsidDel="00C613C1"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All study group final and interim reports to be accessible/searchable by topic and not by study period.</w:t>
            </w:r>
          </w:p>
        </w:tc>
      </w:tr>
      <w:tr w:rsidR="000B7E7B" w:rsidRPr="00FA4573" w14:paraId="7FA8A133" w14:textId="77777777" w:rsidTr="00857FB6">
        <w:trPr>
          <w:trHeight w:val="679"/>
        </w:trPr>
        <w:tc>
          <w:tcPr>
            <w:cnfStyle w:val="001000000000" w:firstRow="0" w:lastRow="0" w:firstColumn="1" w:lastColumn="0" w:oddVBand="0" w:evenVBand="0" w:oddHBand="0" w:evenHBand="0" w:firstRowFirstColumn="0" w:firstRowLastColumn="0" w:lastRowFirstColumn="0" w:lastRowLastColumn="0"/>
            <w:tcW w:w="710" w:type="pct"/>
            <w:vMerge w:val="restart"/>
            <w:shd w:val="clear" w:color="auto" w:fill="C6D9F1" w:themeFill="text2" w:themeFillTint="33"/>
          </w:tcPr>
          <w:p w14:paraId="313C3275" w14:textId="77777777" w:rsidR="000B7E7B" w:rsidRPr="00FA4573" w:rsidRDefault="000B7E7B" w:rsidP="00857FB6">
            <w:pPr>
              <w:spacing w:before="160"/>
              <w:rPr>
                <w:b w:val="0"/>
                <w:bCs w:val="0"/>
                <w:sz w:val="22"/>
              </w:rPr>
            </w:pPr>
            <w:r w:rsidRPr="00FA4573">
              <w:rPr>
                <w:sz w:val="22"/>
              </w:rPr>
              <w:t xml:space="preserve">Finding, </w:t>
            </w:r>
            <w:proofErr w:type="gramStart"/>
            <w:r w:rsidRPr="00FA4573">
              <w:rPr>
                <w:sz w:val="22"/>
              </w:rPr>
              <w:t>mapping</w:t>
            </w:r>
            <w:proofErr w:type="gramEnd"/>
            <w:r w:rsidRPr="00FA4573">
              <w:rPr>
                <w:sz w:val="22"/>
              </w:rPr>
              <w:t xml:space="preserve"> and sharing information in the Final Reports </w:t>
            </w:r>
          </w:p>
        </w:tc>
        <w:tc>
          <w:tcPr>
            <w:tcW w:w="1778" w:type="pct"/>
          </w:tcPr>
          <w:p w14:paraId="6D6870EB"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The current length and number of topics covered in the Final Reports makes it difficult to find and use information easily.</w:t>
            </w:r>
          </w:p>
          <w:p w14:paraId="5AC0CCF9"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Lack of precise items contributed to Questions - membership inputs can be too vague, resulting in broad and unspecific proposals which do not target specific Questions. </w:t>
            </w:r>
          </w:p>
          <w:p w14:paraId="318451FC"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can also make it difficult for editors to develop their reports.</w:t>
            </w:r>
          </w:p>
        </w:tc>
        <w:tc>
          <w:tcPr>
            <w:tcW w:w="2512" w:type="pct"/>
          </w:tcPr>
          <w:p w14:paraId="3C4A0F1B"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Rethink how the quadrennial Final Reports </w:t>
            </w:r>
            <w:proofErr w:type="gramStart"/>
            <w:r w:rsidRPr="00FA4573">
              <w:rPr>
                <w:sz w:val="22"/>
              </w:rPr>
              <w:t>are developed</w:t>
            </w:r>
            <w:proofErr w:type="gramEnd"/>
            <w:r w:rsidRPr="00FA4573">
              <w:rPr>
                <w:sz w:val="22"/>
              </w:rPr>
              <w:t xml:space="preserve">. Instead of providing lengthy reports covering many subtopics, the Final Reports could comprise of short reports on specific topics (e.g. the length and format of the </w:t>
            </w:r>
            <w:hyperlink r:id="rId162" w:history="1">
              <w:r w:rsidRPr="00FA4573">
                <w:rPr>
                  <w:rStyle w:val="Hyperlink"/>
                  <w:sz w:val="22"/>
                </w:rPr>
                <w:t>Best practices being adopted on fit-for-purpose digital regulation tools for consumer protection</w:t>
              </w:r>
            </w:hyperlink>
            <w:r w:rsidRPr="00FA4573">
              <w:rPr>
                <w:sz w:val="22"/>
              </w:rPr>
              <w:t>).</w:t>
            </w:r>
          </w:p>
          <w:p w14:paraId="0032617E"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This </w:t>
            </w:r>
            <w:proofErr w:type="gramStart"/>
            <w:r w:rsidRPr="00FA4573">
              <w:rPr>
                <w:sz w:val="22"/>
              </w:rPr>
              <w:t>new approach</w:t>
            </w:r>
            <w:proofErr w:type="gramEnd"/>
            <w:r w:rsidRPr="00FA4573">
              <w:rPr>
                <w:sz w:val="22"/>
              </w:rPr>
              <w:t xml:space="preserve"> to developing the Final Reports could be undertaken through the following steps:</w:t>
            </w:r>
          </w:p>
          <w:p w14:paraId="27D2DAB8" w14:textId="77777777" w:rsidR="000B7E7B" w:rsidRPr="00FA4573" w:rsidRDefault="000B7E7B" w:rsidP="00857FB6">
            <w:pPr>
              <w:pStyle w:val="ListParagraph"/>
              <w:spacing w:before="160" w:after="40"/>
              <w:ind w:left="360" w:hanging="360"/>
              <w:contextualSpacing w:val="0"/>
              <w:cnfStyle w:val="000000000000" w:firstRow="0" w:lastRow="0" w:firstColumn="0" w:lastColumn="0" w:oddVBand="0" w:evenVBand="0" w:oddHBand="0" w:evenHBand="0" w:firstRowFirstColumn="0" w:firstRowLastColumn="0" w:lastRowFirstColumn="0" w:lastRowLastColumn="0"/>
              <w:rPr>
                <w:sz w:val="22"/>
              </w:rPr>
            </w:pPr>
          </w:p>
          <w:p w14:paraId="5F1D844F" w14:textId="77777777" w:rsidR="000B7E7B" w:rsidRPr="00FA4573" w:rsidRDefault="000B7E7B" w:rsidP="000B7E7B">
            <w:pPr>
              <w:pStyle w:val="PlainText"/>
              <w:numPr>
                <w:ilvl w:val="0"/>
                <w:numId w:val="34"/>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Study Group Questions select specific topics to deliver 3-4 interim deliverable reports on, based on their Terms of Reference and mapped to the WTDC Action Plan/ITU-D Operational Plan and its KPIs.</w:t>
            </w:r>
          </w:p>
          <w:p w14:paraId="0A69AD29"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proofErr w:type="gramStart"/>
            <w:r w:rsidRPr="00FA4573">
              <w:rPr>
                <w:sz w:val="22"/>
              </w:rPr>
              <w:t>E.g.</w:t>
            </w:r>
            <w:proofErr w:type="gramEnd"/>
            <w:r w:rsidRPr="00FA4573">
              <w:rPr>
                <w:sz w:val="22"/>
              </w:rPr>
              <w:t xml:space="preserve"> An interim deliverable report on best practices to improve access to digital services in remote communities would support the ITU-D Priority “Affordable Connectivity” (</w:t>
            </w:r>
            <w:r w:rsidRPr="00FA4573">
              <w:rPr>
                <w:i/>
                <w:sz w:val="22"/>
              </w:rPr>
              <w:t>KPI: Improved access to digital services by people in urban, rural and remote areas and underserved communities</w:t>
            </w:r>
            <w:r w:rsidRPr="00FA4573">
              <w:rPr>
                <w:sz w:val="22"/>
              </w:rPr>
              <w:t xml:space="preserve">) from the Kigali Action Plan. </w:t>
            </w:r>
          </w:p>
          <w:p w14:paraId="1324A4EF" w14:textId="77777777" w:rsidR="000B7E7B" w:rsidRPr="00FA4573" w:rsidRDefault="000B7E7B" w:rsidP="00857FB6">
            <w:pPr>
              <w:pStyle w:val="PlainText"/>
              <w:cnfStyle w:val="000000000000" w:firstRow="0" w:lastRow="0" w:firstColumn="0" w:lastColumn="0" w:oddVBand="0" w:evenVBand="0" w:oddHBand="0" w:evenHBand="0" w:firstRowFirstColumn="0" w:firstRowLastColumn="0" w:lastRowFirstColumn="0" w:lastRowLastColumn="0"/>
              <w:rPr>
                <w:szCs w:val="22"/>
              </w:rPr>
            </w:pPr>
          </w:p>
          <w:p w14:paraId="7FD830A6" w14:textId="77777777" w:rsidR="000B7E7B" w:rsidRPr="00FA4573" w:rsidRDefault="000B7E7B" w:rsidP="000B7E7B">
            <w:pPr>
              <w:pStyle w:val="PlainText"/>
              <w:numPr>
                <w:ilvl w:val="0"/>
                <w:numId w:val="34"/>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Study Group Question meetings address these specific topics, encouraging inputs and running workshops that specifically support the development of interim deliverable reports on these topics.</w:t>
            </w:r>
          </w:p>
          <w:p w14:paraId="23CF499E" w14:textId="77777777" w:rsidR="000B7E7B" w:rsidRPr="00FA4573" w:rsidRDefault="000B7E7B" w:rsidP="00857FB6">
            <w:pPr>
              <w:pStyle w:val="PlainText"/>
              <w:cnfStyle w:val="000000000000" w:firstRow="0" w:lastRow="0" w:firstColumn="0" w:lastColumn="0" w:oddVBand="0" w:evenVBand="0" w:oddHBand="0" w:evenHBand="0" w:firstRowFirstColumn="0" w:firstRowLastColumn="0" w:lastRowFirstColumn="0" w:lastRowLastColumn="0"/>
              <w:rPr>
                <w:szCs w:val="22"/>
              </w:rPr>
            </w:pPr>
          </w:p>
          <w:p w14:paraId="6247E8DF" w14:textId="77777777" w:rsidR="000B7E7B" w:rsidRPr="00FA4573" w:rsidRDefault="000B7E7B" w:rsidP="000B7E7B">
            <w:pPr>
              <w:pStyle w:val="PlainText"/>
              <w:numPr>
                <w:ilvl w:val="0"/>
                <w:numId w:val="34"/>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Following this method, 3-4 interim deliverable reports are delivered throughout the study cycle, and are the focus of the Study Group teams' efforts.</w:t>
            </w:r>
          </w:p>
          <w:p w14:paraId="7BBD8EDF" w14:textId="77777777" w:rsidR="000B7E7B" w:rsidRPr="00FA4573" w:rsidRDefault="000B7E7B" w:rsidP="00857FB6">
            <w:pPr>
              <w:pStyle w:val="PlainText"/>
              <w:cnfStyle w:val="000000000000" w:firstRow="0" w:lastRow="0" w:firstColumn="0" w:lastColumn="0" w:oddVBand="0" w:evenVBand="0" w:oddHBand="0" w:evenHBand="0" w:firstRowFirstColumn="0" w:firstRowLastColumn="0" w:lastRowFirstColumn="0" w:lastRowLastColumn="0"/>
              <w:rPr>
                <w:szCs w:val="22"/>
              </w:rPr>
            </w:pPr>
          </w:p>
          <w:p w14:paraId="321EF560" w14:textId="77777777" w:rsidR="000B7E7B" w:rsidRPr="00FA4573" w:rsidRDefault="000B7E7B" w:rsidP="000B7E7B">
            <w:pPr>
              <w:pStyle w:val="PlainText"/>
              <w:numPr>
                <w:ilvl w:val="0"/>
                <w:numId w:val="34"/>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These 3-4 interim deliverable reports from each Study Question would be the content of the quadrennial Final Reports presented at WTDC.</w:t>
            </w:r>
          </w:p>
          <w:p w14:paraId="68B84129"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lastRenderedPageBreak/>
              <w:t xml:space="preserve">Following this method of focusing on interim deliverable reports, Study Group outputs would be easier to catalogue on the ITU website and disseminate to target audiences, because their subject matter would be clear and concise. </w:t>
            </w:r>
          </w:p>
        </w:tc>
      </w:tr>
      <w:tr w:rsidR="000B7E7B" w:rsidRPr="00FA4573" w14:paraId="76E7D258" w14:textId="77777777" w:rsidTr="00857FB6">
        <w:trPr>
          <w:trHeight w:val="1035"/>
        </w:trPr>
        <w:tc>
          <w:tcPr>
            <w:cnfStyle w:val="001000000000" w:firstRow="0" w:lastRow="0" w:firstColumn="1" w:lastColumn="0" w:oddVBand="0" w:evenVBand="0" w:oddHBand="0" w:evenHBand="0" w:firstRowFirstColumn="0" w:firstRowLastColumn="0" w:lastRowFirstColumn="0" w:lastRowLastColumn="0"/>
            <w:tcW w:w="710" w:type="pct"/>
            <w:vMerge/>
            <w:shd w:val="clear" w:color="auto" w:fill="C6D9F1" w:themeFill="text2" w:themeFillTint="33"/>
          </w:tcPr>
          <w:p w14:paraId="033D2388" w14:textId="77777777" w:rsidR="000B7E7B" w:rsidRPr="00FA4573" w:rsidRDefault="000B7E7B" w:rsidP="00857FB6">
            <w:pPr>
              <w:spacing w:before="160"/>
              <w:rPr>
                <w:sz w:val="22"/>
              </w:rPr>
            </w:pPr>
          </w:p>
        </w:tc>
        <w:tc>
          <w:tcPr>
            <w:tcW w:w="1778" w:type="pct"/>
          </w:tcPr>
          <w:p w14:paraId="5B88D193"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Poor dissemination and lack of visibility of products.</w:t>
            </w:r>
          </w:p>
          <w:p w14:paraId="2ADCE4F3" w14:textId="77777777" w:rsidR="000B7E7B" w:rsidRPr="00FA4573" w:rsidRDefault="000B7E7B" w:rsidP="000B7E7B">
            <w:pPr>
              <w:pStyle w:val="ListParagraph"/>
              <w:numPr>
                <w:ilvl w:val="0"/>
                <w:numId w:val="31"/>
              </w:numPr>
              <w:tabs>
                <w:tab w:val="left" w:pos="720"/>
              </w:tabs>
              <w:overflowPunct/>
              <w:autoSpaceDE/>
              <w:adjustRightInd/>
              <w:spacing w:before="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lang w:val="en-US"/>
              </w:rPr>
              <w:t xml:space="preserve">Products need to </w:t>
            </w:r>
            <w:proofErr w:type="gramStart"/>
            <w:r w:rsidRPr="00FA4573">
              <w:rPr>
                <w:sz w:val="22"/>
                <w:lang w:val="en-US"/>
              </w:rPr>
              <w:t>be shared</w:t>
            </w:r>
            <w:proofErr w:type="gramEnd"/>
            <w:r w:rsidRPr="00FA4573">
              <w:rPr>
                <w:sz w:val="22"/>
                <w:lang w:val="en-US"/>
              </w:rPr>
              <w:t xml:space="preserve"> more with different stakeholders in the ecosystem. </w:t>
            </w:r>
          </w:p>
          <w:p w14:paraId="77480202" w14:textId="77777777" w:rsidR="000B7E7B" w:rsidRPr="00FA4573" w:rsidRDefault="000B7E7B" w:rsidP="000B7E7B">
            <w:pPr>
              <w:pStyle w:val="ListParagraph"/>
              <w:numPr>
                <w:ilvl w:val="0"/>
                <w:numId w:val="31"/>
              </w:numPr>
              <w:tabs>
                <w:tab w:val="left" w:pos="720"/>
              </w:tabs>
              <w:overflowPunct/>
              <w:autoSpaceDE/>
              <w:adjustRightInd/>
              <w:spacing w:before="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Unclear who the target audience is for products.</w:t>
            </w:r>
          </w:p>
        </w:tc>
        <w:tc>
          <w:tcPr>
            <w:tcW w:w="2512" w:type="pct"/>
          </w:tcPr>
          <w:p w14:paraId="20820EB9"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w:t>
            </w:r>
            <w:proofErr w:type="gramStart"/>
            <w:r w:rsidRPr="00FA4573">
              <w:rPr>
                <w:sz w:val="22"/>
              </w:rPr>
              <w:t>aforementioned reporting</w:t>
            </w:r>
            <w:proofErr w:type="gramEnd"/>
            <w:r w:rsidRPr="00FA4573">
              <w:rPr>
                <w:sz w:val="22"/>
              </w:rPr>
              <w:t xml:space="preserve"> approach (3-4 shorter interim deliverable reports per study cycle) would make it easier for Members and ITU staff to share reports with interested parties because the report topics would be more precise.</w:t>
            </w:r>
          </w:p>
          <w:p w14:paraId="387B9CC2"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Interim deliverable reports and their findings could be shared and discussed at relevant panels/workshops at ITU summits, symposiums, regional development forums, etc., as well as relevant events of other organisations (</w:t>
            </w:r>
            <w:proofErr w:type="gramStart"/>
            <w:r w:rsidRPr="00FA4573">
              <w:rPr>
                <w:sz w:val="22"/>
              </w:rPr>
              <w:t>e.g.</w:t>
            </w:r>
            <w:proofErr w:type="gramEnd"/>
            <w:r w:rsidRPr="00FA4573">
              <w:rPr>
                <w:sz w:val="22"/>
              </w:rPr>
              <w:t xml:space="preserve"> at forums of Regional Telecommunications Organisations).</w:t>
            </w:r>
          </w:p>
          <w:p w14:paraId="7939983D"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This could include sharing partial or final outcomes in relevant ITU events where applicable, such as GSR workshops and panels, and at </w:t>
            </w:r>
            <w:proofErr w:type="gramStart"/>
            <w:r w:rsidRPr="00FA4573">
              <w:rPr>
                <w:sz w:val="22"/>
              </w:rPr>
              <w:t>Regional</w:t>
            </w:r>
            <w:proofErr w:type="gramEnd"/>
            <w:r w:rsidRPr="00FA4573">
              <w:rPr>
                <w:sz w:val="22"/>
              </w:rPr>
              <w:t xml:space="preserve"> activities and events where applicable.</w:t>
            </w:r>
          </w:p>
          <w:p w14:paraId="31924D3A"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Suggest not creating new, standalone workshops, as these would </w:t>
            </w:r>
            <w:proofErr w:type="gramStart"/>
            <w:r w:rsidRPr="00FA4573">
              <w:rPr>
                <w:sz w:val="22"/>
              </w:rPr>
              <w:t>likely attract</w:t>
            </w:r>
            <w:proofErr w:type="gramEnd"/>
            <w:r w:rsidRPr="00FA4573">
              <w:rPr>
                <w:sz w:val="22"/>
              </w:rPr>
              <w:t xml:space="preserve"> the usual Study Group participants, rather than a broader audience that attends other ITU summits/events.</w:t>
            </w:r>
          </w:p>
          <w:p w14:paraId="54A987A8" w14:textId="77777777" w:rsidR="000B7E7B" w:rsidRPr="00FA4573" w:rsidRDefault="000B7E7B" w:rsidP="000B7E7B">
            <w:pPr>
              <w:pStyle w:val="ListParagraph"/>
              <w:numPr>
                <w:ilvl w:val="0"/>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To encourage engagement from a broader target audience, consider that workshop reports</w:t>
            </w:r>
            <w:r w:rsidRPr="00FA4573">
              <w:rPr>
                <w:rFonts w:hint="eastAsia"/>
                <w:sz w:val="22"/>
              </w:rPr>
              <w:t xml:space="preserve"> should be open to non ITU members.</w:t>
            </w:r>
          </w:p>
          <w:p w14:paraId="06C60CDB" w14:textId="77777777" w:rsidR="000B7E7B" w:rsidRPr="00FA4573" w:rsidRDefault="000B7E7B" w:rsidP="000B7E7B">
            <w:pPr>
              <w:pStyle w:val="ListParagraph"/>
              <w:numPr>
                <w:ilvl w:val="0"/>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Study Group Question ToRs could </w:t>
            </w:r>
            <w:proofErr w:type="gramStart"/>
            <w:r w:rsidRPr="00FA4573">
              <w:rPr>
                <w:sz w:val="22"/>
              </w:rPr>
              <w:t>be enhanced</w:t>
            </w:r>
            <w:proofErr w:type="gramEnd"/>
            <w:r w:rsidRPr="00FA4573">
              <w:rPr>
                <w:sz w:val="22"/>
              </w:rPr>
              <w:t xml:space="preserve"> by incorporating text to support relevant action items from WTDC resolutions or other relevant resolutions that support the work of other ITU working groups (for example, the CWG-WSIS &amp; SDG for the period). Subsequently, Study Group deliverables linked to the mapped actionable could </w:t>
            </w:r>
            <w:proofErr w:type="gramStart"/>
            <w:r w:rsidRPr="00FA4573">
              <w:rPr>
                <w:sz w:val="22"/>
              </w:rPr>
              <w:t>be presented</w:t>
            </w:r>
            <w:proofErr w:type="gramEnd"/>
            <w:r w:rsidRPr="00FA4573">
              <w:rPr>
                <w:sz w:val="22"/>
              </w:rPr>
              <w:t xml:space="preserve"> to the relevant CWG annually.</w:t>
            </w:r>
          </w:p>
        </w:tc>
      </w:tr>
      <w:tr w:rsidR="000B7E7B" w:rsidRPr="00FA4573" w14:paraId="22F7CB7F" w14:textId="77777777" w:rsidTr="00857FB6">
        <w:trPr>
          <w:trHeight w:val="103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367D814A" w14:textId="77777777" w:rsidR="000B7E7B" w:rsidRPr="00FA4573" w:rsidRDefault="000B7E7B" w:rsidP="00857FB6">
            <w:pPr>
              <w:spacing w:before="160"/>
              <w:rPr>
                <w:sz w:val="22"/>
              </w:rPr>
            </w:pPr>
            <w:r w:rsidRPr="00FA4573">
              <w:rPr>
                <w:rFonts w:hint="eastAsia"/>
                <w:sz w:val="22"/>
              </w:rPr>
              <w:t>Improving Quality of the Final Reports</w:t>
            </w:r>
          </w:p>
        </w:tc>
        <w:tc>
          <w:tcPr>
            <w:tcW w:w="1778" w:type="pct"/>
          </w:tcPr>
          <w:p w14:paraId="07D5CF86"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Lack of clarity on contribution/input requirements to Study Group discussions.</w:t>
            </w:r>
          </w:p>
          <w:p w14:paraId="308700C7"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Lack of expertise to provide input to Study Group discussions where products </w:t>
            </w:r>
            <w:proofErr w:type="gramStart"/>
            <w:r w:rsidRPr="00FA4573">
              <w:rPr>
                <w:sz w:val="22"/>
              </w:rPr>
              <w:t>are developed</w:t>
            </w:r>
            <w:proofErr w:type="gramEnd"/>
            <w:r w:rsidRPr="00FA4573">
              <w:rPr>
                <w:sz w:val="22"/>
              </w:rPr>
              <w:t>.</w:t>
            </w:r>
          </w:p>
          <w:p w14:paraId="46359581"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Difficult to attract new participants/experts.</w:t>
            </w:r>
          </w:p>
        </w:tc>
        <w:tc>
          <w:tcPr>
            <w:tcW w:w="2512" w:type="pct"/>
          </w:tcPr>
          <w:p w14:paraId="10B54D15"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An optional section could </w:t>
            </w:r>
            <w:proofErr w:type="gramStart"/>
            <w:r w:rsidRPr="00FA4573">
              <w:rPr>
                <w:sz w:val="22"/>
              </w:rPr>
              <w:t>be added</w:t>
            </w:r>
            <w:proofErr w:type="gramEnd"/>
            <w:r w:rsidRPr="00FA4573">
              <w:rPr>
                <w:sz w:val="22"/>
              </w:rPr>
              <w:t xml:space="preserve"> to the ITU-D Study Group contribution template for contributors to identify the relevant chapter or topic in the question.</w:t>
            </w:r>
          </w:p>
          <w:p w14:paraId="165AE297"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w:t>
            </w:r>
            <w:proofErr w:type="gramStart"/>
            <w:r w:rsidRPr="00FA4573">
              <w:rPr>
                <w:sz w:val="22"/>
              </w:rPr>
              <w:t>aforementioned reporting</w:t>
            </w:r>
            <w:proofErr w:type="gramEnd"/>
            <w:r w:rsidRPr="00FA4573">
              <w:rPr>
                <w:sz w:val="22"/>
              </w:rPr>
              <w:t xml:space="preserve"> approach (3-4 shorter interim deliverable reports per study cycle) would assist with encouraging more concise contributions and attract specific expertise.</w:t>
            </w:r>
          </w:p>
          <w:p w14:paraId="37B38B08"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lastRenderedPageBreak/>
              <w:t xml:space="preserve">Meeting invitation letters could include a list of these interim deliverable topics for each </w:t>
            </w:r>
            <w:proofErr w:type="gramStart"/>
            <w:r w:rsidRPr="00FA4573">
              <w:rPr>
                <w:sz w:val="22"/>
              </w:rPr>
              <w:t>Question, and</w:t>
            </w:r>
            <w:proofErr w:type="gramEnd"/>
            <w:r w:rsidRPr="00FA4573">
              <w:rPr>
                <w:sz w:val="22"/>
              </w:rPr>
              <w:t xml:space="preserve"> encourage focused contributions to the Study Group meetings that support each interim deliverable.</w:t>
            </w:r>
          </w:p>
          <w:p w14:paraId="7DE97304"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This would encourage engagement from relevant experts in the Study Groups, because the topic of discussion/for contribution would </w:t>
            </w:r>
            <w:proofErr w:type="gramStart"/>
            <w:r w:rsidRPr="00FA4573">
              <w:rPr>
                <w:sz w:val="22"/>
              </w:rPr>
              <w:t>be clearly specified</w:t>
            </w:r>
            <w:proofErr w:type="gramEnd"/>
            <w:r w:rsidRPr="00FA4573">
              <w:rPr>
                <w:sz w:val="22"/>
              </w:rPr>
              <w:t xml:space="preserve"> and understood.</w:t>
            </w:r>
          </w:p>
          <w:p w14:paraId="7FEE5ABC"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rFonts w:hint="eastAsia"/>
                <w:sz w:val="22"/>
              </w:rPr>
              <w:t xml:space="preserve">Contributors can easily access to draft reports, which are on-going work in Questions, and can search topics to find </w:t>
            </w:r>
            <w:r w:rsidRPr="00FA4573">
              <w:rPr>
                <w:sz w:val="22"/>
              </w:rPr>
              <w:t>appropriate</w:t>
            </w:r>
            <w:r w:rsidRPr="00FA4573">
              <w:rPr>
                <w:rFonts w:hint="eastAsia"/>
                <w:sz w:val="22"/>
              </w:rPr>
              <w:t xml:space="preserve"> target draft for contributions.</w:t>
            </w:r>
          </w:p>
          <w:p w14:paraId="761BC8EB"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rFonts w:hint="eastAsia"/>
                <w:sz w:val="22"/>
              </w:rPr>
              <w:t xml:space="preserve">If possible, mentors who can help contributors to improve quality of contributions might be allocated in each </w:t>
            </w:r>
            <w:r w:rsidRPr="00FA4573">
              <w:rPr>
                <w:sz w:val="22"/>
              </w:rPr>
              <w:t>Region</w:t>
            </w:r>
            <w:r w:rsidRPr="00FA4573">
              <w:rPr>
                <w:rFonts w:hint="eastAsia"/>
                <w:sz w:val="22"/>
              </w:rPr>
              <w:t xml:space="preserve"> or in each SG or each topic.</w:t>
            </w:r>
          </w:p>
        </w:tc>
      </w:tr>
      <w:tr w:rsidR="000B7E7B" w:rsidRPr="00FA4573" w14:paraId="52C3444C" w14:textId="77777777" w:rsidTr="00857FB6">
        <w:trPr>
          <w:trHeight w:val="67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17467ED0" w14:textId="77777777" w:rsidR="000B7E7B" w:rsidRPr="00FA4573" w:rsidRDefault="000B7E7B" w:rsidP="00857FB6">
            <w:pPr>
              <w:spacing w:before="160"/>
              <w:rPr>
                <w:sz w:val="22"/>
              </w:rPr>
            </w:pPr>
            <w:r w:rsidRPr="00FA4573">
              <w:rPr>
                <w:sz w:val="22"/>
              </w:rPr>
              <w:lastRenderedPageBreak/>
              <w:t>Encouraging wider participation in ITU-D Study Groups to better develop and disseminate products</w:t>
            </w:r>
          </w:p>
        </w:tc>
        <w:tc>
          <w:tcPr>
            <w:tcW w:w="1778" w:type="pct"/>
          </w:tcPr>
          <w:p w14:paraId="067BA378"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Study Group processes are unclear for newcomers (including participation and development of outputs).</w:t>
            </w:r>
          </w:p>
          <w:p w14:paraId="503AE505"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Hard to attract expertise, including academia.</w:t>
            </w:r>
          </w:p>
          <w:p w14:paraId="7E70D405"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Lack of women, youth and persons with disabilities participating in Study Group work and the development of products.</w:t>
            </w:r>
          </w:p>
        </w:tc>
        <w:tc>
          <w:tcPr>
            <w:tcW w:w="2512" w:type="pct"/>
          </w:tcPr>
          <w:p w14:paraId="4982B089"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Make information for newcomers more prominent on the ITU-D Study Group webpages and included in invitation and circular letters</w:t>
            </w:r>
          </w:p>
          <w:p w14:paraId="35BB6730"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Note that a “</w:t>
            </w:r>
            <w:hyperlink r:id="rId163" w:history="1">
              <w:r w:rsidRPr="00FA4573">
                <w:rPr>
                  <w:rStyle w:val="Hyperlink"/>
                  <w:sz w:val="22"/>
                </w:rPr>
                <w:t>briefing for delegates</w:t>
              </w:r>
            </w:hyperlink>
            <w:r w:rsidRPr="00FA4573">
              <w:rPr>
                <w:sz w:val="22"/>
              </w:rPr>
              <w:t xml:space="preserve">” is available on the </w:t>
            </w:r>
            <w:hyperlink r:id="rId164" w:history="1">
              <w:r w:rsidRPr="00FA4573">
                <w:rPr>
                  <w:rStyle w:val="Hyperlink"/>
                  <w:sz w:val="22"/>
                </w:rPr>
                <w:t>Study Groups</w:t>
              </w:r>
            </w:hyperlink>
            <w:r w:rsidRPr="00FA4573">
              <w:rPr>
                <w:rStyle w:val="Hyperlink"/>
                <w:sz w:val="22"/>
              </w:rPr>
              <w:t xml:space="preserve"> </w:t>
            </w:r>
            <w:r w:rsidRPr="00FA4573">
              <w:rPr>
                <w:sz w:val="22"/>
              </w:rPr>
              <w:t xml:space="preserve">webpage, but not the </w:t>
            </w:r>
            <w:hyperlink r:id="rId165" w:history="1">
              <w:r w:rsidRPr="00FA4573">
                <w:rPr>
                  <w:rStyle w:val="Hyperlink"/>
                  <w:sz w:val="22"/>
                </w:rPr>
                <w:t>ITU-D</w:t>
              </w:r>
            </w:hyperlink>
            <w:r w:rsidRPr="00FA4573">
              <w:rPr>
                <w:rStyle w:val="Hyperlink"/>
                <w:sz w:val="22"/>
              </w:rPr>
              <w:t xml:space="preserve"> Study Groups</w:t>
            </w:r>
            <w:r w:rsidRPr="00FA4573">
              <w:rPr>
                <w:sz w:val="22"/>
              </w:rPr>
              <w:t xml:space="preserve"> Study Groups webpage</w:t>
            </w:r>
            <w:r w:rsidRPr="00FA4573">
              <w:rPr>
                <w:rFonts w:hint="eastAsia"/>
                <w:sz w:val="22"/>
              </w:rPr>
              <w:t>.</w:t>
            </w:r>
          </w:p>
          <w:p w14:paraId="71727A18"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w:t>
            </w:r>
            <w:proofErr w:type="gramStart"/>
            <w:r w:rsidRPr="00FA4573">
              <w:rPr>
                <w:sz w:val="22"/>
              </w:rPr>
              <w:t>aforementioned reporting</w:t>
            </w:r>
            <w:proofErr w:type="gramEnd"/>
            <w:r w:rsidRPr="00FA4573">
              <w:rPr>
                <w:sz w:val="22"/>
              </w:rPr>
              <w:t xml:space="preserve"> approach (3-4 shorter interim deliverable reports per study cycle) would also simplify engagement in Study Groups for newcomers, as a four-year cycle can be difficult to commit to. </w:t>
            </w:r>
          </w:p>
          <w:p w14:paraId="4FC2ECDE"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approach would allow experts to prioritise engagement on specific topics/reports of interest.</w:t>
            </w:r>
          </w:p>
          <w:p w14:paraId="0405EE1F"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Focusing on the shorter interim deliverable reports may also appeal more to experts/new participants, as a product would </w:t>
            </w:r>
            <w:proofErr w:type="gramStart"/>
            <w:r w:rsidRPr="00FA4573">
              <w:rPr>
                <w:sz w:val="22"/>
              </w:rPr>
              <w:t>be developed</w:t>
            </w:r>
            <w:proofErr w:type="gramEnd"/>
            <w:r w:rsidRPr="00FA4573">
              <w:rPr>
                <w:sz w:val="22"/>
              </w:rPr>
              <w:t xml:space="preserve"> in a shorter timeframe.</w:t>
            </w:r>
          </w:p>
          <w:p w14:paraId="728CDD32"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Continue encouraging Members to include women, </w:t>
            </w:r>
            <w:proofErr w:type="gramStart"/>
            <w:r w:rsidRPr="00FA4573">
              <w:rPr>
                <w:sz w:val="22"/>
              </w:rPr>
              <w:t>youth</w:t>
            </w:r>
            <w:proofErr w:type="gramEnd"/>
            <w:r w:rsidRPr="00FA4573">
              <w:rPr>
                <w:sz w:val="22"/>
              </w:rPr>
              <w:t xml:space="preserve"> and persons with disabilities in their delegations to ITU-D Study Groups. </w:t>
            </w:r>
          </w:p>
          <w:p w14:paraId="210EC160"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Update ITU webpages to have audio index/text to speech capabilities for people who are blind/visually impaired.</w:t>
            </w:r>
          </w:p>
          <w:p w14:paraId="4E1D3D3E"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lang w:val="en-US"/>
              </w:rPr>
              <w:t>BDT focal points and other BDT staff in BDT HQ divisions</w:t>
            </w:r>
            <w:r w:rsidRPr="00FA4573" w:rsidDel="00625599">
              <w:rPr>
                <w:sz w:val="22"/>
              </w:rPr>
              <w:t xml:space="preserve"> </w:t>
            </w:r>
            <w:r w:rsidRPr="00FA4573">
              <w:rPr>
                <w:sz w:val="22"/>
              </w:rPr>
              <w:t>to consult with UN Women, ITU Generation Connect, ITU Secretary-General's Youth Advisory Board, and disability organisations (</w:t>
            </w:r>
            <w:proofErr w:type="gramStart"/>
            <w:r w:rsidRPr="00FA4573">
              <w:rPr>
                <w:sz w:val="22"/>
              </w:rPr>
              <w:t>e.g.</w:t>
            </w:r>
            <w:proofErr w:type="gramEnd"/>
            <w:r w:rsidRPr="00FA4573">
              <w:rPr>
                <w:sz w:val="22"/>
              </w:rPr>
              <w:t xml:space="preserve"> International Disability </w:t>
            </w:r>
            <w:r w:rsidRPr="00FA4573">
              <w:rPr>
                <w:sz w:val="22"/>
              </w:rPr>
              <w:lastRenderedPageBreak/>
              <w:t>Alliance). BDT should share the work of the Study Groups of interest to these groups and seek feedback on how to better engage these organisations/stakeholders in the work of the Study Groups.</w:t>
            </w:r>
          </w:p>
        </w:tc>
      </w:tr>
      <w:tr w:rsidR="000B7E7B" w:rsidRPr="00FA4573" w14:paraId="6F321DBE" w14:textId="77777777" w:rsidTr="00857FB6">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281FEA1B" w14:textId="77777777" w:rsidR="000B7E7B" w:rsidRPr="00FA4573" w:rsidRDefault="000B7E7B" w:rsidP="00857FB6">
            <w:pPr>
              <w:spacing w:before="160"/>
              <w:rPr>
                <w:sz w:val="22"/>
              </w:rPr>
            </w:pPr>
            <w:r w:rsidRPr="00FA4573">
              <w:rPr>
                <w:sz w:val="22"/>
              </w:rPr>
              <w:lastRenderedPageBreak/>
              <w:t>Support to Members to implement products</w:t>
            </w:r>
          </w:p>
        </w:tc>
        <w:tc>
          <w:tcPr>
            <w:tcW w:w="1778" w:type="pct"/>
          </w:tcPr>
          <w:p w14:paraId="6B64E71F"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Implementation of the products, particularly best practices/guidelines.</w:t>
            </w:r>
          </w:p>
          <w:p w14:paraId="19037DE2"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lang w:val="en-US"/>
              </w:rPr>
              <w:t>Funding for developing countries.</w:t>
            </w:r>
          </w:p>
        </w:tc>
        <w:tc>
          <w:tcPr>
            <w:tcW w:w="2512" w:type="pct"/>
          </w:tcPr>
          <w:p w14:paraId="3601170D"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ITU Regional/Area Offices to share Study Group products, including at relevant ITU summits, symposiums, and development forums.</w:t>
            </w:r>
          </w:p>
          <w:p w14:paraId="62DE204B"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Relevant products (e.g. the </w:t>
            </w:r>
            <w:hyperlink r:id="rId166" w:history="1">
              <w:r w:rsidRPr="00FA4573">
                <w:rPr>
                  <w:rStyle w:val="Hyperlink"/>
                  <w:sz w:val="22"/>
                </w:rPr>
                <w:t>Best practices being adopted on fit-for-purpose digital regulation tools for consumer protection</w:t>
              </w:r>
            </w:hyperlink>
            <w:r w:rsidRPr="00FA4573">
              <w:rPr>
                <w:sz w:val="22"/>
              </w:rPr>
              <w:t>) should include contact details for the Regional Offices on the last page for Members to reach out to if they are interested in ITU development assistance on the topic discussed.</w:t>
            </w:r>
          </w:p>
          <w:p w14:paraId="7E89BD87"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Development assistance would </w:t>
            </w:r>
            <w:proofErr w:type="gramStart"/>
            <w:r w:rsidRPr="00FA4573">
              <w:rPr>
                <w:sz w:val="22"/>
              </w:rPr>
              <w:t>be discussed</w:t>
            </w:r>
            <w:proofErr w:type="gramEnd"/>
            <w:r w:rsidRPr="00FA4573">
              <w:rPr>
                <w:sz w:val="22"/>
              </w:rPr>
              <w:t xml:space="preserve"> under the scope of ITU’s development projects.</w:t>
            </w:r>
          </w:p>
          <w:p w14:paraId="0538CD8C" w14:textId="77777777" w:rsidR="000B7E7B" w:rsidRPr="00FA4573" w:rsidRDefault="000B7E7B" w:rsidP="000B7E7B">
            <w:pPr>
              <w:pStyle w:val="ListParagraph"/>
              <w:numPr>
                <w:ilvl w:val="1"/>
                <w:numId w:val="35"/>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ITU Regional Offices can organise dialogues/workshops based on the topics of the report at Regional Development Forums, at the request of members</w:t>
            </w:r>
            <w:proofErr w:type="gramStart"/>
            <w:r w:rsidRPr="00FA4573">
              <w:rPr>
                <w:sz w:val="22"/>
              </w:rPr>
              <w:t xml:space="preserve">.  </w:t>
            </w:r>
            <w:proofErr w:type="gramEnd"/>
          </w:p>
        </w:tc>
      </w:tr>
      <w:tr w:rsidR="000B7E7B" w:rsidRPr="00FA4573" w14:paraId="47FE0A54" w14:textId="77777777" w:rsidTr="00857FB6">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70ABF077" w14:textId="77777777" w:rsidR="000B7E7B" w:rsidRPr="00FA4573" w:rsidRDefault="000B7E7B" w:rsidP="00857FB6">
            <w:pPr>
              <w:spacing w:before="160"/>
              <w:rPr>
                <w:sz w:val="22"/>
              </w:rPr>
            </w:pPr>
            <w:r w:rsidRPr="00FA4573">
              <w:rPr>
                <w:sz w:val="22"/>
              </w:rPr>
              <w:t xml:space="preserve">ITU-D members active in Study Groups as ambassadors to promote (awareness and use) of ITU-D study group products  </w:t>
            </w:r>
          </w:p>
        </w:tc>
        <w:tc>
          <w:tcPr>
            <w:tcW w:w="1778" w:type="pct"/>
          </w:tcPr>
          <w:p w14:paraId="0F34FB8C"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study group products may be benefit other stakeholders in Government, Non-Government organisations, SMEs, private sector and academia who are not members of ITU-D because their core focus is not ICTS – </w:t>
            </w:r>
            <w:proofErr w:type="gramStart"/>
            <w:r w:rsidRPr="00FA4573">
              <w:rPr>
                <w:sz w:val="22"/>
              </w:rPr>
              <w:t>e.g.</w:t>
            </w:r>
            <w:proofErr w:type="gramEnd"/>
            <w:r w:rsidRPr="00FA4573">
              <w:rPr>
                <w:sz w:val="22"/>
              </w:rPr>
              <w:t xml:space="preserve"> Ministry of education, Consumer protection NGO, NGO of SMEs, Chamber of Commerce etc  </w:t>
            </w:r>
          </w:p>
        </w:tc>
        <w:tc>
          <w:tcPr>
            <w:tcW w:w="2512" w:type="pct"/>
          </w:tcPr>
          <w:p w14:paraId="7EA2D623" w14:textId="77777777" w:rsidR="000B7E7B" w:rsidRPr="00FA4573" w:rsidRDefault="000B7E7B" w:rsidP="000B7E7B">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All active members in Study Groups to identify opportunities in their organisation level network to inform of the study group products. </w:t>
            </w:r>
          </w:p>
        </w:tc>
      </w:tr>
    </w:tbl>
    <w:p w14:paraId="77DF1E0A" w14:textId="77777777" w:rsidR="000B7E7B" w:rsidRPr="00FA4573" w:rsidRDefault="000B7E7B" w:rsidP="000B7E7B">
      <w:pPr>
        <w:rPr>
          <w:b/>
          <w:bCs/>
        </w:rPr>
      </w:pPr>
      <w:r w:rsidRPr="00FA4573">
        <w:rPr>
          <w:b/>
          <w:bCs/>
        </w:rPr>
        <w:t xml:space="preserve">Existing information referred to </w:t>
      </w:r>
    </w:p>
    <w:p w14:paraId="45906A8E" w14:textId="77777777" w:rsidR="000B7E7B" w:rsidRPr="00FA4573" w:rsidRDefault="000B7E7B" w:rsidP="000B7E7B">
      <w:pPr>
        <w:pStyle w:val="ListParagraph"/>
        <w:numPr>
          <w:ilvl w:val="0"/>
          <w:numId w:val="33"/>
        </w:numPr>
        <w:tabs>
          <w:tab w:val="clear" w:pos="1134"/>
          <w:tab w:val="clear" w:pos="1871"/>
          <w:tab w:val="clear" w:pos="2268"/>
        </w:tabs>
        <w:overflowPunct/>
        <w:autoSpaceDE/>
        <w:autoSpaceDN/>
        <w:adjustRightInd/>
        <w:spacing w:before="0" w:after="160" w:line="259" w:lineRule="auto"/>
        <w:textAlignment w:val="auto"/>
      </w:pPr>
      <w:r w:rsidRPr="00FA4573">
        <w:rPr>
          <w:lang w:val="en-US"/>
        </w:rPr>
        <w:t xml:space="preserve">Responses of SG1 rapporteurs and vice Chairs received in October 2024 on the question: </w:t>
      </w:r>
      <w:r w:rsidRPr="00FA4573">
        <w:t>How do we ensure better use of ITU-D Study Groups outputs?</w:t>
      </w:r>
    </w:p>
    <w:p w14:paraId="5054AC6A" w14:textId="77777777" w:rsidR="000B7E7B" w:rsidRPr="00FA4573" w:rsidRDefault="000B7E7B" w:rsidP="000B7E7B">
      <w:pPr>
        <w:pStyle w:val="ListParagraph"/>
        <w:numPr>
          <w:ilvl w:val="0"/>
          <w:numId w:val="33"/>
        </w:numPr>
        <w:tabs>
          <w:tab w:val="clear" w:pos="1134"/>
          <w:tab w:val="clear" w:pos="1871"/>
          <w:tab w:val="clear" w:pos="2268"/>
        </w:tabs>
        <w:overflowPunct/>
        <w:autoSpaceDE/>
        <w:autoSpaceDN/>
        <w:adjustRightInd/>
        <w:spacing w:before="0" w:after="160" w:line="259" w:lineRule="auto"/>
        <w:textAlignment w:val="auto"/>
      </w:pPr>
      <w:r w:rsidRPr="00FA4573">
        <w:rPr>
          <w:lang w:val="en-US"/>
        </w:rPr>
        <w:t xml:space="preserve">October 2023 Joint SG1 and SG2 management team meeting </w:t>
      </w:r>
    </w:p>
    <w:p w14:paraId="5B674EC0" w14:textId="77777777" w:rsidR="000B7E7B" w:rsidRPr="00FA4573" w:rsidRDefault="000B7E7B" w:rsidP="000B7E7B">
      <w:pPr>
        <w:pStyle w:val="ListParagraph"/>
        <w:numPr>
          <w:ilvl w:val="0"/>
          <w:numId w:val="33"/>
        </w:numPr>
        <w:tabs>
          <w:tab w:val="clear" w:pos="1134"/>
          <w:tab w:val="clear" w:pos="1871"/>
          <w:tab w:val="clear" w:pos="2268"/>
        </w:tabs>
        <w:overflowPunct/>
        <w:autoSpaceDE/>
        <w:autoSpaceDN/>
        <w:adjustRightInd/>
        <w:spacing w:before="0" w:after="160" w:line="259" w:lineRule="auto"/>
        <w:textAlignment w:val="auto"/>
      </w:pPr>
      <w:r w:rsidRPr="00FA4573">
        <w:t>ITU-D Study Group 1 public hybrid workshops facilitated by BDT Innovation service on 8 and 10 May 2023 (annex to SG1 Chair’s report to TDAG 2023)</w:t>
      </w:r>
      <w:r w:rsidRPr="00FA4573">
        <w:br w:type="page"/>
      </w:r>
    </w:p>
    <w:p w14:paraId="2544F956" w14:textId="77777777" w:rsidR="000B7E7B" w:rsidRPr="00FA4573" w:rsidRDefault="000B7E7B" w:rsidP="000B7E7B">
      <w:pPr>
        <w:pStyle w:val="Heading1"/>
        <w:tabs>
          <w:tab w:val="left" w:pos="993"/>
        </w:tabs>
        <w:spacing w:after="120"/>
        <w:ind w:left="993" w:hanging="993"/>
      </w:pPr>
      <w:bookmarkStart w:id="9" w:name="_Ref194915035"/>
      <w:r w:rsidRPr="00FA4573">
        <w:rPr>
          <w:rFonts w:eastAsia="Malgun Gothic" w:hint="eastAsia"/>
          <w:lang w:eastAsia="ko-KR"/>
        </w:rPr>
        <w:lastRenderedPageBreak/>
        <w:t xml:space="preserve">Annex 6: </w:t>
      </w:r>
      <w:r w:rsidRPr="00FA4573">
        <w:rPr>
          <w:rFonts w:eastAsia="Malgun Gothic"/>
          <w:lang w:eastAsia="ko-KR"/>
        </w:rPr>
        <w:tab/>
      </w:r>
      <w:r w:rsidRPr="00FA4573">
        <w:t xml:space="preserve">Mapping table with </w:t>
      </w:r>
      <w:proofErr w:type="gramStart"/>
      <w:r w:rsidRPr="00FA4573">
        <w:t>possible topics</w:t>
      </w:r>
      <w:proofErr w:type="gramEnd"/>
      <w:r w:rsidRPr="00FA4573">
        <w:t xml:space="preserve"> of interest and related developing countries needs in the work of WTDC Resolution 9 (Rev. Kigali, 2022)</w:t>
      </w:r>
      <w:bookmarkEnd w:id="9"/>
    </w:p>
    <w:tbl>
      <w:tblPr>
        <w:tblStyle w:val="TableGrid"/>
        <w:tblW w:w="14454" w:type="dxa"/>
        <w:jc w:val="center"/>
        <w:tblLayout w:type="fixed"/>
        <w:tblLook w:val="04A0" w:firstRow="1" w:lastRow="0" w:firstColumn="1" w:lastColumn="0" w:noHBand="0" w:noVBand="1"/>
      </w:tblPr>
      <w:tblGrid>
        <w:gridCol w:w="1129"/>
        <w:gridCol w:w="2127"/>
        <w:gridCol w:w="1559"/>
        <w:gridCol w:w="1559"/>
        <w:gridCol w:w="1276"/>
        <w:gridCol w:w="3260"/>
        <w:gridCol w:w="3544"/>
      </w:tblGrid>
      <w:tr w:rsidR="000B7E7B" w:rsidRPr="00FA4573" w14:paraId="7A448247" w14:textId="77777777" w:rsidTr="00857FB6">
        <w:trPr>
          <w:trHeight w:val="738"/>
          <w:tblHeader/>
          <w:jc w:val="center"/>
        </w:trPr>
        <w:tc>
          <w:tcPr>
            <w:tcW w:w="1129" w:type="dxa"/>
          </w:tcPr>
          <w:p w14:paraId="621E2D0F" w14:textId="77777777" w:rsidR="000B7E7B" w:rsidRPr="00FA4573" w:rsidRDefault="000B7E7B" w:rsidP="00857FB6">
            <w:pPr>
              <w:jc w:val="center"/>
              <w:rPr>
                <w:rFonts w:ascii="Calibri" w:hAnsi="Calibri" w:cs="Calibri"/>
                <w:b/>
                <w:bCs/>
                <w:sz w:val="22"/>
                <w:szCs w:val="22"/>
              </w:rPr>
            </w:pPr>
            <w:r w:rsidRPr="00FA4573">
              <w:rPr>
                <w:rFonts w:ascii="Calibri" w:hAnsi="Calibri" w:cs="Calibri"/>
                <w:b/>
                <w:bCs/>
                <w:sz w:val="22"/>
                <w:szCs w:val="22"/>
              </w:rPr>
              <w:t>ITU-D Question</w:t>
            </w:r>
          </w:p>
        </w:tc>
        <w:tc>
          <w:tcPr>
            <w:tcW w:w="2127" w:type="dxa"/>
          </w:tcPr>
          <w:p w14:paraId="3AB389F7" w14:textId="77777777" w:rsidR="000B7E7B" w:rsidRPr="00FA4573" w:rsidRDefault="000B7E7B" w:rsidP="00857FB6">
            <w:pPr>
              <w:jc w:val="center"/>
              <w:rPr>
                <w:rFonts w:ascii="Calibri" w:hAnsi="Calibri" w:cs="Calibri"/>
                <w:b/>
                <w:bCs/>
                <w:sz w:val="22"/>
                <w:szCs w:val="22"/>
              </w:rPr>
            </w:pPr>
            <w:r w:rsidRPr="00FA4573">
              <w:rPr>
                <w:rFonts w:ascii="Calibri" w:hAnsi="Calibri" w:cs="Calibri"/>
                <w:b/>
                <w:bCs/>
                <w:sz w:val="22"/>
                <w:szCs w:val="22"/>
              </w:rPr>
              <w:t>Title</w:t>
            </w:r>
          </w:p>
        </w:tc>
        <w:tc>
          <w:tcPr>
            <w:tcW w:w="1559" w:type="dxa"/>
          </w:tcPr>
          <w:p w14:paraId="14C0A9B1" w14:textId="77777777" w:rsidR="000B7E7B" w:rsidRPr="00FA4573" w:rsidRDefault="000B7E7B" w:rsidP="00857FB6">
            <w:pPr>
              <w:jc w:val="center"/>
              <w:rPr>
                <w:rFonts w:ascii="Calibri" w:hAnsi="Calibri" w:cs="Calibri"/>
                <w:b/>
                <w:bCs/>
                <w:sz w:val="22"/>
                <w:szCs w:val="22"/>
              </w:rPr>
            </w:pPr>
            <w:r w:rsidRPr="00FA4573">
              <w:rPr>
                <w:rFonts w:ascii="Calibri" w:hAnsi="Calibri" w:cs="Calibri"/>
                <w:b/>
                <w:bCs/>
                <w:sz w:val="22"/>
                <w:szCs w:val="22"/>
              </w:rPr>
              <w:t>Source</w:t>
            </w:r>
          </w:p>
        </w:tc>
        <w:tc>
          <w:tcPr>
            <w:tcW w:w="1559" w:type="dxa"/>
          </w:tcPr>
          <w:p w14:paraId="3E3AA06D" w14:textId="77777777" w:rsidR="000B7E7B" w:rsidRPr="00FA4573" w:rsidRDefault="000B7E7B" w:rsidP="00857FB6">
            <w:pPr>
              <w:jc w:val="center"/>
              <w:rPr>
                <w:rFonts w:ascii="Calibri" w:hAnsi="Calibri" w:cs="Calibri"/>
                <w:b/>
                <w:bCs/>
                <w:sz w:val="22"/>
                <w:szCs w:val="22"/>
              </w:rPr>
            </w:pPr>
            <w:r w:rsidRPr="00FA4573">
              <w:rPr>
                <w:rFonts w:ascii="Calibri" w:hAnsi="Calibri" w:cs="Calibri"/>
                <w:b/>
                <w:bCs/>
                <w:sz w:val="22"/>
                <w:szCs w:val="22"/>
              </w:rPr>
              <w:t>Contribution</w:t>
            </w:r>
          </w:p>
        </w:tc>
        <w:tc>
          <w:tcPr>
            <w:tcW w:w="1276" w:type="dxa"/>
          </w:tcPr>
          <w:p w14:paraId="6A29471E" w14:textId="77777777" w:rsidR="000B7E7B" w:rsidRPr="00FA4573" w:rsidRDefault="000B7E7B" w:rsidP="00857FB6">
            <w:pPr>
              <w:jc w:val="center"/>
              <w:rPr>
                <w:rFonts w:ascii="Calibri" w:hAnsi="Calibri" w:cs="Calibri"/>
                <w:b/>
                <w:bCs/>
                <w:sz w:val="22"/>
                <w:szCs w:val="22"/>
              </w:rPr>
            </w:pPr>
            <w:r w:rsidRPr="00FA4573">
              <w:rPr>
                <w:rFonts w:ascii="Calibri" w:hAnsi="Calibri" w:cs="Calibri"/>
                <w:b/>
                <w:bCs/>
                <w:sz w:val="22"/>
                <w:szCs w:val="22"/>
                <w:lang w:eastAsia="ko-KR"/>
              </w:rPr>
              <w:t>T</w:t>
            </w:r>
            <w:r w:rsidRPr="00FA4573">
              <w:rPr>
                <w:rFonts w:ascii="Calibri" w:hAnsi="Calibri" w:cs="Calibri"/>
                <w:b/>
                <w:bCs/>
                <w:sz w:val="22"/>
                <w:szCs w:val="22"/>
              </w:rPr>
              <w:t>ype of assistance</w:t>
            </w:r>
          </w:p>
        </w:tc>
        <w:tc>
          <w:tcPr>
            <w:tcW w:w="3260" w:type="dxa"/>
          </w:tcPr>
          <w:p w14:paraId="4C9A3BB7" w14:textId="77777777" w:rsidR="000B7E7B" w:rsidRPr="00FA4573" w:rsidRDefault="000B7E7B" w:rsidP="00857FB6">
            <w:pPr>
              <w:jc w:val="center"/>
              <w:rPr>
                <w:rFonts w:ascii="Calibri" w:hAnsi="Calibri" w:cs="Calibri"/>
                <w:b/>
                <w:bCs/>
                <w:sz w:val="22"/>
                <w:szCs w:val="22"/>
              </w:rPr>
            </w:pPr>
            <w:r w:rsidRPr="00FA4573">
              <w:rPr>
                <w:rFonts w:ascii="Calibri" w:hAnsi="Calibri" w:cs="Calibri"/>
                <w:b/>
                <w:bCs/>
                <w:sz w:val="22"/>
                <w:szCs w:val="22"/>
                <w:lang w:eastAsia="ko-KR"/>
              </w:rPr>
              <w:t>Reason for mapping</w:t>
            </w:r>
          </w:p>
        </w:tc>
        <w:tc>
          <w:tcPr>
            <w:tcW w:w="3544" w:type="dxa"/>
          </w:tcPr>
          <w:p w14:paraId="53F1B1F2" w14:textId="77777777" w:rsidR="000B7E7B" w:rsidRPr="00FA4573" w:rsidRDefault="000B7E7B" w:rsidP="00857FB6">
            <w:pPr>
              <w:jc w:val="center"/>
              <w:rPr>
                <w:rFonts w:ascii="Calibri" w:hAnsi="Calibri" w:cs="Calibri"/>
                <w:b/>
                <w:bCs/>
                <w:sz w:val="22"/>
                <w:szCs w:val="22"/>
                <w:lang w:eastAsia="ko-KR"/>
              </w:rPr>
            </w:pPr>
            <w:r w:rsidRPr="00FA4573">
              <w:rPr>
                <w:rFonts w:ascii="Calibri" w:hAnsi="Calibri" w:cs="Calibri"/>
                <w:b/>
                <w:bCs/>
                <w:sz w:val="22"/>
                <w:szCs w:val="22"/>
                <w:lang w:eastAsia="ko-KR"/>
              </w:rPr>
              <w:t>Relevant quotes from the document</w:t>
            </w:r>
          </w:p>
        </w:tc>
      </w:tr>
      <w:tr w:rsidR="000B7E7B" w:rsidRPr="00FA4573" w14:paraId="6B2F9C78" w14:textId="77777777" w:rsidTr="00857FB6">
        <w:trPr>
          <w:trHeight w:val="2587"/>
          <w:jc w:val="center"/>
        </w:trPr>
        <w:tc>
          <w:tcPr>
            <w:tcW w:w="1129" w:type="dxa"/>
          </w:tcPr>
          <w:p w14:paraId="3146D72E"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Q1/2, Q3/2, Q4/2, Q5/2</w:t>
            </w:r>
          </w:p>
        </w:tc>
        <w:tc>
          <w:tcPr>
            <w:tcW w:w="2127" w:type="dxa"/>
          </w:tcPr>
          <w:p w14:paraId="05B9BD15"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Egypt capacity building centre for African countries (EG-ATRC)</w:t>
            </w:r>
          </w:p>
        </w:tc>
        <w:tc>
          <w:tcPr>
            <w:tcW w:w="1559" w:type="dxa"/>
          </w:tcPr>
          <w:p w14:paraId="4197790A"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Egypt</w:t>
            </w:r>
          </w:p>
        </w:tc>
        <w:tc>
          <w:tcPr>
            <w:tcW w:w="1559" w:type="dxa"/>
          </w:tcPr>
          <w:p w14:paraId="6B0B4720" w14:textId="77777777" w:rsidR="000B7E7B" w:rsidRPr="00FA4573" w:rsidRDefault="00895CEE" w:rsidP="00857FB6">
            <w:pPr>
              <w:spacing w:before="40" w:after="40"/>
              <w:jc w:val="center"/>
              <w:rPr>
                <w:rStyle w:val="Hyperlink"/>
                <w:rFonts w:ascii="Calibri" w:hAnsi="Calibri" w:cs="Calibri"/>
                <w:sz w:val="22"/>
                <w:szCs w:val="22"/>
              </w:rPr>
            </w:pPr>
            <w:hyperlink r:id="rId167" w:history="1">
              <w:r w:rsidR="000B7E7B" w:rsidRPr="00FA4573">
                <w:rPr>
                  <w:rStyle w:val="Hyperlink"/>
                  <w:rFonts w:ascii="Calibri" w:hAnsi="Calibri" w:cs="Calibri"/>
                  <w:sz w:val="22"/>
                  <w:szCs w:val="22"/>
                </w:rPr>
                <w:t>2/329</w:t>
              </w:r>
            </w:hyperlink>
          </w:p>
        </w:tc>
        <w:tc>
          <w:tcPr>
            <w:tcW w:w="1276" w:type="dxa"/>
          </w:tcPr>
          <w:p w14:paraId="2AB4964E"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6CF6F597"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Egypt's EG-ATRC initiative aligns with ITU-D's aim to provide training in spectrum management.</w:t>
            </w:r>
          </w:p>
        </w:tc>
        <w:tc>
          <w:tcPr>
            <w:tcW w:w="3544" w:type="dxa"/>
          </w:tcPr>
          <w:p w14:paraId="59389817"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w:t>
            </w:r>
            <w:r w:rsidRPr="00FA4573">
              <w:rPr>
                <w:rFonts w:ascii="Calibri" w:hAnsi="Calibri" w:cs="Calibri"/>
                <w:b/>
                <w:sz w:val="22"/>
                <w:szCs w:val="22"/>
              </w:rPr>
              <w:t>Frequency spectrum</w:t>
            </w:r>
            <w:r w:rsidRPr="00FA4573">
              <w:rPr>
                <w:rFonts w:ascii="Calibri" w:hAnsi="Calibri" w:cs="Calibri"/>
                <w:bCs/>
                <w:sz w:val="22"/>
                <w:szCs w:val="22"/>
              </w:rPr>
              <w:t xml:space="preserve"> represents one of the vital issues in the continent of Africa, as this scarce resource requires distinct human competencies in order to be able to manage it optimally and benefit from it in a way that reflects positively on the communication services and the Internet."</w:t>
            </w:r>
          </w:p>
        </w:tc>
      </w:tr>
      <w:tr w:rsidR="000B7E7B" w:rsidRPr="00FA4573" w14:paraId="77054ACC" w14:textId="77777777" w:rsidTr="00857FB6">
        <w:trPr>
          <w:trHeight w:val="567"/>
          <w:jc w:val="center"/>
        </w:trPr>
        <w:tc>
          <w:tcPr>
            <w:tcW w:w="1129" w:type="dxa"/>
          </w:tcPr>
          <w:p w14:paraId="1C9299F0"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Q2/2, Q5/2</w:t>
            </w:r>
          </w:p>
        </w:tc>
        <w:tc>
          <w:tcPr>
            <w:tcW w:w="2127" w:type="dxa"/>
          </w:tcPr>
          <w:p w14:paraId="3F2846DB"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color w:val="000000"/>
                <w:sz w:val="22"/>
                <w:szCs w:val="22"/>
              </w:rPr>
              <w:t>Delivering universal meaningful connectivity to enable e-services and applications</w:t>
            </w:r>
          </w:p>
        </w:tc>
        <w:tc>
          <w:tcPr>
            <w:tcW w:w="1559" w:type="dxa"/>
          </w:tcPr>
          <w:p w14:paraId="07332205"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color w:val="000000"/>
                <w:sz w:val="22"/>
                <w:szCs w:val="22"/>
              </w:rPr>
              <w:t>International Chamber of Commerce</w:t>
            </w:r>
          </w:p>
        </w:tc>
        <w:tc>
          <w:tcPr>
            <w:tcW w:w="1559" w:type="dxa"/>
          </w:tcPr>
          <w:p w14:paraId="4FACC0DA" w14:textId="77777777" w:rsidR="000B7E7B" w:rsidRPr="00FA4573" w:rsidRDefault="00895CEE" w:rsidP="00857FB6">
            <w:pPr>
              <w:spacing w:before="40" w:after="40"/>
              <w:jc w:val="center"/>
              <w:rPr>
                <w:rFonts w:ascii="Calibri" w:hAnsi="Calibri" w:cs="Calibri"/>
                <w:sz w:val="22"/>
                <w:szCs w:val="22"/>
              </w:rPr>
            </w:pPr>
            <w:hyperlink r:id="rId168">
              <w:r w:rsidR="000B7E7B" w:rsidRPr="00FA4573">
                <w:rPr>
                  <w:rFonts w:ascii="Calibri" w:hAnsi="Calibri" w:cs="Calibri"/>
                  <w:color w:val="0000FF"/>
                  <w:sz w:val="22"/>
                  <w:szCs w:val="22"/>
                  <w:u w:val="single"/>
                </w:rPr>
                <w:t>SG2RGQ/46</w:t>
              </w:r>
            </w:hyperlink>
          </w:p>
          <w:p w14:paraId="316F5D63" w14:textId="77777777" w:rsidR="000B7E7B" w:rsidRPr="00FA4573" w:rsidRDefault="000B7E7B" w:rsidP="00857FB6">
            <w:pPr>
              <w:spacing w:before="40" w:after="40"/>
              <w:jc w:val="center"/>
              <w:rPr>
                <w:rStyle w:val="Hyperlink"/>
                <w:rFonts w:ascii="Calibri" w:hAnsi="Calibri" w:cs="Calibri"/>
                <w:sz w:val="22"/>
                <w:szCs w:val="22"/>
                <w:lang w:eastAsia="ko-KR"/>
              </w:rPr>
            </w:pPr>
            <w:r w:rsidRPr="00FA4573">
              <w:rPr>
                <w:rFonts w:ascii="Calibri" w:hAnsi="Calibri" w:cs="Calibri"/>
                <w:sz w:val="22"/>
                <w:szCs w:val="22"/>
                <w:lang w:eastAsia="ko-KR"/>
              </w:rPr>
              <w:t xml:space="preserve">+ ICC white paper </w:t>
            </w:r>
            <w:r w:rsidRPr="00FA4573">
              <w:rPr>
                <w:rFonts w:ascii="Calibri" w:hAnsi="Calibri" w:cs="Calibri"/>
                <w:sz w:val="22"/>
                <w:szCs w:val="22"/>
                <w:lang w:eastAsia="ko-KR"/>
              </w:rPr>
              <w:br/>
              <w:t>(</w:t>
            </w:r>
            <w:hyperlink r:id="rId169" w:anchor="page=10" w:history="1">
              <w:r w:rsidRPr="00FA4573">
                <w:rPr>
                  <w:rStyle w:val="Hyperlink"/>
                  <w:rFonts w:ascii="Calibri" w:hAnsi="Calibri" w:cs="Calibri"/>
                  <w:sz w:val="22"/>
                  <w:szCs w:val="22"/>
                  <w:lang w:eastAsia="ko-KR"/>
                </w:rPr>
                <w:t>page 10</w:t>
              </w:r>
            </w:hyperlink>
            <w:r w:rsidRPr="00FA4573">
              <w:rPr>
                <w:rFonts w:ascii="Calibri" w:hAnsi="Calibri" w:cs="Calibri"/>
                <w:sz w:val="22"/>
                <w:szCs w:val="22"/>
                <w:lang w:eastAsia="ko-KR"/>
              </w:rPr>
              <w:t>)</w:t>
            </w:r>
          </w:p>
        </w:tc>
        <w:tc>
          <w:tcPr>
            <w:tcW w:w="1276" w:type="dxa"/>
          </w:tcPr>
          <w:p w14:paraId="185E71EA"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7A44D467"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A case study in Colombia discusses leveraging shared and unlicensed spectrum resources </w:t>
            </w:r>
            <w:proofErr w:type="gramStart"/>
            <w:r w:rsidRPr="00FA4573">
              <w:rPr>
                <w:rFonts w:ascii="Calibri" w:hAnsi="Calibri" w:cs="Calibri"/>
                <w:bCs/>
                <w:sz w:val="22"/>
                <w:szCs w:val="22"/>
                <w:lang w:eastAsia="ko-KR"/>
              </w:rPr>
              <w:t>as a means to</w:t>
            </w:r>
            <w:proofErr w:type="gramEnd"/>
            <w:r w:rsidRPr="00FA4573">
              <w:rPr>
                <w:rFonts w:ascii="Calibri" w:hAnsi="Calibri" w:cs="Calibri"/>
                <w:bCs/>
                <w:sz w:val="22"/>
                <w:szCs w:val="22"/>
                <w:lang w:eastAsia="ko-KR"/>
              </w:rPr>
              <w:t xml:space="preserve"> enable connectivity in challenging environments, which is relevant to assistance with emerging technologies and approaches in using spectrum.</w:t>
            </w:r>
          </w:p>
        </w:tc>
        <w:tc>
          <w:tcPr>
            <w:tcW w:w="3544" w:type="dxa"/>
          </w:tcPr>
          <w:p w14:paraId="3D956EAD"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w:t>
            </w:r>
            <w:proofErr w:type="gramStart"/>
            <w:r w:rsidRPr="00FA4573">
              <w:rPr>
                <w:rFonts w:ascii="Calibri" w:hAnsi="Calibri" w:cs="Calibri"/>
                <w:bCs/>
                <w:sz w:val="22"/>
                <w:szCs w:val="22"/>
              </w:rPr>
              <w:t>leverage</w:t>
            </w:r>
            <w:proofErr w:type="gramEnd"/>
            <w:r w:rsidRPr="00FA4573">
              <w:rPr>
                <w:rFonts w:ascii="Calibri" w:hAnsi="Calibri" w:cs="Calibri"/>
                <w:bCs/>
                <w:sz w:val="22"/>
                <w:szCs w:val="22"/>
              </w:rPr>
              <w:t xml:space="preserve"> </w:t>
            </w:r>
            <w:r w:rsidRPr="00FA4573">
              <w:rPr>
                <w:rFonts w:ascii="Calibri" w:hAnsi="Calibri" w:cs="Calibri"/>
                <w:b/>
                <w:sz w:val="22"/>
                <w:szCs w:val="22"/>
              </w:rPr>
              <w:t>shared and unlicensed spectrum resources</w:t>
            </w:r>
            <w:r w:rsidRPr="00FA4573">
              <w:rPr>
                <w:rFonts w:ascii="Calibri" w:hAnsi="Calibri" w:cs="Calibri"/>
                <w:bCs/>
                <w:sz w:val="22"/>
                <w:szCs w:val="22"/>
              </w:rPr>
              <w:t xml:space="preserve">" and </w:t>
            </w:r>
          </w:p>
          <w:p w14:paraId="28C3B50C"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 xml:space="preserve">"a regulatory framework to enable unlicensed, secondary access to vacant TV channels in the UHF band, known as </w:t>
            </w:r>
            <w:r w:rsidRPr="00FA4573">
              <w:rPr>
                <w:rFonts w:ascii="Calibri" w:hAnsi="Calibri" w:cs="Calibri"/>
                <w:b/>
                <w:sz w:val="22"/>
                <w:szCs w:val="22"/>
              </w:rPr>
              <w:t>TV White Spaces (TVWS).</w:t>
            </w:r>
            <w:r w:rsidRPr="00FA4573">
              <w:rPr>
                <w:rFonts w:ascii="Calibri" w:hAnsi="Calibri" w:cs="Calibri"/>
                <w:bCs/>
                <w:sz w:val="22"/>
                <w:szCs w:val="22"/>
              </w:rPr>
              <w:t>"</w:t>
            </w:r>
          </w:p>
        </w:tc>
      </w:tr>
      <w:tr w:rsidR="000B7E7B" w:rsidRPr="00FA4573" w14:paraId="43552C44" w14:textId="77777777" w:rsidTr="00857FB6">
        <w:trPr>
          <w:trHeight w:val="567"/>
          <w:jc w:val="center"/>
        </w:trPr>
        <w:tc>
          <w:tcPr>
            <w:tcW w:w="1129" w:type="dxa"/>
          </w:tcPr>
          <w:p w14:paraId="21137237"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Q3/2</w:t>
            </w:r>
          </w:p>
        </w:tc>
        <w:tc>
          <w:tcPr>
            <w:tcW w:w="2127" w:type="dxa"/>
          </w:tcPr>
          <w:p w14:paraId="0211766F"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color w:val="000000"/>
                <w:sz w:val="22"/>
                <w:szCs w:val="22"/>
              </w:rPr>
              <w:t>Brazilian cybersecurity-related policies and regulations</w:t>
            </w:r>
          </w:p>
        </w:tc>
        <w:tc>
          <w:tcPr>
            <w:tcW w:w="1559" w:type="dxa"/>
          </w:tcPr>
          <w:p w14:paraId="72F93A9E"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color w:val="000000"/>
                <w:sz w:val="22"/>
                <w:szCs w:val="22"/>
              </w:rPr>
              <w:t>Brazil</w:t>
            </w:r>
          </w:p>
        </w:tc>
        <w:tc>
          <w:tcPr>
            <w:tcW w:w="1559" w:type="dxa"/>
          </w:tcPr>
          <w:p w14:paraId="5E4AA560" w14:textId="77777777" w:rsidR="000B7E7B" w:rsidRPr="00FA4573" w:rsidRDefault="00895CEE" w:rsidP="00857FB6">
            <w:pPr>
              <w:spacing w:before="40" w:after="40"/>
              <w:jc w:val="center"/>
              <w:rPr>
                <w:rStyle w:val="Hyperlink"/>
                <w:rFonts w:ascii="Calibri" w:hAnsi="Calibri" w:cs="Calibri"/>
                <w:sz w:val="22"/>
                <w:szCs w:val="22"/>
              </w:rPr>
            </w:pPr>
            <w:hyperlink r:id="rId170">
              <w:r w:rsidR="000B7E7B" w:rsidRPr="00FA4573">
                <w:rPr>
                  <w:rFonts w:ascii="Calibri" w:hAnsi="Calibri" w:cs="Calibri"/>
                  <w:color w:val="0000FF"/>
                  <w:sz w:val="22"/>
                  <w:szCs w:val="22"/>
                  <w:u w:val="single"/>
                </w:rPr>
                <w:t>SG2RGQ/57</w:t>
              </w:r>
            </w:hyperlink>
          </w:p>
        </w:tc>
        <w:tc>
          <w:tcPr>
            <w:tcW w:w="1276" w:type="dxa"/>
          </w:tcPr>
          <w:p w14:paraId="70B74CE2"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430D615A"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The contribution discusses the establishment of cybersecurity procedures and actions in the context of 5G applications, which are part of emerging technologies and approaches in using spectrum efficiently and securely.</w:t>
            </w:r>
          </w:p>
        </w:tc>
        <w:tc>
          <w:tcPr>
            <w:tcW w:w="3544" w:type="dxa"/>
          </w:tcPr>
          <w:p w14:paraId="735C9F38"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 xml:space="preserve">"Finally, concerning 5G cybersecurity, the </w:t>
            </w:r>
            <w:r w:rsidRPr="00FA4573">
              <w:rPr>
                <w:rFonts w:ascii="Calibri" w:hAnsi="Calibri" w:cs="Calibri"/>
                <w:b/>
                <w:sz w:val="22"/>
                <w:szCs w:val="22"/>
              </w:rPr>
              <w:t>5G Spectrum Auction Notice</w:t>
            </w:r>
            <w:r w:rsidRPr="00FA4573">
              <w:rPr>
                <w:rFonts w:ascii="Calibri" w:hAnsi="Calibri" w:cs="Calibri"/>
                <w:bCs/>
                <w:sz w:val="22"/>
                <w:szCs w:val="22"/>
              </w:rPr>
              <w:t>, approved in September 2021, established that the bidders had to commit to establish procedures and actions for the promotion of the cybersecurity of the network and telecom services, in accordance with Anatel’s Cybersecurity Regulation which has been previously mentioned."</w:t>
            </w:r>
          </w:p>
        </w:tc>
      </w:tr>
      <w:tr w:rsidR="000B7E7B" w:rsidRPr="00FA4573" w14:paraId="2DB07E62" w14:textId="77777777" w:rsidTr="00857FB6">
        <w:trPr>
          <w:trHeight w:val="567"/>
          <w:jc w:val="center"/>
        </w:trPr>
        <w:tc>
          <w:tcPr>
            <w:tcW w:w="1129" w:type="dxa"/>
          </w:tcPr>
          <w:p w14:paraId="35900F89"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lang w:eastAsia="ko-KR"/>
              </w:rPr>
              <w:lastRenderedPageBreak/>
              <w:t>Q5/2</w:t>
            </w:r>
          </w:p>
        </w:tc>
        <w:tc>
          <w:tcPr>
            <w:tcW w:w="2127" w:type="dxa"/>
          </w:tcPr>
          <w:p w14:paraId="72B0C4A5"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Extension of licences and regulatory reforms to improve digital connectivity in Madagascar</w:t>
            </w:r>
          </w:p>
        </w:tc>
        <w:tc>
          <w:tcPr>
            <w:tcW w:w="1559" w:type="dxa"/>
          </w:tcPr>
          <w:p w14:paraId="0274F1E5"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Madagascar</w:t>
            </w:r>
          </w:p>
        </w:tc>
        <w:tc>
          <w:tcPr>
            <w:tcW w:w="1559" w:type="dxa"/>
          </w:tcPr>
          <w:p w14:paraId="5B708CB8" w14:textId="77777777" w:rsidR="000B7E7B" w:rsidRPr="00FA4573" w:rsidRDefault="00895CEE" w:rsidP="00857FB6">
            <w:pPr>
              <w:spacing w:before="40" w:after="40"/>
              <w:jc w:val="center"/>
              <w:rPr>
                <w:rStyle w:val="Hyperlink"/>
                <w:rFonts w:ascii="Calibri" w:hAnsi="Calibri" w:cs="Calibri"/>
                <w:sz w:val="22"/>
                <w:szCs w:val="22"/>
              </w:rPr>
            </w:pPr>
            <w:hyperlink r:id="rId171" w:history="1">
              <w:r w:rsidR="000B7E7B" w:rsidRPr="00FA4573">
                <w:rPr>
                  <w:rStyle w:val="Hyperlink"/>
                  <w:rFonts w:ascii="Calibri" w:hAnsi="Calibri" w:cs="Calibri"/>
                  <w:sz w:val="22"/>
                  <w:szCs w:val="22"/>
                </w:rPr>
                <w:t>SG2RGQ/110</w:t>
              </w:r>
            </w:hyperlink>
          </w:p>
        </w:tc>
        <w:tc>
          <w:tcPr>
            <w:tcW w:w="1276" w:type="dxa"/>
          </w:tcPr>
          <w:p w14:paraId="07D36756"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542FF55B"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The contribution discusses regulatory reforms, including updates to licence categories that foster development of telecommunication infrastructure and services, which aligns with training in regulatory frameworks and spectrum management.</w:t>
            </w:r>
          </w:p>
        </w:tc>
        <w:tc>
          <w:tcPr>
            <w:tcW w:w="3544" w:type="dxa"/>
          </w:tcPr>
          <w:p w14:paraId="4EE476DB"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 xml:space="preserve">"As part of the reform, other regulatory projects are being elaborated to guide the implementation of the new decree, in particular, draft decrees for the </w:t>
            </w:r>
            <w:r w:rsidRPr="00FA4573">
              <w:rPr>
                <w:rFonts w:ascii="Calibri" w:hAnsi="Calibri" w:cs="Calibri"/>
                <w:b/>
                <w:sz w:val="22"/>
                <w:szCs w:val="22"/>
              </w:rPr>
              <w:t>rules for managing and assigning spectrum resources</w:t>
            </w:r>
            <w:r w:rsidRPr="00FA4573">
              <w:rPr>
                <w:rFonts w:ascii="Calibri" w:hAnsi="Calibri" w:cs="Calibri"/>
                <w:bCs/>
                <w:sz w:val="22"/>
                <w:szCs w:val="22"/>
              </w:rPr>
              <w:t>..."</w:t>
            </w:r>
          </w:p>
        </w:tc>
      </w:tr>
      <w:tr w:rsidR="000B7E7B" w:rsidRPr="00FA4573" w14:paraId="3F1D494B" w14:textId="77777777" w:rsidTr="00857FB6">
        <w:trPr>
          <w:trHeight w:val="567"/>
          <w:jc w:val="center"/>
        </w:trPr>
        <w:tc>
          <w:tcPr>
            <w:tcW w:w="1129" w:type="dxa"/>
          </w:tcPr>
          <w:p w14:paraId="66ED52BC"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lang w:eastAsia="ko-KR"/>
              </w:rPr>
              <w:t>Q5/2</w:t>
            </w:r>
          </w:p>
        </w:tc>
        <w:tc>
          <w:tcPr>
            <w:tcW w:w="2127" w:type="dxa"/>
          </w:tcPr>
          <w:p w14:paraId="398BEE08"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sz w:val="22"/>
                <w:szCs w:val="22"/>
              </w:rPr>
              <w:t>Encourage collaboration with universities and leading technology schools to strengthen the specific digital skills of young professionals in Côte d'Ivoire</w:t>
            </w:r>
          </w:p>
        </w:tc>
        <w:tc>
          <w:tcPr>
            <w:tcW w:w="1559" w:type="dxa"/>
          </w:tcPr>
          <w:p w14:paraId="48378CC9"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lang w:val="fr-FR"/>
              </w:rPr>
              <w:t>RIFEN</w:t>
            </w:r>
          </w:p>
        </w:tc>
        <w:tc>
          <w:tcPr>
            <w:tcW w:w="1559" w:type="dxa"/>
          </w:tcPr>
          <w:p w14:paraId="1620D9BB" w14:textId="77777777" w:rsidR="000B7E7B" w:rsidRPr="00FA4573" w:rsidRDefault="00895CEE" w:rsidP="00857FB6">
            <w:pPr>
              <w:spacing w:before="40" w:after="40"/>
              <w:jc w:val="center"/>
              <w:rPr>
                <w:rStyle w:val="Hyperlink"/>
                <w:rFonts w:ascii="Calibri" w:hAnsi="Calibri" w:cs="Calibri"/>
                <w:sz w:val="22"/>
                <w:szCs w:val="22"/>
              </w:rPr>
            </w:pPr>
            <w:hyperlink r:id="rId172" w:history="1">
              <w:r w:rsidR="000B7E7B" w:rsidRPr="00FA4573">
                <w:rPr>
                  <w:rStyle w:val="Hyperlink"/>
                  <w:rFonts w:ascii="Calibri" w:hAnsi="Calibri" w:cs="Calibri"/>
                  <w:sz w:val="22"/>
                  <w:szCs w:val="22"/>
                </w:rPr>
                <w:t>SG2RGQ/158</w:t>
              </w:r>
            </w:hyperlink>
          </w:p>
        </w:tc>
        <w:tc>
          <w:tcPr>
            <w:tcW w:w="1276" w:type="dxa"/>
          </w:tcPr>
          <w:p w14:paraId="054DA531"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0EC6FC81"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rPr>
              <w:t xml:space="preserve">The contribution mentions </w:t>
            </w:r>
            <w:r w:rsidRPr="00FA4573">
              <w:rPr>
                <w:rFonts w:ascii="Calibri" w:hAnsi="Calibri" w:cs="Calibri"/>
                <w:bCs/>
                <w:sz w:val="22"/>
                <w:szCs w:val="22"/>
                <w:lang w:eastAsia="ko-KR"/>
              </w:rPr>
              <w:t xml:space="preserve">the need to </w:t>
            </w:r>
            <w:r w:rsidRPr="00FA4573">
              <w:rPr>
                <w:rFonts w:ascii="Calibri" w:hAnsi="Calibri" w:cs="Calibri"/>
                <w:bCs/>
                <w:sz w:val="22"/>
                <w:szCs w:val="22"/>
              </w:rPr>
              <w:t xml:space="preserve">inform </w:t>
            </w:r>
            <w:r w:rsidRPr="00FA4573">
              <w:rPr>
                <w:rFonts w:ascii="Calibri" w:hAnsi="Calibri" w:cs="Calibri"/>
                <w:bCs/>
                <w:sz w:val="22"/>
                <w:szCs w:val="22"/>
                <w:lang w:eastAsia="ko-KR"/>
              </w:rPr>
              <w:t xml:space="preserve">university </w:t>
            </w:r>
            <w:r w:rsidRPr="00FA4573">
              <w:rPr>
                <w:rFonts w:ascii="Calibri" w:hAnsi="Calibri" w:cs="Calibri"/>
                <w:bCs/>
                <w:sz w:val="22"/>
                <w:szCs w:val="22"/>
              </w:rPr>
              <w:t>leaders about technological areas including spectrum management</w:t>
            </w:r>
            <w:r w:rsidRPr="00FA4573">
              <w:rPr>
                <w:rFonts w:ascii="Calibri" w:hAnsi="Calibri" w:cs="Calibri"/>
                <w:bCs/>
                <w:sz w:val="22"/>
                <w:szCs w:val="22"/>
                <w:lang w:eastAsia="ko-KR"/>
              </w:rPr>
              <w:t>.</w:t>
            </w:r>
          </w:p>
        </w:tc>
        <w:tc>
          <w:tcPr>
            <w:tcW w:w="3544" w:type="dxa"/>
          </w:tcPr>
          <w:p w14:paraId="02D1A115"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“To inform the leaders of these universities about the technological areas covered by the ITU's ATC programme (ICT regulation, network infrastructure, </w:t>
            </w:r>
            <w:r w:rsidRPr="00FA4573">
              <w:rPr>
                <w:rFonts w:ascii="Calibri" w:hAnsi="Calibri" w:cs="Calibri"/>
                <w:b/>
                <w:sz w:val="22"/>
                <w:szCs w:val="22"/>
                <w:lang w:eastAsia="ko-KR"/>
              </w:rPr>
              <w:t>spectrum management</w:t>
            </w:r>
            <w:r w:rsidRPr="00FA4573">
              <w:rPr>
                <w:rFonts w:ascii="Calibri" w:hAnsi="Calibri" w:cs="Calibri"/>
                <w:bCs/>
                <w:sz w:val="22"/>
                <w:szCs w:val="22"/>
                <w:lang w:eastAsia="ko-KR"/>
              </w:rPr>
              <w:t xml:space="preserve">, cybersecurity, digital inclusion, digital services, </w:t>
            </w:r>
            <w:proofErr w:type="gramStart"/>
            <w:r w:rsidRPr="00FA4573">
              <w:rPr>
                <w:rFonts w:ascii="Calibri" w:hAnsi="Calibri" w:cs="Calibri"/>
                <w:bCs/>
                <w:sz w:val="22"/>
                <w:szCs w:val="22"/>
                <w:lang w:eastAsia="ko-KR"/>
              </w:rPr>
              <w:t>etc.</w:t>
            </w:r>
            <w:proofErr w:type="gramEnd"/>
            <w:r w:rsidRPr="00FA4573">
              <w:rPr>
                <w:rFonts w:ascii="Calibri" w:hAnsi="Calibri" w:cs="Calibri"/>
                <w:bCs/>
                <w:sz w:val="22"/>
                <w:szCs w:val="22"/>
                <w:lang w:eastAsia="ko-KR"/>
              </w:rPr>
              <w:t>)”</w:t>
            </w:r>
          </w:p>
        </w:tc>
      </w:tr>
      <w:tr w:rsidR="000B7E7B" w:rsidRPr="00FA4573" w14:paraId="685CA364" w14:textId="77777777" w:rsidTr="00857FB6">
        <w:trPr>
          <w:trHeight w:val="567"/>
          <w:jc w:val="center"/>
        </w:trPr>
        <w:tc>
          <w:tcPr>
            <w:tcW w:w="1129" w:type="dxa"/>
          </w:tcPr>
          <w:p w14:paraId="61919199"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288B72C6"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lang w:eastAsia="ko-KR"/>
              </w:rPr>
              <w:t>Human exposure to electromagnetic fields created by radio systems and mobile devices</w:t>
            </w:r>
          </w:p>
        </w:tc>
        <w:tc>
          <w:tcPr>
            <w:tcW w:w="1559" w:type="dxa"/>
          </w:tcPr>
          <w:p w14:paraId="08BEE7C1"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Central African Republic</w:t>
            </w:r>
          </w:p>
        </w:tc>
        <w:tc>
          <w:tcPr>
            <w:tcW w:w="1559" w:type="dxa"/>
          </w:tcPr>
          <w:p w14:paraId="1ECD9814" w14:textId="77777777" w:rsidR="000B7E7B" w:rsidRPr="00FA4573" w:rsidRDefault="00895CEE" w:rsidP="00857FB6">
            <w:pPr>
              <w:spacing w:before="40" w:after="40"/>
              <w:jc w:val="center"/>
              <w:rPr>
                <w:rStyle w:val="Hyperlink"/>
                <w:rFonts w:ascii="Calibri" w:hAnsi="Calibri" w:cs="Calibri"/>
                <w:sz w:val="22"/>
                <w:szCs w:val="22"/>
              </w:rPr>
            </w:pPr>
            <w:hyperlink r:id="rId173" w:history="1">
              <w:r w:rsidR="000B7E7B" w:rsidRPr="00FA4573">
                <w:rPr>
                  <w:rStyle w:val="Hyperlink"/>
                  <w:rFonts w:ascii="Calibri" w:hAnsi="Calibri" w:cs="Calibri"/>
                  <w:sz w:val="22"/>
                  <w:szCs w:val="22"/>
                </w:rPr>
                <w:t>2/129</w:t>
              </w:r>
            </w:hyperlink>
          </w:p>
        </w:tc>
        <w:tc>
          <w:tcPr>
            <w:tcW w:w="1276" w:type="dxa"/>
          </w:tcPr>
          <w:p w14:paraId="504FFD3F"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2</w:t>
            </w:r>
          </w:p>
        </w:tc>
        <w:tc>
          <w:tcPr>
            <w:tcW w:w="3260" w:type="dxa"/>
          </w:tcPr>
          <w:p w14:paraId="27B34CC1"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 xml:space="preserve">The </w:t>
            </w:r>
            <w:r w:rsidRPr="00FA4573">
              <w:rPr>
                <w:rFonts w:ascii="Calibri" w:hAnsi="Calibri" w:cs="Calibri"/>
                <w:bCs/>
                <w:sz w:val="22"/>
                <w:szCs w:val="22"/>
                <w:lang w:eastAsia="ko-KR"/>
              </w:rPr>
              <w:t>contribution</w:t>
            </w:r>
            <w:r w:rsidRPr="00FA4573">
              <w:rPr>
                <w:rFonts w:ascii="Calibri" w:hAnsi="Calibri" w:cs="Calibri"/>
                <w:bCs/>
                <w:sz w:val="22"/>
                <w:szCs w:val="22"/>
              </w:rPr>
              <w:t xml:space="preserve"> </w:t>
            </w:r>
            <w:r w:rsidRPr="00FA4573">
              <w:rPr>
                <w:rFonts w:ascii="Calibri" w:hAnsi="Calibri" w:cs="Calibri"/>
                <w:bCs/>
                <w:sz w:val="22"/>
                <w:szCs w:val="22"/>
                <w:lang w:eastAsia="ko-KR"/>
              </w:rPr>
              <w:t>includes</w:t>
            </w:r>
            <w:r w:rsidRPr="00FA4573">
              <w:rPr>
                <w:rFonts w:ascii="Calibri" w:hAnsi="Calibri" w:cs="Calibri"/>
                <w:bCs/>
                <w:sz w:val="22"/>
                <w:szCs w:val="22"/>
              </w:rPr>
              <w:t xml:space="preserve"> the intention of the Central African Republic to enhance its regulatory framework to ensure compliance with international standards, specifically ITU proposals concerning electromagnetic fields (EMFs)</w:t>
            </w:r>
          </w:p>
        </w:tc>
        <w:tc>
          <w:tcPr>
            <w:tcW w:w="3544" w:type="dxa"/>
          </w:tcPr>
          <w:p w14:paraId="24944D0D"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“The Central African Republic intends to work on the following: </w:t>
            </w:r>
            <w:r w:rsidRPr="00FA4573">
              <w:rPr>
                <w:rFonts w:ascii="Symbol" w:eastAsia="Symbol" w:hAnsi="Symbol" w:cs="Symbol"/>
                <w:bCs/>
                <w:sz w:val="22"/>
                <w:szCs w:val="22"/>
                <w:lang w:eastAsia="ko-KR"/>
              </w:rPr>
              <w:t>-</w:t>
            </w:r>
            <w:r w:rsidRPr="00FA4573">
              <w:rPr>
                <w:rFonts w:ascii="Calibri" w:hAnsi="Calibri" w:cs="Calibri"/>
                <w:bCs/>
                <w:sz w:val="22"/>
                <w:szCs w:val="22"/>
                <w:lang w:eastAsia="ko-KR"/>
              </w:rPr>
              <w:t xml:space="preserve"> Strengthen regulatory sanctions to ensure compliance with </w:t>
            </w:r>
            <w:r w:rsidRPr="00FA4573">
              <w:rPr>
                <w:rFonts w:ascii="Calibri" w:hAnsi="Calibri" w:cs="Calibri"/>
                <w:b/>
                <w:sz w:val="22"/>
                <w:szCs w:val="22"/>
                <w:lang w:eastAsia="ko-KR"/>
              </w:rPr>
              <w:t>ITU Recommendations on EMFs</w:t>
            </w:r>
            <w:r w:rsidRPr="00FA4573">
              <w:rPr>
                <w:rFonts w:ascii="Calibri" w:hAnsi="Calibri" w:cs="Calibri"/>
                <w:bCs/>
                <w:sz w:val="22"/>
                <w:szCs w:val="22"/>
                <w:lang w:eastAsia="ko-KR"/>
              </w:rPr>
              <w:t xml:space="preserve"> used by operators; </w:t>
            </w:r>
            <w:r w:rsidRPr="00FA4573">
              <w:rPr>
                <w:rFonts w:ascii="Symbol" w:eastAsia="Symbol" w:hAnsi="Symbol" w:cs="Symbol"/>
                <w:bCs/>
                <w:sz w:val="22"/>
                <w:szCs w:val="22"/>
                <w:lang w:eastAsia="ko-KR"/>
              </w:rPr>
              <w:t>-</w:t>
            </w:r>
            <w:r w:rsidRPr="00FA4573">
              <w:rPr>
                <w:rFonts w:ascii="Calibri" w:hAnsi="Calibri" w:cs="Calibri"/>
                <w:bCs/>
                <w:sz w:val="22"/>
                <w:szCs w:val="22"/>
                <w:lang w:eastAsia="ko-KR"/>
              </w:rPr>
              <w:t xml:space="preserve"> Implement all ITU Recommendations pertaining to EMFs”</w:t>
            </w:r>
          </w:p>
        </w:tc>
      </w:tr>
      <w:tr w:rsidR="000B7E7B" w:rsidRPr="00FA4573" w14:paraId="00AA7D19" w14:textId="77777777" w:rsidTr="00857FB6">
        <w:trPr>
          <w:trHeight w:val="567"/>
          <w:jc w:val="center"/>
        </w:trPr>
        <w:tc>
          <w:tcPr>
            <w:tcW w:w="1129" w:type="dxa"/>
          </w:tcPr>
          <w:p w14:paraId="44F531F5"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0D8A5CCC"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Benin's experience in protecting populations against the effects of non-</w:t>
            </w:r>
            <w:r w:rsidRPr="00FA4573">
              <w:rPr>
                <w:rFonts w:ascii="Calibri" w:hAnsi="Calibri" w:cs="Calibri"/>
                <w:bCs/>
                <w:sz w:val="22"/>
                <w:szCs w:val="22"/>
              </w:rPr>
              <w:lastRenderedPageBreak/>
              <w:t>ionizing radiation from radio sites</w:t>
            </w:r>
          </w:p>
        </w:tc>
        <w:tc>
          <w:tcPr>
            <w:tcW w:w="1559" w:type="dxa"/>
          </w:tcPr>
          <w:p w14:paraId="1016BAF4"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lastRenderedPageBreak/>
              <w:t>Benin</w:t>
            </w:r>
          </w:p>
        </w:tc>
        <w:tc>
          <w:tcPr>
            <w:tcW w:w="1559" w:type="dxa"/>
          </w:tcPr>
          <w:p w14:paraId="530EE8FF" w14:textId="77777777" w:rsidR="000B7E7B" w:rsidRPr="00FA4573" w:rsidRDefault="00895CEE" w:rsidP="00857FB6">
            <w:pPr>
              <w:spacing w:before="40" w:after="40"/>
              <w:jc w:val="center"/>
              <w:rPr>
                <w:rStyle w:val="Hyperlink"/>
                <w:rFonts w:ascii="Calibri" w:hAnsi="Calibri" w:cs="Calibri"/>
                <w:sz w:val="22"/>
                <w:szCs w:val="22"/>
              </w:rPr>
            </w:pPr>
            <w:hyperlink r:id="rId174" w:history="1">
              <w:r w:rsidR="000B7E7B" w:rsidRPr="00FA4573">
                <w:rPr>
                  <w:rStyle w:val="Hyperlink"/>
                  <w:rFonts w:ascii="Calibri" w:hAnsi="Calibri" w:cs="Calibri"/>
                  <w:sz w:val="22"/>
                  <w:szCs w:val="22"/>
                  <w:lang w:val="en-US"/>
                </w:rPr>
                <w:t>2/198</w:t>
              </w:r>
            </w:hyperlink>
          </w:p>
        </w:tc>
        <w:tc>
          <w:tcPr>
            <w:tcW w:w="1276" w:type="dxa"/>
          </w:tcPr>
          <w:p w14:paraId="7E0D6DFA"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64410CE0"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 xml:space="preserve">The contribution discusses the public's concerns and the need for awareness among both the population and policymakers regarding the health implications </w:t>
            </w:r>
            <w:r w:rsidRPr="00FA4573">
              <w:rPr>
                <w:rFonts w:ascii="Calibri" w:hAnsi="Calibri" w:cs="Calibri"/>
                <w:bCs/>
                <w:sz w:val="22"/>
                <w:szCs w:val="22"/>
              </w:rPr>
              <w:lastRenderedPageBreak/>
              <w:t>of radio-electric sites. This aligns with raising awareness of the importance of effective spectrum management and its impact on public health and safety.</w:t>
            </w:r>
          </w:p>
        </w:tc>
        <w:tc>
          <w:tcPr>
            <w:tcW w:w="3544" w:type="dxa"/>
          </w:tcPr>
          <w:p w14:paraId="2E97CD5C"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lastRenderedPageBreak/>
              <w:t xml:space="preserve">(Translated from French) </w:t>
            </w:r>
          </w:p>
          <w:p w14:paraId="10AE100D"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“Very early on, like international organizations, Benin began to consider the question of whether the </w:t>
            </w:r>
            <w:r w:rsidRPr="00FA4573">
              <w:rPr>
                <w:rFonts w:ascii="Calibri" w:hAnsi="Calibri" w:cs="Calibri"/>
                <w:b/>
                <w:sz w:val="22"/>
                <w:szCs w:val="22"/>
                <w:lang w:eastAsia="ko-KR"/>
              </w:rPr>
              <w:t xml:space="preserve">growing proximity between </w:t>
            </w:r>
            <w:r w:rsidRPr="00FA4573">
              <w:rPr>
                <w:rFonts w:ascii="Calibri" w:hAnsi="Calibri" w:cs="Calibri"/>
                <w:b/>
                <w:sz w:val="22"/>
                <w:szCs w:val="22"/>
                <w:lang w:eastAsia="ko-KR"/>
              </w:rPr>
              <w:lastRenderedPageBreak/>
              <w:t>radioelectric sites</w:t>
            </w:r>
            <w:r w:rsidRPr="00FA4573">
              <w:rPr>
                <w:rFonts w:ascii="Calibri" w:hAnsi="Calibri" w:cs="Calibri"/>
                <w:bCs/>
                <w:sz w:val="22"/>
                <w:szCs w:val="22"/>
                <w:lang w:eastAsia="ko-KR"/>
              </w:rPr>
              <w:t xml:space="preserve"> and homes</w:t>
            </w:r>
            <w:r w:rsidRPr="00FA4573">
              <w:rPr>
                <w:rFonts w:ascii="Calibri" w:hAnsi="Calibri" w:cs="Calibri" w:hint="eastAsia"/>
                <w:bCs/>
                <w:sz w:val="22"/>
                <w:szCs w:val="22"/>
                <w:lang w:eastAsia="ko-KR"/>
              </w:rPr>
              <w:t>,</w:t>
            </w:r>
            <w:r w:rsidRPr="00FA4573">
              <w:rPr>
                <w:rFonts w:ascii="Calibri" w:hAnsi="Calibri" w:cs="Calibri"/>
                <w:bCs/>
                <w:sz w:val="22"/>
                <w:szCs w:val="22"/>
                <w:lang w:eastAsia="ko-KR"/>
              </w:rPr>
              <w:t xml:space="preserve"> would have consequences on the </w:t>
            </w:r>
            <w:r w:rsidRPr="00FA4573">
              <w:rPr>
                <w:rFonts w:ascii="Calibri" w:hAnsi="Calibri" w:cs="Calibri"/>
                <w:b/>
                <w:sz w:val="22"/>
                <w:szCs w:val="22"/>
                <w:lang w:eastAsia="ko-KR"/>
              </w:rPr>
              <w:t>health</w:t>
            </w:r>
            <w:r w:rsidRPr="00FA4573">
              <w:rPr>
                <w:rFonts w:ascii="Calibri" w:hAnsi="Calibri" w:cs="Calibri" w:hint="eastAsia"/>
                <w:bCs/>
                <w:sz w:val="22"/>
                <w:szCs w:val="22"/>
                <w:lang w:eastAsia="ko-KR"/>
              </w:rPr>
              <w:t xml:space="preserve"> </w:t>
            </w:r>
            <w:r w:rsidRPr="00FA4573">
              <w:rPr>
                <w:rFonts w:ascii="Calibri" w:hAnsi="Calibri" w:cs="Calibri"/>
                <w:b/>
                <w:sz w:val="22"/>
                <w:szCs w:val="22"/>
                <w:lang w:eastAsia="ko-KR"/>
              </w:rPr>
              <w:t>safety</w:t>
            </w:r>
            <w:r w:rsidRPr="00FA4573">
              <w:rPr>
                <w:rFonts w:ascii="Calibri" w:hAnsi="Calibri" w:cs="Calibri"/>
                <w:bCs/>
                <w:sz w:val="22"/>
                <w:szCs w:val="22"/>
                <w:lang w:eastAsia="ko-KR"/>
              </w:rPr>
              <w:t xml:space="preserve"> of populations close to the sites.”</w:t>
            </w:r>
          </w:p>
        </w:tc>
      </w:tr>
      <w:tr w:rsidR="000B7E7B" w:rsidRPr="00FA4573" w14:paraId="3B41DEED" w14:textId="77777777" w:rsidTr="00857FB6">
        <w:trPr>
          <w:trHeight w:val="567"/>
          <w:jc w:val="center"/>
        </w:trPr>
        <w:tc>
          <w:tcPr>
            <w:tcW w:w="1129" w:type="dxa"/>
          </w:tcPr>
          <w:p w14:paraId="278DC84E"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lang w:eastAsia="ko-KR"/>
              </w:rPr>
              <w:lastRenderedPageBreak/>
              <w:t>Q7/2</w:t>
            </w:r>
          </w:p>
        </w:tc>
        <w:tc>
          <w:tcPr>
            <w:tcW w:w="2127" w:type="dxa"/>
          </w:tcPr>
          <w:p w14:paraId="054A0FDD"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Consumer protection against exposure to electromagnetic waves</w:t>
            </w:r>
          </w:p>
        </w:tc>
        <w:tc>
          <w:tcPr>
            <w:tcW w:w="1559" w:type="dxa"/>
          </w:tcPr>
          <w:p w14:paraId="054F40C2"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Congo (Rep. of)</w:t>
            </w:r>
          </w:p>
        </w:tc>
        <w:tc>
          <w:tcPr>
            <w:tcW w:w="1559" w:type="dxa"/>
          </w:tcPr>
          <w:p w14:paraId="4C73F56E" w14:textId="77777777" w:rsidR="000B7E7B" w:rsidRPr="00FA4573" w:rsidRDefault="00895CEE" w:rsidP="00857FB6">
            <w:pPr>
              <w:spacing w:before="40" w:after="40"/>
              <w:jc w:val="center"/>
              <w:rPr>
                <w:rStyle w:val="Hyperlink"/>
                <w:rFonts w:ascii="Calibri" w:hAnsi="Calibri" w:cs="Calibri"/>
                <w:sz w:val="22"/>
                <w:szCs w:val="22"/>
              </w:rPr>
            </w:pPr>
            <w:hyperlink r:id="rId175" w:history="1">
              <w:r w:rsidR="000B7E7B" w:rsidRPr="00FA4573">
                <w:rPr>
                  <w:rStyle w:val="Hyperlink"/>
                  <w:rFonts w:ascii="Calibri" w:hAnsi="Calibri" w:cs="Calibri"/>
                  <w:sz w:val="22"/>
                  <w:szCs w:val="22"/>
                  <w:lang w:val="en-US"/>
                </w:rPr>
                <w:t>2/274</w:t>
              </w:r>
            </w:hyperlink>
          </w:p>
        </w:tc>
        <w:tc>
          <w:tcPr>
            <w:tcW w:w="1276" w:type="dxa"/>
          </w:tcPr>
          <w:p w14:paraId="179B5FD5"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3EB82886"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The</w:t>
            </w:r>
            <w:r w:rsidRPr="00FA4573">
              <w:rPr>
                <w:rFonts w:ascii="Calibri" w:hAnsi="Calibri" w:cs="Calibri"/>
                <w:bCs/>
                <w:sz w:val="22"/>
                <w:szCs w:val="22"/>
                <w:lang w:eastAsia="ko-KR"/>
              </w:rPr>
              <w:t xml:space="preserve"> contribution</w:t>
            </w:r>
            <w:r w:rsidRPr="00FA4573">
              <w:rPr>
                <w:rFonts w:ascii="Calibri" w:hAnsi="Calibri" w:cs="Calibri"/>
                <w:bCs/>
                <w:sz w:val="22"/>
                <w:szCs w:val="22"/>
              </w:rPr>
              <w:t xml:space="preserve"> refers to concerns about health effects related to the deployment of </w:t>
            </w:r>
            <w:proofErr w:type="gramStart"/>
            <w:r w:rsidRPr="00FA4573">
              <w:rPr>
                <w:rFonts w:ascii="Calibri" w:hAnsi="Calibri" w:cs="Calibri"/>
                <w:bCs/>
                <w:sz w:val="22"/>
                <w:szCs w:val="22"/>
              </w:rPr>
              <w:t>new technologies</w:t>
            </w:r>
            <w:proofErr w:type="gramEnd"/>
            <w:r w:rsidRPr="00FA4573">
              <w:rPr>
                <w:rFonts w:ascii="Calibri" w:hAnsi="Calibri" w:cs="Calibri"/>
                <w:bCs/>
                <w:sz w:val="22"/>
                <w:szCs w:val="22"/>
              </w:rPr>
              <w:t>, specifically 5G, which relates to emerging technologies and approaches in using spectrum.</w:t>
            </w:r>
          </w:p>
        </w:tc>
        <w:tc>
          <w:tcPr>
            <w:tcW w:w="3544" w:type="dxa"/>
          </w:tcPr>
          <w:p w14:paraId="39F774B9"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(Translated from French) </w:t>
            </w:r>
          </w:p>
          <w:p w14:paraId="6545A117"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w:t>
            </w:r>
            <w:r w:rsidRPr="00FA4573">
              <w:rPr>
                <w:rFonts w:ascii="Calibri" w:hAnsi="Calibri" w:cs="Calibri"/>
                <w:b/>
                <w:sz w:val="22"/>
                <w:szCs w:val="22"/>
                <w:lang w:eastAsia="ko-KR"/>
              </w:rPr>
              <w:t>5G</w:t>
            </w:r>
            <w:r w:rsidRPr="00FA4573">
              <w:rPr>
                <w:rFonts w:ascii="Calibri" w:hAnsi="Calibri" w:cs="Calibri"/>
                <w:bCs/>
                <w:sz w:val="22"/>
                <w:szCs w:val="22"/>
                <w:lang w:eastAsia="ko-KR"/>
              </w:rPr>
              <w:t xml:space="preserve"> and Antenna Densification: With the implementation of 5G, antenna density will increase, which could exacerbate concerns about the health effects of OEMs.”</w:t>
            </w:r>
          </w:p>
        </w:tc>
      </w:tr>
      <w:tr w:rsidR="000B7E7B" w:rsidRPr="00FA4573" w14:paraId="5B0F5CD9" w14:textId="77777777" w:rsidTr="00857FB6">
        <w:trPr>
          <w:trHeight w:val="1639"/>
          <w:jc w:val="center"/>
        </w:trPr>
        <w:tc>
          <w:tcPr>
            <w:tcW w:w="1129" w:type="dxa"/>
          </w:tcPr>
          <w:p w14:paraId="6911EF54"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7017636C"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sz w:val="22"/>
                <w:szCs w:val="22"/>
              </w:rPr>
              <w:t>Managing human exposure to electromagnetic field radiation from telecommunication base stations</w:t>
            </w:r>
          </w:p>
        </w:tc>
        <w:tc>
          <w:tcPr>
            <w:tcW w:w="1559" w:type="dxa"/>
          </w:tcPr>
          <w:p w14:paraId="4C4E1461"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Ghana</w:t>
            </w:r>
          </w:p>
        </w:tc>
        <w:tc>
          <w:tcPr>
            <w:tcW w:w="1559" w:type="dxa"/>
          </w:tcPr>
          <w:p w14:paraId="6A70A7AD" w14:textId="77777777" w:rsidR="000B7E7B" w:rsidRPr="00FA4573" w:rsidRDefault="00895CEE" w:rsidP="00857FB6">
            <w:pPr>
              <w:spacing w:before="40" w:after="40"/>
              <w:jc w:val="center"/>
              <w:rPr>
                <w:rStyle w:val="Hyperlink"/>
                <w:rFonts w:ascii="Calibri" w:hAnsi="Calibri" w:cs="Calibri"/>
                <w:sz w:val="22"/>
                <w:szCs w:val="22"/>
              </w:rPr>
            </w:pPr>
            <w:hyperlink r:id="rId176" w:history="1">
              <w:r w:rsidR="000B7E7B" w:rsidRPr="00FA4573">
                <w:rPr>
                  <w:rStyle w:val="Hyperlink"/>
                  <w:rFonts w:ascii="Calibri" w:hAnsi="Calibri" w:cs="Calibri"/>
                  <w:sz w:val="22"/>
                  <w:szCs w:val="22"/>
                  <w:lang w:val="en-US"/>
                </w:rPr>
                <w:t>SG2RGQ/1</w:t>
              </w:r>
            </w:hyperlink>
          </w:p>
        </w:tc>
        <w:tc>
          <w:tcPr>
            <w:tcW w:w="1276" w:type="dxa"/>
          </w:tcPr>
          <w:p w14:paraId="7EDD7AE6"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11C0CEB5"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lang w:eastAsia="ko-KR"/>
              </w:rPr>
              <w:t xml:space="preserve">The contribution </w:t>
            </w:r>
            <w:r w:rsidRPr="00FA4573">
              <w:rPr>
                <w:rFonts w:ascii="Calibri" w:hAnsi="Calibri" w:cs="Calibri"/>
                <w:bCs/>
                <w:sz w:val="22"/>
                <w:szCs w:val="22"/>
              </w:rPr>
              <w:t>mentions the progression towards millimetre-wave technologies for 5G, which falls under the category of emerging technologies and approaches to the use of spectrum. It also highlights the need for public reassurance on the safety of these new cellular technologies, which is relevant to spectrum management in the context of emerging technologies like 5G.</w:t>
            </w:r>
          </w:p>
        </w:tc>
        <w:tc>
          <w:tcPr>
            <w:tcW w:w="3544" w:type="dxa"/>
          </w:tcPr>
          <w:p w14:paraId="2CC6A0B0"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“More recently, there were widespread rumours and allegations linking the COVID-19 virus to </w:t>
            </w:r>
            <w:r w:rsidRPr="00FA4573">
              <w:rPr>
                <w:rFonts w:ascii="Calibri" w:hAnsi="Calibri" w:cs="Calibri"/>
                <w:b/>
                <w:sz w:val="22"/>
                <w:szCs w:val="22"/>
                <w:lang w:eastAsia="ko-KR"/>
              </w:rPr>
              <w:t>5G</w:t>
            </w:r>
            <w:r w:rsidRPr="00FA4573">
              <w:rPr>
                <w:rFonts w:ascii="Calibri" w:hAnsi="Calibri" w:cs="Calibri"/>
                <w:bCs/>
                <w:sz w:val="22"/>
                <w:szCs w:val="22"/>
                <w:lang w:eastAsia="ko-KR"/>
              </w:rPr>
              <w:t xml:space="preserve">, this had the potential to derail the gains made over the years in communications technology adoption. As Ghana progresses towards </w:t>
            </w:r>
            <w:r w:rsidRPr="00FA4573">
              <w:rPr>
                <w:rFonts w:ascii="Calibri" w:hAnsi="Calibri" w:cs="Calibri"/>
                <w:b/>
                <w:sz w:val="22"/>
                <w:szCs w:val="22"/>
                <w:lang w:eastAsia="ko-KR"/>
              </w:rPr>
              <w:t>millimetre-wave technologies</w:t>
            </w:r>
            <w:r w:rsidRPr="00FA4573">
              <w:rPr>
                <w:rFonts w:ascii="Calibri" w:hAnsi="Calibri" w:cs="Calibri"/>
                <w:bCs/>
                <w:sz w:val="22"/>
                <w:szCs w:val="22"/>
                <w:lang w:eastAsia="ko-KR"/>
              </w:rPr>
              <w:t>, which will require deployment of more base stations much closer to people, the Government found it instructive to reassure the public of the safety of new cellular technologies.”</w:t>
            </w:r>
          </w:p>
        </w:tc>
      </w:tr>
      <w:tr w:rsidR="000B7E7B" w:rsidRPr="00FA4573" w14:paraId="62306057" w14:textId="77777777" w:rsidTr="00857FB6">
        <w:trPr>
          <w:trHeight w:val="567"/>
          <w:jc w:val="center"/>
        </w:trPr>
        <w:tc>
          <w:tcPr>
            <w:tcW w:w="1129" w:type="dxa"/>
          </w:tcPr>
          <w:p w14:paraId="7769D3A9"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31E9EAA3" w14:textId="77777777" w:rsidR="000B7E7B" w:rsidRPr="00FA4573" w:rsidRDefault="000B7E7B" w:rsidP="00857FB6">
            <w:pPr>
              <w:spacing w:before="40" w:after="40"/>
              <w:rPr>
                <w:rFonts w:ascii="Calibri" w:hAnsi="Calibri" w:cs="Calibri"/>
                <w:sz w:val="22"/>
                <w:szCs w:val="22"/>
                <w:lang w:val="en-US"/>
              </w:rPr>
            </w:pPr>
            <w:r w:rsidRPr="00FA4573">
              <w:rPr>
                <w:rFonts w:ascii="Calibri" w:hAnsi="Calibri" w:cs="Calibri"/>
                <w:color w:val="000000"/>
                <w:sz w:val="22"/>
                <w:szCs w:val="22"/>
              </w:rPr>
              <w:t>Status and strategies of EMF management and miscommunication in Uganda</w:t>
            </w:r>
          </w:p>
        </w:tc>
        <w:tc>
          <w:tcPr>
            <w:tcW w:w="1559" w:type="dxa"/>
          </w:tcPr>
          <w:p w14:paraId="75DB4CF2"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color w:val="000000"/>
                <w:sz w:val="22"/>
                <w:szCs w:val="22"/>
                <w:lang w:val="en-US"/>
              </w:rPr>
              <w:t>Uganda</w:t>
            </w:r>
          </w:p>
        </w:tc>
        <w:tc>
          <w:tcPr>
            <w:tcW w:w="1559" w:type="dxa"/>
          </w:tcPr>
          <w:p w14:paraId="7923E908" w14:textId="77777777" w:rsidR="000B7E7B" w:rsidRPr="00FA4573" w:rsidRDefault="00895CEE" w:rsidP="00857FB6">
            <w:pPr>
              <w:spacing w:before="40" w:after="40"/>
              <w:jc w:val="center"/>
              <w:rPr>
                <w:rFonts w:ascii="Calibri" w:hAnsi="Calibri" w:cs="Calibri"/>
                <w:sz w:val="22"/>
                <w:szCs w:val="22"/>
              </w:rPr>
            </w:pPr>
            <w:hyperlink r:id="rId177" w:history="1">
              <w:r w:rsidR="000B7E7B" w:rsidRPr="00FA4573">
                <w:rPr>
                  <w:rStyle w:val="Hyperlink"/>
                  <w:rFonts w:ascii="Calibri" w:hAnsi="Calibri" w:cs="Calibri"/>
                  <w:sz w:val="22"/>
                  <w:szCs w:val="22"/>
                </w:rPr>
                <w:t>SG2RGQ/77</w:t>
              </w:r>
            </w:hyperlink>
          </w:p>
        </w:tc>
        <w:tc>
          <w:tcPr>
            <w:tcW w:w="1276" w:type="dxa"/>
          </w:tcPr>
          <w:p w14:paraId="71AFC154"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7E98A33B"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 xml:space="preserve">The document includes information on the need for increased public awareness to build confidence among communities regarding the presence of base station sites, </w:t>
            </w:r>
            <w:r w:rsidRPr="00FA4573">
              <w:rPr>
                <w:rFonts w:ascii="Calibri" w:hAnsi="Calibri" w:cs="Calibri"/>
                <w:bCs/>
                <w:sz w:val="22"/>
                <w:szCs w:val="22"/>
              </w:rPr>
              <w:lastRenderedPageBreak/>
              <w:t>which aligns with raising awareness of national policymakers on the importance of effective spectrum management.</w:t>
            </w:r>
          </w:p>
        </w:tc>
        <w:tc>
          <w:tcPr>
            <w:tcW w:w="3544" w:type="dxa"/>
          </w:tcPr>
          <w:p w14:paraId="40BB080B"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lastRenderedPageBreak/>
              <w:t xml:space="preserve">"The public interviews indicated that a person’s level of education has no bearing on </w:t>
            </w:r>
            <w:r w:rsidRPr="00FA4573">
              <w:rPr>
                <w:rFonts w:ascii="Calibri" w:hAnsi="Calibri" w:cs="Calibri"/>
                <w:b/>
                <w:sz w:val="22"/>
                <w:szCs w:val="22"/>
              </w:rPr>
              <w:t>uncertainty about the presence of base station sites</w:t>
            </w:r>
            <w:r w:rsidRPr="00FA4573">
              <w:rPr>
                <w:rFonts w:ascii="Calibri" w:hAnsi="Calibri" w:cs="Calibri"/>
                <w:bCs/>
                <w:sz w:val="22"/>
                <w:szCs w:val="22"/>
              </w:rPr>
              <w:t xml:space="preserve"> in their proximity and underscored the need for more awareness to increase </w:t>
            </w:r>
            <w:r w:rsidRPr="00FA4573">
              <w:rPr>
                <w:rFonts w:ascii="Calibri" w:hAnsi="Calibri" w:cs="Calibri"/>
                <w:bCs/>
                <w:sz w:val="22"/>
                <w:szCs w:val="22"/>
              </w:rPr>
              <w:lastRenderedPageBreak/>
              <w:t>confidence among the communities."</w:t>
            </w:r>
          </w:p>
        </w:tc>
      </w:tr>
      <w:tr w:rsidR="000B7E7B" w:rsidRPr="00FA4573" w14:paraId="5353072B" w14:textId="77777777" w:rsidTr="00857FB6">
        <w:trPr>
          <w:trHeight w:val="567"/>
          <w:jc w:val="center"/>
        </w:trPr>
        <w:tc>
          <w:tcPr>
            <w:tcW w:w="1129" w:type="dxa"/>
          </w:tcPr>
          <w:p w14:paraId="74ECDB58"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lastRenderedPageBreak/>
              <w:t>Q7/2</w:t>
            </w:r>
          </w:p>
        </w:tc>
        <w:tc>
          <w:tcPr>
            <w:tcW w:w="2127" w:type="dxa"/>
          </w:tcPr>
          <w:p w14:paraId="3DA7B4D5"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sz w:val="22"/>
                <w:szCs w:val="22"/>
                <w:lang w:val="en-US"/>
              </w:rPr>
              <w:t>Regulatory decision on limit values for human exposure to electromagnetic fields in Haiti</w:t>
            </w:r>
          </w:p>
        </w:tc>
        <w:tc>
          <w:tcPr>
            <w:tcW w:w="1559" w:type="dxa"/>
          </w:tcPr>
          <w:p w14:paraId="65D11E93" w14:textId="77777777" w:rsidR="000B7E7B" w:rsidRPr="00FA4573" w:rsidRDefault="000B7E7B" w:rsidP="00857FB6">
            <w:pPr>
              <w:spacing w:before="40" w:after="40"/>
              <w:rPr>
                <w:rFonts w:ascii="Calibri" w:hAnsi="Calibri" w:cs="Calibri"/>
                <w:bCs/>
                <w:sz w:val="22"/>
                <w:szCs w:val="22"/>
                <w:lang w:eastAsia="ko-KR"/>
              </w:rPr>
            </w:pPr>
            <w:r w:rsidRPr="00FA4573">
              <w:rPr>
                <w:rFonts w:ascii="Calibri" w:hAnsi="Calibri" w:cs="Calibri"/>
                <w:bCs/>
                <w:sz w:val="22"/>
                <w:szCs w:val="22"/>
                <w:lang w:eastAsia="ko-KR"/>
              </w:rPr>
              <w:t>Haiti</w:t>
            </w:r>
          </w:p>
        </w:tc>
        <w:tc>
          <w:tcPr>
            <w:tcW w:w="1559" w:type="dxa"/>
          </w:tcPr>
          <w:p w14:paraId="228EED62" w14:textId="77777777" w:rsidR="000B7E7B" w:rsidRPr="00FA4573" w:rsidRDefault="00895CEE" w:rsidP="00857FB6">
            <w:pPr>
              <w:spacing w:before="40" w:after="40"/>
              <w:jc w:val="center"/>
              <w:rPr>
                <w:rStyle w:val="Hyperlink"/>
                <w:rFonts w:ascii="Calibri" w:hAnsi="Calibri" w:cs="Calibri"/>
                <w:sz w:val="22"/>
                <w:szCs w:val="22"/>
              </w:rPr>
            </w:pPr>
            <w:hyperlink r:id="rId178" w:history="1">
              <w:r w:rsidR="000B7E7B" w:rsidRPr="00FA4573">
                <w:rPr>
                  <w:rStyle w:val="Hyperlink"/>
                  <w:rFonts w:ascii="Calibri" w:hAnsi="Calibri" w:cs="Calibri"/>
                  <w:sz w:val="22"/>
                  <w:szCs w:val="22"/>
                  <w:lang w:val="en-US"/>
                </w:rPr>
                <w:t>SG2RGQ/122</w:t>
              </w:r>
            </w:hyperlink>
          </w:p>
        </w:tc>
        <w:tc>
          <w:tcPr>
            <w:tcW w:w="1276" w:type="dxa"/>
          </w:tcPr>
          <w:p w14:paraId="6035855E" w14:textId="77777777" w:rsidR="000B7E7B" w:rsidRPr="00FA4573" w:rsidRDefault="000B7E7B" w:rsidP="00857FB6">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2</w:t>
            </w:r>
          </w:p>
        </w:tc>
        <w:tc>
          <w:tcPr>
            <w:tcW w:w="3260" w:type="dxa"/>
          </w:tcPr>
          <w:p w14:paraId="004A4CE8"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 xml:space="preserve">The contribution discusses the adoption of ITU and ICNIRP Guidelines for setting limit values for human exposure to electromagnetic fields, which requires training and dissemination of ITU documentation to ensure that the national regulations </w:t>
            </w:r>
            <w:proofErr w:type="gramStart"/>
            <w:r w:rsidRPr="00FA4573">
              <w:rPr>
                <w:rFonts w:ascii="Calibri" w:hAnsi="Calibri" w:cs="Calibri"/>
                <w:bCs/>
                <w:sz w:val="22"/>
                <w:szCs w:val="22"/>
              </w:rPr>
              <w:t>are aligned</w:t>
            </w:r>
            <w:proofErr w:type="gramEnd"/>
            <w:r w:rsidRPr="00FA4573">
              <w:rPr>
                <w:rFonts w:ascii="Calibri" w:hAnsi="Calibri" w:cs="Calibri"/>
                <w:bCs/>
                <w:sz w:val="22"/>
                <w:szCs w:val="22"/>
              </w:rPr>
              <w:t xml:space="preserve"> with international standards.</w:t>
            </w:r>
          </w:p>
        </w:tc>
        <w:tc>
          <w:tcPr>
            <w:tcW w:w="3544" w:type="dxa"/>
          </w:tcPr>
          <w:p w14:paraId="3D750705" w14:textId="77777777" w:rsidR="000B7E7B" w:rsidRPr="00FA4573" w:rsidRDefault="000B7E7B" w:rsidP="00857FB6">
            <w:pPr>
              <w:spacing w:before="40" w:after="40"/>
              <w:rPr>
                <w:rFonts w:ascii="Calibri" w:hAnsi="Calibri" w:cs="Calibri"/>
                <w:bCs/>
                <w:sz w:val="22"/>
                <w:szCs w:val="22"/>
              </w:rPr>
            </w:pPr>
            <w:r w:rsidRPr="00FA4573">
              <w:rPr>
                <w:rFonts w:ascii="Calibri" w:hAnsi="Calibri" w:cs="Calibri"/>
                <w:bCs/>
                <w:sz w:val="22"/>
                <w:szCs w:val="22"/>
              </w:rPr>
              <w:t xml:space="preserve">"CONATEL adopts </w:t>
            </w:r>
            <w:r w:rsidRPr="00FA4573">
              <w:rPr>
                <w:rFonts w:ascii="Calibri" w:hAnsi="Calibri" w:cs="Calibri"/>
                <w:b/>
                <w:sz w:val="22"/>
                <w:szCs w:val="22"/>
              </w:rPr>
              <w:t>the international Telecommunication Union (ITU</w:t>
            </w:r>
            <w:r w:rsidRPr="00FA4573">
              <w:rPr>
                <w:rFonts w:ascii="Calibri" w:hAnsi="Calibri" w:cs="Calibri"/>
                <w:bCs/>
                <w:sz w:val="22"/>
                <w:szCs w:val="22"/>
              </w:rPr>
              <w:t xml:space="preserve">) and the International Commission on Non-Ionizing Radiation Protection (ICNIRP) </w:t>
            </w:r>
            <w:r w:rsidRPr="00FA4573">
              <w:rPr>
                <w:rFonts w:ascii="Calibri" w:hAnsi="Calibri" w:cs="Calibri"/>
                <w:b/>
                <w:sz w:val="22"/>
                <w:szCs w:val="22"/>
              </w:rPr>
              <w:t>recommendations</w:t>
            </w:r>
            <w:r w:rsidRPr="00FA4573">
              <w:rPr>
                <w:rFonts w:ascii="Calibri" w:hAnsi="Calibri" w:cs="Calibri"/>
                <w:bCs/>
                <w:sz w:val="22"/>
                <w:szCs w:val="22"/>
              </w:rPr>
              <w:t xml:space="preserve"> that are widely used in the world as the reference in this matter."</w:t>
            </w:r>
          </w:p>
          <w:p w14:paraId="4D9B2122" w14:textId="77777777" w:rsidR="000B7E7B" w:rsidRPr="00FA4573" w:rsidRDefault="000B7E7B" w:rsidP="00857FB6">
            <w:pPr>
              <w:spacing w:before="40" w:after="40"/>
              <w:rPr>
                <w:rFonts w:ascii="Calibri" w:hAnsi="Calibri" w:cs="Calibri"/>
                <w:bCs/>
                <w:sz w:val="22"/>
                <w:szCs w:val="22"/>
              </w:rPr>
            </w:pPr>
          </w:p>
        </w:tc>
      </w:tr>
    </w:tbl>
    <w:p w14:paraId="3346D317" w14:textId="77777777" w:rsidR="000B7E7B" w:rsidRPr="00FA4573" w:rsidRDefault="000B7E7B" w:rsidP="000B7E7B">
      <w:pPr>
        <w:ind w:right="-126"/>
        <w:rPr>
          <w:rFonts w:eastAsia="Malgun Gothic"/>
          <w:lang w:eastAsia="ko-KR"/>
        </w:rPr>
        <w:sectPr w:rsidR="000B7E7B" w:rsidRPr="00FA4573" w:rsidSect="00A63D1D">
          <w:headerReference w:type="default" r:id="rId179"/>
          <w:pgSz w:w="16840" w:h="11907" w:orient="landscape" w:code="9"/>
          <w:pgMar w:top="1134" w:right="1418" w:bottom="1134" w:left="900" w:header="720" w:footer="720" w:gutter="0"/>
          <w:cols w:space="720"/>
          <w:docGrid w:linePitch="326"/>
        </w:sectPr>
      </w:pPr>
    </w:p>
    <w:p w14:paraId="3F1CE45C" w14:textId="77777777" w:rsidR="000B7E7B" w:rsidRPr="00FA4573" w:rsidRDefault="000B7E7B" w:rsidP="000B7E7B">
      <w:pPr>
        <w:pStyle w:val="Heading1"/>
        <w:tabs>
          <w:tab w:val="left" w:pos="993"/>
        </w:tabs>
        <w:spacing w:before="120" w:after="120"/>
        <w:ind w:left="952" w:hanging="952"/>
      </w:pPr>
      <w:bookmarkStart w:id="10" w:name="_Hlk194776556"/>
      <w:bookmarkStart w:id="11" w:name="_Ref194915049"/>
      <w:r w:rsidRPr="00FA4573">
        <w:rPr>
          <w:rFonts w:eastAsia="Malgun Gothic" w:hint="eastAsia"/>
          <w:lang w:eastAsia="ko-KR"/>
        </w:rPr>
        <w:lastRenderedPageBreak/>
        <w:t xml:space="preserve">Annex 7: </w:t>
      </w:r>
      <w:r w:rsidRPr="00FA4573">
        <w:rPr>
          <w:rFonts w:hint="eastAsia"/>
        </w:rPr>
        <w:t>C</w:t>
      </w:r>
      <w:r w:rsidRPr="00FA4573">
        <w:t xml:space="preserve">ompilation table with the total numbers of </w:t>
      </w:r>
      <w:proofErr w:type="gramStart"/>
      <w:r w:rsidRPr="00FA4573">
        <w:t>possible topics</w:t>
      </w:r>
      <w:proofErr w:type="gramEnd"/>
      <w:r w:rsidRPr="00FA4573">
        <w:t xml:space="preserve"> of interest and related developing countries needs in the work of WTDC Resolution 9 (Rev. Kigali, 2022)</w:t>
      </w:r>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0"/>
        <w:gridCol w:w="1889"/>
      </w:tblGrid>
      <w:tr w:rsidR="000B7E7B" w:rsidRPr="00FA4573" w14:paraId="6CED036D" w14:textId="77777777" w:rsidTr="00857FB6">
        <w:trPr>
          <w:jc w:val="center"/>
        </w:trPr>
        <w:tc>
          <w:tcPr>
            <w:tcW w:w="7730" w:type="dxa"/>
            <w:tcMar>
              <w:top w:w="0" w:type="dxa"/>
              <w:left w:w="108" w:type="dxa"/>
              <w:bottom w:w="0" w:type="dxa"/>
              <w:right w:w="108" w:type="dxa"/>
            </w:tcMar>
            <w:vAlign w:val="center"/>
            <w:hideMark/>
          </w:tcPr>
          <w:p w14:paraId="52717071" w14:textId="77777777" w:rsidR="000B7E7B" w:rsidRPr="00FA4573" w:rsidRDefault="000B7E7B" w:rsidP="00857FB6">
            <w:pPr>
              <w:pStyle w:val="NormalWeb"/>
              <w:spacing w:before="40" w:beforeAutospacing="0" w:after="40" w:afterAutospacing="0"/>
              <w:rPr>
                <w:rFonts w:asciiTheme="minorHAnsi" w:hAnsiTheme="minorHAnsi" w:cstheme="minorHAnsi"/>
                <w:color w:val="201F1E"/>
                <w:sz w:val="22"/>
                <w:szCs w:val="22"/>
              </w:rPr>
            </w:pPr>
            <w:r w:rsidRPr="00FA4573">
              <w:rPr>
                <w:rFonts w:asciiTheme="minorHAnsi" w:hAnsiTheme="minorHAnsi" w:cstheme="minorHAnsi"/>
                <w:b/>
                <w:bCs/>
                <w:color w:val="201F1E"/>
                <w:sz w:val="22"/>
                <w:szCs w:val="22"/>
                <w:bdr w:val="none" w:sz="0" w:space="0" w:color="auto" w:frame="1"/>
              </w:rPr>
              <w:t>Topic</w:t>
            </w:r>
          </w:p>
        </w:tc>
        <w:tc>
          <w:tcPr>
            <w:tcW w:w="1889" w:type="dxa"/>
            <w:tcMar>
              <w:top w:w="0" w:type="dxa"/>
              <w:left w:w="108" w:type="dxa"/>
              <w:bottom w:w="0" w:type="dxa"/>
              <w:right w:w="108" w:type="dxa"/>
            </w:tcMar>
            <w:hideMark/>
          </w:tcPr>
          <w:p w14:paraId="64F382C7"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r w:rsidRPr="00FA4573">
              <w:rPr>
                <w:rFonts w:asciiTheme="minorHAnsi" w:hAnsiTheme="minorHAnsi" w:cstheme="minorHAnsi"/>
                <w:b/>
                <w:bCs/>
                <w:color w:val="201F1E"/>
                <w:sz w:val="22"/>
                <w:szCs w:val="22"/>
                <w:bdr w:val="none" w:sz="0" w:space="0" w:color="auto" w:frame="1"/>
              </w:rPr>
              <w:t>Number of related contributions</w:t>
            </w:r>
          </w:p>
        </w:tc>
      </w:tr>
      <w:tr w:rsidR="000B7E7B" w:rsidRPr="00FA4573" w14:paraId="5A2FA96A" w14:textId="77777777" w:rsidTr="00857FB6">
        <w:trPr>
          <w:jc w:val="center"/>
        </w:trPr>
        <w:tc>
          <w:tcPr>
            <w:tcW w:w="7730" w:type="dxa"/>
            <w:tcMar>
              <w:top w:w="0" w:type="dxa"/>
              <w:left w:w="108" w:type="dxa"/>
              <w:bottom w:w="0" w:type="dxa"/>
              <w:right w:w="108" w:type="dxa"/>
            </w:tcMar>
            <w:hideMark/>
          </w:tcPr>
          <w:p w14:paraId="5BA96575"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 xml:space="preserve">Assistance in raising the awareness of national </w:t>
            </w:r>
            <w:proofErr w:type="gramStart"/>
            <w:r w:rsidRPr="00FA4573">
              <w:rPr>
                <w:rFonts w:asciiTheme="minorHAnsi" w:hAnsiTheme="minorHAnsi" w:cstheme="minorHAnsi"/>
                <w:color w:val="000000"/>
                <w:sz w:val="22"/>
                <w:szCs w:val="22"/>
                <w:bdr w:val="none" w:sz="0" w:space="0" w:color="auto" w:frame="1"/>
              </w:rPr>
              <w:t>policy-makers</w:t>
            </w:r>
            <w:proofErr w:type="gramEnd"/>
            <w:r w:rsidRPr="00FA4573">
              <w:rPr>
                <w:rFonts w:asciiTheme="minorHAnsi" w:hAnsiTheme="minorHAnsi" w:cstheme="minorHAnsi"/>
                <w:color w:val="000000"/>
                <w:sz w:val="22"/>
                <w:szCs w:val="22"/>
                <w:bdr w:val="none" w:sz="0" w:space="0" w:color="auto" w:frame="1"/>
              </w:rPr>
              <w:t xml:space="preserve"> as to the importance of effective spectrum management for a country's economic and social development</w:t>
            </w:r>
          </w:p>
        </w:tc>
        <w:tc>
          <w:tcPr>
            <w:tcW w:w="1889" w:type="dxa"/>
            <w:tcMar>
              <w:top w:w="0" w:type="dxa"/>
              <w:left w:w="108" w:type="dxa"/>
              <w:bottom w:w="0" w:type="dxa"/>
              <w:right w:w="108" w:type="dxa"/>
            </w:tcMar>
            <w:hideMark/>
          </w:tcPr>
          <w:p w14:paraId="0CA612E6"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5</w:t>
            </w:r>
          </w:p>
        </w:tc>
      </w:tr>
      <w:tr w:rsidR="000B7E7B" w:rsidRPr="00FA4573" w14:paraId="74ED7579" w14:textId="77777777" w:rsidTr="00857FB6">
        <w:trPr>
          <w:trHeight w:val="451"/>
          <w:jc w:val="center"/>
        </w:trPr>
        <w:tc>
          <w:tcPr>
            <w:tcW w:w="7730" w:type="dxa"/>
            <w:tcMar>
              <w:top w:w="0" w:type="dxa"/>
              <w:left w:w="108" w:type="dxa"/>
              <w:bottom w:w="0" w:type="dxa"/>
              <w:right w:w="108" w:type="dxa"/>
            </w:tcMar>
            <w:hideMark/>
          </w:tcPr>
          <w:p w14:paraId="7183399F"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Training and dissemination of available ITU documentation</w:t>
            </w:r>
          </w:p>
        </w:tc>
        <w:tc>
          <w:tcPr>
            <w:tcW w:w="1889" w:type="dxa"/>
            <w:tcMar>
              <w:top w:w="0" w:type="dxa"/>
              <w:left w:w="108" w:type="dxa"/>
              <w:bottom w:w="0" w:type="dxa"/>
              <w:right w:w="108" w:type="dxa"/>
            </w:tcMar>
            <w:hideMark/>
          </w:tcPr>
          <w:p w14:paraId="52467B1A"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2</w:t>
            </w:r>
          </w:p>
        </w:tc>
      </w:tr>
      <w:tr w:rsidR="000B7E7B" w:rsidRPr="00FA4573" w14:paraId="2BC83E3C" w14:textId="77777777" w:rsidTr="00857FB6">
        <w:trPr>
          <w:jc w:val="center"/>
        </w:trPr>
        <w:tc>
          <w:tcPr>
            <w:tcW w:w="7730" w:type="dxa"/>
            <w:tcMar>
              <w:top w:w="0" w:type="dxa"/>
              <w:left w:w="108" w:type="dxa"/>
              <w:bottom w:w="0" w:type="dxa"/>
              <w:right w:w="108" w:type="dxa"/>
            </w:tcMar>
            <w:hideMark/>
          </w:tcPr>
          <w:p w14:paraId="54C0ABC6"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developing methodologies for establishing national tables of frequency allocations and spectrum redeployment</w:t>
            </w:r>
          </w:p>
        </w:tc>
        <w:tc>
          <w:tcPr>
            <w:tcW w:w="1889" w:type="dxa"/>
            <w:tcMar>
              <w:top w:w="0" w:type="dxa"/>
              <w:left w:w="108" w:type="dxa"/>
              <w:bottom w:w="0" w:type="dxa"/>
              <w:right w:w="108" w:type="dxa"/>
            </w:tcMar>
            <w:hideMark/>
          </w:tcPr>
          <w:p w14:paraId="7E8ABED7"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0A21AEBA" w14:textId="77777777" w:rsidTr="00857FB6">
        <w:trPr>
          <w:jc w:val="center"/>
        </w:trPr>
        <w:tc>
          <w:tcPr>
            <w:tcW w:w="7730" w:type="dxa"/>
            <w:tcMar>
              <w:top w:w="0" w:type="dxa"/>
              <w:left w:w="108" w:type="dxa"/>
              <w:bottom w:w="0" w:type="dxa"/>
              <w:right w:w="108" w:type="dxa"/>
            </w:tcMar>
            <w:hideMark/>
          </w:tcPr>
          <w:p w14:paraId="3C084EA7"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setting up computerized frequency management and monitoring systems</w:t>
            </w:r>
          </w:p>
        </w:tc>
        <w:tc>
          <w:tcPr>
            <w:tcW w:w="1889" w:type="dxa"/>
            <w:tcMar>
              <w:top w:w="0" w:type="dxa"/>
              <w:left w:w="108" w:type="dxa"/>
              <w:bottom w:w="0" w:type="dxa"/>
              <w:right w:w="108" w:type="dxa"/>
            </w:tcMar>
            <w:hideMark/>
          </w:tcPr>
          <w:p w14:paraId="25BE21C1"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0DC4139F" w14:textId="77777777" w:rsidTr="00857FB6">
        <w:trPr>
          <w:jc w:val="center"/>
        </w:trPr>
        <w:tc>
          <w:tcPr>
            <w:tcW w:w="7730" w:type="dxa"/>
            <w:tcMar>
              <w:top w:w="0" w:type="dxa"/>
              <w:left w:w="108" w:type="dxa"/>
              <w:bottom w:w="0" w:type="dxa"/>
              <w:right w:w="108" w:type="dxa"/>
            </w:tcMar>
            <w:hideMark/>
          </w:tcPr>
          <w:p w14:paraId="4938BF3B"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Economic and financial aspects of spectrum management</w:t>
            </w:r>
          </w:p>
        </w:tc>
        <w:tc>
          <w:tcPr>
            <w:tcW w:w="1889" w:type="dxa"/>
            <w:tcMar>
              <w:top w:w="0" w:type="dxa"/>
              <w:left w:w="108" w:type="dxa"/>
              <w:bottom w:w="0" w:type="dxa"/>
              <w:right w:w="108" w:type="dxa"/>
            </w:tcMar>
            <w:hideMark/>
          </w:tcPr>
          <w:p w14:paraId="210D13FA"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0066A860" w14:textId="77777777" w:rsidTr="00857FB6">
        <w:trPr>
          <w:jc w:val="center"/>
        </w:trPr>
        <w:tc>
          <w:tcPr>
            <w:tcW w:w="7730" w:type="dxa"/>
            <w:tcMar>
              <w:top w:w="0" w:type="dxa"/>
              <w:left w:w="108" w:type="dxa"/>
              <w:bottom w:w="0" w:type="dxa"/>
              <w:right w:w="108" w:type="dxa"/>
            </w:tcMar>
            <w:hideMark/>
          </w:tcPr>
          <w:p w14:paraId="36317E46"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with preparations for world radiocommunication conferences (WRC) and with follow-up and implementation of WRC decisions</w:t>
            </w:r>
          </w:p>
        </w:tc>
        <w:tc>
          <w:tcPr>
            <w:tcW w:w="1889" w:type="dxa"/>
            <w:tcMar>
              <w:top w:w="0" w:type="dxa"/>
              <w:left w:w="108" w:type="dxa"/>
              <w:bottom w:w="0" w:type="dxa"/>
              <w:right w:w="108" w:type="dxa"/>
            </w:tcMar>
            <w:hideMark/>
          </w:tcPr>
          <w:p w14:paraId="23C61029"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4605CBEB" w14:textId="77777777" w:rsidTr="00857FB6">
        <w:trPr>
          <w:jc w:val="center"/>
        </w:trPr>
        <w:tc>
          <w:tcPr>
            <w:tcW w:w="7730" w:type="dxa"/>
            <w:tcMar>
              <w:top w:w="0" w:type="dxa"/>
              <w:left w:w="108" w:type="dxa"/>
              <w:bottom w:w="0" w:type="dxa"/>
              <w:right w:w="108" w:type="dxa"/>
            </w:tcMar>
            <w:hideMark/>
          </w:tcPr>
          <w:p w14:paraId="7D56162E"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with participation in the work of the relevant ITU-R study groups and their working parties</w:t>
            </w:r>
          </w:p>
        </w:tc>
        <w:tc>
          <w:tcPr>
            <w:tcW w:w="1889" w:type="dxa"/>
            <w:tcMar>
              <w:top w:w="0" w:type="dxa"/>
              <w:left w:w="108" w:type="dxa"/>
              <w:bottom w:w="0" w:type="dxa"/>
              <w:right w:w="108" w:type="dxa"/>
            </w:tcMar>
            <w:hideMark/>
          </w:tcPr>
          <w:p w14:paraId="6A9DE276"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488A20A8" w14:textId="77777777" w:rsidTr="00857FB6">
        <w:trPr>
          <w:jc w:val="center"/>
        </w:trPr>
        <w:tc>
          <w:tcPr>
            <w:tcW w:w="7730" w:type="dxa"/>
            <w:tcMar>
              <w:top w:w="0" w:type="dxa"/>
              <w:left w:w="108" w:type="dxa"/>
              <w:bottom w:w="0" w:type="dxa"/>
              <w:right w:w="108" w:type="dxa"/>
            </w:tcMar>
            <w:hideMark/>
          </w:tcPr>
          <w:p w14:paraId="676CC44B"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Transition to digital terrestrial television broadcasting</w:t>
            </w:r>
          </w:p>
        </w:tc>
        <w:tc>
          <w:tcPr>
            <w:tcW w:w="1889" w:type="dxa"/>
            <w:tcMar>
              <w:top w:w="0" w:type="dxa"/>
              <w:left w:w="108" w:type="dxa"/>
              <w:bottom w:w="0" w:type="dxa"/>
              <w:right w:w="108" w:type="dxa"/>
            </w:tcMar>
            <w:hideMark/>
          </w:tcPr>
          <w:p w14:paraId="52B36DDA"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4930D0DF" w14:textId="77777777" w:rsidTr="00857FB6">
        <w:trPr>
          <w:jc w:val="center"/>
        </w:trPr>
        <w:tc>
          <w:tcPr>
            <w:tcW w:w="7730" w:type="dxa"/>
            <w:tcMar>
              <w:top w:w="0" w:type="dxa"/>
              <w:left w:w="108" w:type="dxa"/>
              <w:bottom w:w="0" w:type="dxa"/>
              <w:right w:w="108" w:type="dxa"/>
            </w:tcMar>
            <w:hideMark/>
          </w:tcPr>
          <w:p w14:paraId="7613AC69"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identifying the most efficient ways to utilize the digital dividend</w:t>
            </w:r>
          </w:p>
        </w:tc>
        <w:tc>
          <w:tcPr>
            <w:tcW w:w="1889" w:type="dxa"/>
            <w:tcMar>
              <w:top w:w="0" w:type="dxa"/>
              <w:left w:w="108" w:type="dxa"/>
              <w:bottom w:w="0" w:type="dxa"/>
              <w:right w:w="108" w:type="dxa"/>
            </w:tcMar>
            <w:hideMark/>
          </w:tcPr>
          <w:p w14:paraId="6BCA411C"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0280F693" w14:textId="77777777" w:rsidTr="00857FB6">
        <w:trPr>
          <w:jc w:val="center"/>
        </w:trPr>
        <w:tc>
          <w:tcPr>
            <w:tcW w:w="7730" w:type="dxa"/>
            <w:tcMar>
              <w:top w:w="0" w:type="dxa"/>
              <w:left w:w="108" w:type="dxa"/>
              <w:bottom w:w="0" w:type="dxa"/>
              <w:right w:w="108" w:type="dxa"/>
            </w:tcMar>
            <w:hideMark/>
          </w:tcPr>
          <w:p w14:paraId="70C9E508"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Emerging technologies and approaches in using spectrum</w:t>
            </w:r>
          </w:p>
        </w:tc>
        <w:tc>
          <w:tcPr>
            <w:tcW w:w="1889" w:type="dxa"/>
            <w:tcMar>
              <w:top w:w="0" w:type="dxa"/>
              <w:left w:w="108" w:type="dxa"/>
              <w:bottom w:w="0" w:type="dxa"/>
              <w:right w:w="108" w:type="dxa"/>
            </w:tcMar>
            <w:hideMark/>
          </w:tcPr>
          <w:p w14:paraId="0C6464F0"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4</w:t>
            </w:r>
          </w:p>
        </w:tc>
      </w:tr>
      <w:tr w:rsidR="000B7E7B" w:rsidRPr="00FA4573" w14:paraId="23934607" w14:textId="77777777" w:rsidTr="00857FB6">
        <w:trPr>
          <w:jc w:val="center"/>
        </w:trPr>
        <w:tc>
          <w:tcPr>
            <w:tcW w:w="7730" w:type="dxa"/>
            <w:tcMar>
              <w:top w:w="0" w:type="dxa"/>
              <w:left w:w="108" w:type="dxa"/>
              <w:bottom w:w="0" w:type="dxa"/>
              <w:right w:w="108" w:type="dxa"/>
            </w:tcMar>
            <w:hideMark/>
          </w:tcPr>
          <w:p w14:paraId="28801F66"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Innovative ways of spectrum licensing</w:t>
            </w:r>
          </w:p>
        </w:tc>
        <w:tc>
          <w:tcPr>
            <w:tcW w:w="1889" w:type="dxa"/>
            <w:tcMar>
              <w:top w:w="0" w:type="dxa"/>
              <w:left w:w="108" w:type="dxa"/>
              <w:bottom w:w="0" w:type="dxa"/>
              <w:right w:w="108" w:type="dxa"/>
            </w:tcMar>
            <w:hideMark/>
          </w:tcPr>
          <w:p w14:paraId="56415629"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076B246B" w14:textId="77777777" w:rsidTr="00857FB6">
        <w:trPr>
          <w:jc w:val="center"/>
        </w:trPr>
        <w:tc>
          <w:tcPr>
            <w:tcW w:w="7730" w:type="dxa"/>
            <w:tcMar>
              <w:top w:w="0" w:type="dxa"/>
              <w:left w:w="108" w:type="dxa"/>
              <w:bottom w:w="0" w:type="dxa"/>
              <w:right w:w="108" w:type="dxa"/>
            </w:tcMar>
            <w:hideMark/>
          </w:tcPr>
          <w:p w14:paraId="63F239EE"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with interference caused by devices in derogation of national spectrum allocations</w:t>
            </w:r>
          </w:p>
        </w:tc>
        <w:tc>
          <w:tcPr>
            <w:tcW w:w="1889" w:type="dxa"/>
            <w:tcMar>
              <w:top w:w="0" w:type="dxa"/>
              <w:left w:w="108" w:type="dxa"/>
              <w:bottom w:w="0" w:type="dxa"/>
              <w:right w:w="108" w:type="dxa"/>
            </w:tcMar>
            <w:hideMark/>
          </w:tcPr>
          <w:p w14:paraId="5EA552ED"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4245C9C2" w14:textId="77777777" w:rsidTr="00857FB6">
        <w:trPr>
          <w:jc w:val="center"/>
        </w:trPr>
        <w:tc>
          <w:tcPr>
            <w:tcW w:w="7730" w:type="dxa"/>
            <w:tcMar>
              <w:top w:w="0" w:type="dxa"/>
              <w:left w:w="108" w:type="dxa"/>
              <w:bottom w:w="0" w:type="dxa"/>
              <w:right w:w="108" w:type="dxa"/>
            </w:tcMar>
            <w:hideMark/>
          </w:tcPr>
          <w:p w14:paraId="3460D9F0" w14:textId="77777777" w:rsidR="000B7E7B" w:rsidRPr="00FA4573" w:rsidRDefault="000B7E7B" w:rsidP="000B7E7B">
            <w:pPr>
              <w:pStyle w:val="NormalWeb"/>
              <w:numPr>
                <w:ilvl w:val="0"/>
                <w:numId w:val="36"/>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resolving seasonal interference caused by anomalous propagation of radiowaves</w:t>
            </w:r>
          </w:p>
        </w:tc>
        <w:tc>
          <w:tcPr>
            <w:tcW w:w="1889" w:type="dxa"/>
            <w:tcMar>
              <w:top w:w="0" w:type="dxa"/>
              <w:left w:w="108" w:type="dxa"/>
              <w:bottom w:w="0" w:type="dxa"/>
              <w:right w:w="108" w:type="dxa"/>
            </w:tcMar>
            <w:hideMark/>
          </w:tcPr>
          <w:p w14:paraId="0295A774"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rPr>
            </w:pPr>
          </w:p>
        </w:tc>
      </w:tr>
      <w:tr w:rsidR="000B7E7B" w:rsidRPr="00FA4573" w14:paraId="60101FB8" w14:textId="77777777" w:rsidTr="00857FB6">
        <w:trPr>
          <w:jc w:val="center"/>
        </w:trPr>
        <w:tc>
          <w:tcPr>
            <w:tcW w:w="7730" w:type="dxa"/>
            <w:tcMar>
              <w:top w:w="0" w:type="dxa"/>
              <w:left w:w="108" w:type="dxa"/>
              <w:bottom w:w="0" w:type="dxa"/>
              <w:right w:w="108" w:type="dxa"/>
            </w:tcMar>
            <w:hideMark/>
          </w:tcPr>
          <w:p w14:paraId="0A59EF4C" w14:textId="77777777" w:rsidR="000B7E7B" w:rsidRPr="00FA4573" w:rsidRDefault="000B7E7B" w:rsidP="00857FB6">
            <w:pPr>
              <w:pStyle w:val="NormalWeb"/>
              <w:spacing w:before="40" w:beforeAutospacing="0" w:after="40" w:afterAutospacing="0"/>
              <w:rPr>
                <w:rFonts w:asciiTheme="minorHAnsi" w:hAnsiTheme="minorHAnsi" w:cstheme="minorHAnsi"/>
                <w:b/>
                <w:color w:val="201F1E"/>
                <w:sz w:val="22"/>
                <w:szCs w:val="22"/>
              </w:rPr>
            </w:pPr>
            <w:r w:rsidRPr="00FA4573">
              <w:rPr>
                <w:rFonts w:asciiTheme="minorHAnsi" w:hAnsiTheme="minorHAnsi" w:cstheme="minorHAnsi"/>
                <w:b/>
                <w:color w:val="201F1E"/>
                <w:sz w:val="22"/>
                <w:szCs w:val="22"/>
                <w:bdr w:val="none" w:sz="0" w:space="0" w:color="auto" w:frame="1"/>
              </w:rPr>
              <w:t>Total</w:t>
            </w:r>
          </w:p>
        </w:tc>
        <w:tc>
          <w:tcPr>
            <w:tcW w:w="1889" w:type="dxa"/>
            <w:tcMar>
              <w:top w:w="0" w:type="dxa"/>
              <w:left w:w="108" w:type="dxa"/>
              <w:bottom w:w="0" w:type="dxa"/>
              <w:right w:w="108" w:type="dxa"/>
            </w:tcMar>
            <w:hideMark/>
          </w:tcPr>
          <w:p w14:paraId="373DFC98" w14:textId="77777777" w:rsidR="000B7E7B" w:rsidRPr="00FA4573" w:rsidRDefault="000B7E7B" w:rsidP="00857FB6">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11</w:t>
            </w:r>
          </w:p>
        </w:tc>
      </w:tr>
    </w:tbl>
    <w:p w14:paraId="42071CDE" w14:textId="77777777" w:rsidR="00A023EF" w:rsidRPr="000B7E7B" w:rsidRDefault="00A023EF" w:rsidP="00A023EF">
      <w:pPr>
        <w:rPr>
          <w:lang w:val="en-US"/>
        </w:rPr>
      </w:pPr>
    </w:p>
    <w:sectPr w:rsidR="00A023EF" w:rsidRPr="000B7E7B" w:rsidSect="0039169B">
      <w:headerReference w:type="default" r:id="rId180"/>
      <w:footerReference w:type="even" r:id="rId181"/>
      <w:footerReference w:type="first" r:id="rId182"/>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C002" w14:textId="77777777" w:rsidR="000B7E7B" w:rsidRDefault="000B7E7B">
      <w:r>
        <w:separator/>
      </w:r>
    </w:p>
  </w:endnote>
  <w:endnote w:type="continuationSeparator" w:id="0">
    <w:p w14:paraId="2657B4BB" w14:textId="77777777" w:rsidR="000B7E7B" w:rsidRDefault="000B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524"/>
      <w:gridCol w:w="5873"/>
    </w:tblGrid>
    <w:tr w:rsidR="000B7E7B" w:rsidRPr="0065683A" w14:paraId="2E1B7693" w14:textId="77777777" w:rsidTr="00A80D8E">
      <w:tc>
        <w:tcPr>
          <w:tcW w:w="1526" w:type="dxa"/>
          <w:tcBorders>
            <w:top w:val="single" w:sz="4" w:space="0" w:color="000000"/>
          </w:tcBorders>
        </w:tcPr>
        <w:p w14:paraId="2E085976" w14:textId="77777777" w:rsidR="000B7E7B" w:rsidRPr="00E53534" w:rsidRDefault="000B7E7B" w:rsidP="00E53534">
          <w:pPr>
            <w:pStyle w:val="FirstFooter"/>
            <w:tabs>
              <w:tab w:val="left" w:pos="1559"/>
              <w:tab w:val="left" w:pos="3828"/>
            </w:tabs>
            <w:rPr>
              <w:sz w:val="18"/>
              <w:szCs w:val="18"/>
            </w:rPr>
          </w:pPr>
          <w:r w:rsidRPr="00E53534">
            <w:rPr>
              <w:sz w:val="18"/>
              <w:szCs w:val="18"/>
              <w:lang w:val="en-US"/>
            </w:rPr>
            <w:t>Contact</w:t>
          </w:r>
          <w:r>
            <w:rPr>
              <w:sz w:val="18"/>
              <w:szCs w:val="18"/>
              <w:lang w:val="en-US"/>
            </w:rPr>
            <w:t>o</w:t>
          </w:r>
          <w:r w:rsidRPr="00E53534">
            <w:rPr>
              <w:sz w:val="18"/>
              <w:szCs w:val="18"/>
              <w:lang w:val="en-US"/>
            </w:rPr>
            <w:t>:</w:t>
          </w:r>
        </w:p>
      </w:tc>
      <w:tc>
        <w:tcPr>
          <w:tcW w:w="2524" w:type="dxa"/>
          <w:tcBorders>
            <w:top w:val="single" w:sz="4" w:space="0" w:color="000000"/>
          </w:tcBorders>
        </w:tcPr>
        <w:p w14:paraId="115CCC2D" w14:textId="77777777" w:rsidR="000B7E7B" w:rsidRPr="00E53534" w:rsidRDefault="000B7E7B" w:rsidP="00E53534">
          <w:pPr>
            <w:pStyle w:val="FirstFooter"/>
            <w:tabs>
              <w:tab w:val="left" w:pos="2302"/>
            </w:tabs>
            <w:ind w:left="2302" w:hanging="2302"/>
            <w:rPr>
              <w:sz w:val="18"/>
              <w:szCs w:val="18"/>
              <w:lang w:val="en-US"/>
            </w:rPr>
          </w:pPr>
          <w:r>
            <w:rPr>
              <w:sz w:val="18"/>
              <w:szCs w:val="18"/>
              <w:lang w:val="en-US"/>
            </w:rPr>
            <w:t>Nombre/Organización/Entidad:</w:t>
          </w:r>
        </w:p>
      </w:tc>
      <w:tc>
        <w:tcPr>
          <w:tcW w:w="5873" w:type="dxa"/>
          <w:tcBorders>
            <w:top w:val="single" w:sz="4" w:space="0" w:color="000000"/>
          </w:tcBorders>
        </w:tcPr>
        <w:p w14:paraId="301198B0" w14:textId="77777777" w:rsidR="000B7E7B" w:rsidRPr="00A80D8E" w:rsidRDefault="000B7E7B" w:rsidP="00E53534">
          <w:pPr>
            <w:pStyle w:val="FirstFooter"/>
            <w:tabs>
              <w:tab w:val="left" w:pos="2302"/>
            </w:tabs>
            <w:ind w:left="2302" w:hanging="2302"/>
            <w:rPr>
              <w:sz w:val="18"/>
              <w:szCs w:val="18"/>
              <w:highlight w:val="yellow"/>
              <w:lang w:val="es-ES"/>
            </w:rPr>
          </w:pPr>
          <w:r w:rsidRPr="00A80D8E">
            <w:rPr>
              <w:sz w:val="18"/>
              <w:szCs w:val="18"/>
              <w:lang w:val="es-ES"/>
            </w:rPr>
            <w:t xml:space="preserve">Sr. Fadel Digham, </w:t>
          </w:r>
          <w:proofErr w:type="gramStart"/>
          <w:r w:rsidRPr="00A80D8E">
            <w:rPr>
              <w:sz w:val="18"/>
              <w:szCs w:val="18"/>
              <w:lang w:val="es-ES"/>
            </w:rPr>
            <w:t>Presidente</w:t>
          </w:r>
          <w:proofErr w:type="gramEnd"/>
          <w:r w:rsidRPr="00A80D8E">
            <w:rPr>
              <w:sz w:val="18"/>
              <w:szCs w:val="18"/>
              <w:lang w:val="es-ES"/>
            </w:rPr>
            <w:t xml:space="preserve"> de la</w:t>
          </w:r>
          <w:r>
            <w:rPr>
              <w:sz w:val="18"/>
              <w:szCs w:val="18"/>
              <w:lang w:val="es-ES"/>
            </w:rPr>
            <w:t xml:space="preserve"> Comisión de Estudio 2 del UIT-D</w:t>
          </w:r>
        </w:p>
      </w:tc>
    </w:tr>
    <w:tr w:rsidR="000B7E7B" w:rsidRPr="004D495C" w14:paraId="3C1BFAA6" w14:textId="77777777" w:rsidTr="00A80D8E">
      <w:tc>
        <w:tcPr>
          <w:tcW w:w="1526" w:type="dxa"/>
        </w:tcPr>
        <w:p w14:paraId="6EA0A8AF" w14:textId="77777777" w:rsidR="000B7E7B" w:rsidRPr="00A80D8E" w:rsidRDefault="000B7E7B" w:rsidP="00E53534">
          <w:pPr>
            <w:pStyle w:val="FirstFooter"/>
            <w:tabs>
              <w:tab w:val="left" w:pos="1559"/>
              <w:tab w:val="left" w:pos="3828"/>
            </w:tabs>
            <w:rPr>
              <w:sz w:val="18"/>
              <w:szCs w:val="18"/>
              <w:lang w:val="es-ES"/>
            </w:rPr>
          </w:pPr>
        </w:p>
      </w:tc>
      <w:tc>
        <w:tcPr>
          <w:tcW w:w="2524" w:type="dxa"/>
        </w:tcPr>
        <w:p w14:paraId="24744620" w14:textId="77777777" w:rsidR="000B7E7B" w:rsidRPr="00E53534" w:rsidRDefault="000B7E7B" w:rsidP="00E53534">
          <w:pPr>
            <w:pStyle w:val="FirstFooter"/>
            <w:tabs>
              <w:tab w:val="left" w:pos="2302"/>
            </w:tabs>
            <w:rPr>
              <w:sz w:val="18"/>
              <w:szCs w:val="18"/>
              <w:lang w:val="en-US"/>
            </w:rPr>
          </w:pPr>
          <w:r>
            <w:rPr>
              <w:sz w:val="18"/>
              <w:szCs w:val="18"/>
              <w:lang w:val="en-US"/>
            </w:rPr>
            <w:t>Teléfono:</w:t>
          </w:r>
        </w:p>
      </w:tc>
      <w:tc>
        <w:tcPr>
          <w:tcW w:w="5873" w:type="dxa"/>
        </w:tcPr>
        <w:p w14:paraId="1BB2F98B" w14:textId="77777777" w:rsidR="000B7E7B" w:rsidRPr="00E53534" w:rsidRDefault="000B7E7B" w:rsidP="00E53534">
          <w:pPr>
            <w:pStyle w:val="FirstFooter"/>
            <w:tabs>
              <w:tab w:val="left" w:pos="2302"/>
            </w:tabs>
            <w:rPr>
              <w:sz w:val="18"/>
              <w:szCs w:val="18"/>
              <w:highlight w:val="yellow"/>
              <w:lang w:val="en-US"/>
            </w:rPr>
          </w:pPr>
          <w:r w:rsidRPr="00E53534">
            <w:rPr>
              <w:bCs/>
              <w:sz w:val="18"/>
              <w:szCs w:val="18"/>
            </w:rPr>
            <w:t>+20 100225 8599</w:t>
          </w:r>
        </w:p>
      </w:tc>
    </w:tr>
    <w:tr w:rsidR="000B7E7B" w:rsidRPr="004D495C" w14:paraId="1C1BF09F" w14:textId="77777777" w:rsidTr="00A80D8E">
      <w:tc>
        <w:tcPr>
          <w:tcW w:w="1526" w:type="dxa"/>
        </w:tcPr>
        <w:p w14:paraId="186B9224" w14:textId="77777777" w:rsidR="000B7E7B" w:rsidRPr="00E53534" w:rsidRDefault="000B7E7B" w:rsidP="00E53534">
          <w:pPr>
            <w:pStyle w:val="FirstFooter"/>
            <w:tabs>
              <w:tab w:val="left" w:pos="1559"/>
              <w:tab w:val="left" w:pos="3828"/>
            </w:tabs>
            <w:rPr>
              <w:sz w:val="18"/>
              <w:szCs w:val="18"/>
              <w:lang w:val="en-US"/>
            </w:rPr>
          </w:pPr>
        </w:p>
      </w:tc>
      <w:tc>
        <w:tcPr>
          <w:tcW w:w="2524" w:type="dxa"/>
        </w:tcPr>
        <w:p w14:paraId="71D22EC4" w14:textId="77777777" w:rsidR="000B7E7B" w:rsidRPr="00E53534" w:rsidRDefault="000B7E7B" w:rsidP="00E53534">
          <w:pPr>
            <w:pStyle w:val="FirstFooter"/>
            <w:tabs>
              <w:tab w:val="left" w:pos="2302"/>
            </w:tabs>
            <w:rPr>
              <w:sz w:val="18"/>
              <w:szCs w:val="18"/>
              <w:lang w:val="en-US"/>
            </w:rPr>
          </w:pPr>
          <w:r>
            <w:rPr>
              <w:sz w:val="18"/>
              <w:szCs w:val="18"/>
              <w:lang w:val="en-US"/>
            </w:rPr>
            <w:t>Correo-e:</w:t>
          </w:r>
        </w:p>
      </w:tc>
      <w:tc>
        <w:tcPr>
          <w:tcW w:w="5873" w:type="dxa"/>
        </w:tcPr>
        <w:p w14:paraId="2758FE2E" w14:textId="77777777" w:rsidR="000B7E7B" w:rsidRPr="00E53534" w:rsidRDefault="00895CEE" w:rsidP="00E53534">
          <w:pPr>
            <w:pStyle w:val="FirstFooter"/>
            <w:tabs>
              <w:tab w:val="left" w:pos="2302"/>
            </w:tabs>
            <w:rPr>
              <w:sz w:val="18"/>
              <w:szCs w:val="18"/>
              <w:highlight w:val="yellow"/>
              <w:lang w:val="en-US"/>
            </w:rPr>
          </w:pPr>
          <w:hyperlink r:id="rId1" w:history="1">
            <w:r w:rsidR="000B7E7B" w:rsidRPr="00E53534">
              <w:rPr>
                <w:rStyle w:val="Hyperlink"/>
                <w:sz w:val="18"/>
                <w:szCs w:val="18"/>
                <w:lang w:val="en-US"/>
              </w:rPr>
              <w:t>fdigham@tra.gov.eg</w:t>
            </w:r>
          </w:hyperlink>
          <w:r w:rsidR="000B7E7B" w:rsidRPr="00E53534">
            <w:rPr>
              <w:sz w:val="18"/>
              <w:szCs w:val="18"/>
              <w:lang w:val="en-US"/>
            </w:rPr>
            <w:t xml:space="preserve">; </w:t>
          </w:r>
          <w:hyperlink r:id="rId2" w:history="1">
            <w:r w:rsidR="000B7E7B" w:rsidRPr="00E53534">
              <w:rPr>
                <w:rStyle w:val="Hyperlink"/>
                <w:sz w:val="18"/>
                <w:szCs w:val="18"/>
                <w:lang w:val="en-US"/>
              </w:rPr>
              <w:t>fadel.digham@gmail.com</w:t>
            </w:r>
          </w:hyperlink>
        </w:p>
      </w:tc>
    </w:tr>
  </w:tbl>
  <w:p w14:paraId="76EAC94B" w14:textId="77777777" w:rsidR="000B7E7B" w:rsidRDefault="00895CEE" w:rsidP="00861398">
    <w:pPr>
      <w:jc w:val="center"/>
    </w:pPr>
    <w:hyperlink r:id="rId3" w:anchor="/es" w:history="1">
      <w:r w:rsidR="000B7E7B">
        <w:rPr>
          <w:rStyle w:val="Hyperlink"/>
          <w:sz w:val="20"/>
        </w:rPr>
        <w:t>CMDT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9C52" w14:textId="77777777" w:rsidR="000B7E7B" w:rsidRDefault="000B7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9453" w14:textId="77777777" w:rsidR="00E45D05" w:rsidRDefault="00E45D05">
    <w:pPr>
      <w:framePr w:wrap="around" w:vAnchor="text" w:hAnchor="margin" w:xAlign="right" w:y="1"/>
    </w:pPr>
    <w:r>
      <w:fldChar w:fldCharType="begin"/>
    </w:r>
    <w:r>
      <w:instrText xml:space="preserve">PAGE  </w:instrText>
    </w:r>
    <w:r>
      <w:fldChar w:fldCharType="end"/>
    </w:r>
  </w:p>
  <w:p w14:paraId="1E733CE6" w14:textId="1188EEB5"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65683A">
      <w:rPr>
        <w:noProof/>
      </w:rPr>
      <w:t>10.10.25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0B3246" w:rsidRPr="0065683A" w14:paraId="1D7AE3F5" w14:textId="77777777" w:rsidTr="000B3246">
      <w:tc>
        <w:tcPr>
          <w:tcW w:w="1134" w:type="dxa"/>
          <w:tcBorders>
            <w:top w:val="single" w:sz="4" w:space="0" w:color="000000"/>
          </w:tcBorders>
          <w:shd w:val="clear" w:color="auto" w:fill="auto"/>
        </w:tcPr>
        <w:p w14:paraId="3E32DEBB" w14:textId="77777777" w:rsidR="000B3246" w:rsidRPr="004D495C" w:rsidRDefault="000B3246" w:rsidP="00D83BF5">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14:paraId="40977A62" w14:textId="77777777" w:rsidR="000B3246" w:rsidRPr="004D495C" w:rsidRDefault="000B3246" w:rsidP="000B1248">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095" w:type="dxa"/>
          <w:tcBorders>
            <w:top w:val="single" w:sz="4" w:space="0" w:color="000000"/>
          </w:tcBorders>
          <w:shd w:val="clear" w:color="auto" w:fill="auto"/>
        </w:tcPr>
        <w:p w14:paraId="0E3EE243" w14:textId="6466EF52" w:rsidR="000B3246" w:rsidRPr="000B7E7B" w:rsidRDefault="000B7E7B" w:rsidP="000B3246">
          <w:pPr>
            <w:pStyle w:val="FirstFooter"/>
            <w:tabs>
              <w:tab w:val="left" w:pos="2302"/>
            </w:tabs>
            <w:rPr>
              <w:sz w:val="18"/>
              <w:szCs w:val="18"/>
              <w:highlight w:val="yellow"/>
              <w:lang w:val="es-ES"/>
            </w:rPr>
          </w:pPr>
          <w:bookmarkStart w:id="13" w:name="OrgName"/>
          <w:bookmarkEnd w:id="13"/>
          <w:r w:rsidRPr="00A80D8E">
            <w:rPr>
              <w:sz w:val="18"/>
              <w:szCs w:val="18"/>
              <w:lang w:val="es-ES"/>
            </w:rPr>
            <w:t xml:space="preserve">Sr. Fadel Digham, </w:t>
          </w:r>
          <w:proofErr w:type="gramStart"/>
          <w:r w:rsidRPr="00A80D8E">
            <w:rPr>
              <w:sz w:val="18"/>
              <w:szCs w:val="18"/>
              <w:lang w:val="es-ES"/>
            </w:rPr>
            <w:t>Presidente</w:t>
          </w:r>
          <w:proofErr w:type="gramEnd"/>
          <w:r w:rsidRPr="00A80D8E">
            <w:rPr>
              <w:sz w:val="18"/>
              <w:szCs w:val="18"/>
              <w:lang w:val="es-ES"/>
            </w:rPr>
            <w:t xml:space="preserve"> de la</w:t>
          </w:r>
          <w:r>
            <w:rPr>
              <w:sz w:val="18"/>
              <w:szCs w:val="18"/>
              <w:lang w:val="es-ES"/>
            </w:rPr>
            <w:t xml:space="preserve"> Comisión de Estudio 2 del UIT-D</w:t>
          </w:r>
        </w:p>
      </w:tc>
    </w:tr>
    <w:tr w:rsidR="000B3246" w:rsidRPr="004D495C" w14:paraId="4ADBE11B" w14:textId="77777777" w:rsidTr="000B3246">
      <w:tc>
        <w:tcPr>
          <w:tcW w:w="1134" w:type="dxa"/>
          <w:shd w:val="clear" w:color="auto" w:fill="auto"/>
        </w:tcPr>
        <w:p w14:paraId="0E87E9A6" w14:textId="77777777" w:rsidR="000B3246" w:rsidRPr="000B7E7B" w:rsidRDefault="000B3246" w:rsidP="00D83BF5">
          <w:pPr>
            <w:pStyle w:val="FirstFooter"/>
            <w:tabs>
              <w:tab w:val="left" w:pos="1559"/>
              <w:tab w:val="left" w:pos="3828"/>
            </w:tabs>
            <w:rPr>
              <w:sz w:val="20"/>
              <w:lang w:val="es-ES"/>
            </w:rPr>
          </w:pPr>
        </w:p>
      </w:tc>
      <w:tc>
        <w:tcPr>
          <w:tcW w:w="2552" w:type="dxa"/>
          <w:shd w:val="clear" w:color="auto" w:fill="auto"/>
        </w:tcPr>
        <w:p w14:paraId="0F1B4F43" w14:textId="77777777" w:rsidR="000B3246" w:rsidRPr="004D495C" w:rsidRDefault="000B3246" w:rsidP="00D83BF5">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095" w:type="dxa"/>
          <w:shd w:val="clear" w:color="auto" w:fill="auto"/>
        </w:tcPr>
        <w:p w14:paraId="25BC7B88" w14:textId="58C37951" w:rsidR="000B3246" w:rsidRPr="004D495C" w:rsidRDefault="000B7E7B" w:rsidP="00D83BF5">
          <w:pPr>
            <w:pStyle w:val="FirstFooter"/>
            <w:tabs>
              <w:tab w:val="left" w:pos="2302"/>
            </w:tabs>
            <w:rPr>
              <w:sz w:val="18"/>
              <w:szCs w:val="18"/>
              <w:highlight w:val="yellow"/>
              <w:lang w:val="en-US"/>
            </w:rPr>
          </w:pPr>
          <w:bookmarkStart w:id="14" w:name="PhoneNo"/>
          <w:bookmarkEnd w:id="14"/>
          <w:r w:rsidRPr="00E53534">
            <w:rPr>
              <w:bCs/>
              <w:sz w:val="18"/>
              <w:szCs w:val="18"/>
            </w:rPr>
            <w:t>+20 100225 8599</w:t>
          </w:r>
        </w:p>
      </w:tc>
    </w:tr>
    <w:tr w:rsidR="000B3246" w:rsidRPr="004D495C" w14:paraId="5FDA220F" w14:textId="77777777" w:rsidTr="000B3246">
      <w:tc>
        <w:tcPr>
          <w:tcW w:w="1134" w:type="dxa"/>
          <w:shd w:val="clear" w:color="auto" w:fill="auto"/>
        </w:tcPr>
        <w:p w14:paraId="70579455" w14:textId="77777777" w:rsidR="000B3246" w:rsidRPr="004D495C" w:rsidRDefault="000B3246" w:rsidP="00D83BF5">
          <w:pPr>
            <w:pStyle w:val="FirstFooter"/>
            <w:tabs>
              <w:tab w:val="left" w:pos="1559"/>
              <w:tab w:val="left" w:pos="3828"/>
            </w:tabs>
            <w:rPr>
              <w:sz w:val="20"/>
              <w:lang w:val="en-US"/>
            </w:rPr>
          </w:pPr>
        </w:p>
      </w:tc>
      <w:tc>
        <w:tcPr>
          <w:tcW w:w="2552" w:type="dxa"/>
          <w:shd w:val="clear" w:color="auto" w:fill="auto"/>
        </w:tcPr>
        <w:p w14:paraId="6AE284AD" w14:textId="77777777" w:rsidR="000B3246" w:rsidRPr="004D495C" w:rsidRDefault="000B3246" w:rsidP="00D83BF5">
          <w:pPr>
            <w:pStyle w:val="FirstFooter"/>
            <w:tabs>
              <w:tab w:val="left" w:pos="2302"/>
            </w:tabs>
            <w:rPr>
              <w:sz w:val="18"/>
              <w:szCs w:val="18"/>
              <w:lang w:val="en-US"/>
            </w:rPr>
          </w:pPr>
          <w:r>
            <w:rPr>
              <w:sz w:val="18"/>
              <w:szCs w:val="18"/>
              <w:lang w:val="en-US"/>
            </w:rPr>
            <w:t>Correo-e</w:t>
          </w:r>
          <w:r w:rsidRPr="004D495C">
            <w:rPr>
              <w:sz w:val="18"/>
              <w:szCs w:val="18"/>
              <w:lang w:val="en-US"/>
            </w:rPr>
            <w:t>:</w:t>
          </w:r>
        </w:p>
      </w:tc>
      <w:bookmarkStart w:id="15" w:name="Email"/>
      <w:bookmarkEnd w:id="15"/>
      <w:tc>
        <w:tcPr>
          <w:tcW w:w="6095" w:type="dxa"/>
          <w:shd w:val="clear" w:color="auto" w:fill="auto"/>
        </w:tcPr>
        <w:p w14:paraId="0F08CE2C" w14:textId="1AEF38A9" w:rsidR="000B3246" w:rsidRPr="004D495C" w:rsidRDefault="000B7E7B" w:rsidP="00D83BF5">
          <w:pPr>
            <w:pStyle w:val="FirstFooter"/>
            <w:tabs>
              <w:tab w:val="left" w:pos="2302"/>
            </w:tabs>
            <w:rPr>
              <w:sz w:val="18"/>
              <w:szCs w:val="18"/>
              <w:highlight w:val="yellow"/>
              <w:lang w:val="en-US"/>
            </w:rPr>
          </w:pPr>
          <w:r>
            <w:fldChar w:fldCharType="begin"/>
          </w:r>
          <w:r>
            <w:instrText xml:space="preserve"> HYPERLINK "mailto:fdigham@tra.gov.eg" </w:instrText>
          </w:r>
          <w:r>
            <w:fldChar w:fldCharType="separate"/>
          </w:r>
          <w:r w:rsidRPr="00E53534">
            <w:rPr>
              <w:rStyle w:val="Hyperlink"/>
              <w:sz w:val="18"/>
              <w:szCs w:val="18"/>
              <w:lang w:val="en-US"/>
            </w:rPr>
            <w:t>fdigham@tra.gov.eg</w:t>
          </w:r>
          <w:r>
            <w:rPr>
              <w:rStyle w:val="Hyperlink"/>
              <w:sz w:val="18"/>
              <w:szCs w:val="18"/>
              <w:lang w:val="en-US"/>
            </w:rPr>
            <w:fldChar w:fldCharType="end"/>
          </w:r>
          <w:r w:rsidRPr="00E53534">
            <w:rPr>
              <w:sz w:val="18"/>
              <w:szCs w:val="18"/>
              <w:lang w:val="en-US"/>
            </w:rPr>
            <w:t xml:space="preserve">; </w:t>
          </w:r>
          <w:hyperlink r:id="rId1" w:history="1">
            <w:r w:rsidRPr="00E53534">
              <w:rPr>
                <w:rStyle w:val="Hyperlink"/>
                <w:sz w:val="18"/>
                <w:szCs w:val="18"/>
                <w:lang w:val="en-US"/>
              </w:rPr>
              <w:t>fadel.digham@gmail.com</w:t>
            </w:r>
          </w:hyperlink>
        </w:p>
      </w:tc>
    </w:tr>
  </w:tbl>
  <w:p w14:paraId="4E597C81" w14:textId="77777777" w:rsidR="000B1248" w:rsidRPr="00D83BF5" w:rsidRDefault="00895CEE" w:rsidP="00616175">
    <w:pPr>
      <w:jc w:val="center"/>
    </w:pPr>
    <w:hyperlink r:id="rId2" w:anchor="/es" w:history="1">
      <w:r w:rsidR="007E1CA3">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0F9C" w14:textId="77777777" w:rsidR="000B7E7B" w:rsidRDefault="000B7E7B">
      <w:r>
        <w:rPr>
          <w:b/>
        </w:rPr>
        <w:t>_______________</w:t>
      </w:r>
    </w:p>
  </w:footnote>
  <w:footnote w:type="continuationSeparator" w:id="0">
    <w:p w14:paraId="2BCB6F71" w14:textId="77777777" w:rsidR="000B7E7B" w:rsidRDefault="000B7E7B">
      <w:r>
        <w:continuationSeparator/>
      </w:r>
    </w:p>
  </w:footnote>
  <w:footnote w:id="1">
    <w:p w14:paraId="1106C548" w14:textId="24EA83DB" w:rsidR="000B7E7B" w:rsidRPr="008D4894" w:rsidRDefault="000B7E7B" w:rsidP="000B7E7B">
      <w:pPr>
        <w:pStyle w:val="FootnoteText"/>
        <w:spacing w:before="0"/>
        <w:rPr>
          <w:rFonts w:eastAsia="Malgun Gothic"/>
          <w:lang w:val="fr-CH"/>
        </w:rPr>
      </w:pPr>
      <w:r w:rsidRPr="00F34118">
        <w:rPr>
          <w:rStyle w:val="FootnoteReference"/>
          <w:sz w:val="20"/>
        </w:rPr>
        <w:footnoteRef/>
      </w:r>
      <w:r w:rsidRPr="008D4894">
        <w:rPr>
          <w:lang w:val="fr-CH"/>
        </w:rPr>
        <w:tab/>
        <w:t>Vé</w:t>
      </w:r>
      <w:r>
        <w:rPr>
          <w:lang w:val="fr-CH"/>
        </w:rPr>
        <w:t>ase</w:t>
      </w:r>
      <w:r w:rsidRPr="008D4894">
        <w:rPr>
          <w:lang w:val="fr-CH"/>
        </w:rPr>
        <w:t xml:space="preserve"> </w:t>
      </w:r>
      <w:hyperlink r:id="rId1" w:history="1">
        <w:r w:rsidRPr="008D4894">
          <w:rPr>
            <w:rStyle w:val="Hyperlink"/>
            <w:lang w:val="fr-CH"/>
          </w:rPr>
          <w:t>https://www.itu.int/en/ITU-D/Study-Groups/2022-2025/Pages/reference/Ongoing-Work.aspx</w:t>
        </w:r>
      </w:hyperlink>
    </w:p>
  </w:footnote>
  <w:footnote w:id="2">
    <w:p w14:paraId="4BCB1D18" w14:textId="7CD8D183" w:rsidR="000B7E7B" w:rsidRPr="00A670F3" w:rsidRDefault="000B7E7B" w:rsidP="000B7E7B">
      <w:pPr>
        <w:pStyle w:val="FootnoteText"/>
        <w:spacing w:before="0"/>
        <w:rPr>
          <w:rFonts w:eastAsia="Malgun Gothic"/>
          <w:lang w:val="es-ES"/>
        </w:rPr>
      </w:pPr>
      <w:r w:rsidRPr="00F34118">
        <w:rPr>
          <w:rStyle w:val="FootnoteReference"/>
          <w:sz w:val="20"/>
        </w:rPr>
        <w:footnoteRef/>
      </w:r>
      <w:r w:rsidRPr="00A670F3">
        <w:rPr>
          <w:lang w:val="es-ES"/>
        </w:rPr>
        <w:tab/>
      </w:r>
      <w:r w:rsidRPr="00A670F3">
        <w:rPr>
          <w:i/>
          <w:iCs/>
          <w:lang w:val="es-ES"/>
        </w:rPr>
        <w:t>Ib</w:t>
      </w:r>
      <w:r>
        <w:rPr>
          <w:i/>
          <w:iCs/>
          <w:lang w:val="es-ES"/>
        </w:rPr>
        <w:t>i</w:t>
      </w:r>
      <w:r w:rsidRPr="00A670F3">
        <w:rPr>
          <w:i/>
          <w:iCs/>
          <w:lang w:val="es-ES"/>
        </w:rPr>
        <w:t>d.</w:t>
      </w:r>
    </w:p>
  </w:footnote>
  <w:footnote w:id="3">
    <w:p w14:paraId="4A27F590" w14:textId="77777777" w:rsidR="000B7E7B" w:rsidRPr="00A670F3" w:rsidRDefault="000B7E7B" w:rsidP="000B7E7B">
      <w:pPr>
        <w:pStyle w:val="FootnoteText"/>
        <w:spacing w:before="0"/>
        <w:rPr>
          <w:lang w:val="es-ES"/>
        </w:rPr>
      </w:pPr>
      <w:r w:rsidRPr="00F34118">
        <w:rPr>
          <w:rStyle w:val="FootnoteReference"/>
          <w:sz w:val="20"/>
        </w:rPr>
        <w:footnoteRef/>
      </w:r>
      <w:r w:rsidRPr="00A670F3">
        <w:rPr>
          <w:lang w:val="es-ES"/>
        </w:rPr>
        <w:tab/>
      </w:r>
      <w:r w:rsidRPr="00A670F3">
        <w:rPr>
          <w:rFonts w:cstheme="minorHAnsi"/>
          <w:lang w:val="es-ES"/>
        </w:rPr>
        <w:t xml:space="preserve">Véase la lista </w:t>
      </w:r>
      <w:r>
        <w:rPr>
          <w:rFonts w:cstheme="minorHAnsi"/>
          <w:lang w:val="es-ES"/>
        </w:rPr>
        <w:t>completa en</w:t>
      </w:r>
      <w:r w:rsidRPr="00A670F3">
        <w:rPr>
          <w:rFonts w:cstheme="minorHAnsi"/>
          <w:lang w:val="es-ES"/>
        </w:rPr>
        <w:t xml:space="preserve"> </w:t>
      </w:r>
      <w:hyperlink r:id="rId2" w:history="1">
        <w:r w:rsidRPr="00A670F3">
          <w:rPr>
            <w:rStyle w:val="Hyperlink"/>
            <w:lang w:val="es-ES"/>
          </w:rPr>
          <w:t>https://www.itu.int/en/ITU-D/Study-Groups/2022-2025/Pages/events_workshops.aspx</w:t>
        </w:r>
      </w:hyperlink>
      <w:r w:rsidRPr="00A670F3">
        <w:rPr>
          <w:rFonts w:cstheme="minorHAnsi"/>
          <w:lang w:val="es-ES"/>
        </w:rPr>
        <w:t>.</w:t>
      </w:r>
    </w:p>
  </w:footnote>
  <w:footnote w:id="4">
    <w:p w14:paraId="7A0478F7" w14:textId="77777777" w:rsidR="000B7E7B" w:rsidRPr="00987426" w:rsidRDefault="000B7E7B" w:rsidP="000B7E7B">
      <w:pPr>
        <w:pStyle w:val="FootnoteText"/>
        <w:spacing w:before="0"/>
        <w:rPr>
          <w:rFonts w:eastAsia="Malgun Gothic"/>
          <w:lang w:val="es-ES"/>
        </w:rPr>
      </w:pPr>
      <w:r w:rsidRPr="00F34118">
        <w:rPr>
          <w:rStyle w:val="FootnoteReference"/>
          <w:sz w:val="20"/>
        </w:rPr>
        <w:footnoteRef/>
      </w:r>
      <w:r w:rsidRPr="00987426">
        <w:rPr>
          <w:lang w:val="es-ES"/>
        </w:rPr>
        <w:tab/>
      </w:r>
      <w:hyperlink r:id="rId3" w:history="1">
        <w:r w:rsidRPr="00987426">
          <w:rPr>
            <w:rStyle w:val="Hyperlink"/>
            <w:lang w:val="es-ES"/>
          </w:rPr>
          <w:t>https://www.itu.int/en/ITU-D/Regional-Presence/Americas/Pages/EVENTS/2024/cons-awa-2024.aspx</w:t>
        </w:r>
      </w:hyperlink>
    </w:p>
  </w:footnote>
  <w:footnote w:id="5">
    <w:p w14:paraId="18A18BE7" w14:textId="236DBF43" w:rsidR="000B7E7B" w:rsidRPr="0015065E" w:rsidRDefault="000B7E7B" w:rsidP="000B7E7B">
      <w:pPr>
        <w:pStyle w:val="FootnoteText"/>
        <w:spacing w:before="0"/>
        <w:rPr>
          <w:rFonts w:eastAsia="Malgun Gothic"/>
          <w:lang w:val="es-ES"/>
        </w:rPr>
      </w:pPr>
      <w:r w:rsidRPr="00F34118">
        <w:rPr>
          <w:rStyle w:val="FootnoteReference"/>
          <w:sz w:val="20"/>
        </w:rPr>
        <w:footnoteRef/>
      </w:r>
      <w:r w:rsidR="008B4A39">
        <w:rPr>
          <w:lang w:val="es-ES"/>
        </w:rPr>
        <w:tab/>
      </w:r>
      <w:r w:rsidRPr="0015065E">
        <w:rPr>
          <w:lang w:val="es-ES"/>
        </w:rPr>
        <w:t xml:space="preserve">La entidad solicita cambios en la dirección de las Comisiones de Estudio cuando la persona interesada experimenta un cambio </w:t>
      </w:r>
      <w:r>
        <w:rPr>
          <w:lang w:val="es-ES"/>
        </w:rPr>
        <w:t>en su carrera profesional.</w:t>
      </w:r>
    </w:p>
  </w:footnote>
  <w:footnote w:id="6">
    <w:p w14:paraId="0880CD40" w14:textId="57E2AA70" w:rsidR="000B7E7B" w:rsidRPr="004E39B2" w:rsidRDefault="000B7E7B" w:rsidP="008B4A39">
      <w:pPr>
        <w:pStyle w:val="FootnoteText"/>
        <w:tabs>
          <w:tab w:val="clear" w:pos="255"/>
          <w:tab w:val="clear" w:pos="1134"/>
          <w:tab w:val="clear" w:pos="1871"/>
          <w:tab w:val="clear" w:pos="2268"/>
        </w:tabs>
        <w:spacing w:before="0"/>
        <w:rPr>
          <w:rFonts w:eastAsia="Malgun Gothic"/>
          <w:lang w:val="es-ES"/>
        </w:rPr>
      </w:pPr>
      <w:r w:rsidRPr="00F34118">
        <w:footnoteRef/>
      </w:r>
      <w:r w:rsidR="008B4A39">
        <w:rPr>
          <w:lang w:val="es-ES"/>
        </w:rPr>
        <w:tab/>
      </w:r>
      <w:r w:rsidRPr="004E39B2">
        <w:rPr>
          <w:rFonts w:eastAsia="Malgun Gothic"/>
          <w:lang w:val="es-ES"/>
        </w:rPr>
        <w:t>Esta figura no incluye a los participantes de la r</w:t>
      </w:r>
      <w:r>
        <w:rPr>
          <w:rFonts w:eastAsia="Malgun Gothic"/>
          <w:lang w:val="es-ES"/>
        </w:rPr>
        <w:t>eunión informal del Grupo de Relator de la CE</w:t>
      </w:r>
      <w:r w:rsidR="00B720A7">
        <w:rPr>
          <w:rFonts w:eastAsia="Malgun Gothic"/>
          <w:lang w:val="es-ES"/>
        </w:rPr>
        <w:t> </w:t>
      </w:r>
      <w:r>
        <w:rPr>
          <w:rFonts w:eastAsia="Malgun Gothic"/>
          <w:lang w:val="es-ES"/>
        </w:rPr>
        <w:t>2 y de la reunión conjunta de la CE 1 y la CE 2, ambas celebradas en 2021.</w:t>
      </w:r>
    </w:p>
  </w:footnote>
  <w:footnote w:id="7">
    <w:p w14:paraId="504EC9CB" w14:textId="3BCD0B3C" w:rsidR="000B7E7B" w:rsidRPr="00445288" w:rsidRDefault="000B7E7B" w:rsidP="000B7E7B">
      <w:pPr>
        <w:pStyle w:val="FootnoteText"/>
        <w:spacing w:before="0"/>
        <w:rPr>
          <w:lang w:val="es-ES"/>
        </w:rPr>
      </w:pPr>
      <w:r w:rsidRPr="00F34118">
        <w:rPr>
          <w:rStyle w:val="FootnoteReference"/>
          <w:position w:val="0"/>
          <w:sz w:val="20"/>
        </w:rPr>
        <w:footnoteRef/>
      </w:r>
      <w:r w:rsidR="004C01E7">
        <w:rPr>
          <w:lang w:val="es-ES"/>
        </w:rPr>
        <w:tab/>
      </w:r>
      <w:r w:rsidRPr="00445288">
        <w:rPr>
          <w:lang w:val="es-ES"/>
        </w:rPr>
        <w:t xml:space="preserve">Esta </w:t>
      </w:r>
      <w:r>
        <w:rPr>
          <w:lang w:val="es-ES"/>
        </w:rPr>
        <w:t>figura</w:t>
      </w:r>
      <w:r w:rsidRPr="00445288">
        <w:rPr>
          <w:lang w:val="es-ES"/>
        </w:rPr>
        <w:t xml:space="preserve"> no incluye los documentos de la reunión informal del Grupo de Relator de la CE</w:t>
      </w:r>
      <w:r w:rsidR="004C01E7">
        <w:rPr>
          <w:lang w:val="es-ES"/>
        </w:rPr>
        <w:t> </w:t>
      </w:r>
      <w:r w:rsidRPr="00445288">
        <w:rPr>
          <w:lang w:val="es-ES"/>
        </w:rPr>
        <w:t>2 y de la reunión conjunta de la CE 1 y la CE 2, ambas celebradas en 2021.</w:t>
      </w:r>
    </w:p>
  </w:footnote>
  <w:footnote w:id="8">
    <w:p w14:paraId="79A05DC3" w14:textId="3CA748D2" w:rsidR="000B7E7B" w:rsidRPr="00445288" w:rsidRDefault="000B7E7B" w:rsidP="000B7E7B">
      <w:pPr>
        <w:pStyle w:val="FootnoteText"/>
        <w:spacing w:before="0"/>
        <w:rPr>
          <w:lang w:val="es-ES"/>
        </w:rPr>
      </w:pPr>
      <w:r w:rsidRPr="00F34118">
        <w:rPr>
          <w:rStyle w:val="FootnoteReference"/>
          <w:position w:val="0"/>
          <w:sz w:val="20"/>
        </w:rPr>
        <w:footnoteRef/>
      </w:r>
      <w:r w:rsidR="004C01E7">
        <w:rPr>
          <w:lang w:val="es-ES"/>
        </w:rPr>
        <w:tab/>
      </w:r>
      <w:r w:rsidRPr="00445288">
        <w:rPr>
          <w:lang w:val="es-ES"/>
        </w:rPr>
        <w:t>En este periodo de estudios se celebraron 6 reuniones, mientras que en el periodo de estudios anterior se celebraron 8 reuniones (y 10 reuniones si se contabilizan también la reunión informal del Grupo de Relator de la CE</w:t>
      </w:r>
      <w:r w:rsidR="004C01E7">
        <w:rPr>
          <w:lang w:val="es-ES"/>
        </w:rPr>
        <w:t> </w:t>
      </w:r>
      <w:r w:rsidRPr="00445288">
        <w:rPr>
          <w:lang w:val="es-ES"/>
        </w:rPr>
        <w:t>2 y la reunión conjunta de la CE 1 y la CE</w:t>
      </w:r>
      <w:r w:rsidR="004C01E7">
        <w:rPr>
          <w:lang w:val="es-ES"/>
        </w:rPr>
        <w:t> </w:t>
      </w:r>
      <w:r w:rsidRPr="00445288">
        <w:rPr>
          <w:lang w:val="es-ES"/>
        </w:rPr>
        <w:t>2).</w:t>
      </w:r>
    </w:p>
  </w:footnote>
  <w:footnote w:id="9">
    <w:p w14:paraId="183A0D0F" w14:textId="77777777" w:rsidR="000B7E7B" w:rsidRPr="00AA7364" w:rsidRDefault="000B7E7B" w:rsidP="000B7E7B">
      <w:pPr>
        <w:pStyle w:val="FootnoteText"/>
        <w:spacing w:before="0"/>
        <w:rPr>
          <w:lang w:val="es-ES"/>
        </w:rPr>
      </w:pPr>
      <w:r w:rsidRPr="00F34118">
        <w:rPr>
          <w:rStyle w:val="FootnoteReference"/>
          <w:position w:val="0"/>
          <w:sz w:val="20"/>
        </w:rPr>
        <w:footnoteRef/>
      </w:r>
      <w:r w:rsidRPr="00AA7364">
        <w:rPr>
          <w:lang w:val="es-ES"/>
        </w:rPr>
        <w:tab/>
        <w:t>A</w:t>
      </w:r>
      <w:r>
        <w:rPr>
          <w:lang w:val="es-ES"/>
        </w:rPr>
        <w:t xml:space="preserve">lgunas </w:t>
      </w:r>
      <w:r w:rsidRPr="00AA7364">
        <w:rPr>
          <w:lang w:val="es-ES"/>
        </w:rPr>
        <w:t>contribuciones se contabilizaron más de una vez si se asignaron a más de una Cuestión.</w:t>
      </w:r>
    </w:p>
  </w:footnote>
  <w:footnote w:id="10">
    <w:p w14:paraId="0613BED0" w14:textId="5DD986C1" w:rsidR="000B7E7B" w:rsidRPr="00A5636E" w:rsidRDefault="000B7E7B" w:rsidP="000B7E7B">
      <w:pPr>
        <w:pStyle w:val="FootnoteText"/>
        <w:tabs>
          <w:tab w:val="clear" w:pos="255"/>
        </w:tabs>
        <w:spacing w:before="0"/>
        <w:ind w:left="224" w:hanging="224"/>
        <w:rPr>
          <w:rFonts w:eastAsia="Malgun Gothic"/>
          <w:lang w:val="es-ES"/>
        </w:rPr>
      </w:pPr>
      <w:r w:rsidRPr="0080295B">
        <w:rPr>
          <w:sz w:val="18"/>
          <w:szCs w:val="18"/>
        </w:rPr>
        <w:footnoteRef/>
      </w:r>
      <w:r w:rsidR="00874598">
        <w:rPr>
          <w:lang w:val="es-ES"/>
        </w:rPr>
        <w:tab/>
      </w:r>
      <w:r w:rsidRPr="00A5636E">
        <w:rPr>
          <w:lang w:val="es-ES"/>
        </w:rPr>
        <w:t>Estas reuniones se celebraron en las siguientes fechas en 2025: 1) 27 de enero con la C6/2, 2) 29 de enero con la C4/2, 3) 10 de febrero con la C1/2, 4) 10 de febrero con la C3/2, 5) 13 de febrero con la C7/2, 6) 20 de febrero con la C2/2 y 7) 26 de febrero con la C5/2.</w:t>
      </w:r>
    </w:p>
  </w:footnote>
  <w:footnote w:id="11">
    <w:p w14:paraId="3E8BD42E" w14:textId="77777777" w:rsidR="000B7E7B" w:rsidRDefault="000B7E7B" w:rsidP="000B7E7B">
      <w:pPr>
        <w:pStyle w:val="FootnoteText"/>
        <w:rPr>
          <w:rFonts w:eastAsia="Malgun Gothic"/>
          <w:lang w:val="fr-FR"/>
        </w:rPr>
      </w:pPr>
      <w:r>
        <w:rPr>
          <w:rStyle w:val="FootnoteReference"/>
          <w:lang w:val="es-ES"/>
        </w:rPr>
        <w:footnoteRef/>
      </w:r>
      <w:r>
        <w:rPr>
          <w:lang w:val="fr-FR"/>
        </w:rPr>
        <w:tab/>
        <w:t xml:space="preserve">Véase </w:t>
      </w:r>
      <w:hyperlink r:id="rId4" w:history="1">
        <w:r>
          <w:rPr>
            <w:rStyle w:val="Hyperlink"/>
            <w:lang w:val="fr-FR"/>
          </w:rPr>
          <w:t>https://www.itu.int/en/ITU-D/Study-Groups/2022-2025/Pages/reference/Ongoing-Work.aspx</w:t>
        </w:r>
      </w:hyperlink>
      <w:r>
        <w:rPr>
          <w:lang w:val="fr-FR"/>
        </w:rPr>
        <w:t>.</w:t>
      </w:r>
    </w:p>
  </w:footnote>
  <w:footnote w:id="12">
    <w:p w14:paraId="1557BF68" w14:textId="77777777" w:rsidR="000B7E7B" w:rsidRDefault="000B7E7B" w:rsidP="000B7E7B">
      <w:pPr>
        <w:pStyle w:val="FootnoteText"/>
        <w:rPr>
          <w:lang w:val="fr-FR"/>
        </w:rPr>
      </w:pPr>
      <w:r>
        <w:rPr>
          <w:rStyle w:val="FootnoteReference"/>
          <w:lang w:val="es-ES"/>
        </w:rPr>
        <w:footnoteRef/>
      </w:r>
      <w:r>
        <w:rPr>
          <w:lang w:val="fr-FR"/>
        </w:rPr>
        <w:tab/>
      </w:r>
      <w:hyperlink r:id="rId5" w:history="1">
        <w:r>
          <w:rPr>
            <w:rStyle w:val="Hyperlink"/>
            <w:lang w:val="fr-FR"/>
          </w:rPr>
          <w:t>https://www.itu.int/en/ITU-D/Regional-Presence/Americas/Pages/EVENTS/2024/cons-awa-2024.aspx</w:t>
        </w:r>
      </w:hyperlink>
      <w:r>
        <w:rPr>
          <w:lang w:val="fr-FR"/>
        </w:rPr>
        <w:t>.</w:t>
      </w:r>
    </w:p>
  </w:footnote>
  <w:footnote w:id="13">
    <w:p w14:paraId="6256B253" w14:textId="77777777" w:rsidR="000B7E7B" w:rsidRDefault="000B7E7B" w:rsidP="000B7E7B">
      <w:pPr>
        <w:pStyle w:val="FootnoteText"/>
        <w:rPr>
          <w:rFonts w:eastAsia="Malgun Gothic"/>
          <w:lang w:val="es-ES"/>
        </w:rPr>
      </w:pPr>
      <w:r>
        <w:rPr>
          <w:rStyle w:val="FootnoteReference"/>
          <w:lang w:val="es-ES"/>
        </w:rPr>
        <w:footnoteRef/>
      </w:r>
      <w:r>
        <w:rPr>
          <w:lang w:val="es-ES"/>
        </w:rPr>
        <w:tab/>
        <w:t>Si bien se presentaron otras contribuciones sobre la juventud y las mujeres a diversas Cuestiones de estudio, se omiten aquí en aras de la simplicidad.</w:t>
      </w:r>
    </w:p>
  </w:footnote>
  <w:footnote w:id="14">
    <w:p w14:paraId="3304072D" w14:textId="77777777" w:rsidR="000B7E7B" w:rsidRDefault="000B7E7B" w:rsidP="000B7E7B">
      <w:pPr>
        <w:pStyle w:val="FootnoteText"/>
        <w:rPr>
          <w:rFonts w:eastAsia="Malgun Gothic"/>
          <w:lang w:val="es-ES"/>
        </w:rPr>
      </w:pPr>
      <w:r>
        <w:rPr>
          <w:rStyle w:val="FootnoteReference"/>
          <w:lang w:val="es-ES"/>
        </w:rPr>
        <w:footnoteRef/>
      </w:r>
      <w:r>
        <w:rPr>
          <w:lang w:val="es-ES"/>
        </w:rPr>
        <w:tab/>
        <w:t xml:space="preserve">Véase el </w:t>
      </w:r>
      <w:r>
        <w:rPr>
          <w:i/>
          <w:iCs/>
          <w:lang w:val="es-ES"/>
        </w:rPr>
        <w:t>Documento final de la reunión de alto nivel de la Asamblea General sobre el examen general de la aplicación de los resultados de la Cumbre Mundial sobre la Sociedad de la Información</w:t>
      </w:r>
      <w:r>
        <w:rPr>
          <w:lang w:val="es-ES"/>
        </w:rPr>
        <w:t xml:space="preserve">, </w:t>
      </w:r>
      <w:hyperlink r:id="rId6" w:history="1">
        <w:r>
          <w:rPr>
            <w:rStyle w:val="Hyperlink"/>
            <w:lang w:val="es-ES"/>
          </w:rPr>
          <w:t>Res. A/70/125</w:t>
        </w:r>
      </w:hyperlink>
      <w:r>
        <w:rPr>
          <w:lang w:val="es-ES"/>
        </w:rPr>
        <w:t>.</w:t>
      </w:r>
    </w:p>
  </w:footnote>
  <w:footnote w:id="15">
    <w:p w14:paraId="3C9407D7" w14:textId="77777777" w:rsidR="000B7E7B" w:rsidRDefault="000B7E7B" w:rsidP="000B7E7B">
      <w:pPr>
        <w:pStyle w:val="FootnoteText"/>
        <w:rPr>
          <w:rFonts w:cstheme="minorHAnsi"/>
          <w:lang w:val="es-ES"/>
        </w:rPr>
      </w:pPr>
      <w:r>
        <w:rPr>
          <w:rStyle w:val="FootnoteReference"/>
          <w:rFonts w:cstheme="minorHAnsi"/>
          <w:lang w:val="es-ES"/>
        </w:rPr>
        <w:footnoteRef/>
      </w:r>
      <w:r>
        <w:rPr>
          <w:lang w:val="es-ES"/>
        </w:rPr>
        <w:tab/>
        <w:t xml:space="preserve">El repositorio y tablón de contribuciones puede consultarse </w:t>
      </w:r>
      <w:hyperlink r:id="rId7" w:history="1">
        <w:r>
          <w:rPr>
            <w:rStyle w:val="Hyperlink"/>
            <w:lang w:val="es-ES"/>
          </w:rPr>
          <w:t>aquí</w:t>
        </w:r>
      </w:hyperlink>
      <w:r>
        <w:rPr>
          <w:lang w:val="es-ES"/>
        </w:rPr>
        <w:t>.</w:t>
      </w:r>
    </w:p>
  </w:footnote>
  <w:footnote w:id="16">
    <w:p w14:paraId="15FD8951" w14:textId="77777777" w:rsidR="000B7E7B" w:rsidRDefault="000B7E7B" w:rsidP="000B7E7B">
      <w:pPr>
        <w:pStyle w:val="FootnoteText"/>
        <w:rPr>
          <w:rFonts w:cstheme="minorHAnsi"/>
          <w:lang w:val="es-ES"/>
        </w:rPr>
      </w:pPr>
      <w:r>
        <w:rPr>
          <w:rStyle w:val="FootnoteReference"/>
          <w:rFonts w:cstheme="minorHAnsi"/>
          <w:lang w:val="es-ES"/>
        </w:rPr>
        <w:footnoteRef/>
      </w:r>
      <w:r>
        <w:rPr>
          <w:lang w:val="es-ES"/>
        </w:rPr>
        <w:tab/>
      </w:r>
      <w:hyperlink r:id="rId8" w:history="1">
        <w:r>
          <w:rPr>
            <w:rStyle w:val="Hyperlink"/>
            <w:lang w:val="es-ES"/>
          </w:rPr>
          <w:t>https://translate.itu.int/documents</w:t>
        </w:r>
      </w:hyperlink>
      <w:r>
        <w:rPr>
          <w:lang w:val="es-ES"/>
        </w:rPr>
        <w:t>.</w:t>
      </w:r>
    </w:p>
  </w:footnote>
  <w:footnote w:id="17">
    <w:p w14:paraId="3A89A378" w14:textId="77777777" w:rsidR="000B7E7B" w:rsidRPr="00F34118" w:rsidRDefault="000B7E7B" w:rsidP="000B7E7B">
      <w:pPr>
        <w:pStyle w:val="FootnoteText"/>
        <w:spacing w:before="0"/>
      </w:pPr>
      <w:r w:rsidRPr="00F34118">
        <w:rPr>
          <w:rStyle w:val="FootnoteReference"/>
          <w:sz w:val="20"/>
        </w:rPr>
        <w:footnoteRef/>
      </w:r>
      <w:r w:rsidRPr="00F34118">
        <w:t xml:space="preserve"> The word ‘region’ here is concordant with the definition from WTDC Resolution 31.</w:t>
      </w:r>
    </w:p>
  </w:footnote>
  <w:footnote w:id="18">
    <w:p w14:paraId="4D511187" w14:textId="77777777" w:rsidR="000B7E7B" w:rsidRPr="00F34118" w:rsidRDefault="000B7E7B" w:rsidP="000B7E7B">
      <w:pPr>
        <w:pStyle w:val="FootnoteText"/>
        <w:spacing w:before="0"/>
      </w:pPr>
      <w:r w:rsidRPr="00F34118">
        <w:rPr>
          <w:rStyle w:val="FootnoteReference"/>
          <w:sz w:val="20"/>
        </w:rPr>
        <w:footnoteRef/>
      </w:r>
      <w:r w:rsidRPr="00F34118">
        <w:t xml:space="preserve"> For the avoidance of doubt, no member is required to take any of these mentioned actions: it remains the right of any member to submit nominations and to maintain them unchanged through this period of informal consultations.</w:t>
      </w:r>
    </w:p>
  </w:footnote>
  <w:footnote w:id="19">
    <w:p w14:paraId="3A1A4734" w14:textId="77777777" w:rsidR="000B7E7B" w:rsidRPr="00F34118" w:rsidRDefault="000B7E7B" w:rsidP="000B7E7B">
      <w:pPr>
        <w:pStyle w:val="FootnoteText"/>
        <w:spacing w:before="0"/>
      </w:pPr>
      <w:r w:rsidRPr="00F34118">
        <w:rPr>
          <w:rStyle w:val="FootnoteReference"/>
          <w:sz w:val="20"/>
        </w:rPr>
        <w:footnoteRef/>
      </w:r>
      <w:r w:rsidRPr="00F34118">
        <w:t xml:space="preserve"> This the order of items on this list does not assume any ranking between the items of this list.</w:t>
      </w:r>
    </w:p>
  </w:footnote>
  <w:footnote w:id="20">
    <w:p w14:paraId="1D2A6398" w14:textId="77777777" w:rsidR="000B7E7B" w:rsidRPr="00F34118" w:rsidRDefault="000B7E7B" w:rsidP="000B7E7B">
      <w:pPr>
        <w:pStyle w:val="FootnoteText"/>
        <w:spacing w:before="0"/>
      </w:pPr>
      <w:r w:rsidRPr="00F34118">
        <w:rPr>
          <w:rStyle w:val="FootnoteReference"/>
          <w:sz w:val="20"/>
        </w:rPr>
        <w:footnoteRef/>
      </w:r>
      <w:r w:rsidRPr="00F34118">
        <w:t xml:space="preserve"> This the order of items on this list does not assume any ranking between the items of this list.</w:t>
      </w:r>
    </w:p>
  </w:footnote>
  <w:footnote w:id="21">
    <w:p w14:paraId="7E3B7F8E" w14:textId="77777777" w:rsidR="000B7E7B" w:rsidRPr="00F34118" w:rsidRDefault="000B7E7B" w:rsidP="000B7E7B">
      <w:pPr>
        <w:pStyle w:val="FootnoteText"/>
        <w:spacing w:before="0"/>
      </w:pPr>
      <w:r w:rsidRPr="00F34118">
        <w:rPr>
          <w:rStyle w:val="FootnoteReference"/>
          <w:sz w:val="20"/>
        </w:rPr>
        <w:footnoteRef/>
      </w:r>
      <w:r w:rsidRPr="00F34118">
        <w:t xml:space="preserve"> This includes editing chapters of text within the final report, any interim deliverable, and/or meeting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5369" w14:textId="77777777" w:rsidR="000B7E7B" w:rsidRPr="00D36E29" w:rsidRDefault="000B7E7B" w:rsidP="00D36E29">
    <w:pPr>
      <w:pStyle w:val="Header"/>
      <w:tabs>
        <w:tab w:val="clear" w:pos="1134"/>
        <w:tab w:val="clear" w:pos="1871"/>
        <w:tab w:val="clear" w:pos="2268"/>
        <w:tab w:val="center" w:pos="4860"/>
        <w:tab w:val="right" w:pos="9630"/>
      </w:tabs>
      <w:rPr>
        <w:sz w:val="22"/>
        <w:szCs w:val="22"/>
        <w:lang w:val="de-CH"/>
      </w:rPr>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hAnsi="Calibri" w:cs="Calibri" w:hint="eastAsia"/>
        <w:color w:val="000000"/>
        <w:sz w:val="22"/>
        <w:szCs w:val="22"/>
        <w:lang w:val="en-US" w:eastAsia="ko-KR"/>
      </w:rPr>
      <w:t>1</w:t>
    </w:r>
    <w:r>
      <w:rPr>
        <w:rStyle w:val="normaltextrun"/>
        <w:rFonts w:ascii="Calibri" w:hAnsi="Calibri" w:cs="Calibri"/>
        <w:color w:val="000000"/>
        <w:sz w:val="22"/>
        <w:szCs w:val="22"/>
        <w:lang w:val="en-US" w:eastAsia="ko-KR"/>
      </w:rPr>
      <w:t>2</w:t>
    </w:r>
    <w:r>
      <w:rPr>
        <w:rStyle w:val="normaltextrun"/>
        <w:rFonts w:ascii="Calibri" w:hAnsi="Calibri" w:cs="Calibri"/>
        <w:color w:val="000000"/>
        <w:sz w:val="22"/>
        <w:szCs w:val="22"/>
        <w:lang w:val="en-US"/>
      </w:rPr>
      <w:t>-S</w:t>
    </w:r>
    <w:r>
      <w:rPr>
        <w:rStyle w:val="normaltextrun"/>
        <w:rFonts w:ascii="Calibri" w:hAnsi="Calibri" w:cs="Calibri"/>
        <w:color w:val="000000"/>
        <w:sz w:val="22"/>
        <w:szCs w:val="22"/>
        <w:lang w:val="en-US"/>
      </w:rPr>
      <w:tab/>
    </w:r>
    <w:r w:rsidRPr="00186F2A">
      <w:rPr>
        <w:sz w:val="22"/>
        <w:szCs w:val="22"/>
        <w:lang w:val="de-CH"/>
      </w:rPr>
      <w:t>P</w:t>
    </w:r>
    <w:r>
      <w:rPr>
        <w:sz w:val="22"/>
        <w:szCs w:val="22"/>
        <w:lang w:val="de-CH"/>
      </w:rPr>
      <w:t>ágina</w:t>
    </w:r>
    <w:r w:rsidRPr="00186F2A">
      <w:rPr>
        <w:sz w:val="22"/>
        <w:szCs w:val="22"/>
        <w:lang w:val="de-CH"/>
      </w:rPr>
      <w:t xml:space="preserv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proofErr w:type="gramStart"/>
    <w:r>
      <w:rPr>
        <w:sz w:val="22"/>
        <w:szCs w:val="22"/>
      </w:rPr>
      <w:t>2</w:t>
    </w:r>
    <w:proofErr w:type="gramEnd"/>
    <w:r w:rsidRPr="00186F2A">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247E" w14:textId="77777777" w:rsidR="000B7E7B" w:rsidRDefault="000B7E7B" w:rsidP="00A23C7D">
    <w:pPr>
      <w:pStyle w:val="Header"/>
      <w:tabs>
        <w:tab w:val="clear" w:pos="1134"/>
        <w:tab w:val="clear" w:pos="1871"/>
        <w:tab w:val="clear" w:pos="2268"/>
        <w:tab w:val="center" w:pos="7020"/>
        <w:tab w:val="right" w:pos="14004"/>
      </w:tabs>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hAnsi="Calibri" w:cs="Calibri" w:hint="eastAsia"/>
        <w:color w:val="000000"/>
        <w:sz w:val="22"/>
        <w:szCs w:val="22"/>
        <w:lang w:val="en-US" w:eastAsia="ko-KR"/>
      </w:rPr>
      <w:t>1</w:t>
    </w:r>
    <w:r>
      <w:rPr>
        <w:rStyle w:val="normaltextrun"/>
        <w:rFonts w:ascii="Calibri" w:hAnsi="Calibri" w:cs="Calibri"/>
        <w:color w:val="000000"/>
        <w:sz w:val="22"/>
        <w:szCs w:val="22"/>
        <w:lang w:val="en-US" w:eastAsia="ko-KR"/>
      </w:rPr>
      <w:t>2</w:t>
    </w:r>
    <w:r>
      <w:rPr>
        <w:rStyle w:val="normaltextrun"/>
        <w:rFonts w:ascii="Calibri" w:hAnsi="Calibri" w:cs="Calibri"/>
        <w:color w:val="000000"/>
        <w:sz w:val="22"/>
        <w:szCs w:val="22"/>
        <w:lang w:val="en-US"/>
      </w:rPr>
      <w:t>-E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proofErr w:type="gramStart"/>
    <w:r>
      <w:rPr>
        <w:sz w:val="22"/>
        <w:szCs w:val="22"/>
      </w:rPr>
      <w:t>2</w:t>
    </w:r>
    <w:proofErr w:type="gramEnd"/>
    <w:r w:rsidRPr="00186F2A">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39CC" w14:textId="77777777" w:rsidR="000B7E7B" w:rsidRDefault="000B7E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8F38" w14:textId="77777777" w:rsidR="000B7E7B" w:rsidRPr="008937D2" w:rsidRDefault="000B7E7B" w:rsidP="00A23C7D">
    <w:pPr>
      <w:pStyle w:val="Header"/>
      <w:tabs>
        <w:tab w:val="clear" w:pos="1134"/>
        <w:tab w:val="clear" w:pos="1871"/>
        <w:tab w:val="clear" w:pos="2268"/>
        <w:tab w:val="center" w:pos="4770"/>
        <w:tab w:val="right" w:pos="14490"/>
      </w:tabs>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eastAsia="Malgun Gothic" w:hAnsi="Calibri" w:cs="Calibri" w:hint="eastAsia"/>
        <w:color w:val="000000"/>
        <w:sz w:val="22"/>
        <w:szCs w:val="22"/>
        <w:lang w:val="en-US" w:eastAsia="ko-KR"/>
      </w:rPr>
      <w:t>1</w:t>
    </w:r>
    <w:r>
      <w:rPr>
        <w:rStyle w:val="normaltextrun"/>
        <w:rFonts w:ascii="Calibri" w:eastAsia="Malgun Gothic" w:hAnsi="Calibri" w:cs="Calibri"/>
        <w:color w:val="000000"/>
        <w:sz w:val="22"/>
        <w:szCs w:val="22"/>
        <w:lang w:val="en-US" w:eastAsia="ko-KR"/>
      </w:rPr>
      <w:t>2</w:t>
    </w:r>
    <w:r>
      <w:rPr>
        <w:rStyle w:val="normaltextrun"/>
        <w:rFonts w:ascii="Calibri" w:hAnsi="Calibri" w:cs="Calibri"/>
        <w:color w:val="000000"/>
        <w:sz w:val="22"/>
        <w:szCs w:val="22"/>
        <w:lang w:val="en-US"/>
      </w:rPr>
      <w:t>-E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w:t>
    </w:r>
    <w:proofErr w:type="gramStart"/>
    <w:r>
      <w:rPr>
        <w:sz w:val="22"/>
        <w:szCs w:val="22"/>
      </w:rPr>
      <w:t>3</w:t>
    </w:r>
    <w:proofErr w:type="gramEnd"/>
    <w:r w:rsidRPr="00186F2A">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0A22" w14:textId="77777777" w:rsidR="000B7E7B" w:rsidRPr="00252783" w:rsidRDefault="000B7E7B" w:rsidP="00A23C7D">
    <w:pPr>
      <w:pStyle w:val="Header"/>
      <w:tabs>
        <w:tab w:val="clear" w:pos="1134"/>
        <w:tab w:val="clear" w:pos="1871"/>
        <w:tab w:val="clear" w:pos="2268"/>
        <w:tab w:val="center" w:pos="7371"/>
        <w:tab w:val="right" w:pos="14490"/>
      </w:tabs>
      <w:rPr>
        <w:rFonts w:eastAsia="Malgun Gothic"/>
        <w:lang w:eastAsia="ko-KR"/>
      </w:rPr>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eastAsia="Malgun Gothic" w:hAnsi="Calibri" w:cs="Calibri" w:hint="eastAsia"/>
        <w:color w:val="000000"/>
        <w:sz w:val="22"/>
        <w:szCs w:val="22"/>
        <w:lang w:val="en-US" w:eastAsia="ko-KR"/>
      </w:rPr>
      <w:t>1</w:t>
    </w:r>
    <w:r>
      <w:rPr>
        <w:rStyle w:val="normaltextrun"/>
        <w:rFonts w:ascii="Calibri" w:eastAsia="Malgun Gothic" w:hAnsi="Calibri" w:cs="Calibri"/>
        <w:color w:val="000000"/>
        <w:sz w:val="22"/>
        <w:szCs w:val="22"/>
        <w:lang w:val="en-US" w:eastAsia="ko-KR"/>
      </w:rPr>
      <w:t>2</w:t>
    </w:r>
    <w:r>
      <w:rPr>
        <w:rStyle w:val="normaltextrun"/>
        <w:rFonts w:ascii="Calibri" w:hAnsi="Calibri" w:cs="Calibri"/>
        <w:color w:val="000000"/>
        <w:sz w:val="22"/>
        <w:szCs w:val="22"/>
        <w:lang w:val="en-US"/>
      </w:rPr>
      <w:t>-E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w:t>
    </w:r>
    <w:proofErr w:type="gramStart"/>
    <w:r>
      <w:rPr>
        <w:sz w:val="22"/>
        <w:szCs w:val="22"/>
      </w:rPr>
      <w:t>3</w:t>
    </w:r>
    <w:proofErr w:type="gramEnd"/>
    <w:r w:rsidRPr="00186F2A">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1B12" w14:textId="266A6C3B"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12"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12"/>
    <w:r w:rsidR="000B7E7B">
      <w:rPr>
        <w:sz w:val="22"/>
        <w:szCs w:val="22"/>
        <w:lang w:val="de-CH"/>
      </w:rPr>
      <w:t>12</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0F30FBE"/>
    <w:multiLevelType w:val="hybridMultilevel"/>
    <w:tmpl w:val="2F5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60FFB"/>
    <w:multiLevelType w:val="hybridMultilevel"/>
    <w:tmpl w:val="6BF030DE"/>
    <w:lvl w:ilvl="0" w:tplc="F910A4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26237"/>
    <w:multiLevelType w:val="hybridMultilevel"/>
    <w:tmpl w:val="4F18B784"/>
    <w:lvl w:ilvl="0" w:tplc="F910A486">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01AB346D"/>
    <w:multiLevelType w:val="hybridMultilevel"/>
    <w:tmpl w:val="6D3058AE"/>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46F5399"/>
    <w:multiLevelType w:val="hybridMultilevel"/>
    <w:tmpl w:val="A708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EB5B1B"/>
    <w:multiLevelType w:val="hybridMultilevel"/>
    <w:tmpl w:val="51C43E56"/>
    <w:lvl w:ilvl="0" w:tplc="F910A4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40A7535"/>
    <w:multiLevelType w:val="hybridMultilevel"/>
    <w:tmpl w:val="8C982C88"/>
    <w:lvl w:ilvl="0" w:tplc="BD1A1B0E">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59F3"/>
    <w:multiLevelType w:val="hybridMultilevel"/>
    <w:tmpl w:val="01C4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B6B11"/>
    <w:multiLevelType w:val="hybridMultilevel"/>
    <w:tmpl w:val="251E4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E2441"/>
    <w:multiLevelType w:val="hybridMultilevel"/>
    <w:tmpl w:val="9B3E1F4E"/>
    <w:lvl w:ilvl="0" w:tplc="8DBCFE9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D532B2"/>
    <w:multiLevelType w:val="hybridMultilevel"/>
    <w:tmpl w:val="2D06A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F7284"/>
    <w:multiLevelType w:val="hybridMultilevel"/>
    <w:tmpl w:val="FE3AA25A"/>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1A1137"/>
    <w:multiLevelType w:val="hybridMultilevel"/>
    <w:tmpl w:val="643E3A3C"/>
    <w:lvl w:ilvl="0" w:tplc="D8AA70EE">
      <w:start w:val="1"/>
      <w:numFmt w:val="bullet"/>
      <w:lvlText w:val=""/>
      <w:lvlJc w:val="left"/>
      <w:pPr>
        <w:ind w:left="783" w:hanging="360"/>
      </w:pPr>
      <w:rPr>
        <w:rFonts w:ascii="Symbol" w:hAnsi="Symbol" w:hint="default"/>
      </w:rPr>
    </w:lvl>
    <w:lvl w:ilvl="1" w:tplc="08090003">
      <w:start w:val="1"/>
      <w:numFmt w:val="bullet"/>
      <w:lvlText w:val="o"/>
      <w:lvlJc w:val="left"/>
      <w:pPr>
        <w:ind w:left="1209"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2C1F5E59"/>
    <w:multiLevelType w:val="hybridMultilevel"/>
    <w:tmpl w:val="85EE9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8016C8"/>
    <w:multiLevelType w:val="hybridMultilevel"/>
    <w:tmpl w:val="F24E60D8"/>
    <w:lvl w:ilvl="0" w:tplc="F910A48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5D0345"/>
    <w:multiLevelType w:val="hybridMultilevel"/>
    <w:tmpl w:val="1F5E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2D2140"/>
    <w:multiLevelType w:val="hybridMultilevel"/>
    <w:tmpl w:val="792AD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2340C4B"/>
    <w:multiLevelType w:val="hybridMultilevel"/>
    <w:tmpl w:val="E7183C44"/>
    <w:lvl w:ilvl="0" w:tplc="F910A48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B11D02"/>
    <w:multiLevelType w:val="hybridMultilevel"/>
    <w:tmpl w:val="F5707A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707CB0"/>
    <w:multiLevelType w:val="hybridMultilevel"/>
    <w:tmpl w:val="CCAE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A46AA"/>
    <w:multiLevelType w:val="hybridMultilevel"/>
    <w:tmpl w:val="67DA8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36668"/>
    <w:multiLevelType w:val="hybridMultilevel"/>
    <w:tmpl w:val="C77C7E86"/>
    <w:lvl w:ilvl="0" w:tplc="DB0264F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147AC0"/>
    <w:multiLevelType w:val="hybridMultilevel"/>
    <w:tmpl w:val="F8BCF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0" w15:restartNumberingAfterBreak="0">
    <w:nsid w:val="6018510B"/>
    <w:multiLevelType w:val="hybridMultilevel"/>
    <w:tmpl w:val="41A6FE4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7E39FB"/>
    <w:multiLevelType w:val="hybridMultilevel"/>
    <w:tmpl w:val="C6B48FF8"/>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F37159"/>
    <w:multiLevelType w:val="hybridMultilevel"/>
    <w:tmpl w:val="20A0F0FC"/>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853458"/>
    <w:multiLevelType w:val="hybridMultilevel"/>
    <w:tmpl w:val="A89CFE3C"/>
    <w:lvl w:ilvl="0" w:tplc="5024D01C">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606502"/>
    <w:multiLevelType w:val="hybridMultilevel"/>
    <w:tmpl w:val="8604DA6E"/>
    <w:lvl w:ilvl="0" w:tplc="F910A48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9C0F84"/>
    <w:multiLevelType w:val="hybridMultilevel"/>
    <w:tmpl w:val="525271CA"/>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667616"/>
    <w:multiLevelType w:val="hybridMultilevel"/>
    <w:tmpl w:val="71AE80EE"/>
    <w:lvl w:ilvl="0" w:tplc="F910A486">
      <w:start w:val="1"/>
      <w:numFmt w:val="bullet"/>
      <w:lvlText w:val=""/>
      <w:lvlJc w:val="left"/>
      <w:pPr>
        <w:ind w:left="-354" w:hanging="360"/>
      </w:pPr>
      <w:rPr>
        <w:rFonts w:ascii="Symbol" w:hAnsi="Symbol" w:hint="default"/>
      </w:rPr>
    </w:lvl>
    <w:lvl w:ilvl="1" w:tplc="FFFFFFFF" w:tentative="1">
      <w:start w:val="1"/>
      <w:numFmt w:val="bullet"/>
      <w:lvlText w:val="o"/>
      <w:lvlJc w:val="left"/>
      <w:pPr>
        <w:ind w:left="366" w:hanging="360"/>
      </w:pPr>
      <w:rPr>
        <w:rFonts w:ascii="Courier New" w:hAnsi="Courier New" w:cs="Courier New" w:hint="default"/>
      </w:rPr>
    </w:lvl>
    <w:lvl w:ilvl="2" w:tplc="FFFFFFFF" w:tentative="1">
      <w:start w:val="1"/>
      <w:numFmt w:val="bullet"/>
      <w:lvlText w:val=""/>
      <w:lvlJc w:val="left"/>
      <w:pPr>
        <w:ind w:left="1086" w:hanging="360"/>
      </w:pPr>
      <w:rPr>
        <w:rFonts w:ascii="Wingdings" w:hAnsi="Wingdings" w:hint="default"/>
      </w:rPr>
    </w:lvl>
    <w:lvl w:ilvl="3" w:tplc="FFFFFFFF" w:tentative="1">
      <w:start w:val="1"/>
      <w:numFmt w:val="bullet"/>
      <w:lvlText w:val=""/>
      <w:lvlJc w:val="left"/>
      <w:pPr>
        <w:ind w:left="1806" w:hanging="360"/>
      </w:pPr>
      <w:rPr>
        <w:rFonts w:ascii="Symbol" w:hAnsi="Symbol" w:hint="default"/>
      </w:rPr>
    </w:lvl>
    <w:lvl w:ilvl="4" w:tplc="FFFFFFFF" w:tentative="1">
      <w:start w:val="1"/>
      <w:numFmt w:val="bullet"/>
      <w:lvlText w:val="o"/>
      <w:lvlJc w:val="left"/>
      <w:pPr>
        <w:ind w:left="2526" w:hanging="360"/>
      </w:pPr>
      <w:rPr>
        <w:rFonts w:ascii="Courier New" w:hAnsi="Courier New" w:cs="Courier New" w:hint="default"/>
      </w:rPr>
    </w:lvl>
    <w:lvl w:ilvl="5" w:tplc="FFFFFFFF" w:tentative="1">
      <w:start w:val="1"/>
      <w:numFmt w:val="bullet"/>
      <w:lvlText w:val=""/>
      <w:lvlJc w:val="left"/>
      <w:pPr>
        <w:ind w:left="3246" w:hanging="360"/>
      </w:pPr>
      <w:rPr>
        <w:rFonts w:ascii="Wingdings" w:hAnsi="Wingdings" w:hint="default"/>
      </w:rPr>
    </w:lvl>
    <w:lvl w:ilvl="6" w:tplc="FFFFFFFF" w:tentative="1">
      <w:start w:val="1"/>
      <w:numFmt w:val="bullet"/>
      <w:lvlText w:val=""/>
      <w:lvlJc w:val="left"/>
      <w:pPr>
        <w:ind w:left="3966" w:hanging="360"/>
      </w:pPr>
      <w:rPr>
        <w:rFonts w:ascii="Symbol" w:hAnsi="Symbol" w:hint="default"/>
      </w:rPr>
    </w:lvl>
    <w:lvl w:ilvl="7" w:tplc="FFFFFFFF" w:tentative="1">
      <w:start w:val="1"/>
      <w:numFmt w:val="bullet"/>
      <w:lvlText w:val="o"/>
      <w:lvlJc w:val="left"/>
      <w:pPr>
        <w:ind w:left="4686" w:hanging="360"/>
      </w:pPr>
      <w:rPr>
        <w:rFonts w:ascii="Courier New" w:hAnsi="Courier New" w:cs="Courier New" w:hint="default"/>
      </w:rPr>
    </w:lvl>
    <w:lvl w:ilvl="8" w:tplc="FFFFFFFF" w:tentative="1">
      <w:start w:val="1"/>
      <w:numFmt w:val="bullet"/>
      <w:lvlText w:val=""/>
      <w:lvlJc w:val="left"/>
      <w:pPr>
        <w:ind w:left="5406" w:hanging="360"/>
      </w:pPr>
      <w:rPr>
        <w:rFonts w:ascii="Wingdings" w:hAnsi="Wingdings" w:hint="default"/>
      </w:rPr>
    </w:lvl>
  </w:abstractNum>
  <w:num w:numId="1" w16cid:durableId="1076784365">
    <w:abstractNumId w:val="0"/>
  </w:num>
  <w:num w:numId="2" w16cid:durableId="92538763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96234127">
    <w:abstractNumId w:val="35"/>
  </w:num>
  <w:num w:numId="4" w16cid:durableId="573588472">
    <w:abstractNumId w:val="8"/>
  </w:num>
  <w:num w:numId="5" w16cid:durableId="1959336486">
    <w:abstractNumId w:val="29"/>
  </w:num>
  <w:num w:numId="6" w16cid:durableId="1598295239">
    <w:abstractNumId w:val="23"/>
  </w:num>
  <w:num w:numId="7" w16cid:durableId="1634019300">
    <w:abstractNumId w:val="36"/>
  </w:num>
  <w:num w:numId="8" w16cid:durableId="552892326">
    <w:abstractNumId w:val="32"/>
  </w:num>
  <w:num w:numId="9" w16cid:durableId="1674992403">
    <w:abstractNumId w:val="21"/>
  </w:num>
  <w:num w:numId="10" w16cid:durableId="1006978049">
    <w:abstractNumId w:val="37"/>
  </w:num>
  <w:num w:numId="11" w16cid:durableId="376706348">
    <w:abstractNumId w:val="14"/>
  </w:num>
  <w:num w:numId="12" w16cid:durableId="1635477953">
    <w:abstractNumId w:val="31"/>
  </w:num>
  <w:num w:numId="13" w16cid:durableId="1568760553">
    <w:abstractNumId w:val="19"/>
  </w:num>
  <w:num w:numId="14" w16cid:durableId="1530214513">
    <w:abstractNumId w:val="7"/>
  </w:num>
  <w:num w:numId="15" w16cid:durableId="391778356">
    <w:abstractNumId w:val="15"/>
  </w:num>
  <w:num w:numId="16" w16cid:durableId="1480533020">
    <w:abstractNumId w:val="34"/>
  </w:num>
  <w:num w:numId="17" w16cid:durableId="2016881601">
    <w:abstractNumId w:val="22"/>
  </w:num>
  <w:num w:numId="18" w16cid:durableId="1050492948">
    <w:abstractNumId w:val="38"/>
  </w:num>
  <w:num w:numId="19" w16cid:durableId="29771386">
    <w:abstractNumId w:val="11"/>
  </w:num>
  <w:num w:numId="20" w16cid:durableId="2029330783">
    <w:abstractNumId w:val="30"/>
  </w:num>
  <w:num w:numId="21" w16cid:durableId="2047677393">
    <w:abstractNumId w:val="33"/>
  </w:num>
  <w:num w:numId="22" w16cid:durableId="1823501885">
    <w:abstractNumId w:val="27"/>
  </w:num>
  <w:num w:numId="23" w16cid:durableId="1523787740">
    <w:abstractNumId w:val="9"/>
  </w:num>
  <w:num w:numId="24" w16cid:durableId="1874806968">
    <w:abstractNumId w:val="18"/>
  </w:num>
  <w:num w:numId="25" w16cid:durableId="219249191">
    <w:abstractNumId w:val="2"/>
  </w:num>
  <w:num w:numId="26" w16cid:durableId="1958293174">
    <w:abstractNumId w:val="6"/>
  </w:num>
  <w:num w:numId="27" w16cid:durableId="925532147">
    <w:abstractNumId w:val="26"/>
  </w:num>
  <w:num w:numId="28" w16cid:durableId="1388723193">
    <w:abstractNumId w:val="25"/>
  </w:num>
  <w:num w:numId="29" w16cid:durableId="184253412">
    <w:abstractNumId w:val="13"/>
  </w:num>
  <w:num w:numId="30" w16cid:durableId="841553718">
    <w:abstractNumId w:val="10"/>
  </w:num>
  <w:num w:numId="31" w16cid:durableId="414278710">
    <w:abstractNumId w:val="5"/>
  </w:num>
  <w:num w:numId="32" w16cid:durableId="749304133">
    <w:abstractNumId w:val="28"/>
  </w:num>
  <w:num w:numId="33" w16cid:durableId="412972602">
    <w:abstractNumId w:val="12"/>
  </w:num>
  <w:num w:numId="34" w16cid:durableId="1598366024">
    <w:abstractNumId w:val="24"/>
  </w:num>
  <w:num w:numId="35" w16cid:durableId="1878737037">
    <w:abstractNumId w:val="20"/>
  </w:num>
  <w:num w:numId="36" w16cid:durableId="889614400">
    <w:abstractNumId w:val="16"/>
  </w:num>
  <w:num w:numId="37" w16cid:durableId="166135747">
    <w:abstractNumId w:val="3"/>
  </w:num>
  <w:num w:numId="38" w16cid:durableId="1934319004">
    <w:abstractNumId w:val="17"/>
  </w:num>
  <w:num w:numId="39" w16cid:durableId="9917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FD"/>
    <w:rsid w:val="00051E39"/>
    <w:rsid w:val="00071048"/>
    <w:rsid w:val="00075C63"/>
    <w:rsid w:val="00076615"/>
    <w:rsid w:val="00077239"/>
    <w:rsid w:val="00080905"/>
    <w:rsid w:val="000822BE"/>
    <w:rsid w:val="00085BBC"/>
    <w:rsid w:val="00086491"/>
    <w:rsid w:val="00091346"/>
    <w:rsid w:val="000970EB"/>
    <w:rsid w:val="000B1248"/>
    <w:rsid w:val="000B3246"/>
    <w:rsid w:val="000B7E7B"/>
    <w:rsid w:val="000F73FF"/>
    <w:rsid w:val="00114CF7"/>
    <w:rsid w:val="00123B68"/>
    <w:rsid w:val="00126F2E"/>
    <w:rsid w:val="00143B37"/>
    <w:rsid w:val="001451CC"/>
    <w:rsid w:val="00146F6F"/>
    <w:rsid w:val="00147DA1"/>
    <w:rsid w:val="00152957"/>
    <w:rsid w:val="00162685"/>
    <w:rsid w:val="00187BD9"/>
    <w:rsid w:val="00190B55"/>
    <w:rsid w:val="00194CFB"/>
    <w:rsid w:val="001B2ED3"/>
    <w:rsid w:val="001C3B5F"/>
    <w:rsid w:val="001D058F"/>
    <w:rsid w:val="001D2F09"/>
    <w:rsid w:val="002009EA"/>
    <w:rsid w:val="00202CA0"/>
    <w:rsid w:val="002154A6"/>
    <w:rsid w:val="002162CD"/>
    <w:rsid w:val="002255B3"/>
    <w:rsid w:val="00236E8A"/>
    <w:rsid w:val="00245A45"/>
    <w:rsid w:val="00271316"/>
    <w:rsid w:val="00296313"/>
    <w:rsid w:val="002A2717"/>
    <w:rsid w:val="002D58BE"/>
    <w:rsid w:val="003013EE"/>
    <w:rsid w:val="00312D78"/>
    <w:rsid w:val="003711D7"/>
    <w:rsid w:val="00371686"/>
    <w:rsid w:val="00377BD3"/>
    <w:rsid w:val="00384088"/>
    <w:rsid w:val="0038489B"/>
    <w:rsid w:val="0039169B"/>
    <w:rsid w:val="003A7F8C"/>
    <w:rsid w:val="003B532E"/>
    <w:rsid w:val="003B6F14"/>
    <w:rsid w:val="003D009F"/>
    <w:rsid w:val="003D0F8B"/>
    <w:rsid w:val="003D7B26"/>
    <w:rsid w:val="004131D4"/>
    <w:rsid w:val="0041348E"/>
    <w:rsid w:val="00437E3B"/>
    <w:rsid w:val="00447308"/>
    <w:rsid w:val="004765FF"/>
    <w:rsid w:val="00492075"/>
    <w:rsid w:val="004969AD"/>
    <w:rsid w:val="004B13CB"/>
    <w:rsid w:val="004B4FDF"/>
    <w:rsid w:val="004C01E7"/>
    <w:rsid w:val="004D5D5C"/>
    <w:rsid w:val="004E0DD0"/>
    <w:rsid w:val="004E5C86"/>
    <w:rsid w:val="004F1CD2"/>
    <w:rsid w:val="0050139F"/>
    <w:rsid w:val="00512B34"/>
    <w:rsid w:val="00521223"/>
    <w:rsid w:val="00524DF1"/>
    <w:rsid w:val="00531DAF"/>
    <w:rsid w:val="00531FE9"/>
    <w:rsid w:val="0055140B"/>
    <w:rsid w:val="00554C4F"/>
    <w:rsid w:val="00561D72"/>
    <w:rsid w:val="005964AB"/>
    <w:rsid w:val="005B44F5"/>
    <w:rsid w:val="005C099A"/>
    <w:rsid w:val="005C31A5"/>
    <w:rsid w:val="005E1050"/>
    <w:rsid w:val="005E10C9"/>
    <w:rsid w:val="005E61DD"/>
    <w:rsid w:val="005E6321"/>
    <w:rsid w:val="005F3240"/>
    <w:rsid w:val="006023DF"/>
    <w:rsid w:val="00607EF3"/>
    <w:rsid w:val="00612FBF"/>
    <w:rsid w:val="00616175"/>
    <w:rsid w:val="0064322F"/>
    <w:rsid w:val="0065683A"/>
    <w:rsid w:val="00657DE0"/>
    <w:rsid w:val="0067199F"/>
    <w:rsid w:val="00685313"/>
    <w:rsid w:val="00687B47"/>
    <w:rsid w:val="006A3B90"/>
    <w:rsid w:val="006A6E9B"/>
    <w:rsid w:val="006B7C2A"/>
    <w:rsid w:val="006C23DA"/>
    <w:rsid w:val="006C59B9"/>
    <w:rsid w:val="006C5E3F"/>
    <w:rsid w:val="006E3D45"/>
    <w:rsid w:val="007149F9"/>
    <w:rsid w:val="00716D34"/>
    <w:rsid w:val="00733A30"/>
    <w:rsid w:val="00745AEE"/>
    <w:rsid w:val="007479EA"/>
    <w:rsid w:val="00750F10"/>
    <w:rsid w:val="007742CA"/>
    <w:rsid w:val="007A1872"/>
    <w:rsid w:val="007D06F0"/>
    <w:rsid w:val="007D45E3"/>
    <w:rsid w:val="007D5320"/>
    <w:rsid w:val="007E1CA3"/>
    <w:rsid w:val="007F735C"/>
    <w:rsid w:val="00800972"/>
    <w:rsid w:val="0080295B"/>
    <w:rsid w:val="00804475"/>
    <w:rsid w:val="00811633"/>
    <w:rsid w:val="00813D95"/>
    <w:rsid w:val="00821CEF"/>
    <w:rsid w:val="00823B1F"/>
    <w:rsid w:val="00832828"/>
    <w:rsid w:val="0083645A"/>
    <w:rsid w:val="00837396"/>
    <w:rsid w:val="00840B0F"/>
    <w:rsid w:val="008631A7"/>
    <w:rsid w:val="0086376E"/>
    <w:rsid w:val="008711AE"/>
    <w:rsid w:val="00872FC8"/>
    <w:rsid w:val="00874598"/>
    <w:rsid w:val="008801D3"/>
    <w:rsid w:val="008845D0"/>
    <w:rsid w:val="00895CEE"/>
    <w:rsid w:val="008B43F2"/>
    <w:rsid w:val="008B4A39"/>
    <w:rsid w:val="008B61EA"/>
    <w:rsid w:val="008B62EA"/>
    <w:rsid w:val="008B6CFF"/>
    <w:rsid w:val="00910B26"/>
    <w:rsid w:val="00912730"/>
    <w:rsid w:val="009274B4"/>
    <w:rsid w:val="00934EA2"/>
    <w:rsid w:val="00944A5C"/>
    <w:rsid w:val="009461EC"/>
    <w:rsid w:val="00952A66"/>
    <w:rsid w:val="009766C5"/>
    <w:rsid w:val="009C56E5"/>
    <w:rsid w:val="009D2796"/>
    <w:rsid w:val="009E5795"/>
    <w:rsid w:val="009E5FC8"/>
    <w:rsid w:val="009E687A"/>
    <w:rsid w:val="00A023EF"/>
    <w:rsid w:val="00A03C5C"/>
    <w:rsid w:val="00A066F1"/>
    <w:rsid w:val="00A141AF"/>
    <w:rsid w:val="00A16D29"/>
    <w:rsid w:val="00A20E5E"/>
    <w:rsid w:val="00A30305"/>
    <w:rsid w:val="00A31D2D"/>
    <w:rsid w:val="00A4600A"/>
    <w:rsid w:val="00A538A6"/>
    <w:rsid w:val="00A54C25"/>
    <w:rsid w:val="00A56AB8"/>
    <w:rsid w:val="00A56F19"/>
    <w:rsid w:val="00A710E7"/>
    <w:rsid w:val="00A72661"/>
    <w:rsid w:val="00A7372E"/>
    <w:rsid w:val="00A93B85"/>
    <w:rsid w:val="00AA0B18"/>
    <w:rsid w:val="00AA14C0"/>
    <w:rsid w:val="00AA32DA"/>
    <w:rsid w:val="00AA666F"/>
    <w:rsid w:val="00AB4927"/>
    <w:rsid w:val="00B004E5"/>
    <w:rsid w:val="00B15F9D"/>
    <w:rsid w:val="00B639E9"/>
    <w:rsid w:val="00B720A7"/>
    <w:rsid w:val="00B817CD"/>
    <w:rsid w:val="00B911B2"/>
    <w:rsid w:val="00B951D0"/>
    <w:rsid w:val="00BA70B7"/>
    <w:rsid w:val="00BA78E0"/>
    <w:rsid w:val="00BB29C8"/>
    <w:rsid w:val="00BB3A95"/>
    <w:rsid w:val="00BC0382"/>
    <w:rsid w:val="00BE1A9F"/>
    <w:rsid w:val="00C0018F"/>
    <w:rsid w:val="00C11817"/>
    <w:rsid w:val="00C20466"/>
    <w:rsid w:val="00C214ED"/>
    <w:rsid w:val="00C234E6"/>
    <w:rsid w:val="00C324A8"/>
    <w:rsid w:val="00C54517"/>
    <w:rsid w:val="00C64CD8"/>
    <w:rsid w:val="00C90466"/>
    <w:rsid w:val="00C97C68"/>
    <w:rsid w:val="00CA1A47"/>
    <w:rsid w:val="00CB2BB6"/>
    <w:rsid w:val="00CC247A"/>
    <w:rsid w:val="00CC5FE3"/>
    <w:rsid w:val="00CE5E47"/>
    <w:rsid w:val="00CF020F"/>
    <w:rsid w:val="00CF2B5B"/>
    <w:rsid w:val="00D02508"/>
    <w:rsid w:val="00D14CE0"/>
    <w:rsid w:val="00D36333"/>
    <w:rsid w:val="00D5651D"/>
    <w:rsid w:val="00D61C5B"/>
    <w:rsid w:val="00D70CE0"/>
    <w:rsid w:val="00D74898"/>
    <w:rsid w:val="00D801ED"/>
    <w:rsid w:val="00D81E43"/>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91413"/>
    <w:rsid w:val="00E976C1"/>
    <w:rsid w:val="00EA12E5"/>
    <w:rsid w:val="00EB3AB5"/>
    <w:rsid w:val="00F02766"/>
    <w:rsid w:val="00F04067"/>
    <w:rsid w:val="00F05BD4"/>
    <w:rsid w:val="00F05EB0"/>
    <w:rsid w:val="00F10562"/>
    <w:rsid w:val="00F11A98"/>
    <w:rsid w:val="00F21A1D"/>
    <w:rsid w:val="00F2683C"/>
    <w:rsid w:val="00F55058"/>
    <w:rsid w:val="00F65C19"/>
    <w:rsid w:val="00F87CC0"/>
    <w:rsid w:val="00F9616C"/>
    <w:rsid w:val="00FA6A3B"/>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5AE80"/>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aliases w:val="footer odd,footer,fo,pie de página"/>
    <w:basedOn w:val="Normal"/>
    <w:link w:val="FooterChar"/>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aliases w:val="footer odd Char,footer Char,fo Char,pie de página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header odd1,header odd2,header,header odd3,header odd4,header odd5,header odd6,header1,header2,header3,header odd11,header odd21,header odd7,header4,header odd8,header odd9,header5,header odd12"/>
    <w:basedOn w:val="Normal"/>
    <w:link w:val="HeaderChar"/>
    <w:qFormat/>
    <w:rsid w:val="00745AEE"/>
    <w:pPr>
      <w:spacing w:before="0"/>
      <w:jc w:val="center"/>
    </w:pPr>
    <w:rPr>
      <w:sz w:val="18"/>
    </w:rPr>
  </w:style>
  <w:style w:type="character" w:customStyle="1" w:styleId="HeaderChar">
    <w:name w:val="Header Char"/>
    <w:aliases w:val="h Char,Header/Footer Char,header odd Char,header entry Char,HE Char,页眉 Char,header odd1 Char,header odd2 Char,header Char,header odd3 Char,header odd4 Char,header odd5 Char,header odd6 Char,header1 Char,header2 Char,header3 Char,header4 Char"/>
    <w:basedOn w:val="DefaultParagraphFont"/>
    <w:link w:val="Header"/>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qFormat/>
    <w:rsid w:val="001D058F"/>
    <w:pPr>
      <w:spacing w:before="120"/>
    </w:pPr>
  </w:style>
  <w:style w:type="paragraph" w:styleId="TOC3">
    <w:name w:val="toc 3"/>
    <w:basedOn w:val="TOC2"/>
    <w:qFormat/>
    <w:rsid w:val="001D058F"/>
  </w:style>
  <w:style w:type="paragraph" w:styleId="TOC4">
    <w:name w:val="toc 4"/>
    <w:basedOn w:val="TOC3"/>
    <w:qFormat/>
    <w:rsid w:val="001D058F"/>
  </w:style>
  <w:style w:type="paragraph" w:styleId="TOC5">
    <w:name w:val="toc 5"/>
    <w:basedOn w:val="TOC4"/>
    <w:qFormat/>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qFormat/>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styleId="FollowedHyperlink">
    <w:name w:val="FollowedHyperlink"/>
    <w:basedOn w:val="DefaultParagraphFont"/>
    <w:unhideWhenUsed/>
    <w:rsid w:val="000B7E7B"/>
    <w:rPr>
      <w:color w:val="800080" w:themeColor="followedHyperlink"/>
      <w:u w:val="single"/>
    </w:rPr>
  </w:style>
  <w:style w:type="character" w:customStyle="1" w:styleId="UnresolvedMention1">
    <w:name w:val="Unresolved Mention1"/>
    <w:basedOn w:val="DefaultParagraphFont"/>
    <w:uiPriority w:val="99"/>
    <w:semiHidden/>
    <w:unhideWhenUsed/>
    <w:rsid w:val="000B7E7B"/>
    <w:rPr>
      <w:color w:val="605E5C"/>
      <w:shd w:val="clear" w:color="auto" w:fill="E1DFDD"/>
    </w:rPr>
  </w:style>
  <w:style w:type="table" w:styleId="TableGrid">
    <w:name w:val="Table Grid"/>
    <w:basedOn w:val="TableNormal"/>
    <w:uiPriority w:val="39"/>
    <w:qFormat/>
    <w:rsid w:val="000B7E7B"/>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0B7E7B"/>
    <w:rPr>
      <w:rFonts w:asciiTheme="minorHAnsi" w:hAnsiTheme="minorHAnsi"/>
      <w:sz w:val="24"/>
      <w:lang w:val="en-GB" w:eastAsia="en-US"/>
    </w:rPr>
  </w:style>
  <w:style w:type="paragraph" w:customStyle="1" w:styleId="Default">
    <w:name w:val="Default"/>
    <w:qFormat/>
    <w:rsid w:val="000B7E7B"/>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qFormat/>
    <w:rsid w:val="000B7E7B"/>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unhideWhenUsed/>
    <w:rsid w:val="000B7E7B"/>
    <w:rPr>
      <w:sz w:val="16"/>
      <w:szCs w:val="16"/>
    </w:rPr>
  </w:style>
  <w:style w:type="paragraph" w:styleId="CommentText">
    <w:name w:val="annotation text"/>
    <w:basedOn w:val="Normal"/>
    <w:link w:val="CommentTextChar"/>
    <w:unhideWhenUsed/>
    <w:qFormat/>
    <w:rsid w:val="000B7E7B"/>
    <w:pPr>
      <w:tabs>
        <w:tab w:val="clear" w:pos="1134"/>
        <w:tab w:val="clear" w:pos="1871"/>
        <w:tab w:val="clear" w:pos="2268"/>
      </w:tabs>
      <w:overflowPunct/>
      <w:autoSpaceDE/>
      <w:autoSpaceDN/>
      <w:adjustRightInd/>
      <w:spacing w:before="0"/>
      <w:textAlignment w:val="auto"/>
    </w:pPr>
    <w:rPr>
      <w:rFonts w:ascii="Times New Roman" w:eastAsia="Batang" w:hAnsi="Times New Roman"/>
      <w:sz w:val="20"/>
      <w:szCs w:val="24"/>
      <w:lang w:val="en-US"/>
    </w:rPr>
  </w:style>
  <w:style w:type="character" w:customStyle="1" w:styleId="CommentTextChar">
    <w:name w:val="Comment Text Char"/>
    <w:basedOn w:val="DefaultParagraphFont"/>
    <w:link w:val="CommentText"/>
    <w:rsid w:val="000B7E7B"/>
    <w:rPr>
      <w:rFonts w:ascii="Times New Roman" w:eastAsia="Batang" w:hAnsi="Times New Roman"/>
      <w:szCs w:val="24"/>
      <w:lang w:eastAsia="en-US"/>
    </w:rPr>
  </w:style>
  <w:style w:type="paragraph" w:styleId="CommentSubject">
    <w:name w:val="annotation subject"/>
    <w:basedOn w:val="CommentText"/>
    <w:next w:val="CommentText"/>
    <w:link w:val="CommentSubjectChar"/>
    <w:unhideWhenUsed/>
    <w:rsid w:val="000B7E7B"/>
    <w:rPr>
      <w:b/>
      <w:bCs/>
    </w:rPr>
  </w:style>
  <w:style w:type="character" w:customStyle="1" w:styleId="CommentSubjectChar">
    <w:name w:val="Comment Subject Char"/>
    <w:basedOn w:val="CommentTextChar"/>
    <w:link w:val="CommentSubject"/>
    <w:rsid w:val="000B7E7B"/>
    <w:rPr>
      <w:rFonts w:ascii="Times New Roman" w:eastAsia="Batang" w:hAnsi="Times New Roman"/>
      <w:b/>
      <w:bCs/>
      <w:szCs w:val="24"/>
      <w:lang w:eastAsia="en-US"/>
    </w:rPr>
  </w:style>
  <w:style w:type="paragraph" w:styleId="Revision">
    <w:name w:val="Revision"/>
    <w:hidden/>
    <w:uiPriority w:val="99"/>
    <w:rsid w:val="000B7E7B"/>
    <w:rPr>
      <w:rFonts w:asciiTheme="minorHAnsi" w:eastAsia="Batang" w:hAnsiTheme="minorHAnsi"/>
      <w:sz w:val="24"/>
      <w:lang w:val="en-GB" w:eastAsia="en-US"/>
    </w:rPr>
  </w:style>
  <w:style w:type="paragraph" w:customStyle="1" w:styleId="CEOAgendaItemN">
    <w:name w:val="CEO_AgendaItemN°"/>
    <w:basedOn w:val="Normal"/>
    <w:qFormat/>
    <w:rsid w:val="000B7E7B"/>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0B7E7B"/>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0B7E7B"/>
    <w:rPr>
      <w:color w:val="605E5C"/>
      <w:shd w:val="clear" w:color="auto" w:fill="E1DFDD"/>
    </w:rPr>
  </w:style>
  <w:style w:type="paragraph" w:styleId="HTMLPreformatted">
    <w:name w:val="HTML Preformatted"/>
    <w:basedOn w:val="Normal"/>
    <w:link w:val="HTMLPreformattedChar"/>
    <w:uiPriority w:val="99"/>
    <w:unhideWhenUsed/>
    <w:qFormat/>
    <w:rsid w:val="000B7E7B"/>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0B7E7B"/>
    <w:rPr>
      <w:rFonts w:ascii="GulimChe" w:eastAsia="GulimChe" w:hAnsi="GulimChe"/>
      <w:sz w:val="24"/>
      <w:szCs w:val="24"/>
      <w:lang w:val="zh-CN"/>
    </w:rPr>
  </w:style>
  <w:style w:type="paragraph" w:styleId="NormalWeb">
    <w:name w:val="Normal (Web)"/>
    <w:basedOn w:val="Normal"/>
    <w:uiPriority w:val="99"/>
    <w:unhideWhenUsed/>
    <w:rsid w:val="000B7E7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paragraph" w:customStyle="1" w:styleId="paragraph">
    <w:name w:val="paragraph"/>
    <w:basedOn w:val="Normal"/>
    <w:rsid w:val="000B7E7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normaltextrun">
    <w:name w:val="normaltextrun"/>
    <w:basedOn w:val="DefaultParagraphFont"/>
    <w:rsid w:val="000B7E7B"/>
  </w:style>
  <w:style w:type="character" w:customStyle="1" w:styleId="eop">
    <w:name w:val="eop"/>
    <w:basedOn w:val="DefaultParagraphFont"/>
    <w:rsid w:val="000B7E7B"/>
  </w:style>
  <w:style w:type="character" w:customStyle="1" w:styleId="scxw258445063">
    <w:name w:val="scxw258445063"/>
    <w:basedOn w:val="DefaultParagraphFont"/>
    <w:rsid w:val="000B7E7B"/>
  </w:style>
  <w:style w:type="character" w:customStyle="1" w:styleId="scxw107409825">
    <w:name w:val="scxw107409825"/>
    <w:basedOn w:val="DefaultParagraphFont"/>
    <w:rsid w:val="000B7E7B"/>
  </w:style>
  <w:style w:type="character" w:customStyle="1" w:styleId="scxw173330466">
    <w:name w:val="scxw173330466"/>
    <w:basedOn w:val="DefaultParagraphFont"/>
    <w:rsid w:val="000B7E7B"/>
  </w:style>
  <w:style w:type="character" w:styleId="Strong">
    <w:name w:val="Strong"/>
    <w:basedOn w:val="DefaultParagraphFont"/>
    <w:uiPriority w:val="22"/>
    <w:qFormat/>
    <w:rsid w:val="000B7E7B"/>
    <w:rPr>
      <w:b/>
      <w:bCs/>
    </w:rPr>
  </w:style>
  <w:style w:type="character" w:styleId="Emphasis">
    <w:name w:val="Emphasis"/>
    <w:basedOn w:val="DefaultParagraphFont"/>
    <w:uiPriority w:val="20"/>
    <w:qFormat/>
    <w:rsid w:val="000B7E7B"/>
    <w:rPr>
      <w:i/>
      <w:iCs/>
    </w:rPr>
  </w:style>
  <w:style w:type="character" w:customStyle="1" w:styleId="CEOHeader1Char">
    <w:name w:val="CEO_Header1 Char"/>
    <w:basedOn w:val="DefaultParagraphFont"/>
    <w:link w:val="CEOHeader1"/>
    <w:locked/>
    <w:rsid w:val="000B7E7B"/>
    <w:rPr>
      <w:rFonts w:ascii="Verdana" w:hAnsi="Verdana" w:cs="Simplified Arabic"/>
      <w:b/>
      <w:bCs/>
      <w:sz w:val="19"/>
      <w:szCs w:val="19"/>
      <w:lang w:eastAsia="en-US"/>
    </w:rPr>
  </w:style>
  <w:style w:type="paragraph" w:customStyle="1" w:styleId="CEOHeader1">
    <w:name w:val="CEO_Header1"/>
    <w:basedOn w:val="Normal"/>
    <w:link w:val="CEOHeader1Char"/>
    <w:rsid w:val="000B7E7B"/>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character" w:customStyle="1" w:styleId="Heading1Char">
    <w:name w:val="Heading 1 Char"/>
    <w:link w:val="Heading1"/>
    <w:rsid w:val="000B7E7B"/>
    <w:rPr>
      <w:rFonts w:asciiTheme="minorHAnsi" w:hAnsiTheme="minorHAnsi"/>
      <w:b/>
      <w:sz w:val="28"/>
      <w:lang w:val="en-GB" w:eastAsia="en-US"/>
    </w:rPr>
  </w:style>
  <w:style w:type="character" w:customStyle="1" w:styleId="Heading2Char">
    <w:name w:val="Heading 2 Char"/>
    <w:link w:val="Heading2"/>
    <w:rsid w:val="000B7E7B"/>
    <w:rPr>
      <w:rFonts w:asciiTheme="minorHAnsi" w:hAnsiTheme="minorHAnsi"/>
      <w:b/>
      <w:sz w:val="24"/>
      <w:lang w:val="en-GB" w:eastAsia="en-US"/>
    </w:rPr>
  </w:style>
  <w:style w:type="character" w:customStyle="1" w:styleId="Heading3Char">
    <w:name w:val="Heading 3 Char"/>
    <w:link w:val="Heading3"/>
    <w:rsid w:val="000B7E7B"/>
    <w:rPr>
      <w:rFonts w:asciiTheme="minorHAnsi" w:hAnsiTheme="minorHAnsi"/>
      <w:b/>
      <w:sz w:val="24"/>
      <w:lang w:val="en-GB" w:eastAsia="en-US"/>
    </w:rPr>
  </w:style>
  <w:style w:type="character" w:customStyle="1" w:styleId="Heading4Char">
    <w:name w:val="Heading 4 Char"/>
    <w:basedOn w:val="DefaultParagraphFont"/>
    <w:link w:val="Heading4"/>
    <w:rsid w:val="000B7E7B"/>
    <w:rPr>
      <w:rFonts w:asciiTheme="minorHAnsi" w:hAnsiTheme="minorHAnsi"/>
      <w:b/>
      <w:sz w:val="24"/>
      <w:lang w:val="en-GB" w:eastAsia="en-US"/>
    </w:rPr>
  </w:style>
  <w:style w:type="character" w:customStyle="1" w:styleId="Heading5Char">
    <w:name w:val="Heading 5 Char"/>
    <w:basedOn w:val="DefaultParagraphFont"/>
    <w:link w:val="Heading5"/>
    <w:rsid w:val="000B7E7B"/>
    <w:rPr>
      <w:rFonts w:asciiTheme="minorHAnsi" w:hAnsiTheme="minorHAnsi"/>
      <w:b/>
      <w:sz w:val="24"/>
      <w:lang w:val="en-GB" w:eastAsia="en-US"/>
    </w:rPr>
  </w:style>
  <w:style w:type="character" w:customStyle="1" w:styleId="Heading6Char">
    <w:name w:val="Heading 6 Char"/>
    <w:basedOn w:val="DefaultParagraphFont"/>
    <w:link w:val="Heading6"/>
    <w:rsid w:val="000B7E7B"/>
    <w:rPr>
      <w:rFonts w:asciiTheme="minorHAnsi" w:hAnsiTheme="minorHAnsi"/>
      <w:b/>
      <w:sz w:val="24"/>
      <w:lang w:val="en-GB" w:eastAsia="en-US"/>
    </w:rPr>
  </w:style>
  <w:style w:type="character" w:customStyle="1" w:styleId="Heading7Char">
    <w:name w:val="Heading 7 Char"/>
    <w:basedOn w:val="DefaultParagraphFont"/>
    <w:link w:val="Heading7"/>
    <w:rsid w:val="000B7E7B"/>
    <w:rPr>
      <w:rFonts w:asciiTheme="minorHAnsi" w:hAnsiTheme="minorHAnsi"/>
      <w:b/>
      <w:sz w:val="24"/>
      <w:lang w:val="en-GB" w:eastAsia="en-US"/>
    </w:rPr>
  </w:style>
  <w:style w:type="character" w:customStyle="1" w:styleId="Heading8Char">
    <w:name w:val="Heading 8 Char"/>
    <w:basedOn w:val="DefaultParagraphFont"/>
    <w:link w:val="Heading8"/>
    <w:rsid w:val="000B7E7B"/>
    <w:rPr>
      <w:rFonts w:asciiTheme="minorHAnsi" w:hAnsiTheme="minorHAnsi"/>
      <w:b/>
      <w:sz w:val="24"/>
      <w:lang w:val="en-GB" w:eastAsia="en-US"/>
    </w:rPr>
  </w:style>
  <w:style w:type="character" w:customStyle="1" w:styleId="Heading9Char">
    <w:name w:val="Heading 9 Char"/>
    <w:basedOn w:val="DefaultParagraphFont"/>
    <w:link w:val="Heading9"/>
    <w:rsid w:val="000B7E7B"/>
    <w:rPr>
      <w:rFonts w:asciiTheme="minorHAnsi" w:hAnsiTheme="minorHAnsi"/>
      <w:b/>
      <w:sz w:val="24"/>
      <w:lang w:val="en-GB" w:eastAsia="en-US"/>
    </w:rPr>
  </w:style>
  <w:style w:type="character" w:customStyle="1" w:styleId="CallChar">
    <w:name w:val="Call Char"/>
    <w:link w:val="Call"/>
    <w:rsid w:val="000B7E7B"/>
    <w:rPr>
      <w:rFonts w:asciiTheme="minorHAnsi" w:hAnsiTheme="minorHAnsi"/>
      <w:i/>
      <w:sz w:val="24"/>
      <w:lang w:val="en-GB" w:eastAsia="en-US"/>
    </w:rPr>
  </w:style>
  <w:style w:type="character" w:customStyle="1" w:styleId="FigureNoChar">
    <w:name w:val="Figure_No Char"/>
    <w:basedOn w:val="DefaultParagraphFont"/>
    <w:link w:val="FigureNo"/>
    <w:rsid w:val="000B7E7B"/>
    <w:rPr>
      <w:rFonts w:asciiTheme="minorHAnsi" w:hAnsiTheme="minorHAnsi"/>
      <w:caps/>
      <w:lang w:val="en-GB" w:eastAsia="en-US"/>
    </w:rPr>
  </w:style>
  <w:style w:type="character" w:customStyle="1" w:styleId="FiguretitleChar">
    <w:name w:val="Figure_title Char"/>
    <w:basedOn w:val="DefaultParagraphFont"/>
    <w:link w:val="Figuretitle"/>
    <w:rsid w:val="000B7E7B"/>
    <w:rPr>
      <w:rFonts w:asciiTheme="minorHAnsi" w:hAnsiTheme="minorHAnsi"/>
      <w:b/>
      <w:lang w:val="en-GB" w:eastAsia="en-US"/>
    </w:rPr>
  </w:style>
  <w:style w:type="character" w:customStyle="1" w:styleId="SourceChar">
    <w:name w:val="Source Char"/>
    <w:link w:val="Source"/>
    <w:locked/>
    <w:rsid w:val="000B7E7B"/>
    <w:rPr>
      <w:rFonts w:asciiTheme="minorHAnsi" w:hAnsiTheme="minorHAnsi"/>
      <w:b/>
      <w:sz w:val="28"/>
      <w:lang w:val="en-GB" w:eastAsia="en-US"/>
    </w:rPr>
  </w:style>
  <w:style w:type="character" w:customStyle="1" w:styleId="Title1Char">
    <w:name w:val="Title 1 Char"/>
    <w:link w:val="Title1"/>
    <w:qFormat/>
    <w:locked/>
    <w:rsid w:val="000B7E7B"/>
    <w:rPr>
      <w:rFonts w:asciiTheme="minorHAnsi" w:hAnsiTheme="minorHAnsi"/>
      <w:caps/>
      <w:sz w:val="28"/>
      <w:lang w:val="en-GB" w:eastAsia="en-US"/>
    </w:rPr>
  </w:style>
  <w:style w:type="character" w:customStyle="1" w:styleId="TabletextChar">
    <w:name w:val="Table_text Char"/>
    <w:link w:val="Tabletext"/>
    <w:locked/>
    <w:rsid w:val="000B7E7B"/>
    <w:rPr>
      <w:rFonts w:asciiTheme="minorHAnsi" w:hAnsiTheme="minorHAnsi"/>
      <w:lang w:val="en-GB" w:eastAsia="en-US"/>
    </w:rPr>
  </w:style>
  <w:style w:type="character" w:customStyle="1" w:styleId="HeadingbChar">
    <w:name w:val="Heading_b Char"/>
    <w:basedOn w:val="DefaultParagraphFont"/>
    <w:link w:val="Headingb"/>
    <w:locked/>
    <w:rsid w:val="000B7E7B"/>
    <w:rPr>
      <w:rFonts w:asciiTheme="minorHAnsi" w:hAnsiTheme="minorHAnsi" w:cs="Times New Roman Bold"/>
      <w:b/>
      <w:sz w:val="24"/>
      <w:lang w:val="fr-CH" w:eastAsia="en-US"/>
    </w:rPr>
  </w:style>
  <w:style w:type="character" w:customStyle="1" w:styleId="ResNoChar">
    <w:name w:val="Res_No Char"/>
    <w:basedOn w:val="DefaultParagraphFont"/>
    <w:link w:val="ResNo"/>
    <w:rsid w:val="000B7E7B"/>
    <w:rPr>
      <w:rFonts w:asciiTheme="minorHAnsi" w:hAnsiTheme="minorHAnsi"/>
      <w:caps/>
      <w:sz w:val="28"/>
      <w:lang w:val="en-GB" w:eastAsia="en-US"/>
    </w:rPr>
  </w:style>
  <w:style w:type="character" w:customStyle="1" w:styleId="RestitleChar">
    <w:name w:val="Res_title Char"/>
    <w:link w:val="Restitle"/>
    <w:rsid w:val="000B7E7B"/>
    <w:rPr>
      <w:rFonts w:asciiTheme="minorHAnsi" w:hAnsiTheme="minorHAnsi"/>
      <w:b/>
      <w:sz w:val="28"/>
      <w:lang w:val="en-GB" w:eastAsia="en-US"/>
    </w:rPr>
  </w:style>
  <w:style w:type="paragraph" w:customStyle="1" w:styleId="m-6302565922324221804msolistparagraph">
    <w:name w:val="m_-6302565922324221804msolistparagraph"/>
    <w:basedOn w:val="Normal"/>
    <w:rsid w:val="000B7E7B"/>
    <w:pPr>
      <w:widowControl w:val="0"/>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val="fr-FR" w:eastAsia="fr-FR"/>
    </w:rPr>
  </w:style>
  <w:style w:type="character" w:customStyle="1" w:styleId="ms-rtethemeforecolor-2-0">
    <w:name w:val="ms-rtethemeforecolor-2-0"/>
    <w:basedOn w:val="DefaultParagraphFont"/>
    <w:rsid w:val="000B7E7B"/>
  </w:style>
  <w:style w:type="paragraph" w:customStyle="1" w:styleId="Docnumber">
    <w:name w:val="Docnumber"/>
    <w:basedOn w:val="Normal"/>
    <w:link w:val="DocnumberChar"/>
    <w:qFormat/>
    <w:rsid w:val="000B7E7B"/>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0B7E7B"/>
    <w:rPr>
      <w:rFonts w:ascii="Times New Roman" w:eastAsia="SimSun" w:hAnsi="Times New Roman"/>
      <w:b/>
      <w:sz w:val="40"/>
      <w:lang w:val="en-GB" w:eastAsia="en-US"/>
    </w:rPr>
  </w:style>
  <w:style w:type="paragraph" w:styleId="Index7">
    <w:name w:val="index 7"/>
    <w:basedOn w:val="Normal"/>
    <w:next w:val="Normal"/>
    <w:qFormat/>
    <w:rsid w:val="000B7E7B"/>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qFormat/>
    <w:rsid w:val="000B7E7B"/>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rsid w:val="000B7E7B"/>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qFormat/>
    <w:rsid w:val="000B7E7B"/>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1">
    <w:name w:val="index 1"/>
    <w:basedOn w:val="Normal"/>
    <w:next w:val="Normal"/>
    <w:rsid w:val="000B7E7B"/>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0B7E7B"/>
  </w:style>
  <w:style w:type="paragraph" w:styleId="IndexHeading">
    <w:name w:val="index heading"/>
    <w:basedOn w:val="Normal"/>
    <w:next w:val="Index1"/>
    <w:rsid w:val="000B7E7B"/>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toc0">
    <w:name w:val="toc 0"/>
    <w:basedOn w:val="Normal"/>
    <w:next w:val="TOC1"/>
    <w:rsid w:val="000B7E7B"/>
    <w:pPr>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0B7E7B"/>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qFormat/>
    <w:rsid w:val="000B7E7B"/>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0B7E7B"/>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0B7E7B"/>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0B7E7B"/>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rsid w:val="000B7E7B"/>
    <w:rPr>
      <w:vertAlign w:val="superscript"/>
    </w:rPr>
  </w:style>
  <w:style w:type="paragraph" w:customStyle="1" w:styleId="Recref">
    <w:name w:val="Rec_ref"/>
    <w:basedOn w:val="Rectitle"/>
    <w:next w:val="Recdate"/>
    <w:rsid w:val="000B7E7B"/>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0B7E7B"/>
  </w:style>
  <w:style w:type="character" w:customStyle="1" w:styleId="Recdef">
    <w:name w:val="Rec_def"/>
    <w:rsid w:val="000B7E7B"/>
    <w:rPr>
      <w:rFonts w:ascii="Calibri" w:hAnsi="Calibri"/>
      <w:b/>
    </w:rPr>
  </w:style>
  <w:style w:type="paragraph" w:customStyle="1" w:styleId="Reftext">
    <w:name w:val="Ref_text"/>
    <w:basedOn w:val="Normal"/>
    <w:rsid w:val="000B7E7B"/>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0B7E7B"/>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0B7E7B"/>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0B7E7B"/>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0B7E7B"/>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0B7E7B"/>
  </w:style>
  <w:style w:type="paragraph" w:customStyle="1" w:styleId="Resdate">
    <w:name w:val="Res_date"/>
    <w:basedOn w:val="Recdate"/>
    <w:next w:val="Normalaftertitle"/>
    <w:rsid w:val="000B7E7B"/>
    <w:pPr>
      <w:tabs>
        <w:tab w:val="clear" w:pos="1134"/>
        <w:tab w:val="clear" w:pos="1871"/>
        <w:tab w:val="clear" w:pos="2268"/>
      </w:tabs>
    </w:pPr>
    <w:rPr>
      <w:rFonts w:ascii="Calibri" w:eastAsia="SimSun" w:hAnsi="Calibri"/>
      <w:i/>
    </w:rPr>
  </w:style>
  <w:style w:type="character" w:customStyle="1" w:styleId="Resdef">
    <w:name w:val="Res_def"/>
    <w:rsid w:val="000B7E7B"/>
    <w:rPr>
      <w:rFonts w:ascii="Calibri" w:hAnsi="Calibri"/>
      <w:b/>
    </w:rPr>
  </w:style>
  <w:style w:type="paragraph" w:customStyle="1" w:styleId="Resref">
    <w:name w:val="Res_ref"/>
    <w:basedOn w:val="Recref"/>
    <w:next w:val="Resdate"/>
    <w:rsid w:val="000B7E7B"/>
  </w:style>
  <w:style w:type="character" w:styleId="PageNumber">
    <w:name w:val="page number"/>
    <w:rsid w:val="000B7E7B"/>
    <w:rPr>
      <w:rFonts w:ascii="Calibri" w:hAnsi="Calibri"/>
    </w:rPr>
  </w:style>
  <w:style w:type="character" w:customStyle="1" w:styleId="-">
    <w:name w:val="Интернет-ссылка"/>
    <w:rsid w:val="000B7E7B"/>
    <w:rPr>
      <w:color w:val="0000FF"/>
      <w:u w:val="single"/>
    </w:rPr>
  </w:style>
  <w:style w:type="character" w:customStyle="1" w:styleId="CEOChairNameChar">
    <w:name w:val="CEO_ChairName Char"/>
    <w:link w:val="CEOChairName"/>
    <w:locked/>
    <w:rsid w:val="000B7E7B"/>
    <w:rPr>
      <w:rFonts w:ascii="Verdana" w:hAnsi="Verdana"/>
      <w:sz w:val="18"/>
      <w:szCs w:val="19"/>
      <w:lang w:val="en-GB" w:eastAsia="en-US"/>
    </w:rPr>
  </w:style>
  <w:style w:type="paragraph" w:customStyle="1" w:styleId="CEOChairName">
    <w:name w:val="CEO_ChairName"/>
    <w:basedOn w:val="Normal"/>
    <w:link w:val="CEOChairNameChar"/>
    <w:rsid w:val="000B7E7B"/>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0B7E7B"/>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styleId="Date">
    <w:name w:val="Date"/>
    <w:basedOn w:val="Normal"/>
    <w:next w:val="Normal"/>
    <w:link w:val="DateChar"/>
    <w:qFormat/>
    <w:rsid w:val="000B7E7B"/>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0B7E7B"/>
    <w:rPr>
      <w:rFonts w:ascii="Calibri" w:eastAsia="SimSun" w:hAnsi="Calibri"/>
      <w:sz w:val="24"/>
      <w:lang w:val="en-GB" w:eastAsia="en-US"/>
    </w:rPr>
  </w:style>
  <w:style w:type="character" w:customStyle="1" w:styleId="InternetLink">
    <w:name w:val="Internet Link"/>
    <w:rsid w:val="000B7E7B"/>
    <w:rPr>
      <w:color w:val="0000FF"/>
      <w:u w:val="single"/>
    </w:rPr>
  </w:style>
  <w:style w:type="paragraph" w:customStyle="1" w:styleId="CEOindent-abc">
    <w:name w:val="CEO_indent-abc"/>
    <w:basedOn w:val="Normal"/>
    <w:rsid w:val="000B7E7B"/>
    <w:pPr>
      <w:numPr>
        <w:ilvl w:val="1"/>
        <w:numId w:val="7"/>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0B7E7B"/>
    <w:pPr>
      <w:numPr>
        <w:ilvl w:val="2"/>
        <w:numId w:val="7"/>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0B7E7B"/>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0B7E7B"/>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0B7E7B"/>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noProof/>
      <w:color w:val="365F91"/>
      <w:sz w:val="32"/>
      <w:szCs w:val="32"/>
      <w:lang w:val="ru-RU" w:eastAsia="ru-RU"/>
    </w:rPr>
  </w:style>
  <w:style w:type="paragraph" w:styleId="DocumentMap">
    <w:name w:val="Document Map"/>
    <w:basedOn w:val="Normal"/>
    <w:link w:val="DocumentMapChar"/>
    <w:unhideWhenUsed/>
    <w:rsid w:val="000B7E7B"/>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rsid w:val="000B7E7B"/>
    <w:rPr>
      <w:rFonts w:ascii="SimSun" w:eastAsia="SimSun" w:hAnsi="Calibri"/>
      <w:sz w:val="18"/>
      <w:szCs w:val="18"/>
      <w:lang w:val="en-GB" w:eastAsia="en-US"/>
    </w:rPr>
  </w:style>
  <w:style w:type="character" w:customStyle="1" w:styleId="apple-converted-space">
    <w:name w:val="apple-converted-space"/>
    <w:rsid w:val="000B7E7B"/>
  </w:style>
  <w:style w:type="paragraph" w:customStyle="1" w:styleId="LSDeadline">
    <w:name w:val="LSDeadline"/>
    <w:basedOn w:val="LSForAction"/>
    <w:next w:val="Normal"/>
    <w:qFormat/>
    <w:rsid w:val="000B7E7B"/>
    <w:rPr>
      <w:bCs w:val="0"/>
    </w:rPr>
  </w:style>
  <w:style w:type="paragraph" w:customStyle="1" w:styleId="LSForAction">
    <w:name w:val="LSForAction"/>
    <w:basedOn w:val="Normal"/>
    <w:qFormat/>
    <w:rsid w:val="000B7E7B"/>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Comment">
    <w:name w:val="LSForComment"/>
    <w:basedOn w:val="LSForAction"/>
    <w:next w:val="Normal"/>
    <w:qFormat/>
    <w:rsid w:val="000B7E7B"/>
  </w:style>
  <w:style w:type="character" w:customStyle="1" w:styleId="href">
    <w:name w:val="href"/>
    <w:basedOn w:val="DefaultParagraphFont"/>
    <w:rsid w:val="000B7E7B"/>
    <w:rPr>
      <w:color w:val="auto"/>
    </w:rPr>
  </w:style>
  <w:style w:type="paragraph" w:customStyle="1" w:styleId="Res">
    <w:name w:val="Res_#"/>
    <w:basedOn w:val="Normal"/>
    <w:next w:val="Restitle"/>
    <w:rsid w:val="000B7E7B"/>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qFormat/>
    <w:rsid w:val="000B7E7B"/>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qFormat/>
    <w:rsid w:val="000B7E7B"/>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0B7E7B"/>
    <w:rPr>
      <w:rFonts w:ascii="Calibri" w:hAnsi="Calibri" w:cs="Calibri" w:hint="default"/>
      <w:sz w:val="16"/>
      <w:szCs w:val="16"/>
      <w:shd w:val="clear" w:color="auto" w:fill="FFFFFF"/>
    </w:rPr>
  </w:style>
  <w:style w:type="paragraph" w:customStyle="1" w:styleId="LSForInfo">
    <w:name w:val="LSForInfo"/>
    <w:basedOn w:val="LSForAction"/>
    <w:next w:val="Normal"/>
    <w:qFormat/>
    <w:rsid w:val="000B7E7B"/>
  </w:style>
  <w:style w:type="paragraph" w:customStyle="1" w:styleId="AnnexNotitle">
    <w:name w:val="Annex_No &amp; title"/>
    <w:basedOn w:val="Normal"/>
    <w:next w:val="Normal"/>
    <w:rsid w:val="000B7E7B"/>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rsid w:val="000B7E7B"/>
  </w:style>
  <w:style w:type="paragraph" w:customStyle="1" w:styleId="CorrectionSeparatorBegin">
    <w:name w:val="Correction Separator Begin"/>
    <w:basedOn w:val="Normal"/>
    <w:rsid w:val="000B7E7B"/>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0B7E7B"/>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qFormat/>
    <w:rsid w:val="000B7E7B"/>
    <w:pPr>
      <w:keepLines/>
      <w:tabs>
        <w:tab w:val="clear" w:pos="1134"/>
        <w:tab w:val="clear" w:pos="1871"/>
        <w:tab w:val="clear" w:pos="2268"/>
        <w:tab w:val="left" w:pos="794"/>
        <w:tab w:val="left" w:pos="1191"/>
        <w:tab w:val="left" w:pos="1588"/>
        <w:tab w:val="left" w:pos="1985"/>
      </w:tabs>
      <w:spacing w:before="240" w:after="120"/>
      <w:jc w:val="center"/>
    </w:pPr>
    <w:rPr>
      <w:rFonts w:ascii="Times New Roman" w:eastAsiaTheme="minorEastAsia" w:hAnsi="Times New Roman"/>
      <w:b/>
      <w:lang w:eastAsia="ja-JP"/>
    </w:rPr>
  </w:style>
  <w:style w:type="paragraph" w:customStyle="1" w:styleId="Formal">
    <w:name w:val="Formal"/>
    <w:basedOn w:val="Normal"/>
    <w:rsid w:val="000B7E7B"/>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Headingib">
    <w:name w:val="Heading_ib"/>
    <w:basedOn w:val="Headingi"/>
    <w:next w:val="Normal"/>
    <w:qFormat/>
    <w:rsid w:val="000B7E7B"/>
    <w:pPr>
      <w:keepNext/>
      <w:tabs>
        <w:tab w:val="clear" w:pos="1134"/>
        <w:tab w:val="clear" w:pos="1871"/>
        <w:tab w:val="clear" w:pos="2268"/>
        <w:tab w:val="left" w:pos="794"/>
        <w:tab w:val="left" w:pos="1191"/>
        <w:tab w:val="left" w:pos="1588"/>
        <w:tab w:val="left" w:pos="1985"/>
      </w:tabs>
    </w:pPr>
    <w:rPr>
      <w:rFonts w:ascii="Times New Roman" w:eastAsiaTheme="minorEastAsia" w:hAnsi="Times New Roman"/>
      <w:b/>
      <w:bCs/>
      <w:lang w:eastAsia="ja-JP"/>
    </w:rPr>
  </w:style>
  <w:style w:type="paragraph" w:customStyle="1" w:styleId="Normalbeforetable">
    <w:name w:val="Normal before table"/>
    <w:basedOn w:val="Normal"/>
    <w:rsid w:val="000B7E7B"/>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customStyle="1" w:styleId="TableNotitle">
    <w:name w:val="Table_No &amp; title"/>
    <w:basedOn w:val="Normal"/>
    <w:next w:val="Normal"/>
    <w:qFormat/>
    <w:rsid w:val="000B7E7B"/>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eastAsiaTheme="minorEastAsia" w:hAnsi="Times New Roman"/>
      <w:b/>
      <w:lang w:eastAsia="ja-JP"/>
    </w:rPr>
  </w:style>
  <w:style w:type="paragraph" w:styleId="TableofFigures">
    <w:name w:val="table of figures"/>
    <w:basedOn w:val="Normal"/>
    <w:next w:val="Normal"/>
    <w:uiPriority w:val="99"/>
    <w:rsid w:val="000B7E7B"/>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styleId="Subtitle">
    <w:name w:val="Subtitle"/>
    <w:basedOn w:val="Normal"/>
    <w:next w:val="Normal"/>
    <w:link w:val="SubtitleChar"/>
    <w:qFormat/>
    <w:rsid w:val="000B7E7B"/>
    <w:pPr>
      <w:numPr>
        <w:ilvl w:val="1"/>
      </w:numPr>
      <w:tabs>
        <w:tab w:val="clear" w:pos="1134"/>
        <w:tab w:val="clear" w:pos="1871"/>
        <w:tab w:val="clear" w:pos="2268"/>
      </w:tabs>
      <w:overflowPunct/>
      <w:autoSpaceDE/>
      <w:autoSpaceDN/>
      <w:adjustRightInd/>
      <w:spacing w:after="160"/>
      <w:textAlignment w:val="auto"/>
    </w:pPr>
    <w:rPr>
      <w:rFonts w:eastAsiaTheme="minorEastAsia"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B7E7B"/>
    <w:rPr>
      <w:rFonts w:asciiTheme="minorHAnsi" w:eastAsiaTheme="minorEastAsia"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0B7E7B"/>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Cs w:val="24"/>
      <w:lang w:eastAsia="ja-JP"/>
    </w:rPr>
  </w:style>
  <w:style w:type="character" w:customStyle="1" w:styleId="QuoteChar">
    <w:name w:val="Quote Char"/>
    <w:basedOn w:val="DefaultParagraphFont"/>
    <w:link w:val="Quote"/>
    <w:uiPriority w:val="29"/>
    <w:rsid w:val="000B7E7B"/>
    <w:rPr>
      <w:rFonts w:ascii="Times New Roman" w:eastAsiaTheme="minorEastAsia" w:hAnsi="Times New Roman"/>
      <w:i/>
      <w:iCs/>
      <w:color w:val="404040" w:themeColor="text1" w:themeTint="BF"/>
      <w:sz w:val="24"/>
      <w:szCs w:val="24"/>
      <w:lang w:val="en-GB" w:eastAsia="ja-JP"/>
    </w:rPr>
  </w:style>
  <w:style w:type="character" w:customStyle="1" w:styleId="Enumlev1Char0">
    <w:name w:val="Enumlev1 Char"/>
    <w:link w:val="Enumlev10"/>
    <w:uiPriority w:val="99"/>
    <w:rsid w:val="000B7E7B"/>
    <w:rPr>
      <w:sz w:val="24"/>
      <w:lang w:eastAsia="en-US"/>
    </w:rPr>
  </w:style>
  <w:style w:type="paragraph" w:customStyle="1" w:styleId="Enumlev10">
    <w:name w:val="Enumlev1"/>
    <w:basedOn w:val="Normal"/>
    <w:link w:val="Enumlev1Char0"/>
    <w:uiPriority w:val="99"/>
    <w:rsid w:val="000B7E7B"/>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lang w:val="en-US"/>
    </w:rPr>
  </w:style>
  <w:style w:type="paragraph" w:customStyle="1" w:styleId="Normalaftertitle0">
    <w:name w:val="Normal_after_title"/>
    <w:basedOn w:val="Normal"/>
    <w:next w:val="Normal"/>
    <w:rsid w:val="000B7E7B"/>
    <w:pPr>
      <w:spacing w:before="360"/>
    </w:pPr>
    <w:rPr>
      <w:rFonts w:ascii="Times New Roman" w:hAnsi="Times New Roman"/>
    </w:rPr>
  </w:style>
  <w:style w:type="paragraph" w:customStyle="1" w:styleId="CEOAbstract">
    <w:name w:val="CEO_Abstract"/>
    <w:rsid w:val="000B7E7B"/>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0B7E7B"/>
    <w:pPr>
      <w:keepLines w:val="0"/>
      <w:numPr>
        <w:ilvl w:val="2"/>
      </w:numPr>
      <w:tabs>
        <w:tab w:val="clear" w:pos="1871"/>
        <w:tab w:val="clear" w:pos="2268"/>
        <w:tab w:val="left" w:pos="794"/>
        <w:tab w:val="left" w:pos="2127"/>
        <w:tab w:val="left" w:pos="2410"/>
        <w:tab w:val="left" w:pos="2921"/>
        <w:tab w:val="left" w:pos="3261"/>
      </w:tabs>
      <w:overflowPunct/>
      <w:autoSpaceDE/>
      <w:autoSpaceDN/>
      <w:adjustRightInd/>
      <w:spacing w:before="160" w:after="120"/>
      <w:ind w:left="1134" w:hanging="1134"/>
      <w:textAlignment w:val="auto"/>
      <w:outlineLvl w:val="9"/>
    </w:pPr>
    <w:rPr>
      <w:rFonts w:ascii="Times New Roman" w:eastAsiaTheme="minorEastAsia" w:hAnsi="Times New Roman" w:cs="Simplified Arabic"/>
      <w:szCs w:val="24"/>
    </w:rPr>
  </w:style>
  <w:style w:type="paragraph" w:customStyle="1" w:styleId="Head">
    <w:name w:val="Head"/>
    <w:basedOn w:val="Normal"/>
    <w:uiPriority w:val="99"/>
    <w:rsid w:val="000B7E7B"/>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paragraph" w:customStyle="1" w:styleId="FigureNoBR">
    <w:name w:val="Figure_No_BR"/>
    <w:basedOn w:val="Normal"/>
    <w:next w:val="Normal"/>
    <w:rsid w:val="000B7E7B"/>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styleId="Title">
    <w:name w:val="Title"/>
    <w:basedOn w:val="Normal"/>
    <w:next w:val="Normal"/>
    <w:link w:val="TitleChar"/>
    <w:qFormat/>
    <w:rsid w:val="000B7E7B"/>
    <w:pPr>
      <w:tabs>
        <w:tab w:val="clear" w:pos="1134"/>
        <w:tab w:val="clear" w:pos="1871"/>
        <w:tab w:val="clear" w:pos="2268"/>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0B7E7B"/>
    <w:rPr>
      <w:rFonts w:asciiTheme="majorHAnsi" w:eastAsia="SimSun" w:hAnsiTheme="majorHAnsi" w:cstheme="majorBidi"/>
      <w:b/>
      <w:bCs/>
      <w:sz w:val="32"/>
      <w:szCs w:val="32"/>
      <w:lang w:eastAsia="en-US"/>
    </w:rPr>
  </w:style>
  <w:style w:type="paragraph" w:styleId="BodyText">
    <w:name w:val="Body Text"/>
    <w:basedOn w:val="Normal"/>
    <w:link w:val="BodyTextChar"/>
    <w:qFormat/>
    <w:rsid w:val="000B7E7B"/>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rsid w:val="000B7E7B"/>
    <w:rPr>
      <w:rFonts w:ascii="LMMNHP+BookmanOldStyle" w:eastAsia="Batang" w:hAnsi="LMMNHP+BookmanOldStyle"/>
      <w:color w:val="000000"/>
      <w:kern w:val="2"/>
      <w:sz w:val="24"/>
      <w:szCs w:val="24"/>
      <w:lang w:eastAsia="ja-JP"/>
    </w:rPr>
  </w:style>
  <w:style w:type="paragraph" w:styleId="List">
    <w:name w:val="List"/>
    <w:basedOn w:val="Normal"/>
    <w:uiPriority w:val="99"/>
    <w:rsid w:val="000B7E7B"/>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rPr>
  </w:style>
  <w:style w:type="paragraph" w:styleId="BodyText2">
    <w:name w:val="Body Text 2"/>
    <w:basedOn w:val="Normal"/>
    <w:link w:val="BodyText2Char"/>
    <w:uiPriority w:val="99"/>
    <w:rsid w:val="000B7E7B"/>
    <w:pPr>
      <w:widowControl w:val="0"/>
      <w:tabs>
        <w:tab w:val="clear" w:pos="1134"/>
        <w:tab w:val="clear" w:pos="1871"/>
        <w:tab w:val="clear" w:pos="2268"/>
      </w:tabs>
      <w:overflowPunct/>
      <w:autoSpaceDE/>
      <w:autoSpaceDN/>
      <w:adjustRightInd/>
      <w:spacing w:before="0"/>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0B7E7B"/>
    <w:rPr>
      <w:rFonts w:ascii="Times New Roman" w:hAnsi="Times New Roman"/>
      <w:sz w:val="24"/>
      <w:lang w:eastAsia="en-US"/>
    </w:rPr>
  </w:style>
  <w:style w:type="paragraph" w:styleId="ListBullet">
    <w:name w:val="List Bullet"/>
    <w:basedOn w:val="List"/>
    <w:uiPriority w:val="99"/>
    <w:rsid w:val="000B7E7B"/>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0B7E7B"/>
    <w:pPr>
      <w:tabs>
        <w:tab w:val="clear" w:pos="1134"/>
        <w:tab w:val="clear" w:pos="1871"/>
        <w:tab w:val="clear" w:pos="2268"/>
      </w:tabs>
      <w:overflowPunct/>
      <w:autoSpaceDE/>
      <w:autoSpaceDN/>
      <w:adjustRightInd/>
      <w:spacing w:before="0" w:after="120"/>
      <w:ind w:left="360"/>
      <w:textAlignment w:val="auto"/>
    </w:pPr>
    <w:rPr>
      <w:rFonts w:ascii="Times New Roman" w:hAnsi="Times New Roman"/>
    </w:rPr>
  </w:style>
  <w:style w:type="character" w:customStyle="1" w:styleId="BodyTextIndentChar">
    <w:name w:val="Body Text Indent Char"/>
    <w:basedOn w:val="DefaultParagraphFont"/>
    <w:link w:val="BodyTextIndent"/>
    <w:rsid w:val="000B7E7B"/>
    <w:rPr>
      <w:rFonts w:ascii="Times New Roman" w:hAnsi="Times New Roman"/>
      <w:sz w:val="24"/>
      <w:lang w:val="en-GB" w:eastAsia="en-US"/>
    </w:rPr>
  </w:style>
  <w:style w:type="paragraph" w:styleId="List2">
    <w:name w:val="List 2"/>
    <w:basedOn w:val="Normal"/>
    <w:uiPriority w:val="99"/>
    <w:rsid w:val="000B7E7B"/>
    <w:pPr>
      <w:tabs>
        <w:tab w:val="clear" w:pos="1134"/>
        <w:tab w:val="clear" w:pos="1871"/>
        <w:tab w:val="clear" w:pos="2268"/>
      </w:tabs>
      <w:overflowPunct/>
      <w:autoSpaceDE/>
      <w:autoSpaceDN/>
      <w:adjustRightInd/>
      <w:spacing w:before="0"/>
      <w:ind w:left="720" w:hanging="360"/>
      <w:textAlignment w:val="auto"/>
    </w:pPr>
    <w:rPr>
      <w:rFonts w:ascii="Times New Roman" w:hAnsi="Times New Roman"/>
    </w:rPr>
  </w:style>
  <w:style w:type="paragraph" w:styleId="BodyTextIndent2">
    <w:name w:val="Body Text Indent 2"/>
    <w:basedOn w:val="Normal"/>
    <w:link w:val="BodyTextIndent2Char"/>
    <w:rsid w:val="000B7E7B"/>
    <w:pPr>
      <w:tabs>
        <w:tab w:val="clear" w:pos="1134"/>
        <w:tab w:val="clear" w:pos="1871"/>
        <w:tab w:val="clear" w:pos="2268"/>
        <w:tab w:val="left" w:pos="720"/>
        <w:tab w:val="left" w:pos="1191"/>
        <w:tab w:val="left" w:pos="1588"/>
        <w:tab w:val="left" w:pos="1985"/>
      </w:tabs>
      <w:ind w:left="720" w:hanging="720"/>
    </w:pPr>
    <w:rPr>
      <w:rFonts w:ascii="Times New Roman" w:eastAsia="Batang" w:hAnsi="Times New Roman"/>
      <w:szCs w:val="24"/>
    </w:rPr>
  </w:style>
  <w:style w:type="character" w:customStyle="1" w:styleId="BodyTextIndent2Char">
    <w:name w:val="Body Text Indent 2 Char"/>
    <w:basedOn w:val="DefaultParagraphFont"/>
    <w:link w:val="BodyTextIndent2"/>
    <w:rsid w:val="000B7E7B"/>
    <w:rPr>
      <w:rFonts w:ascii="Times New Roman" w:eastAsia="Batang" w:hAnsi="Times New Roman"/>
      <w:sz w:val="24"/>
      <w:szCs w:val="24"/>
      <w:lang w:val="en-GB" w:eastAsia="en-US"/>
    </w:rPr>
  </w:style>
  <w:style w:type="paragraph" w:styleId="EndnoteText">
    <w:name w:val="endnote text"/>
    <w:basedOn w:val="Normal"/>
    <w:link w:val="EndnoteTextChar"/>
    <w:rsid w:val="000B7E7B"/>
    <w:pPr>
      <w:spacing w:before="0"/>
    </w:pPr>
    <w:rPr>
      <w:rFonts w:ascii="Times New Roman" w:eastAsia="Batang" w:hAnsi="Times New Roman"/>
      <w:sz w:val="20"/>
    </w:rPr>
  </w:style>
  <w:style w:type="character" w:customStyle="1" w:styleId="EndnoteTextChar">
    <w:name w:val="Endnote Text Char"/>
    <w:basedOn w:val="DefaultParagraphFont"/>
    <w:link w:val="EndnoteText"/>
    <w:rsid w:val="000B7E7B"/>
    <w:rPr>
      <w:rFonts w:ascii="Times New Roman" w:eastAsia="Batang" w:hAnsi="Times New Roman"/>
      <w:lang w:val="en-GB" w:eastAsia="en-US"/>
    </w:rPr>
  </w:style>
  <w:style w:type="paragraph" w:styleId="NoSpacing">
    <w:name w:val="No Spacing"/>
    <w:uiPriority w:val="1"/>
    <w:qFormat/>
    <w:rsid w:val="000B7E7B"/>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character" w:styleId="SubtleEmphasis">
    <w:name w:val="Subtle Emphasis"/>
    <w:basedOn w:val="DefaultParagraphFont"/>
    <w:uiPriority w:val="19"/>
    <w:qFormat/>
    <w:rsid w:val="000B7E7B"/>
    <w:rPr>
      <w:i/>
      <w:iCs/>
      <w:color w:val="808080" w:themeColor="text1" w:themeTint="7F"/>
    </w:rPr>
  </w:style>
  <w:style w:type="paragraph" w:styleId="BodyText3">
    <w:name w:val="Body Text 3"/>
    <w:basedOn w:val="Normal"/>
    <w:link w:val="BodyText3Char"/>
    <w:rsid w:val="000B7E7B"/>
    <w:pPr>
      <w:widowControl w:val="0"/>
      <w:tabs>
        <w:tab w:val="clear" w:pos="1134"/>
        <w:tab w:val="clear" w:pos="1871"/>
        <w:tab w:val="clear" w:pos="2268"/>
        <w:tab w:val="left" w:pos="567"/>
      </w:tabs>
      <w:suppressAutoHyphens/>
      <w:overflowPunct/>
      <w:autoSpaceDE/>
      <w:autoSpaceDN/>
      <w:adjustRightInd/>
      <w:spacing w:before="0"/>
      <w:ind w:left="658" w:hanging="420"/>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0B7E7B"/>
    <w:rPr>
      <w:rFonts w:ascii="Arial" w:eastAsia="BatangChe" w:hAnsi="Arial" w:cs="Arial"/>
      <w:kern w:val="1"/>
      <w:sz w:val="22"/>
      <w:szCs w:val="22"/>
      <w:lang w:val="en-AU" w:eastAsia="ar-SA"/>
    </w:rPr>
  </w:style>
  <w:style w:type="paragraph" w:customStyle="1" w:styleId="Body">
    <w:name w:val="Body"/>
    <w:rsid w:val="000B7E7B"/>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val="en-GB" w:eastAsia="en-GB"/>
    </w:rPr>
  </w:style>
  <w:style w:type="character" w:customStyle="1" w:styleId="Hyperlink1">
    <w:name w:val="Hyperlink.1"/>
    <w:basedOn w:val="DefaultParagraphFont"/>
    <w:rsid w:val="000B7E7B"/>
    <w:rPr>
      <w:rFonts w:ascii="Cambria" w:eastAsia="Cambria" w:hAnsi="Cambria" w:cs="Cambria"/>
      <w:color w:val="000066"/>
      <w:u w:val="single" w:color="000066"/>
      <w:lang w:val="en-US"/>
    </w:rPr>
  </w:style>
  <w:style w:type="character" w:customStyle="1" w:styleId="Hyperlink2">
    <w:name w:val="Hyperlink.2"/>
    <w:basedOn w:val="DefaultParagraphFont"/>
    <w:rsid w:val="000B7E7B"/>
    <w:rPr>
      <w:rFonts w:ascii="Cambria" w:eastAsia="Cambria" w:hAnsi="Cambria" w:cs="Cambria"/>
      <w:color w:val="000066"/>
      <w:u w:val="single" w:color="000066"/>
      <w:lang w:val="en-US"/>
    </w:rPr>
  </w:style>
  <w:style w:type="character" w:customStyle="1" w:styleId="Hyperlink3">
    <w:name w:val="Hyperlink.3"/>
    <w:basedOn w:val="DefaultParagraphFont"/>
    <w:rsid w:val="000B7E7B"/>
    <w:rPr>
      <w:color w:val="0000FF"/>
      <w:u w:val="single" w:color="0000FF"/>
      <w:lang w:val="en-US"/>
    </w:rPr>
  </w:style>
  <w:style w:type="character" w:customStyle="1" w:styleId="Hyperlink4">
    <w:name w:val="Hyperlink.4"/>
    <w:basedOn w:val="PageNumber"/>
    <w:rsid w:val="000B7E7B"/>
    <w:rPr>
      <w:rFonts w:asciiTheme="minorHAnsi" w:hAnsiTheme="minorHAnsi"/>
      <w:color w:val="0000FF"/>
      <w:u w:val="single" w:color="0000FF"/>
      <w:lang w:val="en-US"/>
    </w:rPr>
  </w:style>
  <w:style w:type="paragraph" w:customStyle="1" w:styleId="Tablefin">
    <w:name w:val="Table_fin"/>
    <w:basedOn w:val="Normal"/>
    <w:qFormat/>
    <w:rsid w:val="000B7E7B"/>
    <w:pPr>
      <w:spacing w:before="0"/>
    </w:pPr>
    <w:rPr>
      <w:rFonts w:ascii="Times New Roman" w:hAnsi="Times New Roman"/>
      <w:sz w:val="20"/>
    </w:rPr>
  </w:style>
  <w:style w:type="paragraph" w:customStyle="1" w:styleId="Style124">
    <w:name w:val="_Style 124"/>
    <w:basedOn w:val="Heading1"/>
    <w:next w:val="Normal"/>
    <w:uiPriority w:val="39"/>
    <w:unhideWhenUsed/>
    <w:qFormat/>
    <w:rsid w:val="000B7E7B"/>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noProof/>
      <w:color w:val="365F91"/>
      <w:sz w:val="32"/>
      <w:szCs w:val="32"/>
      <w:lang w:val="ru-RU" w:eastAsia="ru-RU"/>
    </w:rPr>
  </w:style>
  <w:style w:type="character" w:customStyle="1" w:styleId="ms-offscreen">
    <w:name w:val="ms-offscreen"/>
    <w:basedOn w:val="DefaultParagraphFont"/>
    <w:rsid w:val="000B7E7B"/>
  </w:style>
  <w:style w:type="character" w:customStyle="1" w:styleId="ms-list-addnew-imgspan16">
    <w:name w:val="ms-list-addnew-imgspan16"/>
    <w:basedOn w:val="DefaultParagraphFont"/>
    <w:rsid w:val="000B7E7B"/>
  </w:style>
  <w:style w:type="character" w:customStyle="1" w:styleId="ms-tasklistshortcutcalloutspan">
    <w:name w:val="ms-tasklistshortcutcalloutspan"/>
    <w:basedOn w:val="DefaultParagraphFont"/>
    <w:rsid w:val="000B7E7B"/>
  </w:style>
  <w:style w:type="character" w:customStyle="1" w:styleId="ms-menu-hovarw4">
    <w:name w:val="ms-menu-hovarw4"/>
    <w:basedOn w:val="DefaultParagraphFont"/>
    <w:rsid w:val="000B7E7B"/>
  </w:style>
  <w:style w:type="character" w:customStyle="1" w:styleId="ms-navedit-itemspan">
    <w:name w:val="ms-navedit-itemspan"/>
    <w:basedOn w:val="DefaultParagraphFont"/>
    <w:rsid w:val="000B7E7B"/>
  </w:style>
  <w:style w:type="character" w:customStyle="1" w:styleId="ms-viewselectorhover">
    <w:name w:val="ms-viewselectorhover"/>
    <w:basedOn w:val="DefaultParagraphFont"/>
    <w:rsid w:val="000B7E7B"/>
    <w:rPr>
      <w:bdr w:val="none" w:sz="0" w:space="0" w:color="auto"/>
    </w:rPr>
  </w:style>
  <w:style w:type="character" w:customStyle="1" w:styleId="ms-viewselector2">
    <w:name w:val="ms-viewselector2"/>
    <w:basedOn w:val="DefaultParagraphFont"/>
    <w:rsid w:val="000B7E7B"/>
    <w:rPr>
      <w:bdr w:val="none" w:sz="0" w:space="0" w:color="auto"/>
    </w:rPr>
  </w:style>
  <w:style w:type="character" w:customStyle="1" w:styleId="ms-cui-mrusb-selecteditem">
    <w:name w:val="ms-cui-mrusb-selecteditem"/>
    <w:basedOn w:val="DefaultParagraphFont"/>
    <w:rsid w:val="000B7E7B"/>
  </w:style>
  <w:style w:type="character" w:customStyle="1" w:styleId="ms-featurestatustext">
    <w:name w:val="ms-featurestatustext"/>
    <w:basedOn w:val="DefaultParagraphFont"/>
    <w:rsid w:val="000B7E7B"/>
  </w:style>
  <w:style w:type="paragraph" w:styleId="Index3">
    <w:name w:val="index 3"/>
    <w:basedOn w:val="Normal"/>
    <w:next w:val="Normal"/>
    <w:semiHidden/>
    <w:rsid w:val="000B7E7B"/>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0B7E7B"/>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table" w:customStyle="1" w:styleId="TableGrid1">
    <w:name w:val="Table Grid1"/>
    <w:basedOn w:val="TableNormal"/>
    <w:next w:val="TableGrid"/>
    <w:uiPriority w:val="59"/>
    <w:rsid w:val="000B7E7B"/>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未处理的提及"/>
    <w:uiPriority w:val="99"/>
    <w:semiHidden/>
    <w:unhideWhenUsed/>
    <w:rsid w:val="000B7E7B"/>
    <w:rPr>
      <w:color w:val="605E5C"/>
      <w:shd w:val="clear" w:color="auto" w:fill="E1DFDD"/>
    </w:rPr>
  </w:style>
  <w:style w:type="character" w:styleId="PlaceholderText">
    <w:name w:val="Placeholder Text"/>
    <w:basedOn w:val="DefaultParagraphFont"/>
    <w:uiPriority w:val="99"/>
    <w:semiHidden/>
    <w:rsid w:val="000B7E7B"/>
    <w:rPr>
      <w:rFonts w:ascii="Times New Roman" w:hAnsi="Times New Roman"/>
      <w:color w:val="808080"/>
    </w:rPr>
  </w:style>
  <w:style w:type="paragraph" w:styleId="Caption">
    <w:name w:val="caption"/>
    <w:basedOn w:val="Normal"/>
    <w:next w:val="Normal"/>
    <w:uiPriority w:val="35"/>
    <w:unhideWhenUsed/>
    <w:rsid w:val="000B7E7B"/>
    <w:pPr>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customStyle="1" w:styleId="CommentTextChar1">
    <w:name w:val="Comment Text Char1"/>
    <w:basedOn w:val="DefaultParagraphFont"/>
    <w:semiHidden/>
    <w:rsid w:val="000B7E7B"/>
    <w:rPr>
      <w:rFonts w:asciiTheme="minorHAnsi" w:hAnsiTheme="minorHAnsi"/>
      <w:lang w:val="en-GB" w:eastAsia="en-US"/>
    </w:rPr>
  </w:style>
  <w:style w:type="character" w:customStyle="1" w:styleId="CommentSubjectChar1">
    <w:name w:val="Comment Subject Char1"/>
    <w:basedOn w:val="CommentTextChar1"/>
    <w:semiHidden/>
    <w:rsid w:val="000B7E7B"/>
    <w:rPr>
      <w:rFonts w:asciiTheme="minorHAnsi" w:hAnsiTheme="minorHAnsi"/>
      <w:b/>
      <w:bCs/>
      <w:lang w:val="en-GB" w:eastAsia="en-US"/>
    </w:rPr>
  </w:style>
  <w:style w:type="paragraph" w:customStyle="1" w:styleId="Style125">
    <w:name w:val="_Style 125"/>
    <w:hidden/>
    <w:uiPriority w:val="99"/>
    <w:semiHidden/>
    <w:rsid w:val="000B7E7B"/>
    <w:pPr>
      <w:spacing w:after="160" w:line="259" w:lineRule="auto"/>
    </w:pPr>
    <w:rPr>
      <w:rFonts w:ascii="Times New Roman" w:eastAsia="SimSun" w:hAnsi="Times New Roman"/>
      <w:sz w:val="24"/>
      <w:szCs w:val="24"/>
      <w:lang w:val="en-GB" w:eastAsia="ja-JP"/>
    </w:rPr>
  </w:style>
  <w:style w:type="paragraph" w:customStyle="1" w:styleId="CEONormal">
    <w:name w:val="CEO_Normal"/>
    <w:link w:val="CEONormalChar"/>
    <w:qFormat/>
    <w:rsid w:val="000B7E7B"/>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0B7E7B"/>
    <w:rPr>
      <w:rFonts w:ascii="Calibri" w:eastAsia="SimSun" w:hAnsi="Calibri" w:cs="Simplified Arabic"/>
      <w:sz w:val="22"/>
      <w:szCs w:val="19"/>
      <w:lang w:val="en-GB" w:eastAsia="en-US"/>
    </w:rPr>
  </w:style>
  <w:style w:type="paragraph" w:customStyle="1" w:styleId="CEOcontribution-H123">
    <w:name w:val="CEO_contribution-H123"/>
    <w:uiPriority w:val="99"/>
    <w:rsid w:val="000B7E7B"/>
    <w:pPr>
      <w:numPr>
        <w:numId w:val="13"/>
      </w:numPr>
      <w:spacing w:before="120" w:after="120"/>
    </w:pPr>
    <w:rPr>
      <w:rFonts w:ascii="Calibri" w:eastAsia="SimHei" w:hAnsi="Calibri" w:cs="Simplified Arabic"/>
      <w:b/>
      <w:sz w:val="22"/>
      <w:szCs w:val="19"/>
      <w:lang w:val="en-GB" w:eastAsia="en-US"/>
    </w:rPr>
  </w:style>
  <w:style w:type="table" w:styleId="GridTable4-Accent1">
    <w:name w:val="Grid Table 4 Accent 1"/>
    <w:basedOn w:val="TableNormal"/>
    <w:uiPriority w:val="49"/>
    <w:rsid w:val="000B7E7B"/>
    <w:rPr>
      <w:rFonts w:ascii="CG Times" w:eastAsia="Batang"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B7E7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i-provider">
    <w:name w:val="ui-provider"/>
    <w:basedOn w:val="DefaultParagraphFont"/>
    <w:rsid w:val="000B7E7B"/>
  </w:style>
  <w:style w:type="character" w:customStyle="1" w:styleId="UnresolvedMention3">
    <w:name w:val="Unresolved Mention3"/>
    <w:basedOn w:val="DefaultParagraphFont"/>
    <w:uiPriority w:val="99"/>
    <w:semiHidden/>
    <w:unhideWhenUsed/>
    <w:rsid w:val="000B7E7B"/>
    <w:rPr>
      <w:color w:val="605E5C"/>
      <w:shd w:val="clear" w:color="auto" w:fill="E1DFDD"/>
    </w:rPr>
  </w:style>
  <w:style w:type="paragraph" w:customStyle="1" w:styleId="MOS-DayDates">
    <w:name w:val="MOS-DayDates"/>
    <w:basedOn w:val="Normal"/>
    <w:rsid w:val="000B7E7B"/>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table" w:styleId="GridTable1Light">
    <w:name w:val="Grid Table 1 Light"/>
    <w:basedOn w:val="TableNormal"/>
    <w:uiPriority w:val="46"/>
    <w:rsid w:val="000B7E7B"/>
    <w:rPr>
      <w:rFonts w:asciiTheme="minorHAnsi" w:eastAsiaTheme="minorEastAsia" w:hAnsiTheme="minorHAnsi" w:cstheme="minorBidi"/>
      <w:sz w:val="22"/>
      <w:szCs w:val="22"/>
      <w:lang w:val="en-AU"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D22-SG02-C-0178/es" TargetMode="External"/><Relationship Id="rId21" Type="http://schemas.openxmlformats.org/officeDocument/2006/relationships/hyperlink" Target="https://www.itu.int/md/D22-SG02-C-0002/es" TargetMode="External"/><Relationship Id="rId42" Type="http://schemas.openxmlformats.org/officeDocument/2006/relationships/hyperlink" Target="https://www.itu.int/en/ITU-D/Study-Groups/2022-2025/Pages/meetings/workshop-Q1-2_april24.aspx" TargetMode="External"/><Relationship Id="rId63" Type="http://schemas.openxmlformats.org/officeDocument/2006/relationships/hyperlink" Target="https://www.itu.int/md/D22-SG02.RGQ-R-0004/es" TargetMode="External"/><Relationship Id="rId84" Type="http://schemas.openxmlformats.org/officeDocument/2006/relationships/hyperlink" Target="https://www.itu.int/md/D22-SG02-C-0403/es" TargetMode="External"/><Relationship Id="rId138" Type="http://schemas.openxmlformats.org/officeDocument/2006/relationships/hyperlink" Target="https://www.itu.int/net4/ITU-D/CDS/sg/blkmeetings.asp?lg=1&amp;stg=&amp;sp=2022&amp;blk=29015" TargetMode="External"/><Relationship Id="rId159" Type="http://schemas.openxmlformats.org/officeDocument/2006/relationships/hyperlink" Target="https://www.itu.int/en/ITU-D/Pages/itu-d-publications.aspx" TargetMode="External"/><Relationship Id="rId170" Type="http://schemas.openxmlformats.org/officeDocument/2006/relationships/hyperlink" Target="https://www.itu.int/md/D22-SG02.RGQ-C-0057/" TargetMode="External"/><Relationship Id="rId107" Type="http://schemas.openxmlformats.org/officeDocument/2006/relationships/hyperlink" Target="https://www.itu.int/md/D22-SG02-C-0168/es" TargetMode="External"/><Relationship Id="rId11" Type="http://schemas.openxmlformats.org/officeDocument/2006/relationships/endnotes" Target="endnotes.xml"/><Relationship Id="rId32" Type="http://schemas.openxmlformats.org/officeDocument/2006/relationships/hyperlink" Target="https://www.itu.int/en/ITU-D/Study-Groups/2022-2025/Pages/TIES_Protected/session-cybersecurity-oct23.aspx" TargetMode="External"/><Relationship Id="rId53" Type="http://schemas.openxmlformats.org/officeDocument/2006/relationships/hyperlink" Target="https://www.itu.int/en/ITU-D/Study-Groups/2022-2025/Pages/TIES_Protected/session-cybersecurity-oct23.aspx" TargetMode="External"/><Relationship Id="rId74" Type="http://schemas.openxmlformats.org/officeDocument/2006/relationships/hyperlink" Target="https://www.itu.int/md/D22-SG02.RGQ-R-0006/es" TargetMode="External"/><Relationship Id="rId128" Type="http://schemas.openxmlformats.org/officeDocument/2006/relationships/hyperlink" Target="https://www.itu.int/en/ITU-D/Study-Groups/2022-2025/Pages/reference/Collaborative-Tools.aspx" TargetMode="External"/><Relationship Id="rId149" Type="http://schemas.openxmlformats.org/officeDocument/2006/relationships/hyperlink" Target="https://www.itu.int/pub/D-STG-SG01.01.2-2021" TargetMode="External"/><Relationship Id="rId5" Type="http://schemas.openxmlformats.org/officeDocument/2006/relationships/customXml" Target="../customXml/item5.xml"/><Relationship Id="rId95" Type="http://schemas.openxmlformats.org/officeDocument/2006/relationships/hyperlink" Target="https://extranet.itu.int/rsg-meetings/ccv/Share/CCT%20meeting%202023-09-26/Input%20contributions/037e.docx" TargetMode="External"/><Relationship Id="rId160" Type="http://schemas.openxmlformats.org/officeDocument/2006/relationships/hyperlink" Target="https://www.itu.int/hub/?s=&amp;post_type=publication" TargetMode="External"/><Relationship Id="rId181" Type="http://schemas.openxmlformats.org/officeDocument/2006/relationships/footer" Target="footer3.xml"/><Relationship Id="rId22" Type="http://schemas.openxmlformats.org/officeDocument/2006/relationships/image" Target="media/image3.png"/><Relationship Id="rId43" Type="http://schemas.openxmlformats.org/officeDocument/2006/relationships/hyperlink" Target="https://www.itu.int/md/D22-SG02.RGQ-R-0008/es" TargetMode="External"/><Relationship Id="rId64" Type="http://schemas.openxmlformats.org/officeDocument/2006/relationships/hyperlink" Target="https://www.itu.int/en/ITU-D/Study-Groups/2022-2025/Pages/meetings/workshop-Q4-2_may24.aspx" TargetMode="External"/><Relationship Id="rId118" Type="http://schemas.openxmlformats.org/officeDocument/2006/relationships/hyperlink" Target="https://www.itu.int/md/D22-SG02-C-0250/es" TargetMode="External"/><Relationship Id="rId139" Type="http://schemas.openxmlformats.org/officeDocument/2006/relationships/hyperlink" Target="https://www.itu.int/net4/ITU-D/CDS/sg/blkmeetings.asp?lg=1&amp;stg=&amp;sp=2022&amp;blk=28817" TargetMode="External"/><Relationship Id="rId85" Type="http://schemas.openxmlformats.org/officeDocument/2006/relationships/hyperlink" Target="https://www.itu.int/en/ITU-D/Conferences/TDAG/Pages/2024/TDAG_WG_futureSGQ.aspx" TargetMode="External"/><Relationship Id="rId150" Type="http://schemas.openxmlformats.org/officeDocument/2006/relationships/hyperlink" Target="https://www.itu.int/hub/?s=&amp;post_type=publication" TargetMode="External"/><Relationship Id="rId171" Type="http://schemas.openxmlformats.org/officeDocument/2006/relationships/hyperlink" Target="https://www.itu.int/md/D22-SG02.RGQ-C-0110/" TargetMode="External"/><Relationship Id="rId12" Type="http://schemas.openxmlformats.org/officeDocument/2006/relationships/image" Target="media/image1.jpeg"/><Relationship Id="rId33" Type="http://schemas.openxmlformats.org/officeDocument/2006/relationships/hyperlink" Target="https://www.itu.int/md/D22-SG02-R-0009/es" TargetMode="External"/><Relationship Id="rId108" Type="http://schemas.openxmlformats.org/officeDocument/2006/relationships/hyperlink" Target="https://www.itu.int/md/D22-SG02-C-0292/es" TargetMode="External"/><Relationship Id="rId129" Type="http://schemas.openxmlformats.org/officeDocument/2006/relationships/hyperlink" Target="https://www.itu.int/md/D22-CA-CIR-0007/es" TargetMode="External"/><Relationship Id="rId54" Type="http://schemas.openxmlformats.org/officeDocument/2006/relationships/hyperlink" Target="https://www.itu.int/md/D22-SG02-R-0009/es" TargetMode="External"/><Relationship Id="rId75" Type="http://schemas.openxmlformats.org/officeDocument/2006/relationships/hyperlink" Target="https://www.itu.int/en/ITU-D/Study-Groups/2022-2025/Pages/meetings/workshop-Q6-2_may24.aspx" TargetMode="External"/><Relationship Id="rId96" Type="http://schemas.openxmlformats.org/officeDocument/2006/relationships/hyperlink" Target="https://extranet.itu.int/rsg-meetings/ccv/Share/CCT%20meeting%202024-06-25/Input%20contributions/060e.docx" TargetMode="External"/><Relationship Id="rId140" Type="http://schemas.openxmlformats.org/officeDocument/2006/relationships/hyperlink" Target="https://www.itu.int/net4/ITU-D/CDS/sg/blkmeetings.asp?lg=1&amp;sp=2022&amp;blk=28246" TargetMode="External"/><Relationship Id="rId161" Type="http://schemas.openxmlformats.org/officeDocument/2006/relationships/hyperlink" Target="https://www.itu.int/hub/publication/d-stg-sg01-01-2-2021/" TargetMode="External"/><Relationship Id="rId182" Type="http://schemas.openxmlformats.org/officeDocument/2006/relationships/footer" Target="footer4.xml"/><Relationship Id="rId6" Type="http://schemas.openxmlformats.org/officeDocument/2006/relationships/numbering" Target="numbering.xml"/><Relationship Id="rId23" Type="http://schemas.openxmlformats.org/officeDocument/2006/relationships/image" Target="media/image4.png"/><Relationship Id="rId119" Type="http://schemas.openxmlformats.org/officeDocument/2006/relationships/hyperlink" Target="https://www.itu.int/md/D22-SG02-C-0256/es" TargetMode="External"/><Relationship Id="rId44" Type="http://schemas.openxmlformats.org/officeDocument/2006/relationships/hyperlink" Target="https://www.itu.int/md/D22-TDAG.WG.SGQ-C-0048/es" TargetMode="External"/><Relationship Id="rId60" Type="http://schemas.openxmlformats.org/officeDocument/2006/relationships/hyperlink" Target="https://www.itu.int/md/D22-TDAG.WG.SGQ-C-0048/es" TargetMode="External"/><Relationship Id="rId65" Type="http://schemas.openxmlformats.org/officeDocument/2006/relationships/hyperlink" Target="https://www.itu.int/md/D22-SG02.RGQ-R-0011/es" TargetMode="External"/><Relationship Id="rId81" Type="http://schemas.openxmlformats.org/officeDocument/2006/relationships/hyperlink" Target="https://www.itu.int/en/ITU-D/Study-Groups/2022-2025/Pages/meetings/workshop-Q7-2_may24.aspx" TargetMode="External"/><Relationship Id="rId86" Type="http://schemas.openxmlformats.org/officeDocument/2006/relationships/hyperlink" Target="https://www.itu.int/md/D22-TDAG.WG.SGQ-C-0022/es" TargetMode="External"/><Relationship Id="rId130" Type="http://schemas.openxmlformats.org/officeDocument/2006/relationships/hyperlink" Target="https://www.itu.int/md/D22-SG02-C-0385/es" TargetMode="External"/><Relationship Id="rId135" Type="http://schemas.openxmlformats.org/officeDocument/2006/relationships/header" Target="header2.xml"/><Relationship Id="rId151" Type="http://schemas.openxmlformats.org/officeDocument/2006/relationships/hyperlink" Target="https://www.itu.int/en/ITU-D/Pages/itu-d-publications.aspx" TargetMode="External"/><Relationship Id="rId156" Type="http://schemas.openxmlformats.org/officeDocument/2006/relationships/hyperlink" Target="https://www.itu.int/en/publications/ITU-D/pages/publications.aspx?parent=D-STG-SG01&amp;version_date=2021" TargetMode="External"/><Relationship Id="rId177" Type="http://schemas.openxmlformats.org/officeDocument/2006/relationships/hyperlink" Target="https://www.itu.int/md/D22-SG02.RGQ-C-0077/" TargetMode="External"/><Relationship Id="rId172" Type="http://schemas.openxmlformats.org/officeDocument/2006/relationships/hyperlink" Target="https://www.itu.int/md/D22-SG02.RGQ-C-0158/" TargetMode="External"/><Relationship Id="rId13" Type="http://schemas.openxmlformats.org/officeDocument/2006/relationships/image" Target="media/image2.png"/><Relationship Id="rId18" Type="http://schemas.openxmlformats.org/officeDocument/2006/relationships/hyperlink" Target="https://www.itu.int/md/D22-SG02-R-0009/es" TargetMode="External"/><Relationship Id="rId39" Type="http://schemas.openxmlformats.org/officeDocument/2006/relationships/hyperlink" Target="https://www.itu.int/md/D22-SG02-C-0358" TargetMode="External"/><Relationship Id="rId109" Type="http://schemas.openxmlformats.org/officeDocument/2006/relationships/hyperlink" Target="https://www.itu.int/md/D22-SG02-C-0061/es" TargetMode="External"/><Relationship Id="rId34" Type="http://schemas.openxmlformats.org/officeDocument/2006/relationships/hyperlink" Target="https://www.itu.int/en/ITU-D/Study-Groups/2022-2025/Pages/TIES_Protected/session-BDT-projects-oct23.aspx" TargetMode="External"/><Relationship Id="rId50" Type="http://schemas.openxmlformats.org/officeDocument/2006/relationships/hyperlink" Target="https://www.itu.int/md/D22-TDAG.WG.SGQ-C-0048/es" TargetMode="External"/><Relationship Id="rId55" Type="http://schemas.openxmlformats.org/officeDocument/2006/relationships/hyperlink" Target="https://www.itu.int/en/ITU-D/Study-Groups/2022-2025/Pages/reference/Ongoing-Work.aspx" TargetMode="External"/><Relationship Id="rId76" Type="http://schemas.openxmlformats.org/officeDocument/2006/relationships/hyperlink" Target="https://www.itu.int/md/D22-SG02.RGQ-R-0013/es" TargetMode="External"/><Relationship Id="rId97" Type="http://schemas.openxmlformats.org/officeDocument/2006/relationships/hyperlink" Target="https://extranet.itu.int/rsg-meetings/ccv/Share/CCT%20meeting%202024-09-17/073e.docx" TargetMode="External"/><Relationship Id="rId104" Type="http://schemas.openxmlformats.org/officeDocument/2006/relationships/hyperlink" Target="https://www.itu.int/md/D22-SG02-C-0174/es" TargetMode="External"/><Relationship Id="rId120" Type="http://schemas.openxmlformats.org/officeDocument/2006/relationships/hyperlink" Target="https://www.itu.int/md/D22-SG02-C-0062/es" TargetMode="External"/><Relationship Id="rId125" Type="http://schemas.openxmlformats.org/officeDocument/2006/relationships/hyperlink" Target="https://www.itu.int/md/D22-SG02-C-0176/es" TargetMode="External"/><Relationship Id="rId141" Type="http://schemas.openxmlformats.org/officeDocument/2006/relationships/hyperlink" Target="https://www.itu.int/net4/ITU-D/CDS/sg/blkmeetings.asp?lg=1&amp;sp=2022&amp;blk=28157" TargetMode="External"/><Relationship Id="rId146" Type="http://schemas.openxmlformats.org/officeDocument/2006/relationships/hyperlink" Target="https://www.itu.int/hub/publication/d-stg-sg01-06-3-2023/" TargetMode="External"/><Relationship Id="rId167" Type="http://schemas.openxmlformats.org/officeDocument/2006/relationships/hyperlink" Target="https://www.itu.int/md/D22-SG02-C-0329/" TargetMode="External"/><Relationship Id="rId7" Type="http://schemas.openxmlformats.org/officeDocument/2006/relationships/styles" Target="styles.xml"/><Relationship Id="rId71" Type="http://schemas.openxmlformats.org/officeDocument/2006/relationships/hyperlink" Target="https://www.itu.int/md/D22-SG02.RGQ-R-0012/es" TargetMode="External"/><Relationship Id="rId92" Type="http://schemas.openxmlformats.org/officeDocument/2006/relationships/hyperlink" Target="https://www.itu.int/md/D22-SG02-C-0402/es" TargetMode="External"/><Relationship Id="rId162" Type="http://schemas.openxmlformats.org/officeDocument/2006/relationships/hyperlink" Target="https://www.itu.int/pub/D-STG-SG01.06.3-2023" TargetMode="External"/><Relationship Id="rId183" Type="http://schemas.openxmlformats.org/officeDocument/2006/relationships/fontTable" Target="fontTable.xml"/><Relationship Id="rId29" Type="http://schemas.openxmlformats.org/officeDocument/2006/relationships/image" Target="media/image10.png"/><Relationship Id="rId24" Type="http://schemas.openxmlformats.org/officeDocument/2006/relationships/image" Target="media/image5.png"/><Relationship Id="rId40" Type="http://schemas.openxmlformats.org/officeDocument/2006/relationships/hyperlink" Target="https://www.itu.int/en/ITU-D/Study-Groups/2022-2025/Pages/meetings/session-Q1-2-may23.aspx" TargetMode="External"/><Relationship Id="rId45" Type="http://schemas.openxmlformats.org/officeDocument/2006/relationships/hyperlink" Target="https://www.itu.int/md/D22-SG02-C-0359/es" TargetMode="External"/><Relationship Id="rId66" Type="http://schemas.openxmlformats.org/officeDocument/2006/relationships/hyperlink" Target="https://www.itu.int/md/D22-TDAG.WG.SGQ-C-0048/es" TargetMode="External"/><Relationship Id="rId87" Type="http://schemas.openxmlformats.org/officeDocument/2006/relationships/hyperlink" Target="https://www.itu.int/md/D22-TDAG.WG.SGQ-C-0048/es" TargetMode="External"/><Relationship Id="rId110" Type="http://schemas.openxmlformats.org/officeDocument/2006/relationships/hyperlink" Target="https://www.itu.int/md/D22-SG02-C-0170/es" TargetMode="External"/><Relationship Id="rId115" Type="http://schemas.openxmlformats.org/officeDocument/2006/relationships/hyperlink" Target="https://www.itu.int/md/D22-SG02-C-0060/es" TargetMode="External"/><Relationship Id="rId131" Type="http://schemas.openxmlformats.org/officeDocument/2006/relationships/header" Target="header1.xml"/><Relationship Id="rId136" Type="http://schemas.openxmlformats.org/officeDocument/2006/relationships/footer" Target="footer2.xml"/><Relationship Id="rId157" Type="http://schemas.openxmlformats.org/officeDocument/2006/relationships/hyperlink" Target="https://www.itu.int/pub/D-STG-SG01.01.2-2021" TargetMode="External"/><Relationship Id="rId178" Type="http://schemas.openxmlformats.org/officeDocument/2006/relationships/hyperlink" Target="https://www.itu.int/md/D22-SG02.RGQ-C-0122/" TargetMode="External"/><Relationship Id="rId61" Type="http://schemas.openxmlformats.org/officeDocument/2006/relationships/hyperlink" Target="https://www.itu.int/md/D22-SG02-C-0361/es" TargetMode="External"/><Relationship Id="rId82" Type="http://schemas.openxmlformats.org/officeDocument/2006/relationships/hyperlink" Target="https://www.itu.int/md/D22-SG02.RGQ-R-0014/es" TargetMode="External"/><Relationship Id="rId152" Type="http://schemas.openxmlformats.org/officeDocument/2006/relationships/hyperlink" Target="https://www.itu.int/hub/?s=&amp;post_type=publication" TargetMode="External"/><Relationship Id="rId173" Type="http://schemas.openxmlformats.org/officeDocument/2006/relationships/hyperlink" Target="https://www.itu.int/md/D22-SG02-C-0129/" TargetMode="External"/><Relationship Id="rId19" Type="http://schemas.openxmlformats.org/officeDocument/2006/relationships/hyperlink" Target="https://www.itu.int/md/D22-SG02-R-0017/es" TargetMode="External"/><Relationship Id="rId14" Type="http://schemas.openxmlformats.org/officeDocument/2006/relationships/hyperlink" Target="https://www.itu.int/md/D22-TDAG30-C-0006/es" TargetMode="External"/><Relationship Id="rId30" Type="http://schemas.openxmlformats.org/officeDocument/2006/relationships/hyperlink" Target="https://www.itu.int/md/D22-SG02-ADM-0004/es" TargetMode="External"/><Relationship Id="rId35" Type="http://schemas.openxmlformats.org/officeDocument/2006/relationships/hyperlink" Target="https://www.itu.int/md/D22-SG02-R-0009/es" TargetMode="External"/><Relationship Id="rId56" Type="http://schemas.openxmlformats.org/officeDocument/2006/relationships/hyperlink" Target="https://www.itu.int/en/ITU-D/Study-Groups/2022-2025/Pages/meetings/session-Q3-2-may23.aspx" TargetMode="External"/><Relationship Id="rId77" Type="http://schemas.openxmlformats.org/officeDocument/2006/relationships/hyperlink" Target="https://www.itu.int/md/D22-TDAG.WG.SGQ-C-0048/es" TargetMode="External"/><Relationship Id="rId100" Type="http://schemas.openxmlformats.org/officeDocument/2006/relationships/hyperlink" Target="https://extranet.itu.int/rsg-meetings/ccv/Share/CCT%20meeting%202025-03-11/Input%20contributions/110e.docx" TargetMode="External"/><Relationship Id="rId105" Type="http://schemas.openxmlformats.org/officeDocument/2006/relationships/hyperlink" Target="https://www.itu.int/md/D22-SG02-C-0323/es" TargetMode="External"/><Relationship Id="rId126" Type="http://schemas.openxmlformats.org/officeDocument/2006/relationships/hyperlink" Target="https://www.itu.int/md/D22-SG02-C-0308/es" TargetMode="External"/><Relationship Id="rId147" Type="http://schemas.openxmlformats.org/officeDocument/2006/relationships/hyperlink" Target="https://www.itu.int/pub/D-STG-SG01.06.3-2023" TargetMode="External"/><Relationship Id="rId168" Type="http://schemas.openxmlformats.org/officeDocument/2006/relationships/hyperlink" Target="https://www.itu.int/md/D22-SG02.RGQ-C-0046/" TargetMode="External"/><Relationship Id="rId8" Type="http://schemas.openxmlformats.org/officeDocument/2006/relationships/settings" Target="settings.xml"/><Relationship Id="rId51" Type="http://schemas.openxmlformats.org/officeDocument/2006/relationships/hyperlink" Target="https://www.itu.int/md/D22-SG02-C-0360/es" TargetMode="External"/><Relationship Id="rId72" Type="http://schemas.openxmlformats.org/officeDocument/2006/relationships/hyperlink" Target="https://www.itu.int/md/D18-SG02-C-0363/es" TargetMode="External"/><Relationship Id="rId93" Type="http://schemas.openxmlformats.org/officeDocument/2006/relationships/hyperlink" Target="https://www.itu.int/md/R19-CCV-C-0051/es" TargetMode="External"/><Relationship Id="rId98" Type="http://schemas.openxmlformats.org/officeDocument/2006/relationships/hyperlink" Target="https://extranet.itu.int/rsg-meetings/ccv/Share/CCT%20meeting%202024-12-10/Input%20contributions/087e.docx" TargetMode="External"/><Relationship Id="rId121" Type="http://schemas.openxmlformats.org/officeDocument/2006/relationships/hyperlink" Target="https://www.itu.int/md/D22-SG02-C-0063/es" TargetMode="External"/><Relationship Id="rId142" Type="http://schemas.openxmlformats.org/officeDocument/2006/relationships/hyperlink" Target="https://www.itu.int/net4/ITU-D/CDS/sg/blkmeetings.asp?lg=1&amp;stg=&amp;sp=2022&amp;blk=28791" TargetMode="External"/><Relationship Id="rId163" Type="http://schemas.openxmlformats.org/officeDocument/2006/relationships/hyperlink" Target="https://www.itu.int/oth/D072D000001/en"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6.png"/><Relationship Id="rId46" Type="http://schemas.openxmlformats.org/officeDocument/2006/relationships/hyperlink" Target="https://www.itu.int/en/ITU-D/Study-Groups/2022-2025/Pages/meetings/session-Q2-2-may23.aspx" TargetMode="External"/><Relationship Id="rId67" Type="http://schemas.openxmlformats.org/officeDocument/2006/relationships/hyperlink" Target="https://www.itu.int/md/D22-SG02-C-0362/es" TargetMode="External"/><Relationship Id="rId116" Type="http://schemas.openxmlformats.org/officeDocument/2006/relationships/hyperlink" Target="https://www.itu.int/md/D22-SG02-C-0160/es" TargetMode="External"/><Relationship Id="rId137" Type="http://schemas.openxmlformats.org/officeDocument/2006/relationships/header" Target="header3.xml"/><Relationship Id="rId158" Type="http://schemas.openxmlformats.org/officeDocument/2006/relationships/hyperlink" Target="https://www.itu.int/itu-d/sites/studygroups/" TargetMode="External"/><Relationship Id="rId20" Type="http://schemas.openxmlformats.org/officeDocument/2006/relationships/hyperlink" Target="https://www.itu.int/md/D22-SG02-R-0025/es" TargetMode="External"/><Relationship Id="rId41" Type="http://schemas.openxmlformats.org/officeDocument/2006/relationships/hyperlink" Target="https://www.itu.int/md/D22-SG02.RGQ-R-0001/es" TargetMode="External"/><Relationship Id="rId62" Type="http://schemas.openxmlformats.org/officeDocument/2006/relationships/hyperlink" Target="https://www.itu.int/en/ITU-D/Study-Groups/2022-2025/Pages/meetings/session-Q4-2-june23.aspx" TargetMode="External"/><Relationship Id="rId83" Type="http://schemas.openxmlformats.org/officeDocument/2006/relationships/hyperlink" Target="https://www.itu.int/md/D22-TDAG.WG.SGQ-C-0048/es" TargetMode="External"/><Relationship Id="rId88" Type="http://schemas.openxmlformats.org/officeDocument/2006/relationships/hyperlink" Target="https://www.itu.int/en/general-secretariat/ties/ISCGDocumentLibrary/Liaisons%20Statements%20on%20Inter-Sectoral%20Coordination%20Activities/Table%201.pdf" TargetMode="External"/><Relationship Id="rId111" Type="http://schemas.openxmlformats.org/officeDocument/2006/relationships/hyperlink" Target="https://www.itu.int/md/D22-SG02-C-0305/es" TargetMode="External"/><Relationship Id="rId132" Type="http://schemas.openxmlformats.org/officeDocument/2006/relationships/footer" Target="footer1.xml"/><Relationship Id="rId153" Type="http://schemas.openxmlformats.org/officeDocument/2006/relationships/hyperlink" Target="https://www.itu.int/itu-d/sites/studygroups/" TargetMode="External"/><Relationship Id="rId174" Type="http://schemas.openxmlformats.org/officeDocument/2006/relationships/hyperlink" Target="https://www.itu.int/md/D22-SG02-C-0198/" TargetMode="External"/><Relationship Id="rId179" Type="http://schemas.openxmlformats.org/officeDocument/2006/relationships/header" Target="header5.xml"/><Relationship Id="rId15" Type="http://schemas.openxmlformats.org/officeDocument/2006/relationships/hyperlink" Target="https://www.itu.int/md/D22-TDAG31-C-0006/es" TargetMode="External"/><Relationship Id="rId36" Type="http://schemas.openxmlformats.org/officeDocument/2006/relationships/hyperlink" Target="https://www.itu.int/md/D22-SG02-R-0009/es" TargetMode="External"/><Relationship Id="rId57" Type="http://schemas.openxmlformats.org/officeDocument/2006/relationships/hyperlink" Target="https://www.itu.int/md/D22-SG02.RGQ-R-0003/es" TargetMode="External"/><Relationship Id="rId106" Type="http://schemas.openxmlformats.org/officeDocument/2006/relationships/hyperlink" Target="https://www.itu.int/md/D22-SG02-C-0057/es" TargetMode="External"/><Relationship Id="rId127" Type="http://schemas.openxmlformats.org/officeDocument/2006/relationships/hyperlink" Target="https://www.itu.int/md/D22-SG02-C-0412/es" TargetMode="External"/><Relationship Id="rId10" Type="http://schemas.openxmlformats.org/officeDocument/2006/relationships/footnotes" Target="footnotes.xml"/><Relationship Id="rId31" Type="http://schemas.openxmlformats.org/officeDocument/2006/relationships/hyperlink" Target="https://www.itu.int/md/D22-SG02-R-0008/es" TargetMode="External"/><Relationship Id="rId52" Type="http://schemas.openxmlformats.org/officeDocument/2006/relationships/hyperlink" Target="https://www.itu.int/hub/publication/d-stg-sg02-03-2-2023/" TargetMode="External"/><Relationship Id="rId73" Type="http://schemas.openxmlformats.org/officeDocument/2006/relationships/hyperlink" Target="https://www.itu.int/en/ITU-D/Study-Groups/2022-2025/Pages/meetings/session-Q6-2-may23.aspx" TargetMode="External"/><Relationship Id="rId78" Type="http://schemas.openxmlformats.org/officeDocument/2006/relationships/hyperlink" Target="https://www.itu.int/md/D18-SG02-C-0364/es" TargetMode="External"/><Relationship Id="rId94" Type="http://schemas.openxmlformats.org/officeDocument/2006/relationships/hyperlink" Target="https://extranet.itu.int/rsg-meetings/ccv/Share/CCT%20meeting%202023-07-21/Input%20contributions/001e.docx" TargetMode="External"/><Relationship Id="rId99" Type="http://schemas.openxmlformats.org/officeDocument/2006/relationships/hyperlink" Target="https://extranet.itu.int/rsg-meetings/ccv/Share/CCT%20meeting%202025-01-30/Input%20contributions/097e.docx" TargetMode="External"/><Relationship Id="rId101" Type="http://schemas.openxmlformats.org/officeDocument/2006/relationships/hyperlink" Target="https://extranet.itu.int/rsg-meetings/ccv/Share/CCT%20meeting%202025-07-01/Input%20contributions/137e.docx" TargetMode="External"/><Relationship Id="rId122" Type="http://schemas.openxmlformats.org/officeDocument/2006/relationships/hyperlink" Target="https://www.itu.int/md/D22-SG02-C-0064/es" TargetMode="External"/><Relationship Id="rId143" Type="http://schemas.openxmlformats.org/officeDocument/2006/relationships/hyperlink" Target="https://www.itu.int/net4/ITU-D/CDS/sg/blkmeetings.asp?lg=1&amp;stg=&amp;sp=2022&amp;blk=28225" TargetMode="External"/><Relationship Id="rId148" Type="http://schemas.openxmlformats.org/officeDocument/2006/relationships/hyperlink" Target="https://www.itu.int/hub/publication/d-stg-sg01-01-2-2021/" TargetMode="External"/><Relationship Id="rId164" Type="http://schemas.openxmlformats.org/officeDocument/2006/relationships/hyperlink" Target="https://www.itu.int/net4/ITU-D/CDS/sg/index.asp?lg=1&amp;sp=2022" TargetMode="External"/><Relationship Id="rId169" Type="http://schemas.openxmlformats.org/officeDocument/2006/relationships/hyperlink" Target="https://iccwbo.org/wp-content/uploads/sites/3/2022/05/2022-icc-white-paper-delivering-connectivity.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eader" Target="header6.xml"/><Relationship Id="rId26" Type="http://schemas.openxmlformats.org/officeDocument/2006/relationships/image" Target="media/image7.png"/><Relationship Id="rId47" Type="http://schemas.openxmlformats.org/officeDocument/2006/relationships/hyperlink" Target="https://www.itu.int/md/D22-SG02.RGQ-R-0002/es" TargetMode="External"/><Relationship Id="rId68" Type="http://schemas.openxmlformats.org/officeDocument/2006/relationships/hyperlink" Target="https://www.itu.int/en/ITU-D/Study-Groups/2022-2025/Pages/meetings/session-Q5-2-may23.aspx" TargetMode="External"/><Relationship Id="rId89" Type="http://schemas.openxmlformats.org/officeDocument/2006/relationships/hyperlink" Target="https://www.itu.int/en/general-secretariat/ties/ISCGDocumentLibrary/Liaisons%20Statements%20on%20Inter-Sectoral%20Coordination%20Activities/Table%203.pdf" TargetMode="External"/><Relationship Id="rId112" Type="http://schemas.openxmlformats.org/officeDocument/2006/relationships/hyperlink" Target="https://www.itu.int/en/ITU-D/Study-Groups/2022-2025/Pages/TIES_Protected/session-BDT-projects-oct23.aspx" TargetMode="External"/><Relationship Id="rId133" Type="http://schemas.openxmlformats.org/officeDocument/2006/relationships/hyperlink" Target="https://www.itu.int/en/ITU-D/Conferences/WTDC/WTDC21/Pages/SG_TDAG_appointed-chairs-and-vice-chairs.aspx" TargetMode="External"/><Relationship Id="rId154" Type="http://schemas.openxmlformats.org/officeDocument/2006/relationships/hyperlink" Target="https://www.itu.int/pub/D-STG" TargetMode="External"/><Relationship Id="rId175" Type="http://schemas.openxmlformats.org/officeDocument/2006/relationships/hyperlink" Target="https://www.itu.int/md/D22-SG02-C-0274/" TargetMode="External"/><Relationship Id="rId16" Type="http://schemas.openxmlformats.org/officeDocument/2006/relationships/hyperlink" Target="https://www.itu.int/md/D22-TDAG32-C-0007/es" TargetMode="External"/><Relationship Id="rId37" Type="http://schemas.openxmlformats.org/officeDocument/2006/relationships/hyperlink" Target="https://www.itu.int/md/D22-SG02-R-0017/es" TargetMode="External"/><Relationship Id="rId58" Type="http://schemas.openxmlformats.org/officeDocument/2006/relationships/hyperlink" Target="https://www.itu.int/en/ITU-D/Study-Groups/2022-2025/Pages/meetings/workshop-Q3-2_may24.aspx" TargetMode="External"/><Relationship Id="rId79" Type="http://schemas.openxmlformats.org/officeDocument/2006/relationships/hyperlink" Target="https://www.itu.int/en/ITU-D/Study-Groups/2022-2025/Pages/meetings/session-Q7-2-may23.aspx" TargetMode="External"/><Relationship Id="rId102" Type="http://schemas.openxmlformats.org/officeDocument/2006/relationships/hyperlink" Target="https://www.itu.int/md/D22-SG02-C-0159/es" TargetMode="External"/><Relationship Id="rId123" Type="http://schemas.openxmlformats.org/officeDocument/2006/relationships/hyperlink" Target="https://www.itu.int/md/D22-SG02-C-0065/es" TargetMode="External"/><Relationship Id="rId144" Type="http://schemas.openxmlformats.org/officeDocument/2006/relationships/hyperlink" Target="https://www.itu.int/en/ITU-D/Study-Groups/2022-2025/Pages/events_workshops.aspx" TargetMode="External"/><Relationship Id="rId90" Type="http://schemas.openxmlformats.org/officeDocument/2006/relationships/hyperlink" Target="https://www.itu.int/md/D22-TDAG30-C-0006/es" TargetMode="External"/><Relationship Id="rId165" Type="http://schemas.openxmlformats.org/officeDocument/2006/relationships/hyperlink" Target="https://www.itu.int/itu-d/sites/studygroups/" TargetMode="External"/><Relationship Id="rId27" Type="http://schemas.openxmlformats.org/officeDocument/2006/relationships/image" Target="media/image8.png"/><Relationship Id="rId48" Type="http://schemas.openxmlformats.org/officeDocument/2006/relationships/hyperlink" Target="https://www.itu.int/en/ITU-D/Study-Groups/2022-2025/Pages/meetings/workshop-Q2-2_april24.aspx" TargetMode="External"/><Relationship Id="rId69" Type="http://schemas.openxmlformats.org/officeDocument/2006/relationships/hyperlink" Target="https://www.itu.int/md/D22-SG02.RGQ-R-0005/es" TargetMode="External"/><Relationship Id="rId113" Type="http://schemas.openxmlformats.org/officeDocument/2006/relationships/hyperlink" Target="https://www.itu.int/md/D22-SG02-R-0009/es" TargetMode="External"/><Relationship Id="rId134" Type="http://schemas.openxmlformats.org/officeDocument/2006/relationships/hyperlink" Target="https://www.itu.int/net4/ITU-D/CDS/sg/rapporteurs.asp?lg=1&amp;sp=2022" TargetMode="External"/><Relationship Id="rId80" Type="http://schemas.openxmlformats.org/officeDocument/2006/relationships/hyperlink" Target="https://www.itu.int/md/D22-SG02.RGQ-R-0007/es" TargetMode="External"/><Relationship Id="rId155" Type="http://schemas.openxmlformats.org/officeDocument/2006/relationships/hyperlink" Target="https://www.itu.int/pub/D-STG-SG01" TargetMode="External"/><Relationship Id="rId176" Type="http://schemas.openxmlformats.org/officeDocument/2006/relationships/hyperlink" Target="https://www.itu.int/md/D22-SG02.RGQ-C-0001/" TargetMode="External"/><Relationship Id="rId17" Type="http://schemas.openxmlformats.org/officeDocument/2006/relationships/hyperlink" Target="https://www.itu.int/md/D22-SG02-R-0008/es" TargetMode="External"/><Relationship Id="rId38" Type="http://schemas.openxmlformats.org/officeDocument/2006/relationships/hyperlink" Target="https://www.itu.int/md/D18-SG02-R-0025/es" TargetMode="External"/><Relationship Id="rId59" Type="http://schemas.openxmlformats.org/officeDocument/2006/relationships/hyperlink" Target="https://www.itu.int/md/D22-SG02.RGQ-R-0010/es" TargetMode="External"/><Relationship Id="rId103" Type="http://schemas.openxmlformats.org/officeDocument/2006/relationships/hyperlink" Target="https://www.itu.int/md/D22-SG02-C-0286/es" TargetMode="External"/><Relationship Id="rId124" Type="http://schemas.openxmlformats.org/officeDocument/2006/relationships/hyperlink" Target="https://www.itu.int/md/D22-SG02-C-0066/es" TargetMode="External"/><Relationship Id="rId70" Type="http://schemas.openxmlformats.org/officeDocument/2006/relationships/hyperlink" Target="https://www.itu.int/en/ITU-D/Study-Groups/2022-2025/Pages/meetings/workshop-Q5-2_may24.aspx" TargetMode="External"/><Relationship Id="rId91" Type="http://schemas.openxmlformats.org/officeDocument/2006/relationships/hyperlink" Target="https://www.itu.int/md/D22-SG02-C-0161/es" TargetMode="External"/><Relationship Id="rId145" Type="http://schemas.openxmlformats.org/officeDocument/2006/relationships/header" Target="header4.xml"/><Relationship Id="rId166" Type="http://schemas.openxmlformats.org/officeDocument/2006/relationships/hyperlink" Target="https://www.itu.int/pub/D-STG-SG01.06.3-2023" TargetMode="External"/><Relationship Id="rId1" Type="http://schemas.openxmlformats.org/officeDocument/2006/relationships/customXml" Target="../customXml/item1.xml"/><Relationship Id="rId28" Type="http://schemas.openxmlformats.org/officeDocument/2006/relationships/image" Target="media/image9.png"/><Relationship Id="rId49" Type="http://schemas.openxmlformats.org/officeDocument/2006/relationships/hyperlink" Target="https://www.itu.int/md/D22-SG02.RGQ-R-0009/es" TargetMode="External"/><Relationship Id="rId114" Type="http://schemas.openxmlformats.org/officeDocument/2006/relationships/hyperlink" Target="https://www.itu.int/md/D22-SG02-C-0288/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fadel.digham@gmail.com" TargetMode="External"/><Relationship Id="rId1" Type="http://schemas.openxmlformats.org/officeDocument/2006/relationships/hyperlink" Target="mailto:fdigham@tra.gov.e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fadel.digham@gmai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anslate.itu.int/documents" TargetMode="External"/><Relationship Id="rId3" Type="http://schemas.openxmlformats.org/officeDocument/2006/relationships/hyperlink" Target="https://www.itu.int/en/ITU-D/Regional-Presence/Americas/Pages/EVENTS/2024/cons-awa-2024.aspx" TargetMode="External"/><Relationship Id="rId7" Type="http://schemas.openxmlformats.org/officeDocument/2006/relationships/hyperlink" Target="https://www.itu.int/en/ITU-D/Study-Groups/2022-2025/Pages/TIES_Protected/contributions_dashboard_2022_2025.aspx" TargetMode="External"/><Relationship Id="rId2" Type="http://schemas.openxmlformats.org/officeDocument/2006/relationships/hyperlink" Target="https://www.itu.int/en/ITU-D/Study-Groups/2022-2025/Pages/events_workshops.asp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unctad.org/es/PublicationsLibrary/ares70d125_es.pdf" TargetMode="External"/><Relationship Id="rId5" Type="http://schemas.openxmlformats.org/officeDocument/2006/relationships/hyperlink" Target="https://www.itu.int/en/ITU-D/Regional-Presence/Americas/Pages/EVENTS/2024/cons-awa-2024.aspx" TargetMode="External"/><Relationship Id="rId4" Type="http://schemas.openxmlformats.org/officeDocument/2006/relationships/hyperlink" Target="https://www.itu.int/en/ITU-D/Study-Groups/2022-2025/Pages/reference/Ongoing-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5.xml><?xml version="1.0" encoding="utf-8"?>
<ds:datastoreItem xmlns:ds="http://schemas.openxmlformats.org/officeDocument/2006/customXml" ds:itemID="{385E8052-776A-46CB-B7BE-C2C077765330}"/>
</file>

<file path=docProps/app.xml><?xml version="1.0" encoding="utf-8"?>
<Properties xmlns="http://schemas.openxmlformats.org/officeDocument/2006/extended-properties" xmlns:vt="http://schemas.openxmlformats.org/officeDocument/2006/docPropsVTypes">
  <Template>Normal.dotm</Template>
  <TotalTime>253</TotalTime>
  <Pages>45</Pages>
  <Words>15107</Words>
  <Characters>94267</Characters>
  <Application>Microsoft Office Word</Application>
  <DocSecurity>0</DocSecurity>
  <Lines>785</Lines>
  <Paragraphs>218</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109156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Spanish</dc:creator>
  <cp:keywords/>
  <dc:description/>
  <cp:lastModifiedBy>Spanish</cp:lastModifiedBy>
  <cp:revision>28</cp:revision>
  <cp:lastPrinted>2017-03-09T15:07:00Z</cp:lastPrinted>
  <dcterms:created xsi:type="dcterms:W3CDTF">2025-10-10T07:57:00Z</dcterms:created>
  <dcterms:modified xsi:type="dcterms:W3CDTF">2025-10-13T10:28:00Z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