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4" w:type="pct"/>
        <w:tblLayout w:type="fixed"/>
        <w:tblLook w:val="0000" w:firstRow="0" w:lastRow="0" w:firstColumn="0" w:lastColumn="0" w:noHBand="0" w:noVBand="0"/>
      </w:tblPr>
      <w:tblGrid>
        <w:gridCol w:w="1420"/>
        <w:gridCol w:w="5087"/>
        <w:gridCol w:w="1008"/>
        <w:gridCol w:w="2267"/>
      </w:tblGrid>
      <w:tr w:rsidR="00961D12" w:rsidRPr="00803037" w14:paraId="23658664" w14:textId="77777777" w:rsidTr="00961D12">
        <w:trPr>
          <w:cantSplit/>
          <w:trHeight w:val="1134"/>
        </w:trPr>
        <w:tc>
          <w:tcPr>
            <w:tcW w:w="726" w:type="pct"/>
          </w:tcPr>
          <w:p w14:paraId="7B75E2CA" w14:textId="44422B95" w:rsidR="00E80D1A" w:rsidRPr="00803037" w:rsidRDefault="00E80D1A" w:rsidP="00AA25E0">
            <w:pPr>
              <w:tabs>
                <w:tab w:val="clear" w:pos="1134"/>
              </w:tabs>
              <w:rPr>
                <w:b/>
                <w:bCs/>
                <w:szCs w:val="24"/>
                <w:lang w:val="fr-FR"/>
              </w:rPr>
            </w:pPr>
            <w:r w:rsidRPr="00803037">
              <w:rPr>
                <w:lang w:val="fr-FR" w:eastAsia="fr-FR"/>
              </w:rPr>
              <w:drawing>
                <wp:inline distT="0" distB="0" distL="0" distR="0" wp14:anchorId="398ED31D" wp14:editId="3745CD2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5" w:type="pct"/>
            <w:gridSpan w:val="2"/>
          </w:tcPr>
          <w:p w14:paraId="7B7782C2" w14:textId="4422E40A" w:rsidR="00E80D1A" w:rsidRPr="00803037" w:rsidRDefault="00E80D1A" w:rsidP="0055124D">
            <w:pPr>
              <w:tabs>
                <w:tab w:val="clear" w:pos="1134"/>
              </w:tabs>
              <w:spacing w:before="240" w:line="240" w:lineRule="atLeast"/>
              <w:ind w:left="34"/>
              <w:rPr>
                <w:rFonts w:cstheme="minorHAnsi"/>
                <w:lang w:val="fr-FR"/>
              </w:rPr>
            </w:pPr>
            <w:r w:rsidRPr="00803037">
              <w:rPr>
                <w:b/>
                <w:bCs/>
                <w:sz w:val="30"/>
                <w:szCs w:val="30"/>
                <w:lang w:val="fr-FR"/>
              </w:rPr>
              <w:t>Conférence mondiale de développement des télécommunications de 2025 (CMDT-25)</w:t>
            </w:r>
            <w:r w:rsidRPr="00803037">
              <w:rPr>
                <w:b/>
                <w:bCs/>
                <w:sz w:val="32"/>
                <w:szCs w:val="32"/>
                <w:lang w:val="fr-FR"/>
              </w:rPr>
              <w:br/>
            </w:r>
            <w:r w:rsidRPr="00803037">
              <w:rPr>
                <w:b/>
                <w:bCs/>
                <w:szCs w:val="24"/>
                <w:lang w:val="fr-FR"/>
              </w:rPr>
              <w:t xml:space="preserve">Bakou </w:t>
            </w:r>
            <w:r w:rsidR="001B420A" w:rsidRPr="00803037">
              <w:rPr>
                <w:b/>
                <w:bCs/>
                <w:szCs w:val="24"/>
                <w:lang w:val="fr-FR"/>
              </w:rPr>
              <w:t>(</w:t>
            </w:r>
            <w:r w:rsidRPr="00803037">
              <w:rPr>
                <w:b/>
                <w:bCs/>
                <w:szCs w:val="24"/>
                <w:lang w:val="fr-FR"/>
              </w:rPr>
              <w:t xml:space="preserve">République </w:t>
            </w:r>
            <w:r w:rsidR="0089542D" w:rsidRPr="00803037">
              <w:rPr>
                <w:b/>
                <w:bCs/>
                <w:szCs w:val="24"/>
                <w:lang w:val="fr-FR"/>
              </w:rPr>
              <w:t>d'</w:t>
            </w:r>
            <w:r w:rsidRPr="00803037">
              <w:rPr>
                <w:b/>
                <w:bCs/>
                <w:szCs w:val="24"/>
                <w:lang w:val="fr-FR"/>
              </w:rPr>
              <w:t>Azerbaïdjan</w:t>
            </w:r>
            <w:r w:rsidR="001B420A" w:rsidRPr="00803037">
              <w:rPr>
                <w:b/>
                <w:bCs/>
                <w:szCs w:val="24"/>
                <w:lang w:val="fr-FR"/>
              </w:rPr>
              <w:t>)</w:t>
            </w:r>
            <w:r w:rsidRPr="00803037">
              <w:rPr>
                <w:b/>
                <w:bCs/>
                <w:szCs w:val="24"/>
                <w:lang w:val="fr-FR"/>
              </w:rPr>
              <w:t>, 17-28 novembre 2025</w:t>
            </w:r>
          </w:p>
        </w:tc>
        <w:tc>
          <w:tcPr>
            <w:tcW w:w="1159" w:type="pct"/>
          </w:tcPr>
          <w:p w14:paraId="2C5DBE98" w14:textId="476D6C5F" w:rsidR="00E80D1A" w:rsidRPr="00803037" w:rsidRDefault="00EF4BDF" w:rsidP="0055124D">
            <w:pPr>
              <w:tabs>
                <w:tab w:val="clear" w:pos="1134"/>
              </w:tabs>
              <w:spacing w:line="240" w:lineRule="atLeast"/>
              <w:ind w:left="34"/>
              <w:jc w:val="right"/>
              <w:rPr>
                <w:rFonts w:cstheme="minorHAnsi"/>
                <w:lang w:val="fr-FR"/>
              </w:rPr>
            </w:pPr>
            <w:r w:rsidRPr="00803037">
              <w:rPr>
                <w:b/>
                <w:bCs/>
                <w:sz w:val="32"/>
                <w:szCs w:val="32"/>
                <w:lang w:val="fr-FR"/>
              </w:rPr>
              <w:drawing>
                <wp:inline distT="0" distB="0" distL="0" distR="0" wp14:anchorId="4BE35AE4" wp14:editId="02EDE8ED">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803037" w14:paraId="679DB3BF" w14:textId="77777777" w:rsidTr="00961D12">
        <w:trPr>
          <w:cantSplit/>
        </w:trPr>
        <w:tc>
          <w:tcPr>
            <w:tcW w:w="3326" w:type="pct"/>
            <w:gridSpan w:val="2"/>
            <w:tcBorders>
              <w:top w:val="single" w:sz="12" w:space="0" w:color="auto"/>
            </w:tcBorders>
          </w:tcPr>
          <w:p w14:paraId="4C62B06C" w14:textId="77777777" w:rsidR="00D83BF5" w:rsidRPr="00803037" w:rsidRDefault="00D83BF5" w:rsidP="00A327AF">
            <w:pPr>
              <w:spacing w:before="0" w:after="48" w:line="240" w:lineRule="atLeast"/>
              <w:rPr>
                <w:rFonts w:cstheme="minorHAnsi"/>
                <w:b/>
                <w:smallCaps/>
                <w:sz w:val="20"/>
                <w:lang w:val="fr-FR"/>
              </w:rPr>
            </w:pPr>
            <w:bookmarkStart w:id="0" w:name="dhead"/>
          </w:p>
        </w:tc>
        <w:tc>
          <w:tcPr>
            <w:tcW w:w="1674" w:type="pct"/>
            <w:gridSpan w:val="2"/>
            <w:tcBorders>
              <w:top w:val="single" w:sz="12" w:space="0" w:color="auto"/>
            </w:tcBorders>
          </w:tcPr>
          <w:p w14:paraId="0116ED64" w14:textId="77777777" w:rsidR="00D83BF5" w:rsidRPr="00803037" w:rsidRDefault="00D83BF5" w:rsidP="00A327AF">
            <w:pPr>
              <w:spacing w:before="0" w:line="240" w:lineRule="atLeast"/>
              <w:rPr>
                <w:rFonts w:cstheme="minorHAnsi"/>
                <w:sz w:val="20"/>
                <w:lang w:val="fr-FR"/>
              </w:rPr>
            </w:pPr>
          </w:p>
        </w:tc>
      </w:tr>
      <w:tr w:rsidR="00A4721E" w:rsidRPr="00803037" w14:paraId="2DE0DADC" w14:textId="77777777" w:rsidTr="00961D12">
        <w:trPr>
          <w:cantSplit/>
          <w:trHeight w:val="23"/>
        </w:trPr>
        <w:tc>
          <w:tcPr>
            <w:tcW w:w="3326" w:type="pct"/>
            <w:gridSpan w:val="2"/>
          </w:tcPr>
          <w:p w14:paraId="28059CDA" w14:textId="152BF734" w:rsidR="00A4721E" w:rsidRPr="00803037" w:rsidRDefault="00A4721E" w:rsidP="00A4721E">
            <w:pPr>
              <w:pStyle w:val="Committee"/>
              <w:framePr w:hSpace="0" w:wrap="auto" w:hAnchor="text" w:yAlign="inline"/>
              <w:rPr>
                <w:lang w:val="fr-FR"/>
              </w:rPr>
            </w:pPr>
            <w:bookmarkStart w:id="1" w:name="dnum" w:colFirst="1" w:colLast="1"/>
            <w:bookmarkStart w:id="2" w:name="dmeeting" w:colFirst="0" w:colLast="0"/>
            <w:bookmarkEnd w:id="0"/>
            <w:r w:rsidRPr="00803037">
              <w:rPr>
                <w:lang w:val="fr-FR"/>
              </w:rPr>
              <w:t>SÉANCE PLÉNIÈRE</w:t>
            </w:r>
          </w:p>
        </w:tc>
        <w:tc>
          <w:tcPr>
            <w:tcW w:w="1674" w:type="pct"/>
            <w:gridSpan w:val="2"/>
          </w:tcPr>
          <w:p w14:paraId="7A5F1CCD" w14:textId="06BDA3D4" w:rsidR="00A4721E" w:rsidRPr="00803037" w:rsidRDefault="00A4721E" w:rsidP="00A4721E">
            <w:pPr>
              <w:tabs>
                <w:tab w:val="left" w:pos="851"/>
              </w:tabs>
              <w:spacing w:before="0" w:line="240" w:lineRule="atLeast"/>
              <w:rPr>
                <w:rFonts w:cstheme="minorHAnsi"/>
                <w:szCs w:val="24"/>
                <w:lang w:val="fr-FR"/>
              </w:rPr>
            </w:pPr>
            <w:r w:rsidRPr="00803037">
              <w:rPr>
                <w:b/>
                <w:bCs/>
                <w:lang w:val="fr-FR"/>
              </w:rPr>
              <w:t xml:space="preserve">Document </w:t>
            </w:r>
            <w:bookmarkStart w:id="3" w:name="DocRef1"/>
            <w:bookmarkEnd w:id="3"/>
            <w:r w:rsidRPr="00803037">
              <w:rPr>
                <w:b/>
                <w:bCs/>
                <w:lang w:val="fr-FR"/>
              </w:rPr>
              <w:t>WTDC-2</w:t>
            </w:r>
            <w:bookmarkStart w:id="4" w:name="DocNo1"/>
            <w:bookmarkEnd w:id="4"/>
            <w:r w:rsidRPr="00803037">
              <w:rPr>
                <w:b/>
                <w:bCs/>
                <w:lang w:val="fr-FR"/>
              </w:rPr>
              <w:t>5/12-F</w:t>
            </w:r>
          </w:p>
        </w:tc>
      </w:tr>
      <w:tr w:rsidR="00A4721E" w:rsidRPr="00803037" w14:paraId="54C2D06A" w14:textId="77777777" w:rsidTr="00961D12">
        <w:trPr>
          <w:cantSplit/>
          <w:trHeight w:val="23"/>
        </w:trPr>
        <w:tc>
          <w:tcPr>
            <w:tcW w:w="3326" w:type="pct"/>
            <w:gridSpan w:val="2"/>
          </w:tcPr>
          <w:p w14:paraId="26390377" w14:textId="50BB1F0F" w:rsidR="00A4721E" w:rsidRPr="00803037" w:rsidRDefault="00A4721E" w:rsidP="00A4721E">
            <w:pPr>
              <w:tabs>
                <w:tab w:val="left" w:pos="851"/>
              </w:tabs>
              <w:spacing w:before="0" w:line="240" w:lineRule="atLeast"/>
              <w:rPr>
                <w:rFonts w:cstheme="minorHAnsi"/>
                <w:b/>
                <w:szCs w:val="24"/>
                <w:lang w:val="fr-FR"/>
              </w:rPr>
            </w:pPr>
            <w:bookmarkStart w:id="5" w:name="ddate" w:colFirst="1" w:colLast="1"/>
            <w:bookmarkStart w:id="6" w:name="dblank" w:colFirst="0" w:colLast="0"/>
            <w:bookmarkEnd w:id="1"/>
            <w:bookmarkEnd w:id="2"/>
          </w:p>
        </w:tc>
        <w:tc>
          <w:tcPr>
            <w:tcW w:w="1674" w:type="pct"/>
            <w:gridSpan w:val="2"/>
          </w:tcPr>
          <w:p w14:paraId="7446A207" w14:textId="7B1CFFEB" w:rsidR="00A4721E" w:rsidRPr="00803037" w:rsidRDefault="00A4721E" w:rsidP="00A4721E">
            <w:pPr>
              <w:spacing w:before="0" w:line="240" w:lineRule="atLeast"/>
              <w:rPr>
                <w:rFonts w:cstheme="minorHAnsi"/>
                <w:szCs w:val="24"/>
                <w:lang w:val="fr-FR"/>
              </w:rPr>
            </w:pPr>
            <w:r w:rsidRPr="00803037">
              <w:rPr>
                <w:b/>
                <w:bCs/>
                <w:szCs w:val="28"/>
                <w:lang w:val="fr-FR"/>
              </w:rPr>
              <w:t>30 septembre 2025</w:t>
            </w:r>
          </w:p>
        </w:tc>
      </w:tr>
      <w:bookmarkEnd w:id="5"/>
      <w:bookmarkEnd w:id="6"/>
      <w:tr w:rsidR="00A4721E" w:rsidRPr="00803037" w14:paraId="7D1F02CB" w14:textId="77777777" w:rsidTr="00961D12">
        <w:trPr>
          <w:cantSplit/>
          <w:trHeight w:val="23"/>
        </w:trPr>
        <w:tc>
          <w:tcPr>
            <w:tcW w:w="3326" w:type="pct"/>
            <w:gridSpan w:val="2"/>
          </w:tcPr>
          <w:p w14:paraId="50C265AC" w14:textId="74C2AF68" w:rsidR="00A4721E" w:rsidRPr="00803037" w:rsidRDefault="00A4721E" w:rsidP="00A4721E">
            <w:pPr>
              <w:tabs>
                <w:tab w:val="left" w:pos="851"/>
              </w:tabs>
              <w:spacing w:before="0" w:line="240" w:lineRule="atLeast"/>
              <w:rPr>
                <w:rFonts w:cstheme="minorHAnsi"/>
                <w:szCs w:val="24"/>
                <w:lang w:val="fr-FR"/>
              </w:rPr>
            </w:pPr>
          </w:p>
        </w:tc>
        <w:tc>
          <w:tcPr>
            <w:tcW w:w="1674" w:type="pct"/>
            <w:gridSpan w:val="2"/>
          </w:tcPr>
          <w:p w14:paraId="4CC3584B" w14:textId="77B5611D" w:rsidR="00A4721E" w:rsidRPr="00803037" w:rsidRDefault="00A4721E" w:rsidP="00A4721E">
            <w:pPr>
              <w:tabs>
                <w:tab w:val="left" w:pos="993"/>
              </w:tabs>
              <w:spacing w:before="0"/>
              <w:rPr>
                <w:rFonts w:cstheme="minorHAnsi"/>
                <w:b/>
                <w:szCs w:val="24"/>
                <w:lang w:val="fr-FR"/>
              </w:rPr>
            </w:pPr>
            <w:r w:rsidRPr="00803037">
              <w:rPr>
                <w:b/>
                <w:lang w:val="fr-FR"/>
              </w:rPr>
              <w:t>Original:</w:t>
            </w:r>
            <w:bookmarkStart w:id="7" w:name="Original"/>
            <w:bookmarkEnd w:id="7"/>
            <w:r w:rsidRPr="00803037">
              <w:rPr>
                <w:b/>
                <w:lang w:val="fr-FR"/>
              </w:rPr>
              <w:t xml:space="preserve"> anglais</w:t>
            </w:r>
          </w:p>
        </w:tc>
      </w:tr>
      <w:tr w:rsidR="00D83BF5" w:rsidRPr="00803037" w14:paraId="0BA8CD3B" w14:textId="77777777" w:rsidTr="00961D12">
        <w:trPr>
          <w:cantSplit/>
          <w:trHeight w:val="23"/>
        </w:trPr>
        <w:tc>
          <w:tcPr>
            <w:tcW w:w="5000" w:type="pct"/>
            <w:gridSpan w:val="4"/>
          </w:tcPr>
          <w:p w14:paraId="29BB25E0" w14:textId="3078F4C6" w:rsidR="00D83BF5" w:rsidRPr="00803037" w:rsidRDefault="00A4721E" w:rsidP="00A327AF">
            <w:pPr>
              <w:pStyle w:val="Source"/>
              <w:spacing w:before="240" w:after="240"/>
              <w:rPr>
                <w:lang w:val="fr-FR"/>
              </w:rPr>
            </w:pPr>
            <w:bookmarkStart w:id="8" w:name="dbluepink" w:colFirst="0" w:colLast="0"/>
            <w:bookmarkStart w:id="9" w:name="dorlang" w:colFirst="1" w:colLast="1"/>
            <w:r w:rsidRPr="00803037">
              <w:rPr>
                <w:lang w:val="fr-FR"/>
              </w:rPr>
              <w:t xml:space="preserve">Président de la Commission </w:t>
            </w:r>
            <w:r w:rsidR="0089542D" w:rsidRPr="00803037">
              <w:rPr>
                <w:lang w:val="fr-FR"/>
              </w:rPr>
              <w:t>d'</w:t>
            </w:r>
            <w:r w:rsidRPr="00803037">
              <w:rPr>
                <w:lang w:val="fr-FR"/>
              </w:rPr>
              <w:t xml:space="preserve">études 2 de </w:t>
            </w:r>
            <w:r w:rsidR="0089542D" w:rsidRPr="00803037">
              <w:rPr>
                <w:lang w:val="fr-FR"/>
              </w:rPr>
              <w:t>l'</w:t>
            </w:r>
            <w:r w:rsidRPr="00803037">
              <w:rPr>
                <w:lang w:val="fr-FR"/>
              </w:rPr>
              <w:t>UIT-D</w:t>
            </w:r>
          </w:p>
        </w:tc>
      </w:tr>
      <w:tr w:rsidR="00D83BF5" w:rsidRPr="00803037" w14:paraId="610454EC" w14:textId="77777777" w:rsidTr="00961D12">
        <w:trPr>
          <w:cantSplit/>
          <w:trHeight w:val="23"/>
        </w:trPr>
        <w:tc>
          <w:tcPr>
            <w:tcW w:w="5000" w:type="pct"/>
            <w:gridSpan w:val="4"/>
            <w:vAlign w:val="center"/>
          </w:tcPr>
          <w:p w14:paraId="65D61584" w14:textId="485DBABC" w:rsidR="00D83BF5" w:rsidRPr="00803037" w:rsidRDefault="00A4721E" w:rsidP="00A327AF">
            <w:pPr>
              <w:pStyle w:val="Title1"/>
              <w:spacing w:before="120" w:after="120"/>
              <w:rPr>
                <w:lang w:val="fr-FR"/>
              </w:rPr>
            </w:pPr>
            <w:r w:rsidRPr="00803037">
              <w:rPr>
                <w:lang w:val="fr-FR"/>
              </w:rPr>
              <w:t xml:space="preserve">RAPPORT SUR LES ACTIVITÉS DE LA COMMISSION </w:t>
            </w:r>
            <w:r w:rsidR="0089542D" w:rsidRPr="00803037">
              <w:rPr>
                <w:lang w:val="fr-FR"/>
              </w:rPr>
              <w:t>D'</w:t>
            </w:r>
            <w:r w:rsidRPr="00803037">
              <w:rPr>
                <w:lang w:val="fr-FR"/>
              </w:rPr>
              <w:t>ÉTUDES 2</w:t>
            </w:r>
            <w:r w:rsidR="001B420A" w:rsidRPr="00803037">
              <w:rPr>
                <w:lang w:val="fr-FR"/>
              </w:rPr>
              <w:t xml:space="preserve"> </w:t>
            </w:r>
            <w:r w:rsidRPr="00803037">
              <w:rPr>
                <w:lang w:val="fr-FR"/>
              </w:rPr>
              <w:t>DE</w:t>
            </w:r>
            <w:r w:rsidR="001B420A" w:rsidRPr="00803037">
              <w:rPr>
                <w:lang w:val="fr-FR"/>
              </w:rPr>
              <w:br/>
            </w:r>
            <w:r w:rsidR="0089542D" w:rsidRPr="00803037">
              <w:rPr>
                <w:lang w:val="fr-FR"/>
              </w:rPr>
              <w:t>L'</w:t>
            </w:r>
            <w:r w:rsidRPr="00803037">
              <w:rPr>
                <w:lang w:val="fr-FR"/>
              </w:rPr>
              <w:t>UIT-D</w:t>
            </w:r>
            <w:r w:rsidR="001B420A" w:rsidRPr="00803037">
              <w:rPr>
                <w:lang w:val="fr-FR"/>
              </w:rPr>
              <w:t xml:space="preserve"> </w:t>
            </w:r>
            <w:r w:rsidRPr="00803037">
              <w:rPr>
                <w:lang w:val="fr-FR"/>
              </w:rPr>
              <w:t xml:space="preserve">AU COURS DE LA HUITIÈME PÉRIODE </w:t>
            </w:r>
            <w:r w:rsidR="0089542D" w:rsidRPr="00803037">
              <w:rPr>
                <w:lang w:val="fr-FR"/>
              </w:rPr>
              <w:t>D'</w:t>
            </w:r>
            <w:r w:rsidRPr="00803037">
              <w:rPr>
                <w:lang w:val="fr-FR"/>
              </w:rPr>
              <w:t>ÉTUDES</w:t>
            </w:r>
            <w:r w:rsidR="001B420A" w:rsidRPr="00803037">
              <w:rPr>
                <w:lang w:val="fr-FR"/>
              </w:rPr>
              <w:br/>
            </w:r>
            <w:r w:rsidRPr="00803037">
              <w:rPr>
                <w:lang w:val="fr-FR"/>
              </w:rPr>
              <w:t>ENTRE LA CMDT-22 ET LA CMDT-25</w:t>
            </w:r>
          </w:p>
        </w:tc>
      </w:tr>
      <w:tr w:rsidR="001B420A" w:rsidRPr="00803037" w14:paraId="792EF61F" w14:textId="77777777" w:rsidTr="00961D12">
        <w:trPr>
          <w:cantSplit/>
          <w:trHeight w:val="23"/>
        </w:trPr>
        <w:tc>
          <w:tcPr>
            <w:tcW w:w="5000" w:type="pct"/>
            <w:gridSpan w:val="4"/>
            <w:vAlign w:val="center"/>
          </w:tcPr>
          <w:p w14:paraId="4B8645C2" w14:textId="77777777" w:rsidR="001B420A" w:rsidRPr="00803037" w:rsidRDefault="001B420A" w:rsidP="00A327AF">
            <w:pPr>
              <w:pStyle w:val="Title1"/>
              <w:spacing w:before="120" w:after="120"/>
              <w:rPr>
                <w:lang w:val="fr-FR"/>
              </w:rPr>
            </w:pPr>
          </w:p>
        </w:tc>
      </w:tr>
      <w:tr w:rsidR="00D83BF5" w:rsidRPr="00803037" w14:paraId="3281F6CD" w14:textId="77777777" w:rsidTr="001A2C30">
        <w:trPr>
          <w:cantSplit/>
          <w:trHeight w:val="23"/>
        </w:trPr>
        <w:tc>
          <w:tcPr>
            <w:tcW w:w="5000" w:type="pct"/>
            <w:gridSpan w:val="4"/>
            <w:tcBorders>
              <w:bottom w:val="single" w:sz="4" w:space="0" w:color="auto"/>
            </w:tcBorders>
          </w:tcPr>
          <w:p w14:paraId="7E3AD81E" w14:textId="0D0D9E27" w:rsidR="00D83BF5" w:rsidRPr="00803037" w:rsidRDefault="00D83BF5" w:rsidP="00A327AF">
            <w:pPr>
              <w:pStyle w:val="Title2"/>
              <w:spacing w:before="240"/>
              <w:rPr>
                <w:lang w:val="fr-FR"/>
              </w:rPr>
            </w:pPr>
          </w:p>
        </w:tc>
      </w:tr>
      <w:tr w:rsidR="00EF1503" w:rsidRPr="00803037" w14:paraId="3F37EAAA" w14:textId="77777777" w:rsidTr="001A2C30">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04AC9FBD" w14:textId="4CEF1241" w:rsidR="001A2C30" w:rsidRPr="00803037" w:rsidRDefault="001A2C30" w:rsidP="00A4721E">
            <w:pPr>
              <w:tabs>
                <w:tab w:val="clear" w:pos="1134"/>
                <w:tab w:val="clear" w:pos="1871"/>
                <w:tab w:val="clear" w:pos="2268"/>
                <w:tab w:val="left" w:pos="2297"/>
                <w:tab w:val="left" w:pos="2864"/>
              </w:tabs>
              <w:rPr>
                <w:lang w:val="fr-FR"/>
              </w:rPr>
            </w:pPr>
            <w:r w:rsidRPr="00803037">
              <w:rPr>
                <w:b/>
                <w:bCs/>
                <w:lang w:val="fr-FR"/>
              </w:rPr>
              <w:t>Domaine prioritaire:</w:t>
            </w:r>
            <w:r w:rsidR="00A4721E" w:rsidRPr="00803037">
              <w:rPr>
                <w:lang w:val="fr-FR"/>
              </w:rPr>
              <w:t xml:space="preserve"> </w:t>
            </w:r>
            <w:r w:rsidR="00A4721E" w:rsidRPr="00803037">
              <w:rPr>
                <w:szCs w:val="24"/>
                <w:lang w:val="fr-FR"/>
              </w:rPr>
              <w:t xml:space="preserve">Questions confiées aux Commissions </w:t>
            </w:r>
            <w:r w:rsidR="0089542D" w:rsidRPr="00803037">
              <w:rPr>
                <w:szCs w:val="24"/>
                <w:lang w:val="fr-FR"/>
              </w:rPr>
              <w:t>d'</w:t>
            </w:r>
            <w:r w:rsidR="00A4721E" w:rsidRPr="00803037">
              <w:rPr>
                <w:szCs w:val="24"/>
                <w:lang w:val="fr-FR"/>
              </w:rPr>
              <w:t>études</w:t>
            </w:r>
          </w:p>
          <w:p w14:paraId="6D78C28A" w14:textId="77777777" w:rsidR="001A2C30" w:rsidRPr="00803037" w:rsidRDefault="001A2C30" w:rsidP="001A2C30">
            <w:pPr>
              <w:rPr>
                <w:b/>
                <w:bCs/>
                <w:lang w:val="fr-FR"/>
              </w:rPr>
            </w:pPr>
            <w:r w:rsidRPr="00803037">
              <w:rPr>
                <w:b/>
                <w:bCs/>
                <w:lang w:val="fr-FR"/>
              </w:rPr>
              <w:t>Résumé:</w:t>
            </w:r>
          </w:p>
          <w:p w14:paraId="4CCC20C4" w14:textId="6591B85B" w:rsidR="001A2C30" w:rsidRPr="00803037" w:rsidRDefault="00A4721E" w:rsidP="001A2C30">
            <w:pPr>
              <w:rPr>
                <w:lang w:val="fr-FR"/>
              </w:rPr>
            </w:pPr>
            <w:r w:rsidRPr="00803037">
              <w:rPr>
                <w:lang w:val="fr-FR"/>
              </w:rPr>
              <w:t xml:space="preserve">Le présent rapport contient le résumé des activités menées par la Commission </w:t>
            </w:r>
            <w:r w:rsidR="0089542D" w:rsidRPr="00803037">
              <w:rPr>
                <w:lang w:val="fr-FR"/>
              </w:rPr>
              <w:t>d'</w:t>
            </w:r>
            <w:r w:rsidRPr="00803037">
              <w:rPr>
                <w:lang w:val="fr-FR"/>
              </w:rPr>
              <w:t xml:space="preserve">études 2 au cours de la huitième période </w:t>
            </w:r>
            <w:r w:rsidR="0089542D" w:rsidRPr="00803037">
              <w:rPr>
                <w:lang w:val="fr-FR"/>
              </w:rPr>
              <w:t>d'</w:t>
            </w:r>
            <w:r w:rsidRPr="00803037">
              <w:rPr>
                <w:lang w:val="fr-FR"/>
              </w:rPr>
              <w:t>études.</w:t>
            </w:r>
          </w:p>
          <w:p w14:paraId="4E11EA20" w14:textId="77777777" w:rsidR="001A2C30" w:rsidRPr="00803037" w:rsidRDefault="001A2C30" w:rsidP="001A2C30">
            <w:pPr>
              <w:rPr>
                <w:b/>
                <w:bCs/>
                <w:lang w:val="fr-FR"/>
              </w:rPr>
            </w:pPr>
            <w:r w:rsidRPr="00803037">
              <w:rPr>
                <w:b/>
                <w:bCs/>
                <w:lang w:val="fr-FR"/>
              </w:rPr>
              <w:t>Résultats attendus:</w:t>
            </w:r>
          </w:p>
          <w:p w14:paraId="204FAF2F" w14:textId="18F0B51C" w:rsidR="001A2C30" w:rsidRPr="00803037" w:rsidRDefault="00A4721E" w:rsidP="001A2C30">
            <w:pPr>
              <w:rPr>
                <w:lang w:val="fr-FR"/>
              </w:rPr>
            </w:pPr>
            <w:r w:rsidRPr="00803037">
              <w:rPr>
                <w:lang w:val="fr-FR"/>
              </w:rPr>
              <w:t>La CMDT-25 est invitée à prendre note du présent document.</w:t>
            </w:r>
          </w:p>
          <w:p w14:paraId="19C2B749" w14:textId="77777777" w:rsidR="00EF1503" w:rsidRPr="00803037" w:rsidRDefault="001A2C30" w:rsidP="001A2C30">
            <w:pPr>
              <w:rPr>
                <w:b/>
                <w:bCs/>
                <w:lang w:val="fr-FR"/>
              </w:rPr>
            </w:pPr>
            <w:r w:rsidRPr="00803037">
              <w:rPr>
                <w:b/>
                <w:bCs/>
                <w:lang w:val="fr-FR"/>
              </w:rPr>
              <w:t>Références:</w:t>
            </w:r>
          </w:p>
          <w:p w14:paraId="5E5D5FFA" w14:textId="6409698B" w:rsidR="001A2C30" w:rsidRPr="00803037" w:rsidRDefault="00803037" w:rsidP="001A2C30">
            <w:pPr>
              <w:rPr>
                <w:lang w:val="fr-FR"/>
              </w:rPr>
            </w:pPr>
            <w:hyperlink r:id="rId13" w:history="1">
              <w:r w:rsidR="00A4721E" w:rsidRPr="00803037">
                <w:rPr>
                  <w:rStyle w:val="Hyperlink"/>
                  <w:szCs w:val="18"/>
                  <w:lang w:val="fr-FR"/>
                </w:rPr>
                <w:t>TDAG</w:t>
              </w:r>
              <w:r w:rsidR="00A4721E" w:rsidRPr="00803037">
                <w:rPr>
                  <w:rStyle w:val="Hyperlink"/>
                  <w:rFonts w:eastAsia="Malgun Gothic"/>
                  <w:szCs w:val="18"/>
                  <w:lang w:val="fr-FR" w:eastAsia="ko-KR"/>
                </w:rPr>
                <w:t>-23</w:t>
              </w:r>
              <w:r w:rsidR="00A4721E" w:rsidRPr="00803037">
                <w:rPr>
                  <w:rStyle w:val="Hyperlink"/>
                  <w:szCs w:val="18"/>
                  <w:lang w:val="fr-FR"/>
                </w:rPr>
                <w:t>/6</w:t>
              </w:r>
            </w:hyperlink>
            <w:r w:rsidR="00A4721E" w:rsidRPr="00803037">
              <w:rPr>
                <w:rFonts w:eastAsia="Malgun Gothic"/>
                <w:szCs w:val="18"/>
                <w:lang w:val="fr-FR" w:eastAsia="ko-KR"/>
              </w:rPr>
              <w:t xml:space="preserve"> (2023)</w:t>
            </w:r>
            <w:r w:rsidR="00A4721E" w:rsidRPr="00803037">
              <w:rPr>
                <w:szCs w:val="18"/>
                <w:lang w:val="fr-FR"/>
              </w:rPr>
              <w:t xml:space="preserve">, </w:t>
            </w:r>
            <w:hyperlink r:id="rId14" w:history="1">
              <w:r w:rsidR="00A4721E" w:rsidRPr="00803037">
                <w:rPr>
                  <w:rStyle w:val="Hyperlink"/>
                  <w:szCs w:val="18"/>
                  <w:lang w:val="fr-FR"/>
                </w:rPr>
                <w:t>TDAG</w:t>
              </w:r>
              <w:r w:rsidR="00A4721E" w:rsidRPr="00803037">
                <w:rPr>
                  <w:rStyle w:val="Hyperlink"/>
                  <w:rFonts w:eastAsia="Malgun Gothic"/>
                  <w:szCs w:val="18"/>
                  <w:lang w:val="fr-FR" w:eastAsia="ko-KR"/>
                </w:rPr>
                <w:t>-24</w:t>
              </w:r>
              <w:r w:rsidR="00A4721E" w:rsidRPr="00803037">
                <w:rPr>
                  <w:rStyle w:val="Hyperlink"/>
                  <w:szCs w:val="18"/>
                  <w:lang w:val="fr-FR"/>
                </w:rPr>
                <w:t>/6</w:t>
              </w:r>
            </w:hyperlink>
            <w:r w:rsidR="00A4721E" w:rsidRPr="00803037">
              <w:rPr>
                <w:rFonts w:eastAsia="Malgun Gothic"/>
                <w:szCs w:val="18"/>
                <w:lang w:val="fr-FR" w:eastAsia="ko-KR"/>
              </w:rPr>
              <w:t xml:space="preserve"> (2024), </w:t>
            </w:r>
            <w:hyperlink r:id="rId15" w:history="1">
              <w:r w:rsidR="00A4721E" w:rsidRPr="00803037">
                <w:rPr>
                  <w:rStyle w:val="Hyperlink"/>
                  <w:rFonts w:eastAsia="Malgun Gothic"/>
                  <w:szCs w:val="18"/>
                  <w:lang w:val="fr-FR" w:eastAsia="ko-KR"/>
                </w:rPr>
                <w:t>TDAG-25/7</w:t>
              </w:r>
            </w:hyperlink>
            <w:r w:rsidR="00A4721E" w:rsidRPr="00803037">
              <w:rPr>
                <w:rFonts w:eastAsia="Malgun Gothic"/>
                <w:szCs w:val="18"/>
                <w:lang w:val="fr-FR" w:eastAsia="ko-KR"/>
              </w:rPr>
              <w:t xml:space="preserve"> (2025), </w:t>
            </w:r>
            <w:hyperlink r:id="rId16" w:history="1">
              <w:r w:rsidR="00A4721E" w:rsidRPr="00803037">
                <w:rPr>
                  <w:rStyle w:val="Hyperlink"/>
                  <w:szCs w:val="22"/>
                  <w:lang w:val="fr-FR"/>
                </w:rPr>
                <w:t>2/REP/</w:t>
              </w:r>
              <w:r w:rsidR="00A4721E" w:rsidRPr="00803037">
                <w:rPr>
                  <w:rStyle w:val="Hyperlink"/>
                  <w:rFonts w:eastAsia="Malgun Gothic"/>
                  <w:szCs w:val="22"/>
                  <w:lang w:val="fr-FR" w:eastAsia="ko-KR"/>
                </w:rPr>
                <w:t>8</w:t>
              </w:r>
            </w:hyperlink>
            <w:r w:rsidR="00A4721E" w:rsidRPr="00803037">
              <w:rPr>
                <w:szCs w:val="22"/>
                <w:lang w:val="fr-FR"/>
              </w:rPr>
              <w:t xml:space="preserve"> (202</w:t>
            </w:r>
            <w:r w:rsidR="00A4721E" w:rsidRPr="00803037">
              <w:rPr>
                <w:rFonts w:eastAsia="Malgun Gothic"/>
                <w:szCs w:val="22"/>
                <w:lang w:val="fr-FR" w:eastAsia="ko-KR"/>
              </w:rPr>
              <w:t>2</w:t>
            </w:r>
            <w:r w:rsidR="00A4721E" w:rsidRPr="00803037">
              <w:rPr>
                <w:szCs w:val="22"/>
                <w:lang w:val="fr-FR"/>
              </w:rPr>
              <w:t>)</w:t>
            </w:r>
            <w:r w:rsidR="00A4721E" w:rsidRPr="00803037">
              <w:rPr>
                <w:rFonts w:eastAsia="Malgun Gothic"/>
                <w:szCs w:val="22"/>
                <w:lang w:val="fr-FR" w:eastAsia="ko-KR"/>
              </w:rPr>
              <w:t xml:space="preserve">, </w:t>
            </w:r>
            <w:hyperlink r:id="rId17" w:history="1">
              <w:r w:rsidR="00A4721E" w:rsidRPr="00803037">
                <w:rPr>
                  <w:rStyle w:val="Hyperlink"/>
                  <w:szCs w:val="22"/>
                  <w:lang w:val="fr-FR"/>
                </w:rPr>
                <w:t>2/REP/</w:t>
              </w:r>
              <w:r w:rsidR="00A4721E" w:rsidRPr="00803037">
                <w:rPr>
                  <w:rStyle w:val="Hyperlink"/>
                  <w:rFonts w:eastAsia="Malgun Gothic"/>
                  <w:szCs w:val="22"/>
                  <w:lang w:val="fr-FR" w:eastAsia="ko-KR"/>
                </w:rPr>
                <w:t>9</w:t>
              </w:r>
            </w:hyperlink>
            <w:r w:rsidR="00A4721E" w:rsidRPr="00803037">
              <w:rPr>
                <w:szCs w:val="22"/>
                <w:lang w:val="fr-FR"/>
              </w:rPr>
              <w:t xml:space="preserve"> (202</w:t>
            </w:r>
            <w:r w:rsidR="00A4721E" w:rsidRPr="00803037">
              <w:rPr>
                <w:rFonts w:eastAsia="Malgun Gothic"/>
                <w:szCs w:val="22"/>
                <w:lang w:val="fr-FR" w:eastAsia="ko-KR"/>
              </w:rPr>
              <w:t>3</w:t>
            </w:r>
            <w:r w:rsidR="00A4721E" w:rsidRPr="00803037">
              <w:rPr>
                <w:szCs w:val="22"/>
                <w:lang w:val="fr-FR"/>
              </w:rPr>
              <w:t>)</w:t>
            </w:r>
            <w:r w:rsidR="00A4721E" w:rsidRPr="00803037">
              <w:rPr>
                <w:rFonts w:eastAsia="Malgun Gothic"/>
                <w:szCs w:val="22"/>
                <w:lang w:val="fr-FR" w:eastAsia="ko-KR"/>
              </w:rPr>
              <w:t xml:space="preserve">, </w:t>
            </w:r>
            <w:hyperlink r:id="rId18" w:history="1">
              <w:r w:rsidR="00A4721E" w:rsidRPr="00803037">
                <w:rPr>
                  <w:rStyle w:val="Hyperlink"/>
                  <w:rFonts w:eastAsia="Malgun Gothic"/>
                  <w:szCs w:val="22"/>
                  <w:lang w:val="fr-FR" w:eastAsia="ko-KR"/>
                </w:rPr>
                <w:t>2/REP/17</w:t>
              </w:r>
            </w:hyperlink>
            <w:r w:rsidR="00A4721E" w:rsidRPr="00803037">
              <w:rPr>
                <w:rFonts w:eastAsia="Malgun Gothic"/>
                <w:szCs w:val="22"/>
                <w:lang w:val="fr-FR" w:eastAsia="ko-KR"/>
              </w:rPr>
              <w:t xml:space="preserve"> (2024), </w:t>
            </w:r>
            <w:hyperlink r:id="rId19" w:history="1">
              <w:r w:rsidR="00A4721E" w:rsidRPr="00803037">
                <w:rPr>
                  <w:rStyle w:val="Hyperlink"/>
                  <w:rFonts w:eastAsia="Malgun Gothic"/>
                  <w:szCs w:val="22"/>
                  <w:lang w:val="fr-FR" w:eastAsia="ko-KR"/>
                </w:rPr>
                <w:t>2/REP/25</w:t>
              </w:r>
            </w:hyperlink>
            <w:r w:rsidR="00A4721E" w:rsidRPr="00803037">
              <w:rPr>
                <w:rFonts w:eastAsia="Malgun Gothic"/>
                <w:szCs w:val="22"/>
                <w:lang w:val="fr-FR" w:eastAsia="ko-KR"/>
              </w:rPr>
              <w:t xml:space="preserve"> (2025)</w:t>
            </w:r>
          </w:p>
        </w:tc>
      </w:tr>
      <w:bookmarkEnd w:id="8"/>
      <w:bookmarkEnd w:id="9"/>
    </w:tbl>
    <w:p w14:paraId="18ACFC68" w14:textId="76EC86FD" w:rsidR="00F40E33" w:rsidRPr="00803037" w:rsidRDefault="00F40E33">
      <w:pPr>
        <w:tabs>
          <w:tab w:val="clear" w:pos="1134"/>
          <w:tab w:val="clear" w:pos="1871"/>
          <w:tab w:val="clear" w:pos="2268"/>
        </w:tabs>
        <w:overflowPunct/>
        <w:autoSpaceDE/>
        <w:autoSpaceDN/>
        <w:adjustRightInd/>
        <w:spacing w:before="0"/>
        <w:textAlignment w:val="auto"/>
        <w:rPr>
          <w:szCs w:val="24"/>
          <w:lang w:val="fr-FR"/>
        </w:rPr>
      </w:pPr>
      <w:r w:rsidRPr="00803037">
        <w:rPr>
          <w:szCs w:val="24"/>
          <w:lang w:val="fr-FR"/>
        </w:rPr>
        <w:br w:type="page"/>
      </w:r>
    </w:p>
    <w:p w14:paraId="4147DE93" w14:textId="77777777" w:rsidR="000B3E0D" w:rsidRPr="00803037" w:rsidRDefault="000B3E0D" w:rsidP="000B3E0D">
      <w:pPr>
        <w:pStyle w:val="Headingb"/>
        <w:rPr>
          <w:lang w:val="fr-FR"/>
        </w:rPr>
      </w:pPr>
      <w:r w:rsidRPr="00803037">
        <w:rPr>
          <w:lang w:val="fr-FR"/>
        </w:rPr>
        <w:t>Introduction</w:t>
      </w:r>
    </w:p>
    <w:p w14:paraId="7D3281EB" w14:textId="37434E54" w:rsidR="000B3E0D" w:rsidRPr="00803037" w:rsidRDefault="000B3E0D" w:rsidP="000B3E0D">
      <w:pPr>
        <w:rPr>
          <w:lang w:val="fr-FR"/>
        </w:rPr>
      </w:pPr>
      <w:r w:rsidRPr="00803037">
        <w:rPr>
          <w:lang w:val="fr-FR"/>
        </w:rPr>
        <w:t xml:space="preserve">Le présent rapport couvre la huitième période </w:t>
      </w:r>
      <w:r w:rsidR="0089542D" w:rsidRPr="00803037">
        <w:rPr>
          <w:lang w:val="fr-FR"/>
        </w:rPr>
        <w:t>d'</w:t>
      </w:r>
      <w:r w:rsidRPr="00803037">
        <w:rPr>
          <w:lang w:val="fr-FR"/>
        </w:rPr>
        <w:t xml:space="preserve">études de la Commission </w:t>
      </w:r>
      <w:r w:rsidR="0089542D" w:rsidRPr="00803037">
        <w:rPr>
          <w:lang w:val="fr-FR"/>
        </w:rPr>
        <w:t>d'</w:t>
      </w:r>
      <w:r w:rsidRPr="00803037">
        <w:rPr>
          <w:lang w:val="fr-FR"/>
        </w:rPr>
        <w:t xml:space="preserve">études 2 (CE 2) du Secteur du développement des télécommunications de </w:t>
      </w:r>
      <w:r w:rsidR="0089542D" w:rsidRPr="00803037">
        <w:rPr>
          <w:lang w:val="fr-FR"/>
        </w:rPr>
        <w:t>l'</w:t>
      </w:r>
      <w:r w:rsidRPr="00803037">
        <w:rPr>
          <w:lang w:val="fr-FR"/>
        </w:rPr>
        <w:t xml:space="preserve">UIT (UIT-D). La CE 2 a achevé ses travaux lors de sa quatrième et dernière réunion, qui </w:t>
      </w:r>
      <w:r w:rsidR="0089542D" w:rsidRPr="00803037">
        <w:rPr>
          <w:lang w:val="fr-FR"/>
        </w:rPr>
        <w:t>s'</w:t>
      </w:r>
      <w:r w:rsidRPr="00803037">
        <w:rPr>
          <w:lang w:val="fr-FR"/>
        </w:rPr>
        <w:t xml:space="preserve">est tenue à Genève du 5 au 9 mai 2025 et au cours de laquelle les rapports finals relatifs aux sept Questions à </w:t>
      </w:r>
      <w:r w:rsidR="0089542D" w:rsidRPr="00803037">
        <w:rPr>
          <w:lang w:val="fr-FR"/>
        </w:rPr>
        <w:t>l'</w:t>
      </w:r>
      <w:r w:rsidRPr="00803037">
        <w:rPr>
          <w:lang w:val="fr-FR"/>
        </w:rPr>
        <w:t xml:space="preserve">étude ont été approuvés. La période </w:t>
      </w:r>
      <w:r w:rsidR="0089542D" w:rsidRPr="00803037">
        <w:rPr>
          <w:lang w:val="fr-FR"/>
        </w:rPr>
        <w:t>d'</w:t>
      </w:r>
      <w:r w:rsidRPr="00803037">
        <w:rPr>
          <w:lang w:val="fr-FR"/>
        </w:rPr>
        <w:t xml:space="preserve">études (2022-2025) </w:t>
      </w:r>
      <w:r w:rsidR="0089542D" w:rsidRPr="00803037">
        <w:rPr>
          <w:lang w:val="fr-FR"/>
        </w:rPr>
        <w:t>s'</w:t>
      </w:r>
      <w:r w:rsidRPr="00803037">
        <w:rPr>
          <w:lang w:val="fr-FR"/>
        </w:rPr>
        <w:t>est achevée sur les résultats suivants:</w:t>
      </w:r>
    </w:p>
    <w:p w14:paraId="15AF1061" w14:textId="77777777" w:rsidR="000B3E0D" w:rsidRPr="00803037" w:rsidRDefault="000B3E0D" w:rsidP="000B3E0D">
      <w:pPr>
        <w:pStyle w:val="enumlev1"/>
        <w:rPr>
          <w:lang w:val="fr-FR"/>
        </w:rPr>
      </w:pPr>
      <w:r w:rsidRPr="00803037">
        <w:rPr>
          <w:lang w:val="fr-FR"/>
        </w:rPr>
        <w:t>–</w:t>
      </w:r>
      <w:r w:rsidRPr="00803037">
        <w:rPr>
          <w:lang w:val="fr-FR"/>
        </w:rPr>
        <w:tab/>
        <w:t>2 produits intérimaires</w:t>
      </w:r>
      <w:r w:rsidRPr="00803037">
        <w:rPr>
          <w:rStyle w:val="FootnoteReference"/>
          <w:lang w:val="fr-FR"/>
        </w:rPr>
        <w:footnoteReference w:id="1"/>
      </w:r>
      <w:r w:rsidRPr="00803037">
        <w:rPr>
          <w:lang w:val="fr-FR"/>
        </w:rPr>
        <w:t>:</w:t>
      </w:r>
    </w:p>
    <w:p w14:paraId="78142463" w14:textId="56F57B2E" w:rsidR="000B3E0D" w:rsidRPr="00803037" w:rsidRDefault="001B420A" w:rsidP="000B3E0D">
      <w:pPr>
        <w:pStyle w:val="enumlev2"/>
        <w:rPr>
          <w:lang w:val="fr-FR"/>
        </w:rPr>
      </w:pPr>
      <w:r w:rsidRPr="00803037">
        <w:rPr>
          <w:rFonts w:cstheme="minorHAnsi"/>
          <w:lang w:val="fr-FR"/>
        </w:rPr>
        <w:t>•</w:t>
      </w:r>
      <w:r w:rsidR="000B3E0D" w:rsidRPr="00803037">
        <w:rPr>
          <w:lang w:val="fr-FR"/>
        </w:rPr>
        <w:tab/>
        <w:t xml:space="preserve">Pratiques en matière </w:t>
      </w:r>
      <w:r w:rsidR="0089542D" w:rsidRPr="00803037">
        <w:rPr>
          <w:lang w:val="fr-FR"/>
        </w:rPr>
        <w:t>d'</w:t>
      </w:r>
      <w:r w:rsidR="000B3E0D" w:rsidRPr="00803037">
        <w:rPr>
          <w:lang w:val="fr-FR"/>
        </w:rPr>
        <w:t xml:space="preserve">assurance de la cybersécurité ("Cybersecurity assurance practices") – produit élaboré par </w:t>
      </w:r>
      <w:r w:rsidR="0089542D" w:rsidRPr="00803037">
        <w:rPr>
          <w:lang w:val="fr-FR"/>
        </w:rPr>
        <w:t>l'</w:t>
      </w:r>
      <w:r w:rsidR="000B3E0D" w:rsidRPr="00803037">
        <w:rPr>
          <w:lang w:val="fr-FR"/>
        </w:rPr>
        <w:t>équipe de direction chargée de la Question</w:t>
      </w:r>
      <w:r w:rsidR="0089542D" w:rsidRPr="00803037">
        <w:rPr>
          <w:lang w:val="fr-FR"/>
        </w:rPr>
        <w:t> </w:t>
      </w:r>
      <w:r w:rsidR="000B3E0D" w:rsidRPr="00803037">
        <w:rPr>
          <w:lang w:val="fr-FR"/>
        </w:rPr>
        <w:t>3/2, publié en 2024.</w:t>
      </w:r>
    </w:p>
    <w:p w14:paraId="37C4F149" w14:textId="791144F4" w:rsidR="000B3E0D" w:rsidRPr="00803037" w:rsidRDefault="001B420A" w:rsidP="000B3E0D">
      <w:pPr>
        <w:pStyle w:val="enumlev2"/>
        <w:rPr>
          <w:lang w:val="fr-FR"/>
        </w:rPr>
      </w:pPr>
      <w:r w:rsidRPr="00803037">
        <w:rPr>
          <w:rFonts w:cstheme="minorHAnsi"/>
          <w:lang w:val="fr-FR"/>
        </w:rPr>
        <w:t>•</w:t>
      </w:r>
      <w:r w:rsidR="000B3E0D" w:rsidRPr="00803037">
        <w:rPr>
          <w:lang w:val="fr-FR"/>
        </w:rPr>
        <w:tab/>
        <w:t xml:space="preserve">Cybersécurité 5G – produit élaboré par </w:t>
      </w:r>
      <w:r w:rsidR="0089542D" w:rsidRPr="00803037">
        <w:rPr>
          <w:lang w:val="fr-FR"/>
        </w:rPr>
        <w:t>l'</w:t>
      </w:r>
      <w:r w:rsidR="000B3E0D" w:rsidRPr="00803037">
        <w:rPr>
          <w:lang w:val="fr-FR"/>
        </w:rPr>
        <w:t>équipe de direction chargée de la Question 3/2, publié en 2025.</w:t>
      </w:r>
    </w:p>
    <w:p w14:paraId="19695929" w14:textId="55B51C5C" w:rsidR="000B3E0D" w:rsidRPr="00803037" w:rsidRDefault="000B3E0D" w:rsidP="000B3E0D">
      <w:pPr>
        <w:pStyle w:val="enumlev1"/>
        <w:rPr>
          <w:lang w:val="fr-FR"/>
        </w:rPr>
      </w:pPr>
      <w:r w:rsidRPr="00803037">
        <w:rPr>
          <w:lang w:val="fr-FR"/>
        </w:rPr>
        <w:t>–</w:t>
      </w:r>
      <w:r w:rsidRPr="00803037">
        <w:rPr>
          <w:lang w:val="fr-FR"/>
        </w:rPr>
        <w:tab/>
        <w:t xml:space="preserve">4 réunions annuelles de la Commission </w:t>
      </w:r>
      <w:r w:rsidR="0089542D" w:rsidRPr="00803037">
        <w:rPr>
          <w:lang w:val="fr-FR"/>
        </w:rPr>
        <w:t>d'</w:t>
      </w:r>
      <w:r w:rsidRPr="00803037">
        <w:rPr>
          <w:lang w:val="fr-FR"/>
        </w:rPr>
        <w:t>études de 2022 à 2025.</w:t>
      </w:r>
    </w:p>
    <w:p w14:paraId="798E32FD" w14:textId="77777777" w:rsidR="000B3E0D" w:rsidRPr="00803037" w:rsidRDefault="000B3E0D" w:rsidP="000B3E0D">
      <w:pPr>
        <w:pStyle w:val="enumlev1"/>
        <w:rPr>
          <w:lang w:val="fr-FR"/>
        </w:rPr>
      </w:pPr>
      <w:r w:rsidRPr="00803037">
        <w:rPr>
          <w:lang w:val="fr-FR"/>
        </w:rPr>
        <w:t>–</w:t>
      </w:r>
      <w:r w:rsidRPr="00803037">
        <w:rPr>
          <w:lang w:val="fr-FR"/>
        </w:rPr>
        <w:tab/>
        <w:t>2 réunions annuelles des Groupes du Rapporteur (RGQ) en 2023 et 2024.</w:t>
      </w:r>
    </w:p>
    <w:p w14:paraId="5F46FD7C" w14:textId="77777777" w:rsidR="000B3E0D" w:rsidRPr="00803037" w:rsidRDefault="000B3E0D" w:rsidP="000B3E0D">
      <w:pPr>
        <w:pStyle w:val="enumlev1"/>
        <w:rPr>
          <w:lang w:val="fr-FR"/>
        </w:rPr>
      </w:pPr>
      <w:r w:rsidRPr="00803037">
        <w:rPr>
          <w:lang w:val="fr-FR"/>
        </w:rPr>
        <w:t>–</w:t>
      </w:r>
      <w:r w:rsidRPr="00803037">
        <w:rPr>
          <w:lang w:val="fr-FR"/>
        </w:rPr>
        <w:tab/>
        <w:t>Des entretiens vidéo réalisés par 2 Rapporteurs et Corapporteurs des produits intérimaires</w:t>
      </w:r>
      <w:r w:rsidRPr="00803037">
        <w:rPr>
          <w:rStyle w:val="FootnoteReference"/>
          <w:lang w:val="fr-FR"/>
        </w:rPr>
        <w:footnoteReference w:id="2"/>
      </w:r>
      <w:r w:rsidRPr="00803037">
        <w:rPr>
          <w:lang w:val="fr-FR"/>
        </w:rPr>
        <w:t>.</w:t>
      </w:r>
    </w:p>
    <w:p w14:paraId="41775557" w14:textId="77777777" w:rsidR="000B3E0D" w:rsidRPr="00803037" w:rsidRDefault="000B3E0D" w:rsidP="000B3E0D">
      <w:pPr>
        <w:pStyle w:val="enumlev1"/>
        <w:rPr>
          <w:lang w:val="fr-FR"/>
        </w:rPr>
      </w:pPr>
      <w:r w:rsidRPr="00803037">
        <w:rPr>
          <w:lang w:val="fr-FR"/>
        </w:rPr>
        <w:t>–</w:t>
      </w:r>
      <w:r w:rsidRPr="00803037">
        <w:rPr>
          <w:lang w:val="fr-FR"/>
        </w:rPr>
        <w:tab/>
        <w:t>17 ateliers et autres manifestations</w:t>
      </w:r>
      <w:r w:rsidRPr="00803037">
        <w:rPr>
          <w:rStyle w:val="FootnoteReference"/>
          <w:lang w:val="fr-FR"/>
        </w:rPr>
        <w:footnoteReference w:id="3"/>
      </w:r>
      <w:r w:rsidRPr="00803037">
        <w:rPr>
          <w:lang w:val="fr-FR"/>
        </w:rPr>
        <w:t xml:space="preserve"> tenus parallèlement aux réunions des RGQ.</w:t>
      </w:r>
    </w:p>
    <w:p w14:paraId="1A11B589" w14:textId="39979473" w:rsidR="000B3E0D" w:rsidRPr="00803037" w:rsidRDefault="000B3E0D" w:rsidP="000B3E0D">
      <w:pPr>
        <w:pStyle w:val="enumlev1"/>
        <w:rPr>
          <w:lang w:val="fr-FR"/>
        </w:rPr>
      </w:pPr>
      <w:r w:rsidRPr="00803037">
        <w:rPr>
          <w:lang w:val="fr-FR"/>
        </w:rPr>
        <w:t>–</w:t>
      </w:r>
      <w:r w:rsidRPr="00803037">
        <w:rPr>
          <w:lang w:val="fr-FR"/>
        </w:rPr>
        <w:tab/>
        <w:t xml:space="preserve">1 atelier régional sur le thème "Accroître la sensibilisation des consommateurs" tenu du 18 au 20 juin 2024 à Brasilia, à </w:t>
      </w:r>
      <w:r w:rsidR="0089542D" w:rsidRPr="00803037">
        <w:rPr>
          <w:lang w:val="fr-FR"/>
        </w:rPr>
        <w:t>l'</w:t>
      </w:r>
      <w:r w:rsidRPr="00803037">
        <w:rPr>
          <w:lang w:val="fr-FR"/>
        </w:rPr>
        <w:t xml:space="preserve">aimable invitation </w:t>
      </w:r>
      <w:r w:rsidR="0089542D" w:rsidRPr="00803037">
        <w:rPr>
          <w:lang w:val="fr-FR"/>
        </w:rPr>
        <w:t>d'</w:t>
      </w:r>
      <w:r w:rsidRPr="00803037">
        <w:rPr>
          <w:lang w:val="fr-FR"/>
        </w:rPr>
        <w:t xml:space="preserve">ANATEL, en collaboration avec le Bureau régional de </w:t>
      </w:r>
      <w:r w:rsidR="0089542D" w:rsidRPr="00803037">
        <w:rPr>
          <w:lang w:val="fr-FR"/>
        </w:rPr>
        <w:t>l'</w:t>
      </w:r>
      <w:r w:rsidRPr="00803037">
        <w:rPr>
          <w:lang w:val="fr-FR"/>
        </w:rPr>
        <w:t>UIT pour les Amériques</w:t>
      </w:r>
      <w:r w:rsidRPr="00803037">
        <w:rPr>
          <w:rStyle w:val="FootnoteReference"/>
          <w:lang w:val="fr-FR"/>
        </w:rPr>
        <w:footnoteReference w:id="4"/>
      </w:r>
      <w:r w:rsidRPr="00803037">
        <w:rPr>
          <w:lang w:val="fr-FR"/>
        </w:rPr>
        <w:t>.</w:t>
      </w:r>
    </w:p>
    <w:p w14:paraId="346E14D3" w14:textId="77777777" w:rsidR="000B3E0D" w:rsidRPr="00803037" w:rsidRDefault="000B3E0D" w:rsidP="000B3E0D">
      <w:pPr>
        <w:pStyle w:val="enumlev1"/>
        <w:rPr>
          <w:lang w:val="fr-FR"/>
        </w:rPr>
      </w:pPr>
      <w:r w:rsidRPr="00803037">
        <w:rPr>
          <w:lang w:val="fr-FR"/>
        </w:rPr>
        <w:t>–</w:t>
      </w:r>
      <w:r w:rsidRPr="00803037">
        <w:rPr>
          <w:lang w:val="fr-FR"/>
        </w:rPr>
        <w:tab/>
        <w:t>113 notes de liaison reçues (CE 2 et RGQ).</w:t>
      </w:r>
    </w:p>
    <w:p w14:paraId="7E21A423" w14:textId="77777777" w:rsidR="000B3E0D" w:rsidRPr="00803037" w:rsidRDefault="000B3E0D" w:rsidP="000B3E0D">
      <w:pPr>
        <w:pStyle w:val="enumlev1"/>
        <w:rPr>
          <w:lang w:val="fr-FR"/>
        </w:rPr>
      </w:pPr>
      <w:r w:rsidRPr="00803037">
        <w:rPr>
          <w:lang w:val="fr-FR"/>
        </w:rPr>
        <w:t>–</w:t>
      </w:r>
      <w:r w:rsidRPr="00803037">
        <w:rPr>
          <w:lang w:val="fr-FR"/>
        </w:rPr>
        <w:tab/>
        <w:t>27 notes de liaison envoyées (CE 2 et RGQ).</w:t>
      </w:r>
    </w:p>
    <w:p w14:paraId="6BA2C979" w14:textId="77777777" w:rsidR="000B3E0D" w:rsidRPr="00803037" w:rsidRDefault="000B3E0D" w:rsidP="000B3E0D">
      <w:pPr>
        <w:pStyle w:val="enumlev1"/>
        <w:rPr>
          <w:lang w:val="fr-FR"/>
        </w:rPr>
      </w:pPr>
      <w:r w:rsidRPr="00803037">
        <w:rPr>
          <w:lang w:val="fr-FR"/>
        </w:rPr>
        <w:t>–</w:t>
      </w:r>
      <w:r w:rsidRPr="00803037">
        <w:rPr>
          <w:lang w:val="fr-FR"/>
        </w:rPr>
        <w:tab/>
        <w:t>482 contributions uniques reçues (membres, équipe de direction de la CE 2 et UIT).</w:t>
      </w:r>
    </w:p>
    <w:p w14:paraId="5F182369" w14:textId="62A414F4" w:rsidR="000B3E0D" w:rsidRPr="00803037" w:rsidRDefault="000B3E0D" w:rsidP="000B3E0D">
      <w:pPr>
        <w:pStyle w:val="enumlev1"/>
        <w:rPr>
          <w:lang w:val="fr-FR"/>
        </w:rPr>
      </w:pPr>
      <w:r w:rsidRPr="00803037">
        <w:rPr>
          <w:lang w:val="fr-FR"/>
        </w:rPr>
        <w:t>–</w:t>
      </w:r>
      <w:r w:rsidRPr="00803037">
        <w:rPr>
          <w:lang w:val="fr-FR"/>
        </w:rPr>
        <w:tab/>
        <w:t>269 participants au total pour une réunion plénière de la CE 2 (première réunion en</w:t>
      </w:r>
      <w:r w:rsidR="001B420A" w:rsidRPr="00803037">
        <w:rPr>
          <w:lang w:val="fr-FR"/>
        </w:rPr>
        <w:t> </w:t>
      </w:r>
      <w:r w:rsidRPr="00803037">
        <w:rPr>
          <w:lang w:val="fr-FR"/>
        </w:rPr>
        <w:t>2022).</w:t>
      </w:r>
    </w:p>
    <w:p w14:paraId="3C13681C" w14:textId="77777777" w:rsidR="000B3E0D" w:rsidRPr="00803037" w:rsidRDefault="000B3E0D" w:rsidP="000B3E0D">
      <w:pPr>
        <w:pStyle w:val="enumlev1"/>
        <w:rPr>
          <w:lang w:val="fr-FR"/>
        </w:rPr>
      </w:pPr>
      <w:r w:rsidRPr="00803037">
        <w:rPr>
          <w:lang w:val="fr-FR"/>
        </w:rPr>
        <w:t>–</w:t>
      </w:r>
      <w:r w:rsidRPr="00803037">
        <w:rPr>
          <w:lang w:val="fr-FR"/>
        </w:rPr>
        <w:tab/>
        <w:t>Un taux de participation des femmes de 45% pour une réunion plénière de la CE 2 (deuxième réunion en 2023).</w:t>
      </w:r>
    </w:p>
    <w:p w14:paraId="4F8DC267" w14:textId="77777777" w:rsidR="000B3E0D" w:rsidRPr="00803037" w:rsidRDefault="000B3E0D" w:rsidP="000B3E0D">
      <w:pPr>
        <w:pStyle w:val="enumlev1"/>
        <w:rPr>
          <w:lang w:val="fr-FR"/>
        </w:rPr>
      </w:pPr>
      <w:r w:rsidRPr="00803037">
        <w:rPr>
          <w:lang w:val="fr-FR"/>
        </w:rPr>
        <w:t>–</w:t>
      </w:r>
      <w:r w:rsidRPr="00803037">
        <w:rPr>
          <w:lang w:val="fr-FR"/>
        </w:rPr>
        <w:tab/>
        <w:t>221 participants au total pour une réunion de RGQ (deuxième réunion en 2024).</w:t>
      </w:r>
    </w:p>
    <w:p w14:paraId="0C67C728" w14:textId="5A9E4538" w:rsidR="000B3E0D" w:rsidRPr="00803037" w:rsidRDefault="000B3E0D" w:rsidP="000B3E0D">
      <w:pPr>
        <w:pStyle w:val="enumlev1"/>
        <w:rPr>
          <w:lang w:val="fr-FR"/>
        </w:rPr>
      </w:pPr>
      <w:r w:rsidRPr="00803037">
        <w:rPr>
          <w:lang w:val="fr-FR"/>
        </w:rPr>
        <w:t>–</w:t>
      </w:r>
      <w:r w:rsidRPr="00803037">
        <w:rPr>
          <w:lang w:val="fr-FR"/>
        </w:rPr>
        <w:tab/>
        <w:t>Un taux de participation des femmes de 38% pour une réunion de RGQ (deuxième</w:t>
      </w:r>
      <w:r w:rsidR="00772D17" w:rsidRPr="00803037">
        <w:rPr>
          <w:lang w:val="fr-FR"/>
        </w:rPr>
        <w:t> </w:t>
      </w:r>
      <w:r w:rsidRPr="00803037">
        <w:rPr>
          <w:lang w:val="fr-FR"/>
        </w:rPr>
        <w:t>réunion en 2024).</w:t>
      </w:r>
    </w:p>
    <w:p w14:paraId="045005ED" w14:textId="5951147B" w:rsidR="000B3E0D" w:rsidRPr="00803037" w:rsidRDefault="000B3E0D" w:rsidP="000B3E0D">
      <w:pPr>
        <w:pStyle w:val="enumlev1"/>
        <w:rPr>
          <w:lang w:val="fr-FR"/>
        </w:rPr>
      </w:pPr>
      <w:r w:rsidRPr="00803037">
        <w:rPr>
          <w:lang w:val="fr-FR"/>
        </w:rPr>
        <w:t>–</w:t>
      </w:r>
      <w:r w:rsidRPr="00803037">
        <w:rPr>
          <w:lang w:val="fr-FR"/>
        </w:rPr>
        <w:tab/>
      </w:r>
      <w:r w:rsidR="0089542D" w:rsidRPr="00803037">
        <w:rPr>
          <w:lang w:val="fr-FR"/>
        </w:rPr>
        <w:t>L'</w:t>
      </w:r>
      <w:r w:rsidRPr="00803037">
        <w:rPr>
          <w:lang w:val="fr-FR"/>
        </w:rPr>
        <w:t xml:space="preserve">équipe de direction de la CE 2 a contribué aux travaux de </w:t>
      </w:r>
      <w:r w:rsidR="0089542D" w:rsidRPr="00803037">
        <w:rPr>
          <w:lang w:val="fr-FR"/>
        </w:rPr>
        <w:t>l'</w:t>
      </w:r>
      <w:r w:rsidRPr="00803037">
        <w:rPr>
          <w:lang w:val="fr-FR"/>
        </w:rPr>
        <w:t>UIT, notamment en participant à diverses manifestations.</w:t>
      </w:r>
    </w:p>
    <w:p w14:paraId="0D001803" w14:textId="77777777" w:rsidR="000B3E0D" w:rsidRPr="00803037" w:rsidRDefault="000B3E0D" w:rsidP="000B3E0D">
      <w:pPr>
        <w:pStyle w:val="Headingb"/>
        <w:rPr>
          <w:lang w:val="fr-FR"/>
        </w:rPr>
      </w:pPr>
      <w:r w:rsidRPr="00803037">
        <w:rPr>
          <w:lang w:val="fr-FR"/>
        </w:rPr>
        <w:lastRenderedPageBreak/>
        <w:t>Mandat et résultats</w:t>
      </w:r>
    </w:p>
    <w:p w14:paraId="57A5E66F" w14:textId="7304D1CE" w:rsidR="000B3E0D" w:rsidRPr="00803037" w:rsidRDefault="000B3E0D" w:rsidP="000B3E0D">
      <w:pPr>
        <w:rPr>
          <w:lang w:val="fr-FR"/>
        </w:rPr>
      </w:pPr>
      <w:r w:rsidRPr="00803037">
        <w:rPr>
          <w:lang w:val="fr-FR"/>
        </w:rPr>
        <w:t xml:space="preserve">La CE 2 a été créée conformément à la Résolution 2 (Rév. Kigali, 2022) de la Conférence mondiale de développement des télécommunications (CMDT), en vue </w:t>
      </w:r>
      <w:r w:rsidR="0089542D" w:rsidRPr="00803037">
        <w:rPr>
          <w:lang w:val="fr-FR"/>
        </w:rPr>
        <w:t>d'</w:t>
      </w:r>
      <w:r w:rsidRPr="00803037">
        <w:rPr>
          <w:lang w:val="fr-FR"/>
        </w:rPr>
        <w:t xml:space="preserve">étudier des Questions et des thèmes ayant trait à la transformation numérique. Elle est chargée </w:t>
      </w:r>
      <w:r w:rsidR="0089542D" w:rsidRPr="00803037">
        <w:rPr>
          <w:lang w:val="fr-FR"/>
        </w:rPr>
        <w:t>d'</w:t>
      </w:r>
      <w:r w:rsidRPr="00803037">
        <w:rPr>
          <w:lang w:val="fr-FR"/>
        </w:rPr>
        <w:t xml:space="preserve">étudier sept sujets de fond traitant de </w:t>
      </w:r>
      <w:r w:rsidR="0089542D" w:rsidRPr="00803037">
        <w:rPr>
          <w:lang w:val="fr-FR"/>
        </w:rPr>
        <w:t>l'</w:t>
      </w:r>
      <w:r w:rsidRPr="00803037">
        <w:rPr>
          <w:lang w:val="fr-FR"/>
        </w:rPr>
        <w:t xml:space="preserve">utilisation et de </w:t>
      </w:r>
      <w:r w:rsidR="0089542D" w:rsidRPr="00803037">
        <w:rPr>
          <w:lang w:val="fr-FR"/>
        </w:rPr>
        <w:t>l'</w:t>
      </w:r>
      <w:r w:rsidRPr="00803037">
        <w:rPr>
          <w:lang w:val="fr-FR"/>
        </w:rPr>
        <w:t xml:space="preserve">incidence des TIC dans les domaines suivants: 1) villes et communautés intelligentes et durables; 2) services en ligne et applications; 3) cybersécurité; 4) conformité et interopérabilité, contrefaçon des équipements de télécommunication/technologies de </w:t>
      </w:r>
      <w:r w:rsidR="0089542D" w:rsidRPr="00803037">
        <w:rPr>
          <w:lang w:val="fr-FR"/>
        </w:rPr>
        <w:t>l'</w:t>
      </w:r>
      <w:r w:rsidRPr="00803037">
        <w:rPr>
          <w:lang w:val="fr-FR"/>
        </w:rPr>
        <w:t xml:space="preserve">information et des communications (TIC) et vol de dispositifs mobiles; 5) adoption des télécommunications/TIC et amélioration des compétences numériques; 6) environnement, et 7) exposition des personnes aux champs électromagnétiques. Dans </w:t>
      </w:r>
      <w:r w:rsidR="0089542D" w:rsidRPr="00803037">
        <w:rPr>
          <w:lang w:val="fr-FR"/>
        </w:rPr>
        <w:t>l'</w:t>
      </w:r>
      <w:r w:rsidRPr="00803037">
        <w:rPr>
          <w:lang w:val="fr-FR"/>
        </w:rPr>
        <w:t xml:space="preserve">accomplissement de son mandat, la CE 2 tient également compte des travaux des autres Secteurs de </w:t>
      </w:r>
      <w:r w:rsidR="0089542D" w:rsidRPr="00803037">
        <w:rPr>
          <w:lang w:val="fr-FR"/>
        </w:rPr>
        <w:t>l'</w:t>
      </w:r>
      <w:r w:rsidRPr="00803037">
        <w:rPr>
          <w:lang w:val="fr-FR"/>
        </w:rPr>
        <w:t>UIT et de certaines organisations, ainsi que des priorités des pays en développement.</w:t>
      </w:r>
    </w:p>
    <w:p w14:paraId="128604C6" w14:textId="77777777" w:rsidR="000B3E0D" w:rsidRPr="00803037" w:rsidRDefault="000B3E0D" w:rsidP="000B3E0D">
      <w:pPr>
        <w:rPr>
          <w:lang w:val="fr-FR"/>
        </w:rPr>
      </w:pPr>
      <w:r w:rsidRPr="00803037">
        <w:rPr>
          <w:lang w:val="fr-FR"/>
        </w:rPr>
        <w:t>Les titres officiels des Questions confiées à la CE 2 sont les suivants:</w:t>
      </w:r>
    </w:p>
    <w:p w14:paraId="3A71C83E" w14:textId="7777777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1/2</w:t>
      </w:r>
      <w:r w:rsidRPr="00803037">
        <w:rPr>
          <w:lang w:val="fr-FR"/>
        </w:rPr>
        <w:t>: Villes et communautés intelligentes et durables.</w:t>
      </w:r>
    </w:p>
    <w:p w14:paraId="3A1BC1B9" w14:textId="7777777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2/2</w:t>
      </w:r>
      <w:r w:rsidRPr="00803037">
        <w:rPr>
          <w:lang w:val="fr-FR"/>
        </w:rPr>
        <w:t>: Technologies de base pour les cyberservices et les cyberapplications, y compris la cybersanté et le cyberenseignement.</w:t>
      </w:r>
    </w:p>
    <w:p w14:paraId="55E3AFD2" w14:textId="46AF4A1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3/2</w:t>
      </w:r>
      <w:r w:rsidRPr="00803037">
        <w:rPr>
          <w:lang w:val="fr-FR"/>
        </w:rPr>
        <w:t xml:space="preserve">: Sécurisation des réseaux </w:t>
      </w:r>
      <w:r w:rsidR="0089542D" w:rsidRPr="00803037">
        <w:rPr>
          <w:lang w:val="fr-FR"/>
        </w:rPr>
        <w:t>d'</w:t>
      </w:r>
      <w:r w:rsidRPr="00803037">
        <w:rPr>
          <w:lang w:val="fr-FR"/>
        </w:rPr>
        <w:t>information et de communication: bonnes pratiques pour créer une culture de la cybersécurité.</w:t>
      </w:r>
    </w:p>
    <w:p w14:paraId="1ADCEE6C" w14:textId="7777777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4/2</w:t>
      </w:r>
      <w:r w:rsidRPr="00803037">
        <w:rPr>
          <w:lang w:val="fr-FR"/>
        </w:rPr>
        <w:t>: Équipements de télécommunication/TIC: conformité et interopérabilité et lutte contre la contrefaçon et le vol de dispositifs mobiles.</w:t>
      </w:r>
    </w:p>
    <w:p w14:paraId="28B364A0" w14:textId="7777777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5/2</w:t>
      </w:r>
      <w:r w:rsidRPr="00803037">
        <w:rPr>
          <w:lang w:val="fr-FR"/>
        </w:rPr>
        <w:t>: Adoption des télécommunications/TIC et amélioration des compétences numériques.</w:t>
      </w:r>
    </w:p>
    <w:p w14:paraId="05281B3B" w14:textId="023BD711"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6/2</w:t>
      </w:r>
      <w:r w:rsidRPr="00803037">
        <w:rPr>
          <w:lang w:val="fr-FR"/>
        </w:rPr>
        <w:t xml:space="preserve">: Les TIC au service de </w:t>
      </w:r>
      <w:r w:rsidR="0089542D" w:rsidRPr="00803037">
        <w:rPr>
          <w:lang w:val="fr-FR"/>
        </w:rPr>
        <w:t>l'</w:t>
      </w:r>
      <w:r w:rsidRPr="00803037">
        <w:rPr>
          <w:lang w:val="fr-FR"/>
        </w:rPr>
        <w:t>environnement.</w:t>
      </w:r>
    </w:p>
    <w:p w14:paraId="6EA95663" w14:textId="0D0AEFF7" w:rsidR="000B3E0D" w:rsidRPr="00803037" w:rsidRDefault="000B3E0D" w:rsidP="000B3E0D">
      <w:pPr>
        <w:pStyle w:val="enumlev1"/>
        <w:rPr>
          <w:lang w:val="fr-FR"/>
        </w:rPr>
      </w:pPr>
      <w:r w:rsidRPr="00803037">
        <w:rPr>
          <w:lang w:val="fr-FR"/>
        </w:rPr>
        <w:t>–</w:t>
      </w:r>
      <w:r w:rsidRPr="00803037">
        <w:rPr>
          <w:lang w:val="fr-FR"/>
        </w:rPr>
        <w:tab/>
      </w:r>
      <w:r w:rsidRPr="00803037">
        <w:rPr>
          <w:b/>
          <w:bCs/>
          <w:lang w:val="fr-FR"/>
        </w:rPr>
        <w:t>Question 7/2</w:t>
      </w:r>
      <w:r w:rsidRPr="00803037">
        <w:rPr>
          <w:lang w:val="fr-FR"/>
        </w:rPr>
        <w:t xml:space="preserve">: Stratégies et politiques concernant </w:t>
      </w:r>
      <w:r w:rsidR="0089542D" w:rsidRPr="00803037">
        <w:rPr>
          <w:lang w:val="fr-FR"/>
        </w:rPr>
        <w:t>l'</w:t>
      </w:r>
      <w:r w:rsidRPr="00803037">
        <w:rPr>
          <w:lang w:val="fr-FR"/>
        </w:rPr>
        <w:t>exposition des personnes aux champs électromagnétiques.</w:t>
      </w:r>
    </w:p>
    <w:p w14:paraId="7163F764" w14:textId="4AAE0B27" w:rsidR="000B3E0D" w:rsidRPr="00803037" w:rsidRDefault="000B3E0D" w:rsidP="000B3E0D">
      <w:pPr>
        <w:rPr>
          <w:lang w:val="fr-FR"/>
        </w:rPr>
      </w:pPr>
      <w:r w:rsidRPr="00803037">
        <w:rPr>
          <w:lang w:val="fr-FR"/>
        </w:rPr>
        <w:t>Le</w:t>
      </w:r>
      <w:r w:rsidR="0067798E" w:rsidRPr="00803037">
        <w:rPr>
          <w:lang w:val="fr-FR"/>
        </w:rPr>
        <w:t xml:space="preserve"> Document</w:t>
      </w:r>
      <w:r w:rsidRPr="00803037">
        <w:rPr>
          <w:lang w:val="fr-FR"/>
        </w:rPr>
        <w:t xml:space="preserve"> </w:t>
      </w:r>
      <w:hyperlink r:id="rId20" w:history="1">
        <w:r w:rsidR="0067798E" w:rsidRPr="00803037">
          <w:rPr>
            <w:rStyle w:val="Hyperlink"/>
            <w:lang w:val="fr-FR"/>
          </w:rPr>
          <w:t>2/2</w:t>
        </w:r>
      </w:hyperlink>
      <w:r w:rsidRPr="00803037">
        <w:rPr>
          <w:lang w:val="fr-FR"/>
        </w:rPr>
        <w:t xml:space="preserve">, disponible sur le site web de la CE 2, contient les définitions des Questions, dont </w:t>
      </w:r>
      <w:r w:rsidR="0089542D" w:rsidRPr="00803037">
        <w:rPr>
          <w:lang w:val="fr-FR"/>
        </w:rPr>
        <w:t>l'</w:t>
      </w:r>
      <w:r w:rsidRPr="00803037">
        <w:rPr>
          <w:lang w:val="fr-FR"/>
        </w:rPr>
        <w:t>énoncé du problème, une description des résultats attendus, le programme de travail et un échéancier des résultats.</w:t>
      </w:r>
    </w:p>
    <w:p w14:paraId="2316B908" w14:textId="5B2ED211" w:rsidR="000B3E0D" w:rsidRPr="00803037" w:rsidRDefault="000B3E0D" w:rsidP="000B3E0D">
      <w:pPr>
        <w:rPr>
          <w:lang w:val="fr-FR"/>
        </w:rPr>
      </w:pPr>
      <w:r w:rsidRPr="00803037">
        <w:rPr>
          <w:lang w:val="fr-FR"/>
        </w:rPr>
        <w:t xml:space="preserve">La CE 2 a achevé ses travaux lors de sa quatrième et dernière réunion, qui </w:t>
      </w:r>
      <w:r w:rsidR="0089542D" w:rsidRPr="00803037">
        <w:rPr>
          <w:lang w:val="fr-FR"/>
        </w:rPr>
        <w:t>s'</w:t>
      </w:r>
      <w:r w:rsidRPr="00803037">
        <w:rPr>
          <w:lang w:val="fr-FR"/>
        </w:rPr>
        <w:t xml:space="preserve">est tenue du 5 au 9 mai 2025 et au cours de laquelle les rapports finals relatifs aux sept Questions à </w:t>
      </w:r>
      <w:r w:rsidR="0089542D" w:rsidRPr="00803037">
        <w:rPr>
          <w:lang w:val="fr-FR"/>
        </w:rPr>
        <w:t>l'</w:t>
      </w:r>
      <w:r w:rsidRPr="00803037">
        <w:rPr>
          <w:lang w:val="fr-FR"/>
        </w:rPr>
        <w:t>étude ont été approuvés.</w:t>
      </w:r>
    </w:p>
    <w:p w14:paraId="39C52B91" w14:textId="7AA4E4AB" w:rsidR="000B3E0D" w:rsidRPr="00803037" w:rsidRDefault="000B3E0D" w:rsidP="000B3E0D">
      <w:pPr>
        <w:pStyle w:val="Headingb"/>
        <w:rPr>
          <w:lang w:val="fr-FR"/>
        </w:rPr>
      </w:pPr>
      <w:r w:rsidRPr="00803037">
        <w:rPr>
          <w:lang w:val="fr-FR"/>
        </w:rPr>
        <w:t xml:space="preserve">Équipe de direction de la Commission </w:t>
      </w:r>
      <w:r w:rsidR="0089542D" w:rsidRPr="00803037">
        <w:rPr>
          <w:lang w:val="fr-FR"/>
        </w:rPr>
        <w:t>d'</w:t>
      </w:r>
      <w:r w:rsidRPr="00803037">
        <w:rPr>
          <w:lang w:val="fr-FR"/>
        </w:rPr>
        <w:t>études 2</w:t>
      </w:r>
    </w:p>
    <w:p w14:paraId="5C253456" w14:textId="57CC048D" w:rsidR="000B3E0D" w:rsidRPr="00803037" w:rsidRDefault="000B3E0D" w:rsidP="000B3E0D">
      <w:pPr>
        <w:rPr>
          <w:lang w:val="fr-FR"/>
        </w:rPr>
      </w:pPr>
      <w:r w:rsidRPr="00803037">
        <w:rPr>
          <w:lang w:val="fr-FR"/>
        </w:rPr>
        <w:t xml:space="preserve">La CMDT-22 a désigné </w:t>
      </w:r>
      <w:r w:rsidR="0089542D" w:rsidRPr="00803037">
        <w:rPr>
          <w:lang w:val="fr-FR"/>
        </w:rPr>
        <w:t>l'</w:t>
      </w:r>
      <w:r w:rsidRPr="00803037">
        <w:rPr>
          <w:lang w:val="fr-FR"/>
        </w:rPr>
        <w:t xml:space="preserve">équipe de direction de la CE 2 pour la huitième période </w:t>
      </w:r>
      <w:r w:rsidR="0089542D" w:rsidRPr="00803037">
        <w:rPr>
          <w:lang w:val="fr-FR"/>
        </w:rPr>
        <w:t>d'</w:t>
      </w:r>
      <w:r w:rsidRPr="00803037">
        <w:rPr>
          <w:lang w:val="fr-FR"/>
        </w:rPr>
        <w:t>études (2022</w:t>
      </w:r>
      <w:r w:rsidRPr="00803037">
        <w:rPr>
          <w:lang w:val="fr-FR"/>
        </w:rPr>
        <w:noBreakHyphen/>
        <w:t xml:space="preserve">2025): la présidence a été confiée à M. Fadel Digham (Égypte); il bénéficie de </w:t>
      </w:r>
      <w:r w:rsidR="0089542D" w:rsidRPr="00803037">
        <w:rPr>
          <w:lang w:val="fr-FR"/>
        </w:rPr>
        <w:t>l'</w:t>
      </w:r>
      <w:r w:rsidRPr="00803037">
        <w:rPr>
          <w:lang w:val="fr-FR"/>
        </w:rPr>
        <w:t>aide remarquable des Vice-Présidents suivants:</w:t>
      </w:r>
    </w:p>
    <w:p w14:paraId="1A55BF34" w14:textId="77777777" w:rsidR="000B3E0D" w:rsidRPr="00803037" w:rsidRDefault="000B3E0D" w:rsidP="000B3E0D">
      <w:pPr>
        <w:pStyle w:val="enumlev1"/>
        <w:rPr>
          <w:lang w:val="fr-FR"/>
        </w:rPr>
      </w:pPr>
      <w:r w:rsidRPr="00803037">
        <w:rPr>
          <w:lang w:val="fr-FR"/>
        </w:rPr>
        <w:t>–</w:t>
      </w:r>
      <w:r w:rsidRPr="00803037">
        <w:rPr>
          <w:lang w:val="fr-FR"/>
        </w:rPr>
        <w:tab/>
        <w:t>M. Abdelaziz Alzarooni (Émirats arabes unis) (ARB).</w:t>
      </w:r>
    </w:p>
    <w:p w14:paraId="6695004F" w14:textId="77777777" w:rsidR="000B3E0D" w:rsidRPr="00803037" w:rsidRDefault="000B3E0D" w:rsidP="000B3E0D">
      <w:pPr>
        <w:pStyle w:val="enumlev1"/>
        <w:rPr>
          <w:lang w:val="fr-FR"/>
        </w:rPr>
      </w:pPr>
      <w:r w:rsidRPr="00803037">
        <w:rPr>
          <w:lang w:val="fr-FR"/>
        </w:rPr>
        <w:t>–</w:t>
      </w:r>
      <w:r w:rsidRPr="00803037">
        <w:rPr>
          <w:lang w:val="fr-FR"/>
        </w:rPr>
        <w:tab/>
        <w:t>Mme Zainab Ardo (Nigéria) (AFR).</w:t>
      </w:r>
    </w:p>
    <w:p w14:paraId="7D39CF68" w14:textId="77777777" w:rsidR="000B3E0D" w:rsidRPr="00803037" w:rsidRDefault="000B3E0D" w:rsidP="000B3E0D">
      <w:pPr>
        <w:pStyle w:val="enumlev1"/>
        <w:rPr>
          <w:lang w:val="fr-FR"/>
        </w:rPr>
      </w:pPr>
      <w:r w:rsidRPr="00803037">
        <w:rPr>
          <w:lang w:val="fr-FR"/>
        </w:rPr>
        <w:t>–</w:t>
      </w:r>
      <w:r w:rsidRPr="00803037">
        <w:rPr>
          <w:lang w:val="fr-FR"/>
        </w:rPr>
        <w:tab/>
        <w:t>M. Javokhir Aripov (Ouzbékistan) (CIS).</w:t>
      </w:r>
    </w:p>
    <w:p w14:paraId="2DD6BA86" w14:textId="77777777" w:rsidR="000B3E0D" w:rsidRPr="00803037" w:rsidRDefault="000B3E0D" w:rsidP="000B3E0D">
      <w:pPr>
        <w:pStyle w:val="enumlev1"/>
        <w:rPr>
          <w:lang w:val="fr-FR"/>
        </w:rPr>
      </w:pPr>
      <w:r w:rsidRPr="00803037">
        <w:rPr>
          <w:lang w:val="fr-FR"/>
        </w:rPr>
        <w:t>–</w:t>
      </w:r>
      <w:r w:rsidRPr="00803037">
        <w:rPr>
          <w:lang w:val="fr-FR"/>
        </w:rPr>
        <w:tab/>
        <w:t>Mme Carmen Madalina Clapon (Roumanie) (EUR).</w:t>
      </w:r>
    </w:p>
    <w:p w14:paraId="21BE7655" w14:textId="77777777" w:rsidR="000B3E0D" w:rsidRPr="00803037" w:rsidRDefault="000B3E0D" w:rsidP="000B3E0D">
      <w:pPr>
        <w:pStyle w:val="enumlev1"/>
        <w:rPr>
          <w:lang w:val="fr-FR"/>
        </w:rPr>
      </w:pPr>
      <w:r w:rsidRPr="00803037">
        <w:rPr>
          <w:lang w:val="fr-FR"/>
        </w:rPr>
        <w:t>–</w:t>
      </w:r>
      <w:r w:rsidRPr="00803037">
        <w:rPr>
          <w:lang w:val="fr-FR"/>
        </w:rPr>
        <w:tab/>
        <w:t>M. Mushfig Guluyev (Azerbaïdjan) (CIS).</w:t>
      </w:r>
    </w:p>
    <w:p w14:paraId="22CE5194" w14:textId="77777777" w:rsidR="000B3E0D" w:rsidRPr="00803037" w:rsidRDefault="000B3E0D" w:rsidP="000B3E0D">
      <w:pPr>
        <w:pStyle w:val="enumlev1"/>
        <w:rPr>
          <w:lang w:val="fr-FR"/>
        </w:rPr>
      </w:pPr>
      <w:r w:rsidRPr="00803037">
        <w:rPr>
          <w:lang w:val="fr-FR"/>
        </w:rPr>
        <w:t>–</w:t>
      </w:r>
      <w:r w:rsidRPr="00803037">
        <w:rPr>
          <w:lang w:val="fr-FR"/>
        </w:rPr>
        <w:tab/>
        <w:t>M. Hideo Imanaka (Japon) (ASP).</w:t>
      </w:r>
    </w:p>
    <w:p w14:paraId="601C652B" w14:textId="77777777" w:rsidR="000B3E0D" w:rsidRPr="00803037" w:rsidRDefault="000B3E0D" w:rsidP="000B3E0D">
      <w:pPr>
        <w:pStyle w:val="enumlev1"/>
        <w:rPr>
          <w:lang w:val="fr-FR"/>
        </w:rPr>
      </w:pPr>
      <w:r w:rsidRPr="00803037">
        <w:rPr>
          <w:lang w:val="fr-FR"/>
        </w:rPr>
        <w:lastRenderedPageBreak/>
        <w:t>–</w:t>
      </w:r>
      <w:r w:rsidRPr="00803037">
        <w:rPr>
          <w:lang w:val="fr-FR"/>
        </w:rPr>
        <w:tab/>
        <w:t>Mme Mina Seonmin Jun (République de Corée) (ASP).</w:t>
      </w:r>
    </w:p>
    <w:p w14:paraId="3C620A9F" w14:textId="77777777" w:rsidR="000B3E0D" w:rsidRPr="00803037" w:rsidRDefault="000B3E0D" w:rsidP="000B3E0D">
      <w:pPr>
        <w:pStyle w:val="enumlev1"/>
        <w:rPr>
          <w:lang w:val="fr-FR"/>
        </w:rPr>
      </w:pPr>
      <w:r w:rsidRPr="00803037">
        <w:rPr>
          <w:lang w:val="fr-FR"/>
        </w:rPr>
        <w:t>–</w:t>
      </w:r>
      <w:r w:rsidRPr="00803037">
        <w:rPr>
          <w:lang w:val="fr-FR"/>
        </w:rPr>
        <w:tab/>
        <w:t>M. Mohamed Lamine Minthe (Guinée) (AFR).</w:t>
      </w:r>
    </w:p>
    <w:p w14:paraId="183E5419" w14:textId="77777777" w:rsidR="000B3E0D" w:rsidRPr="00803037" w:rsidRDefault="000B3E0D" w:rsidP="000B3E0D">
      <w:pPr>
        <w:pStyle w:val="enumlev1"/>
        <w:keepNext/>
        <w:keepLines/>
        <w:rPr>
          <w:lang w:val="fr-FR"/>
        </w:rPr>
      </w:pPr>
      <w:r w:rsidRPr="00803037">
        <w:rPr>
          <w:lang w:val="fr-FR"/>
        </w:rPr>
        <w:t>–</w:t>
      </w:r>
      <w:r w:rsidRPr="00803037">
        <w:rPr>
          <w:lang w:val="fr-FR"/>
        </w:rPr>
        <w:tab/>
        <w:t>M. Víctor Antonio Martínez Sánchez (Paraguay) (AMS).</w:t>
      </w:r>
    </w:p>
    <w:p w14:paraId="2A2D10DC" w14:textId="77777777" w:rsidR="000B3E0D" w:rsidRPr="00803037" w:rsidRDefault="000B3E0D" w:rsidP="000B3E0D">
      <w:pPr>
        <w:pStyle w:val="enumlev1"/>
        <w:rPr>
          <w:lang w:val="fr-FR"/>
        </w:rPr>
      </w:pPr>
      <w:r w:rsidRPr="00803037">
        <w:rPr>
          <w:lang w:val="fr-FR"/>
        </w:rPr>
        <w:t>–</w:t>
      </w:r>
      <w:r w:rsidRPr="00803037">
        <w:rPr>
          <w:lang w:val="fr-FR"/>
        </w:rPr>
        <w:tab/>
        <w:t>M. Tongning Wu (Chine) (ASP).</w:t>
      </w:r>
    </w:p>
    <w:p w14:paraId="1DEC903B" w14:textId="77777777" w:rsidR="000B3E0D" w:rsidRPr="00803037" w:rsidRDefault="000B3E0D" w:rsidP="000B3E0D">
      <w:pPr>
        <w:pStyle w:val="enumlev1"/>
        <w:rPr>
          <w:lang w:val="fr-FR"/>
        </w:rPr>
      </w:pPr>
      <w:r w:rsidRPr="00803037">
        <w:rPr>
          <w:lang w:val="fr-FR"/>
        </w:rPr>
        <w:t>–</w:t>
      </w:r>
      <w:r w:rsidRPr="00803037">
        <w:rPr>
          <w:lang w:val="fr-FR"/>
        </w:rPr>
        <w:tab/>
        <w:t>M. Dominique Würges (France) (EUR).</w:t>
      </w:r>
    </w:p>
    <w:p w14:paraId="1765E5C7" w14:textId="0CC69F3D" w:rsidR="000B3E0D" w:rsidRPr="00803037" w:rsidRDefault="000B3E0D" w:rsidP="000B3E0D">
      <w:pPr>
        <w:rPr>
          <w:lang w:val="fr-FR"/>
        </w:rPr>
      </w:pPr>
      <w:r w:rsidRPr="00803037">
        <w:rPr>
          <w:lang w:val="fr-FR"/>
        </w:rPr>
        <w:t>Ont quitté leurs fonctions</w:t>
      </w:r>
      <w:r w:rsidRPr="00803037">
        <w:rPr>
          <w:rStyle w:val="FootnoteReference"/>
          <w:lang w:val="fr-FR"/>
        </w:rPr>
        <w:footnoteReference w:id="5"/>
      </w:r>
      <w:r w:rsidRPr="00803037">
        <w:rPr>
          <w:lang w:val="fr-FR"/>
        </w:rPr>
        <w:t xml:space="preserve"> au cours de la période </w:t>
      </w:r>
      <w:r w:rsidR="0089542D" w:rsidRPr="00803037">
        <w:rPr>
          <w:lang w:val="fr-FR"/>
        </w:rPr>
        <w:t>d'</w:t>
      </w:r>
      <w:r w:rsidRPr="00803037">
        <w:rPr>
          <w:lang w:val="fr-FR"/>
        </w:rPr>
        <w:t>études:</w:t>
      </w:r>
    </w:p>
    <w:p w14:paraId="3B2CBB91" w14:textId="77777777" w:rsidR="000B3E0D" w:rsidRPr="00803037" w:rsidRDefault="000B3E0D" w:rsidP="000B3E0D">
      <w:pPr>
        <w:pStyle w:val="enumlev1"/>
        <w:rPr>
          <w:lang w:val="fr-FR"/>
        </w:rPr>
      </w:pPr>
      <w:r w:rsidRPr="00803037">
        <w:rPr>
          <w:lang w:val="fr-FR"/>
        </w:rPr>
        <w:t>–</w:t>
      </w:r>
      <w:r w:rsidRPr="00803037">
        <w:rPr>
          <w:lang w:val="fr-FR"/>
        </w:rPr>
        <w:tab/>
        <w:t>Mme Alina Modan (Roumanie) (EUR).</w:t>
      </w:r>
    </w:p>
    <w:p w14:paraId="3E246CF6" w14:textId="77777777" w:rsidR="000B3E0D" w:rsidRPr="00803037" w:rsidRDefault="000B3E0D" w:rsidP="000B3E0D">
      <w:pPr>
        <w:pStyle w:val="enumlev1"/>
        <w:rPr>
          <w:lang w:val="fr-FR"/>
        </w:rPr>
      </w:pPr>
      <w:r w:rsidRPr="00803037">
        <w:rPr>
          <w:lang w:val="fr-FR"/>
        </w:rPr>
        <w:t>–</w:t>
      </w:r>
      <w:r w:rsidRPr="00803037">
        <w:rPr>
          <w:lang w:val="fr-FR"/>
        </w:rPr>
        <w:tab/>
        <w:t>M. Diyor Rajabov (Ouzbékistan) (CIS).</w:t>
      </w:r>
    </w:p>
    <w:p w14:paraId="1674F78E" w14:textId="55DC63CF" w:rsidR="000B3E0D" w:rsidRPr="00803037" w:rsidRDefault="000B3E0D" w:rsidP="000B3E0D">
      <w:pPr>
        <w:rPr>
          <w:lang w:val="fr-FR"/>
        </w:rPr>
      </w:pPr>
      <w:r w:rsidRPr="00803037">
        <w:rPr>
          <w:lang w:val="fr-FR"/>
        </w:rPr>
        <w:t xml:space="preserve">La liste des </w:t>
      </w:r>
      <w:r w:rsidR="00B6049D" w:rsidRPr="00803037">
        <w:rPr>
          <w:lang w:val="fr-FR"/>
        </w:rPr>
        <w:t>P</w:t>
      </w:r>
      <w:r w:rsidRPr="00803037">
        <w:rPr>
          <w:lang w:val="fr-FR"/>
        </w:rPr>
        <w:t xml:space="preserve">résidents, </w:t>
      </w:r>
      <w:r w:rsidR="00B6049D" w:rsidRPr="00803037">
        <w:rPr>
          <w:lang w:val="fr-FR"/>
        </w:rPr>
        <w:t>V</w:t>
      </w:r>
      <w:r w:rsidRPr="00803037">
        <w:rPr>
          <w:lang w:val="fr-FR"/>
        </w:rPr>
        <w:t>ice-</w:t>
      </w:r>
      <w:r w:rsidR="00B6049D" w:rsidRPr="00803037">
        <w:rPr>
          <w:lang w:val="fr-FR"/>
        </w:rPr>
        <w:t>P</w:t>
      </w:r>
      <w:r w:rsidRPr="00803037">
        <w:rPr>
          <w:lang w:val="fr-FR"/>
        </w:rPr>
        <w:t xml:space="preserve">résidents, Rapporteurs et Vice-Rapporteurs nommés pour les Questions confiées à la CE 2 de </w:t>
      </w:r>
      <w:r w:rsidR="0089542D" w:rsidRPr="00803037">
        <w:rPr>
          <w:lang w:val="fr-FR"/>
        </w:rPr>
        <w:t>l'</w:t>
      </w:r>
      <w:r w:rsidRPr="00803037">
        <w:rPr>
          <w:lang w:val="fr-FR"/>
        </w:rPr>
        <w:t xml:space="preserve">UIT-D ainsi que leur participation au cours de la période </w:t>
      </w:r>
      <w:r w:rsidR="0089542D" w:rsidRPr="00803037">
        <w:rPr>
          <w:lang w:val="fr-FR"/>
        </w:rPr>
        <w:t>d'</w:t>
      </w:r>
      <w:r w:rsidRPr="00803037">
        <w:rPr>
          <w:lang w:val="fr-FR"/>
        </w:rPr>
        <w:t xml:space="preserve">études figurent à </w:t>
      </w:r>
      <w:r w:rsidR="0089542D" w:rsidRPr="00803037">
        <w:rPr>
          <w:lang w:val="fr-FR"/>
        </w:rPr>
        <w:t>l'</w:t>
      </w:r>
      <w:r w:rsidRPr="00803037">
        <w:rPr>
          <w:b/>
          <w:bCs/>
          <w:lang w:val="fr-FR"/>
        </w:rPr>
        <w:t>Annexe 1</w:t>
      </w:r>
      <w:r w:rsidRPr="00803037">
        <w:rPr>
          <w:lang w:val="fr-FR"/>
        </w:rPr>
        <w:t>.</w:t>
      </w:r>
    </w:p>
    <w:p w14:paraId="2049C26D" w14:textId="77777777" w:rsidR="000B3E0D" w:rsidRPr="00803037" w:rsidRDefault="000B3E0D" w:rsidP="0067798E">
      <w:pPr>
        <w:pStyle w:val="Headingb"/>
        <w:rPr>
          <w:lang w:val="fr-FR"/>
        </w:rPr>
      </w:pPr>
      <w:r w:rsidRPr="00803037">
        <w:rPr>
          <w:lang w:val="fr-FR"/>
        </w:rPr>
        <w:t>Participation et documents (2022-2025)</w:t>
      </w:r>
    </w:p>
    <w:p w14:paraId="48B4A025" w14:textId="77777777" w:rsidR="000B3E0D" w:rsidRPr="00803037" w:rsidRDefault="000B3E0D" w:rsidP="000B3E0D">
      <w:pPr>
        <w:pStyle w:val="Heading1"/>
        <w:rPr>
          <w:rFonts w:eastAsia="Malgun Gothic"/>
          <w:sz w:val="24"/>
          <w:szCs w:val="24"/>
          <w:lang w:val="fr-FR"/>
        </w:rPr>
      </w:pPr>
      <w:r w:rsidRPr="00803037">
        <w:rPr>
          <w:sz w:val="24"/>
          <w:szCs w:val="24"/>
          <w:lang w:val="fr-FR"/>
        </w:rPr>
        <w:t>1</w:t>
      </w:r>
      <w:r w:rsidRPr="00803037">
        <w:rPr>
          <w:sz w:val="24"/>
          <w:szCs w:val="24"/>
          <w:lang w:val="fr-FR"/>
        </w:rPr>
        <w:tab/>
        <w:t>Participants</w:t>
      </w:r>
    </w:p>
    <w:p w14:paraId="54708F65" w14:textId="14768144" w:rsidR="000B3E0D" w:rsidRPr="00803037" w:rsidRDefault="000B3E0D" w:rsidP="000B3E0D">
      <w:pPr>
        <w:rPr>
          <w:lang w:val="fr-FR"/>
        </w:rPr>
      </w:pPr>
      <w:r w:rsidRPr="00803037">
        <w:rPr>
          <w:lang w:val="fr-FR"/>
        </w:rPr>
        <w:t xml:space="preserve">Le nombre cumulatif de participants aux réunions de la CE 2 et des Groupes du Rapporteur pendant cette période </w:t>
      </w:r>
      <w:r w:rsidR="0089542D" w:rsidRPr="00803037">
        <w:rPr>
          <w:lang w:val="fr-FR"/>
        </w:rPr>
        <w:t>d'</w:t>
      </w:r>
      <w:r w:rsidRPr="00803037">
        <w:rPr>
          <w:lang w:val="fr-FR"/>
        </w:rPr>
        <w:t xml:space="preserve">études </w:t>
      </w:r>
      <w:r w:rsidR="0089542D" w:rsidRPr="00803037">
        <w:rPr>
          <w:lang w:val="fr-FR"/>
        </w:rPr>
        <w:t>s'</w:t>
      </w:r>
      <w:r w:rsidRPr="00803037">
        <w:rPr>
          <w:lang w:val="fr-FR"/>
        </w:rPr>
        <w:t>élève à 1</w:t>
      </w:r>
      <w:r w:rsidR="001B420A" w:rsidRPr="00803037">
        <w:rPr>
          <w:lang w:val="fr-FR"/>
        </w:rPr>
        <w:t xml:space="preserve"> </w:t>
      </w:r>
      <w:r w:rsidRPr="00803037">
        <w:rPr>
          <w:lang w:val="fr-FR"/>
        </w:rPr>
        <w:t>252. Le</w:t>
      </w:r>
      <w:r w:rsidRPr="00803037">
        <w:rPr>
          <w:b/>
          <w:bCs/>
          <w:lang w:val="fr-FR"/>
        </w:rPr>
        <w:t xml:space="preserve"> Tableau 1</w:t>
      </w:r>
      <w:r w:rsidRPr="00803037">
        <w:rPr>
          <w:lang w:val="fr-FR"/>
        </w:rPr>
        <w:t xml:space="preserve"> présente en détail le nombre de participants et de pays représentés lors de chaque manifestation de la CE 2 organisée pendant la période </w:t>
      </w:r>
      <w:r w:rsidR="0089542D" w:rsidRPr="00803037">
        <w:rPr>
          <w:lang w:val="fr-FR"/>
        </w:rPr>
        <w:t>d'</w:t>
      </w:r>
      <w:r w:rsidRPr="00803037">
        <w:rPr>
          <w:lang w:val="fr-FR"/>
        </w:rPr>
        <w:t>études. En moyenne, une manifestation de la CE 2 réunissait environ 209 participants de</w:t>
      </w:r>
      <w:r w:rsidR="001B420A" w:rsidRPr="00803037">
        <w:rPr>
          <w:lang w:val="fr-FR"/>
        </w:rPr>
        <w:t> </w:t>
      </w:r>
      <w:r w:rsidRPr="00803037">
        <w:rPr>
          <w:lang w:val="fr-FR"/>
        </w:rPr>
        <w:t>54 pays.</w:t>
      </w:r>
    </w:p>
    <w:p w14:paraId="2149BF88" w14:textId="37D49A0C" w:rsidR="00772D17" w:rsidRPr="00803037" w:rsidRDefault="00772D17" w:rsidP="000B3E0D">
      <w:pPr>
        <w:rPr>
          <w:rFonts w:eastAsia="Malgun Gothic" w:cstheme="minorHAnsi"/>
          <w:szCs w:val="24"/>
          <w:lang w:val="fr-FR"/>
        </w:rPr>
      </w:pPr>
      <w:r w:rsidRPr="00803037">
        <w:rPr>
          <w:rFonts w:eastAsia="Malgun Gothic"/>
          <w:lang w:val="fr-FR"/>
        </w:rPr>
        <w:drawing>
          <wp:inline distT="0" distB="0" distL="0" distR="0" wp14:anchorId="46286CFA" wp14:editId="54B6308F">
            <wp:extent cx="6120765" cy="1109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1109980"/>
                    </a:xfrm>
                    <a:prstGeom prst="rect">
                      <a:avLst/>
                    </a:prstGeom>
                    <a:noFill/>
                    <a:ln>
                      <a:noFill/>
                    </a:ln>
                  </pic:spPr>
                </pic:pic>
              </a:graphicData>
            </a:graphic>
          </wp:inline>
        </w:drawing>
      </w:r>
    </w:p>
    <w:p w14:paraId="346D31A5" w14:textId="495591E4" w:rsidR="000B3E0D" w:rsidRPr="00803037" w:rsidRDefault="000B3E0D" w:rsidP="00FD0921">
      <w:pPr>
        <w:pStyle w:val="Tabletitle"/>
        <w:keepNext w:val="0"/>
        <w:keepLines w:val="0"/>
        <w:spacing w:before="120" w:after="240"/>
        <w:rPr>
          <w:rFonts w:eastAsia="Malgun Gothic" w:cstheme="minorHAnsi"/>
          <w:szCs w:val="24"/>
          <w:lang w:val="fr-FR"/>
        </w:rPr>
      </w:pPr>
      <w:r w:rsidRPr="00803037">
        <w:rPr>
          <w:sz w:val="24"/>
          <w:szCs w:val="24"/>
          <w:lang w:val="fr-FR"/>
        </w:rPr>
        <w:t>Tableau 1 – Participation aux réunions de la CE 2 et des</w:t>
      </w:r>
      <w:r w:rsidR="001B420A" w:rsidRPr="00803037">
        <w:rPr>
          <w:sz w:val="24"/>
          <w:szCs w:val="24"/>
          <w:lang w:val="fr-FR"/>
        </w:rPr>
        <w:br/>
      </w:r>
      <w:r w:rsidRPr="00803037">
        <w:rPr>
          <w:sz w:val="24"/>
          <w:szCs w:val="24"/>
          <w:lang w:val="fr-FR"/>
        </w:rPr>
        <w:t xml:space="preserve">Groupes du Rapporteur pendant la période </w:t>
      </w:r>
      <w:r w:rsidR="0089542D" w:rsidRPr="00803037">
        <w:rPr>
          <w:sz w:val="24"/>
          <w:szCs w:val="24"/>
          <w:lang w:val="fr-FR"/>
        </w:rPr>
        <w:t>d'</w:t>
      </w:r>
      <w:r w:rsidRPr="00803037">
        <w:rPr>
          <w:sz w:val="24"/>
          <w:szCs w:val="24"/>
          <w:lang w:val="fr-FR"/>
        </w:rPr>
        <w:t>études</w:t>
      </w:r>
    </w:p>
    <w:p w14:paraId="5C166161" w14:textId="4A85D755" w:rsidR="000B3E0D" w:rsidRPr="00803037" w:rsidRDefault="000B3E0D" w:rsidP="003B3D99">
      <w:pPr>
        <w:rPr>
          <w:rFonts w:eastAsia="Malgun Gothic" w:cstheme="minorHAnsi"/>
          <w:szCs w:val="24"/>
          <w:lang w:val="fr-FR"/>
        </w:rPr>
      </w:pPr>
      <w:r w:rsidRPr="00803037">
        <w:rPr>
          <w:lang w:val="fr-FR"/>
        </w:rPr>
        <w:lastRenderedPageBreak/>
        <w:t xml:space="preserve">La </w:t>
      </w:r>
      <w:r w:rsidRPr="00803037">
        <w:rPr>
          <w:b/>
          <w:bCs/>
          <w:lang w:val="fr-FR"/>
        </w:rPr>
        <w:t>Figure 1</w:t>
      </w:r>
      <w:r w:rsidRPr="00803037">
        <w:rPr>
          <w:lang w:val="fr-FR"/>
        </w:rPr>
        <w:t xml:space="preserve"> montre </w:t>
      </w:r>
      <w:r w:rsidR="0089542D" w:rsidRPr="00803037">
        <w:rPr>
          <w:lang w:val="fr-FR"/>
        </w:rPr>
        <w:t>l'</w:t>
      </w:r>
      <w:r w:rsidRPr="00803037">
        <w:rPr>
          <w:lang w:val="fr-FR"/>
        </w:rPr>
        <w:t xml:space="preserve">évolution du nombre de participants par rapport à la période </w:t>
      </w:r>
      <w:r w:rsidR="0089542D" w:rsidRPr="00803037">
        <w:rPr>
          <w:lang w:val="fr-FR"/>
        </w:rPr>
        <w:t>d'</w:t>
      </w:r>
      <w:r w:rsidRPr="00803037">
        <w:rPr>
          <w:lang w:val="fr-FR"/>
        </w:rPr>
        <w:t>études précédente</w:t>
      </w:r>
      <w:r w:rsidRPr="00803037">
        <w:rPr>
          <w:rStyle w:val="FootnoteReference"/>
          <w:rFonts w:eastAsia="Malgun Gothic" w:cstheme="minorHAnsi"/>
          <w:lang w:val="fr-FR" w:eastAsia="ko-KR"/>
        </w:rPr>
        <w:footnoteReference w:id="6"/>
      </w:r>
      <w:r w:rsidRPr="00803037">
        <w:rPr>
          <w:lang w:val="fr-FR"/>
        </w:rPr>
        <w:t xml:space="preserve">. Le nombre de participants a considérablement augmenté pendant cette période </w:t>
      </w:r>
      <w:r w:rsidR="0089542D" w:rsidRPr="00803037">
        <w:rPr>
          <w:lang w:val="fr-FR"/>
        </w:rPr>
        <w:t>d'</w:t>
      </w:r>
      <w:r w:rsidRPr="00803037">
        <w:rPr>
          <w:lang w:val="fr-FR"/>
        </w:rPr>
        <w:t>études par rapport à la précédente (au total: 1</w:t>
      </w:r>
      <w:r w:rsidR="0067798E" w:rsidRPr="00803037">
        <w:rPr>
          <w:lang w:val="fr-FR"/>
        </w:rPr>
        <w:t> </w:t>
      </w:r>
      <w:r w:rsidRPr="00803037">
        <w:rPr>
          <w:lang w:val="fr-FR"/>
        </w:rPr>
        <w:t xml:space="preserve">003, en moyenne: 125 par réunion), ce qui </w:t>
      </w:r>
      <w:r w:rsidR="0089542D" w:rsidRPr="00803037">
        <w:rPr>
          <w:lang w:val="fr-FR"/>
        </w:rPr>
        <w:t>s'</w:t>
      </w:r>
      <w:r w:rsidRPr="00803037">
        <w:rPr>
          <w:lang w:val="fr-FR"/>
        </w:rPr>
        <w:t xml:space="preserve">explique en grande partie par </w:t>
      </w:r>
      <w:r w:rsidR="0089542D" w:rsidRPr="00803037">
        <w:rPr>
          <w:lang w:val="fr-FR"/>
        </w:rPr>
        <w:t>l'</w:t>
      </w:r>
      <w:r w:rsidRPr="00803037">
        <w:rPr>
          <w:lang w:val="fr-FR"/>
        </w:rPr>
        <w:t xml:space="preserve">augmentation du nombre de participants à distance depuis la pandémie de COVID-19. Les chiffres pour 2022 et 2025 sont inférieurs à ceux de 2023 et 2024, car aucune réunion distincte des Groupes du Rapporteur </w:t>
      </w:r>
      <w:r w:rsidR="0089542D" w:rsidRPr="00803037">
        <w:rPr>
          <w:lang w:val="fr-FR"/>
        </w:rPr>
        <w:t>n'</w:t>
      </w:r>
      <w:r w:rsidRPr="00803037">
        <w:rPr>
          <w:lang w:val="fr-FR"/>
        </w:rPr>
        <w:t>a été organisée en raison de la tenue des</w:t>
      </w:r>
      <w:r w:rsidR="00EB7263" w:rsidRPr="00803037">
        <w:rPr>
          <w:lang w:val="fr-FR"/>
        </w:rPr>
        <w:t> </w:t>
      </w:r>
      <w:r w:rsidRPr="00803037">
        <w:rPr>
          <w:lang w:val="fr-FR"/>
        </w:rPr>
        <w:t>CMDT.</w:t>
      </w:r>
    </w:p>
    <w:p w14:paraId="61A2A94B" w14:textId="77777777" w:rsidR="000B3E0D" w:rsidRPr="00803037" w:rsidRDefault="000B3E0D" w:rsidP="00375F89">
      <w:pPr>
        <w:pStyle w:val="Figure"/>
        <w:rPr>
          <w:rFonts w:eastAsia="Malgun Gothic"/>
          <w:lang w:val="fr-FR" w:eastAsia="ko-KR"/>
        </w:rPr>
      </w:pPr>
      <w:r w:rsidRPr="00803037">
        <w:rPr>
          <w:rFonts w:eastAsia="Malgun Gothic"/>
          <w:lang w:val="fr-FR" w:eastAsia="ko-KR"/>
        </w:rPr>
        <w:drawing>
          <wp:inline distT="0" distB="0" distL="0" distR="0" wp14:anchorId="7AA51E20" wp14:editId="215BD12E">
            <wp:extent cx="3600000" cy="1995653"/>
            <wp:effectExtent l="0" t="0" r="635" b="5080"/>
            <wp:docPr id="1211199930" name="Picture 1" descr="A graph with numbers and a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99930" name="Picture 1" descr="A graph with numbers and a bar"/>
                    <pic:cNvPicPr/>
                  </pic:nvPicPr>
                  <pic:blipFill>
                    <a:blip r:embed="rId22"/>
                    <a:stretch>
                      <a:fillRect/>
                    </a:stretch>
                  </pic:blipFill>
                  <pic:spPr>
                    <a:xfrm>
                      <a:off x="0" y="0"/>
                      <a:ext cx="3600000" cy="1995653"/>
                    </a:xfrm>
                    <a:prstGeom prst="rect">
                      <a:avLst/>
                    </a:prstGeom>
                  </pic:spPr>
                </pic:pic>
              </a:graphicData>
            </a:graphic>
          </wp:inline>
        </w:drawing>
      </w:r>
    </w:p>
    <w:p w14:paraId="38458108" w14:textId="08BD57AF" w:rsidR="000B3E0D" w:rsidRPr="00803037" w:rsidRDefault="000B3E0D" w:rsidP="00FD0921">
      <w:pPr>
        <w:pStyle w:val="Figuretitle"/>
        <w:spacing w:before="120" w:after="240"/>
        <w:rPr>
          <w:rFonts w:eastAsia="Malgun Gothic" w:cstheme="minorHAnsi"/>
          <w:szCs w:val="24"/>
          <w:lang w:val="fr-FR"/>
        </w:rPr>
      </w:pPr>
      <w:r w:rsidRPr="00803037">
        <w:rPr>
          <w:sz w:val="24"/>
          <w:szCs w:val="24"/>
          <w:lang w:val="fr-FR"/>
        </w:rPr>
        <w:t>Figure 1 – Évolution du nombre de participants</w:t>
      </w:r>
      <w:r w:rsidR="003B3D99" w:rsidRPr="00803037">
        <w:rPr>
          <w:sz w:val="24"/>
          <w:szCs w:val="24"/>
          <w:lang w:val="fr-FR"/>
        </w:rPr>
        <w:br/>
      </w:r>
      <w:r w:rsidRPr="00803037">
        <w:rPr>
          <w:sz w:val="24"/>
          <w:szCs w:val="24"/>
          <w:lang w:val="fr-FR"/>
        </w:rPr>
        <w:t>aux</w:t>
      </w:r>
      <w:r w:rsidR="003B3D99" w:rsidRPr="00803037">
        <w:rPr>
          <w:sz w:val="24"/>
          <w:szCs w:val="24"/>
          <w:lang w:val="fr-FR"/>
        </w:rPr>
        <w:t xml:space="preserve"> </w:t>
      </w:r>
      <w:r w:rsidRPr="00803037">
        <w:rPr>
          <w:sz w:val="24"/>
          <w:szCs w:val="24"/>
          <w:lang w:val="fr-FR"/>
        </w:rPr>
        <w:t>travaux de la CE 2 par an (2018-2025)</w:t>
      </w:r>
    </w:p>
    <w:p w14:paraId="5D73E121" w14:textId="2CC71574" w:rsidR="000B3E0D" w:rsidRPr="00803037" w:rsidRDefault="000B3E0D" w:rsidP="00EB60A4">
      <w:pPr>
        <w:keepNext/>
        <w:keepLines/>
        <w:rPr>
          <w:rFonts w:eastAsia="Malgun Gothic" w:cstheme="minorHAnsi"/>
          <w:szCs w:val="24"/>
          <w:lang w:val="fr-FR"/>
        </w:rPr>
      </w:pPr>
      <w:r w:rsidRPr="00803037">
        <w:rPr>
          <w:lang w:val="fr-FR"/>
        </w:rPr>
        <w:t xml:space="preserve">La </w:t>
      </w:r>
      <w:r w:rsidRPr="00803037">
        <w:rPr>
          <w:b/>
          <w:bCs/>
          <w:lang w:val="fr-FR"/>
        </w:rPr>
        <w:t>Figure 2</w:t>
      </w:r>
      <w:r w:rsidRPr="00803037">
        <w:rPr>
          <w:lang w:val="fr-FR"/>
        </w:rPr>
        <w:t xml:space="preserve"> montre </w:t>
      </w:r>
      <w:r w:rsidR="0089542D" w:rsidRPr="00803037">
        <w:rPr>
          <w:lang w:val="fr-FR"/>
        </w:rPr>
        <w:t>l'</w:t>
      </w:r>
      <w:r w:rsidRPr="00803037">
        <w:rPr>
          <w:lang w:val="fr-FR"/>
        </w:rPr>
        <w:t xml:space="preserve">évolution du taux de participation des femmes par rapport à la période </w:t>
      </w:r>
      <w:r w:rsidR="0089542D" w:rsidRPr="00803037">
        <w:rPr>
          <w:lang w:val="fr-FR"/>
        </w:rPr>
        <w:t>d'</w:t>
      </w:r>
      <w:r w:rsidRPr="00803037">
        <w:rPr>
          <w:lang w:val="fr-FR"/>
        </w:rPr>
        <w:t xml:space="preserve">études précédente. Le pourcentage de participantes </w:t>
      </w:r>
      <w:r w:rsidR="0089542D" w:rsidRPr="00803037">
        <w:rPr>
          <w:lang w:val="fr-FR"/>
        </w:rPr>
        <w:t>s'</w:t>
      </w:r>
      <w:r w:rsidRPr="00803037">
        <w:rPr>
          <w:lang w:val="fr-FR"/>
        </w:rPr>
        <w:t xml:space="preserve">élevait en moyenne à 40% par réunion, un pourcentage plus élevé que pendant la période </w:t>
      </w:r>
      <w:r w:rsidR="0089542D" w:rsidRPr="00803037">
        <w:rPr>
          <w:lang w:val="fr-FR"/>
        </w:rPr>
        <w:t>d'</w:t>
      </w:r>
      <w:r w:rsidRPr="00803037">
        <w:rPr>
          <w:lang w:val="fr-FR"/>
        </w:rPr>
        <w:t>études précédente (en moyenne 32% par réunion).</w:t>
      </w:r>
    </w:p>
    <w:p w14:paraId="419084EE" w14:textId="77777777" w:rsidR="000B3E0D" w:rsidRPr="00803037" w:rsidRDefault="000B3E0D" w:rsidP="00FD0921">
      <w:pPr>
        <w:pStyle w:val="Figure"/>
        <w:rPr>
          <w:rFonts w:eastAsia="Malgun Gothic"/>
          <w:lang w:val="fr-FR" w:eastAsia="ko-KR"/>
        </w:rPr>
      </w:pPr>
      <w:r w:rsidRPr="00803037">
        <w:rPr>
          <w:rFonts w:eastAsia="Malgun Gothic"/>
          <w:lang w:val="fr-FR" w:eastAsia="ko-KR"/>
        </w:rPr>
        <w:drawing>
          <wp:inline distT="0" distB="0" distL="0" distR="0" wp14:anchorId="275C7D1D" wp14:editId="775BE7FF">
            <wp:extent cx="3600000" cy="2181886"/>
            <wp:effectExtent l="0" t="0" r="635" b="8890"/>
            <wp:docPr id="1381138489" name="Picture 1" descr="A graph of numbers and a number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38489" name="Picture 1" descr="A graph of numbers and a number of people"/>
                    <pic:cNvPicPr/>
                  </pic:nvPicPr>
                  <pic:blipFill>
                    <a:blip r:embed="rId23"/>
                    <a:stretch>
                      <a:fillRect/>
                    </a:stretch>
                  </pic:blipFill>
                  <pic:spPr>
                    <a:xfrm>
                      <a:off x="0" y="0"/>
                      <a:ext cx="3600000" cy="2181886"/>
                    </a:xfrm>
                    <a:prstGeom prst="rect">
                      <a:avLst/>
                    </a:prstGeom>
                  </pic:spPr>
                </pic:pic>
              </a:graphicData>
            </a:graphic>
          </wp:inline>
        </w:drawing>
      </w:r>
    </w:p>
    <w:p w14:paraId="60488569" w14:textId="77777777" w:rsidR="000B3E0D" w:rsidRPr="00803037" w:rsidRDefault="000B3E0D" w:rsidP="00FD0921">
      <w:pPr>
        <w:pStyle w:val="Figuretitle"/>
        <w:spacing w:before="120" w:after="240"/>
        <w:rPr>
          <w:rFonts w:eastAsia="Malgun Gothic" w:cstheme="minorHAnsi"/>
          <w:szCs w:val="24"/>
          <w:lang w:val="fr-FR"/>
        </w:rPr>
      </w:pPr>
      <w:r w:rsidRPr="00803037">
        <w:rPr>
          <w:sz w:val="24"/>
          <w:szCs w:val="24"/>
          <w:lang w:val="fr-FR"/>
        </w:rPr>
        <w:t>Figure 2 – Évolution du taux de participation des femmes (2018-2025)</w:t>
      </w:r>
    </w:p>
    <w:p w14:paraId="5932FD03" w14:textId="7DB38F8E" w:rsidR="000B3E0D" w:rsidRPr="00803037" w:rsidRDefault="000B3E0D" w:rsidP="00EB60A4">
      <w:pPr>
        <w:keepNext/>
        <w:keepLines/>
        <w:rPr>
          <w:rFonts w:eastAsia="Malgun Gothic" w:cstheme="minorBidi"/>
          <w:lang w:val="fr-FR"/>
        </w:rPr>
      </w:pPr>
      <w:r w:rsidRPr="00803037">
        <w:rPr>
          <w:lang w:val="fr-FR"/>
        </w:rPr>
        <w:t xml:space="preserve">La </w:t>
      </w:r>
      <w:r w:rsidRPr="00803037">
        <w:rPr>
          <w:b/>
          <w:bCs/>
          <w:lang w:val="fr-FR"/>
        </w:rPr>
        <w:t xml:space="preserve">Figure 3 </w:t>
      </w:r>
      <w:r w:rsidRPr="00803037">
        <w:rPr>
          <w:lang w:val="fr-FR"/>
        </w:rPr>
        <w:t xml:space="preserve">présente la répartition régionale de tous les participants. La majorité venait des régions Afrique et Asie-Pacifique, devant la région Amériques, </w:t>
      </w:r>
      <w:r w:rsidR="0089542D" w:rsidRPr="00803037">
        <w:rPr>
          <w:lang w:val="fr-FR"/>
        </w:rPr>
        <w:t>l'</w:t>
      </w:r>
      <w:r w:rsidRPr="00803037">
        <w:rPr>
          <w:lang w:val="fr-FR"/>
        </w:rPr>
        <w:t>Europe, les États arabes et les pays de la</w:t>
      </w:r>
      <w:r w:rsidR="00EB7263" w:rsidRPr="00803037">
        <w:rPr>
          <w:lang w:val="fr-FR"/>
        </w:rPr>
        <w:t> </w:t>
      </w:r>
      <w:r w:rsidRPr="00803037">
        <w:rPr>
          <w:lang w:val="fr-FR"/>
        </w:rPr>
        <w:t xml:space="preserve">CEI. La répartition est similaire à celle de la période </w:t>
      </w:r>
      <w:r w:rsidR="0089542D" w:rsidRPr="00803037">
        <w:rPr>
          <w:lang w:val="fr-FR"/>
        </w:rPr>
        <w:t>d'</w:t>
      </w:r>
      <w:r w:rsidRPr="00803037">
        <w:rPr>
          <w:lang w:val="fr-FR"/>
        </w:rPr>
        <w:t>études précédente, avec de légères différences (la plus forte augmentation concerne la région Afrique (+6%) et la plus forte baisse la région Amériques (–4%)).</w:t>
      </w:r>
    </w:p>
    <w:p w14:paraId="14213D33" w14:textId="77777777" w:rsidR="000B3E0D" w:rsidRPr="00803037" w:rsidRDefault="000B3E0D" w:rsidP="00375F89">
      <w:pPr>
        <w:pStyle w:val="Figure"/>
        <w:rPr>
          <w:rFonts w:eastAsia="Malgun Gothic"/>
          <w:lang w:val="fr-FR" w:eastAsia="ko-KR"/>
        </w:rPr>
      </w:pPr>
      <w:r w:rsidRPr="00803037">
        <w:rPr>
          <w:rFonts w:eastAsia="Malgun Gothic"/>
          <w:lang w:val="fr-FR" w:eastAsia="ko-KR"/>
        </w:rPr>
        <w:lastRenderedPageBreak/>
        <w:drawing>
          <wp:inline distT="0" distB="0" distL="0" distR="0" wp14:anchorId="6C3856E3" wp14:editId="7465A30F">
            <wp:extent cx="3599336" cy="2535381"/>
            <wp:effectExtent l="0" t="0" r="1270" b="0"/>
            <wp:docPr id="684694490" name="Picture 1" descr="A pie chart with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94490" name="Picture 1" descr="A pie chart with different colors"/>
                    <pic:cNvPicPr/>
                  </pic:nvPicPr>
                  <pic:blipFill rotWithShape="1">
                    <a:blip r:embed="rId24"/>
                    <a:srcRect b="4571"/>
                    <a:stretch/>
                  </pic:blipFill>
                  <pic:spPr bwMode="auto">
                    <a:xfrm>
                      <a:off x="0" y="0"/>
                      <a:ext cx="3600000" cy="2535849"/>
                    </a:xfrm>
                    <a:prstGeom prst="rect">
                      <a:avLst/>
                    </a:prstGeom>
                    <a:ln>
                      <a:noFill/>
                    </a:ln>
                    <a:extLst>
                      <a:ext uri="{53640926-AAD7-44D8-BBD7-CCE9431645EC}">
                        <a14:shadowObscured xmlns:a14="http://schemas.microsoft.com/office/drawing/2010/main"/>
                      </a:ext>
                    </a:extLst>
                  </pic:spPr>
                </pic:pic>
              </a:graphicData>
            </a:graphic>
          </wp:inline>
        </w:drawing>
      </w:r>
    </w:p>
    <w:p w14:paraId="5A359096" w14:textId="4C7B24C3" w:rsidR="000B3E0D" w:rsidRPr="00803037" w:rsidRDefault="000B3E0D" w:rsidP="00FD0921">
      <w:pPr>
        <w:pStyle w:val="Figuretitle"/>
        <w:keepNext w:val="0"/>
        <w:keepLines w:val="0"/>
        <w:spacing w:before="120" w:after="240"/>
        <w:rPr>
          <w:szCs w:val="24"/>
          <w:lang w:val="fr-FR"/>
        </w:rPr>
      </w:pPr>
      <w:r w:rsidRPr="00803037">
        <w:rPr>
          <w:sz w:val="24"/>
          <w:szCs w:val="24"/>
          <w:lang w:val="fr-FR"/>
        </w:rPr>
        <w:t>Figure 3 – Répartition des participants de la</w:t>
      </w:r>
      <w:r w:rsidR="007F7A91" w:rsidRPr="00803037">
        <w:rPr>
          <w:sz w:val="24"/>
          <w:szCs w:val="24"/>
          <w:lang w:val="fr-FR"/>
        </w:rPr>
        <w:br/>
      </w:r>
      <w:r w:rsidRPr="00803037">
        <w:rPr>
          <w:sz w:val="24"/>
          <w:szCs w:val="24"/>
          <w:lang w:val="fr-FR"/>
        </w:rPr>
        <w:t xml:space="preserve">Commission </w:t>
      </w:r>
      <w:r w:rsidR="0089542D" w:rsidRPr="00803037">
        <w:rPr>
          <w:sz w:val="24"/>
          <w:szCs w:val="24"/>
          <w:lang w:val="fr-FR"/>
        </w:rPr>
        <w:t>d'</w:t>
      </w:r>
      <w:r w:rsidRPr="00803037">
        <w:rPr>
          <w:sz w:val="24"/>
          <w:szCs w:val="24"/>
          <w:lang w:val="fr-FR"/>
        </w:rPr>
        <w:t>études 2 par région</w:t>
      </w:r>
    </w:p>
    <w:p w14:paraId="53F8BA22" w14:textId="4596F9C3" w:rsidR="000B3E0D" w:rsidRPr="00803037" w:rsidRDefault="000B3E0D" w:rsidP="00EB60A4">
      <w:pPr>
        <w:keepNext/>
        <w:keepLines/>
        <w:rPr>
          <w:rFonts w:eastAsia="Malgun Gothic" w:cstheme="minorHAnsi"/>
          <w:szCs w:val="24"/>
          <w:lang w:val="fr-FR"/>
        </w:rPr>
      </w:pPr>
      <w:r w:rsidRPr="00803037">
        <w:rPr>
          <w:lang w:val="fr-FR"/>
        </w:rPr>
        <w:t xml:space="preserve">La </w:t>
      </w:r>
      <w:r w:rsidRPr="00803037">
        <w:rPr>
          <w:b/>
          <w:bCs/>
          <w:lang w:val="fr-FR"/>
        </w:rPr>
        <w:t xml:space="preserve">Figure 4 </w:t>
      </w:r>
      <w:r w:rsidRPr="00803037">
        <w:rPr>
          <w:lang w:val="fr-FR"/>
        </w:rPr>
        <w:t xml:space="preserve">présente la répartition des participants par type de membre. Comme lors de la période </w:t>
      </w:r>
      <w:r w:rsidR="0089542D" w:rsidRPr="00803037">
        <w:rPr>
          <w:lang w:val="fr-FR"/>
        </w:rPr>
        <w:t>d'</w:t>
      </w:r>
      <w:r w:rsidRPr="00803037">
        <w:rPr>
          <w:lang w:val="fr-FR"/>
        </w:rPr>
        <w:t xml:space="preserve">études précédente, la majorité des participants représentaient des États Membres, suivis par les Membres de Secteur. Le nombre de participants représentant les établissements universitaires et les Associés de </w:t>
      </w:r>
      <w:r w:rsidR="0089542D" w:rsidRPr="00803037">
        <w:rPr>
          <w:lang w:val="fr-FR"/>
        </w:rPr>
        <w:t>l'</w:t>
      </w:r>
      <w:r w:rsidRPr="00803037">
        <w:rPr>
          <w:lang w:val="fr-FR"/>
        </w:rPr>
        <w:t>UIT-D est resté inférieur à 5%.</w:t>
      </w:r>
    </w:p>
    <w:p w14:paraId="73D5B2CB" w14:textId="77777777" w:rsidR="000B3E0D" w:rsidRPr="00803037" w:rsidRDefault="000B3E0D" w:rsidP="00375F89">
      <w:pPr>
        <w:pStyle w:val="Figure"/>
        <w:rPr>
          <w:rFonts w:eastAsia="Malgun Gothic"/>
          <w:lang w:val="fr-FR" w:eastAsia="ko-KR"/>
        </w:rPr>
      </w:pPr>
      <w:r w:rsidRPr="00803037">
        <w:rPr>
          <w:rFonts w:eastAsia="Malgun Gothic"/>
          <w:lang w:val="fr-FR" w:eastAsia="ko-KR"/>
        </w:rPr>
        <w:drawing>
          <wp:inline distT="0" distB="0" distL="0" distR="0" wp14:anchorId="2D72E3FA" wp14:editId="6FFE8BD3">
            <wp:extent cx="3600000" cy="2461249"/>
            <wp:effectExtent l="0" t="0" r="635" b="0"/>
            <wp:docPr id="898143390" name="Picture 1" descr="A pie chart with different colored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3390" name="Picture 1" descr="A pie chart with different colored sections"/>
                    <pic:cNvPicPr/>
                  </pic:nvPicPr>
                  <pic:blipFill>
                    <a:blip r:embed="rId25"/>
                    <a:stretch>
                      <a:fillRect/>
                    </a:stretch>
                  </pic:blipFill>
                  <pic:spPr>
                    <a:xfrm>
                      <a:off x="0" y="0"/>
                      <a:ext cx="3600000" cy="2461249"/>
                    </a:xfrm>
                    <a:prstGeom prst="rect">
                      <a:avLst/>
                    </a:prstGeom>
                  </pic:spPr>
                </pic:pic>
              </a:graphicData>
            </a:graphic>
          </wp:inline>
        </w:drawing>
      </w:r>
    </w:p>
    <w:p w14:paraId="68390443" w14:textId="537440DF" w:rsidR="000B3E0D" w:rsidRPr="00803037" w:rsidRDefault="000B3E0D" w:rsidP="00FD0921">
      <w:pPr>
        <w:pStyle w:val="Figuretitle"/>
        <w:keepNext w:val="0"/>
        <w:spacing w:before="120" w:after="240"/>
        <w:rPr>
          <w:rFonts w:eastAsia="Malgun Gothic" w:cstheme="minorHAnsi"/>
          <w:szCs w:val="24"/>
          <w:lang w:val="fr-FR"/>
        </w:rPr>
      </w:pPr>
      <w:r w:rsidRPr="00803037">
        <w:rPr>
          <w:sz w:val="24"/>
          <w:szCs w:val="24"/>
          <w:lang w:val="fr-FR"/>
        </w:rPr>
        <w:t>Figure 4 – Répartition des participants de la</w:t>
      </w:r>
      <w:r w:rsidR="007F7A91" w:rsidRPr="00803037">
        <w:rPr>
          <w:sz w:val="24"/>
          <w:szCs w:val="24"/>
          <w:lang w:val="fr-FR"/>
        </w:rPr>
        <w:br/>
      </w:r>
      <w:r w:rsidRPr="00803037">
        <w:rPr>
          <w:sz w:val="24"/>
          <w:szCs w:val="24"/>
          <w:lang w:val="fr-FR"/>
        </w:rPr>
        <w:t xml:space="preserve">Commission </w:t>
      </w:r>
      <w:r w:rsidR="0089542D" w:rsidRPr="00803037">
        <w:rPr>
          <w:sz w:val="24"/>
          <w:szCs w:val="24"/>
          <w:lang w:val="fr-FR"/>
        </w:rPr>
        <w:t>d'</w:t>
      </w:r>
      <w:r w:rsidRPr="00803037">
        <w:rPr>
          <w:sz w:val="24"/>
          <w:szCs w:val="24"/>
          <w:lang w:val="fr-FR"/>
        </w:rPr>
        <w:t>études 2 par type de membre</w:t>
      </w:r>
    </w:p>
    <w:p w14:paraId="6E657B8B" w14:textId="77777777" w:rsidR="000B3E0D" w:rsidRPr="00803037" w:rsidRDefault="000B3E0D" w:rsidP="003B3D99">
      <w:pPr>
        <w:pStyle w:val="Heading1"/>
        <w:keepNext w:val="0"/>
        <w:keepLines w:val="0"/>
        <w:rPr>
          <w:rFonts w:eastAsia="Malgun Gothic"/>
          <w:sz w:val="24"/>
          <w:szCs w:val="24"/>
          <w:lang w:val="fr-FR"/>
        </w:rPr>
      </w:pPr>
      <w:r w:rsidRPr="00803037">
        <w:rPr>
          <w:sz w:val="24"/>
          <w:szCs w:val="24"/>
          <w:lang w:val="fr-FR"/>
        </w:rPr>
        <w:lastRenderedPageBreak/>
        <w:t>2</w:t>
      </w:r>
      <w:r w:rsidRPr="00803037">
        <w:rPr>
          <w:sz w:val="24"/>
          <w:szCs w:val="24"/>
          <w:lang w:val="fr-FR"/>
        </w:rPr>
        <w:tab/>
        <w:t>Documents</w:t>
      </w:r>
    </w:p>
    <w:p w14:paraId="46417157" w14:textId="13924094" w:rsidR="000B3E0D" w:rsidRPr="00803037" w:rsidRDefault="000B3E0D" w:rsidP="007F7A91">
      <w:pPr>
        <w:widowControl w:val="0"/>
        <w:spacing w:after="120"/>
        <w:rPr>
          <w:rFonts w:eastAsia="Malgun Gothic"/>
          <w:szCs w:val="24"/>
          <w:lang w:val="fr-FR"/>
        </w:rPr>
      </w:pPr>
      <w:r w:rsidRPr="00803037">
        <w:rPr>
          <w:lang w:val="fr-FR"/>
        </w:rPr>
        <w:t xml:space="preserve">Au total, la Commission </w:t>
      </w:r>
      <w:r w:rsidR="0089542D" w:rsidRPr="00803037">
        <w:rPr>
          <w:lang w:val="fr-FR"/>
        </w:rPr>
        <w:t>d'</w:t>
      </w:r>
      <w:r w:rsidRPr="00803037">
        <w:rPr>
          <w:lang w:val="fr-FR"/>
        </w:rPr>
        <w:t xml:space="preserve">études 2 a examiné 689 documents pendant cette période </w:t>
      </w:r>
      <w:r w:rsidR="0089542D" w:rsidRPr="00803037">
        <w:rPr>
          <w:lang w:val="fr-FR"/>
        </w:rPr>
        <w:t>d'</w:t>
      </w:r>
      <w:r w:rsidRPr="00803037">
        <w:rPr>
          <w:lang w:val="fr-FR"/>
        </w:rPr>
        <w:t>études, dont 482 contributions. Une analyse plus approfondie des contributions révèle que</w:t>
      </w:r>
      <w:r w:rsidR="00A828D3" w:rsidRPr="00803037">
        <w:rPr>
          <w:lang w:val="fr-FR"/>
        </w:rPr>
        <w:t> </w:t>
      </w:r>
      <w:r w:rsidRPr="00803037">
        <w:rPr>
          <w:lang w:val="fr-FR"/>
        </w:rPr>
        <w:t>353</w:t>
      </w:r>
      <w:r w:rsidR="00EB60A4" w:rsidRPr="00803037">
        <w:rPr>
          <w:lang w:val="fr-FR"/>
        </w:rPr>
        <w:t> </w:t>
      </w:r>
      <w:r w:rsidR="0089542D" w:rsidRPr="00803037">
        <w:rPr>
          <w:lang w:val="fr-FR"/>
        </w:rPr>
        <w:t>d'</w:t>
      </w:r>
      <w:r w:rsidRPr="00803037">
        <w:rPr>
          <w:lang w:val="fr-FR"/>
        </w:rPr>
        <w:t>entre</w:t>
      </w:r>
      <w:r w:rsidR="00EB60A4" w:rsidRPr="00803037">
        <w:rPr>
          <w:lang w:val="fr-FR"/>
        </w:rPr>
        <w:t> </w:t>
      </w:r>
      <w:r w:rsidRPr="00803037">
        <w:rPr>
          <w:lang w:val="fr-FR"/>
        </w:rPr>
        <w:t xml:space="preserve">elles ont été soumises par les membres, alors que les 129 contributions restantes émanaient des membres de </w:t>
      </w:r>
      <w:r w:rsidR="0089542D" w:rsidRPr="00803037">
        <w:rPr>
          <w:lang w:val="fr-FR"/>
        </w:rPr>
        <w:t>l'</w:t>
      </w:r>
      <w:r w:rsidRPr="00803037">
        <w:rPr>
          <w:lang w:val="fr-FR"/>
        </w:rPr>
        <w:t xml:space="preserve">équipe de direction de la CE 2 (Président, Vice-Présidents, Rapporteurs, Vice­Rapporteurs et Coordonnateurs) dans </w:t>
      </w:r>
      <w:r w:rsidR="0089542D" w:rsidRPr="00803037">
        <w:rPr>
          <w:lang w:val="fr-FR"/>
        </w:rPr>
        <w:t>l'</w:t>
      </w:r>
      <w:r w:rsidRPr="00803037">
        <w:rPr>
          <w:lang w:val="fr-FR"/>
        </w:rPr>
        <w:t xml:space="preserve">exercice de leurs fonctions, et de </w:t>
      </w:r>
      <w:r w:rsidR="0089542D" w:rsidRPr="00803037">
        <w:rPr>
          <w:lang w:val="fr-FR"/>
        </w:rPr>
        <w:t>l'</w:t>
      </w:r>
      <w:r w:rsidRPr="00803037">
        <w:rPr>
          <w:lang w:val="fr-FR"/>
        </w:rPr>
        <w:t>UIT (à</w:t>
      </w:r>
      <w:r w:rsidR="00EB60A4" w:rsidRPr="00803037">
        <w:rPr>
          <w:lang w:val="fr-FR"/>
        </w:rPr>
        <w:t> </w:t>
      </w:r>
      <w:r w:rsidRPr="00803037">
        <w:rPr>
          <w:lang w:val="fr-FR"/>
        </w:rPr>
        <w:t xml:space="preserve">savoir du BDT, y compris les </w:t>
      </w:r>
      <w:r w:rsidR="00CF2F46" w:rsidRPr="00803037">
        <w:rPr>
          <w:lang w:val="fr-FR"/>
        </w:rPr>
        <w:t>C</w:t>
      </w:r>
      <w:r w:rsidRPr="00803037">
        <w:rPr>
          <w:lang w:val="fr-FR"/>
        </w:rPr>
        <w:t xml:space="preserve">oordonnateurs du BDT, </w:t>
      </w:r>
      <w:r w:rsidR="0089542D" w:rsidRPr="00803037">
        <w:rPr>
          <w:lang w:val="fr-FR"/>
        </w:rPr>
        <w:t>d'</w:t>
      </w:r>
      <w:r w:rsidRPr="00803037">
        <w:rPr>
          <w:lang w:val="fr-FR"/>
        </w:rPr>
        <w:t xml:space="preserve">autres fonctionnaires du BDT et le </w:t>
      </w:r>
      <w:r w:rsidR="00CF2F46" w:rsidRPr="00803037">
        <w:rPr>
          <w:lang w:val="fr-FR"/>
        </w:rPr>
        <w:t>S</w:t>
      </w:r>
      <w:r w:rsidRPr="00803037">
        <w:rPr>
          <w:lang w:val="fr-FR"/>
        </w:rPr>
        <w:t xml:space="preserve">ecrétariat des commissions </w:t>
      </w:r>
      <w:r w:rsidR="0089542D" w:rsidRPr="00803037">
        <w:rPr>
          <w:lang w:val="fr-FR"/>
        </w:rPr>
        <w:t>d'</w:t>
      </w:r>
      <w:r w:rsidRPr="00803037">
        <w:rPr>
          <w:lang w:val="fr-FR"/>
        </w:rPr>
        <w:t xml:space="preserve">études, ainsi que des autres Secteurs de </w:t>
      </w:r>
      <w:r w:rsidR="0089542D" w:rsidRPr="00803037">
        <w:rPr>
          <w:lang w:val="fr-FR"/>
        </w:rPr>
        <w:t>l'</w:t>
      </w:r>
      <w:r w:rsidRPr="00803037">
        <w:rPr>
          <w:lang w:val="fr-FR"/>
        </w:rPr>
        <w:t>UIT et du Secrétariat général). Le</w:t>
      </w:r>
      <w:r w:rsidRPr="00803037">
        <w:rPr>
          <w:b/>
          <w:bCs/>
          <w:lang w:val="fr-FR"/>
        </w:rPr>
        <w:t> Tableau 2</w:t>
      </w:r>
      <w:r w:rsidRPr="00803037">
        <w:rPr>
          <w:lang w:val="fr-FR"/>
        </w:rPr>
        <w:t xml:space="preserve"> présente les différents documents soumis pendant cette période </w:t>
      </w:r>
      <w:r w:rsidR="0089542D" w:rsidRPr="00803037">
        <w:rPr>
          <w:lang w:val="fr-FR"/>
        </w:rPr>
        <w:t>d'</w:t>
      </w:r>
      <w:r w:rsidRPr="00803037">
        <w:rPr>
          <w:lang w:val="fr-FR"/>
        </w:rPr>
        <w:t>études.</w:t>
      </w:r>
    </w:p>
    <w:tbl>
      <w:tblPr>
        <w:tblStyle w:val="GridTable5Dark-Accent1"/>
        <w:tblW w:w="0" w:type="auto"/>
        <w:jc w:val="center"/>
        <w:tblLayout w:type="fixed"/>
        <w:tblLook w:val="04A0" w:firstRow="1" w:lastRow="0" w:firstColumn="1" w:lastColumn="0" w:noHBand="0" w:noVBand="1"/>
      </w:tblPr>
      <w:tblGrid>
        <w:gridCol w:w="4820"/>
        <w:gridCol w:w="845"/>
        <w:gridCol w:w="851"/>
        <w:gridCol w:w="850"/>
        <w:gridCol w:w="851"/>
        <w:gridCol w:w="1412"/>
      </w:tblGrid>
      <w:tr w:rsidR="000B3E0D" w:rsidRPr="00803037" w14:paraId="799D3A3C" w14:textId="77777777" w:rsidTr="00EB7263">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7A5FB88" w14:textId="017AE862" w:rsidR="000B3E0D" w:rsidRPr="00803037" w:rsidRDefault="000B3E0D" w:rsidP="00EB7263">
            <w:pPr>
              <w:pStyle w:val="Tablehead"/>
              <w:rPr>
                <w:b/>
                <w:bCs w:val="0"/>
                <w:sz w:val="22"/>
                <w:szCs w:val="24"/>
                <w:lang w:val="fr-FR"/>
              </w:rPr>
            </w:pPr>
            <w:r w:rsidRPr="00803037">
              <w:rPr>
                <w:b/>
                <w:bCs w:val="0"/>
                <w:sz w:val="22"/>
                <w:szCs w:val="24"/>
                <w:lang w:val="fr-FR"/>
              </w:rPr>
              <w:t>Documents soumis aux réunions de la CE 2</w:t>
            </w:r>
            <w:r w:rsidR="00EB7263" w:rsidRPr="00803037">
              <w:rPr>
                <w:b/>
                <w:bCs w:val="0"/>
                <w:sz w:val="22"/>
                <w:szCs w:val="24"/>
                <w:lang w:val="fr-FR"/>
              </w:rPr>
              <w:br/>
            </w:r>
            <w:r w:rsidRPr="00803037">
              <w:rPr>
                <w:b/>
                <w:bCs w:val="0"/>
                <w:sz w:val="22"/>
                <w:szCs w:val="24"/>
                <w:lang w:val="fr-FR"/>
              </w:rPr>
              <w:t>et des Groupes du Rapporteur</w:t>
            </w:r>
          </w:p>
        </w:tc>
        <w:tc>
          <w:tcPr>
            <w:tcW w:w="845" w:type="dxa"/>
            <w:vAlign w:val="center"/>
          </w:tcPr>
          <w:p w14:paraId="15AF83F3" w14:textId="77777777" w:rsidR="000B3E0D" w:rsidRPr="00803037" w:rsidRDefault="000B3E0D" w:rsidP="00EB7263">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2022</w:t>
            </w:r>
          </w:p>
        </w:tc>
        <w:tc>
          <w:tcPr>
            <w:tcW w:w="851" w:type="dxa"/>
            <w:vAlign w:val="center"/>
          </w:tcPr>
          <w:p w14:paraId="0965B834" w14:textId="77777777" w:rsidR="000B3E0D" w:rsidRPr="00803037" w:rsidRDefault="000B3E0D" w:rsidP="00EB7263">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2023</w:t>
            </w:r>
          </w:p>
        </w:tc>
        <w:tc>
          <w:tcPr>
            <w:tcW w:w="850" w:type="dxa"/>
            <w:vAlign w:val="center"/>
          </w:tcPr>
          <w:p w14:paraId="1E585BD7" w14:textId="77777777" w:rsidR="000B3E0D" w:rsidRPr="00803037" w:rsidRDefault="000B3E0D" w:rsidP="00EB7263">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2024</w:t>
            </w:r>
          </w:p>
        </w:tc>
        <w:tc>
          <w:tcPr>
            <w:tcW w:w="851" w:type="dxa"/>
            <w:vAlign w:val="center"/>
          </w:tcPr>
          <w:p w14:paraId="3EC7FC61" w14:textId="77777777" w:rsidR="000B3E0D" w:rsidRPr="00803037" w:rsidRDefault="000B3E0D" w:rsidP="00EB7263">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2025</w:t>
            </w:r>
          </w:p>
        </w:tc>
        <w:tc>
          <w:tcPr>
            <w:tcW w:w="1412" w:type="dxa"/>
            <w:vAlign w:val="center"/>
          </w:tcPr>
          <w:p w14:paraId="1929F4B3" w14:textId="1D71756C" w:rsidR="000B3E0D" w:rsidRPr="00803037" w:rsidRDefault="000B3E0D" w:rsidP="00EB7263">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03037">
              <w:rPr>
                <w:b/>
                <w:bCs w:val="0"/>
                <w:sz w:val="22"/>
                <w:szCs w:val="24"/>
                <w:lang w:val="fr-FR"/>
              </w:rPr>
              <w:t xml:space="preserve">Période </w:t>
            </w:r>
            <w:r w:rsidR="0089542D" w:rsidRPr="00803037">
              <w:rPr>
                <w:b/>
                <w:bCs w:val="0"/>
                <w:sz w:val="22"/>
                <w:szCs w:val="24"/>
                <w:lang w:val="fr-FR"/>
              </w:rPr>
              <w:t>d'</w:t>
            </w:r>
            <w:r w:rsidRPr="00803037">
              <w:rPr>
                <w:b/>
                <w:bCs w:val="0"/>
                <w:sz w:val="22"/>
                <w:szCs w:val="24"/>
                <w:lang w:val="fr-FR"/>
              </w:rPr>
              <w:t>études</w:t>
            </w:r>
          </w:p>
        </w:tc>
      </w:tr>
      <w:tr w:rsidR="000B3E0D" w:rsidRPr="00803037" w14:paraId="0C24AFA0" w14:textId="77777777" w:rsidTr="00B76C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1FD00D61" w14:textId="48088B57" w:rsidR="000B3E0D" w:rsidRPr="00803037" w:rsidRDefault="000B3E0D" w:rsidP="00B76C4C">
            <w:pPr>
              <w:pStyle w:val="Tabletext"/>
              <w:rPr>
                <w:b w:val="0"/>
                <w:bCs w:val="0"/>
                <w:sz w:val="22"/>
                <w:szCs w:val="24"/>
                <w:lang w:val="fr-FR"/>
              </w:rPr>
            </w:pPr>
            <w:r w:rsidRPr="00803037">
              <w:rPr>
                <w:b w:val="0"/>
                <w:bCs w:val="0"/>
                <w:sz w:val="22"/>
                <w:szCs w:val="24"/>
                <w:lang w:val="fr-FR"/>
              </w:rPr>
              <w:t>Contributions</w:t>
            </w:r>
            <w:r w:rsidR="00EB7263" w:rsidRPr="00803037">
              <w:rPr>
                <w:b w:val="0"/>
                <w:bCs w:val="0"/>
                <w:sz w:val="22"/>
                <w:szCs w:val="24"/>
                <w:lang w:val="fr-FR"/>
              </w:rPr>
              <w:t>:</w:t>
            </w:r>
          </w:p>
          <w:p w14:paraId="476524EB" w14:textId="0AD650EA" w:rsidR="00EB7263" w:rsidRPr="00803037" w:rsidRDefault="00EB7263" w:rsidP="00C5008F">
            <w:pPr>
              <w:pStyle w:val="Tabletext"/>
              <w:tabs>
                <w:tab w:val="clear" w:pos="284"/>
                <w:tab w:val="left" w:pos="451"/>
                <w:tab w:val="left" w:pos="567"/>
                <w:tab w:val="left" w:pos="1701"/>
                <w:tab w:val="left" w:pos="2835"/>
              </w:tabs>
              <w:ind w:left="33"/>
              <w:rPr>
                <w:sz w:val="22"/>
                <w:szCs w:val="24"/>
                <w:lang w:val="fr-FR"/>
              </w:rPr>
            </w:pPr>
            <w:r w:rsidRPr="00803037">
              <w:rPr>
                <w:b w:val="0"/>
                <w:bCs w:val="0"/>
                <w:sz w:val="22"/>
                <w:szCs w:val="24"/>
                <w:lang w:val="fr-FR"/>
              </w:rPr>
              <w:t>–</w:t>
            </w:r>
            <w:r w:rsidRPr="00803037">
              <w:rPr>
                <w:rFonts w:cstheme="minorHAnsi"/>
                <w:b w:val="0"/>
                <w:bCs w:val="0"/>
                <w:sz w:val="22"/>
                <w:szCs w:val="24"/>
                <w:lang w:val="fr-FR"/>
              </w:rPr>
              <w:tab/>
            </w:r>
            <w:r w:rsidR="000B3E0D" w:rsidRPr="00803037">
              <w:rPr>
                <w:b w:val="0"/>
                <w:bCs w:val="0"/>
                <w:sz w:val="22"/>
                <w:szCs w:val="24"/>
                <w:lang w:val="fr-FR"/>
              </w:rPr>
              <w:t>des membres</w:t>
            </w:r>
            <w:r w:rsidRPr="00803037">
              <w:rPr>
                <w:b w:val="0"/>
                <w:bCs w:val="0"/>
                <w:sz w:val="22"/>
                <w:szCs w:val="24"/>
                <w:lang w:val="fr-FR"/>
              </w:rPr>
              <w:t>;</w:t>
            </w:r>
          </w:p>
          <w:p w14:paraId="4860A2B3" w14:textId="5AEADF59" w:rsidR="000B3E0D" w:rsidRPr="00803037" w:rsidRDefault="00EB7263" w:rsidP="00C5008F">
            <w:pPr>
              <w:pStyle w:val="Tabletext"/>
              <w:tabs>
                <w:tab w:val="clear" w:pos="284"/>
                <w:tab w:val="left" w:pos="451"/>
                <w:tab w:val="left" w:pos="567"/>
                <w:tab w:val="left" w:pos="1701"/>
                <w:tab w:val="left" w:pos="2835"/>
              </w:tabs>
              <w:ind w:left="33"/>
              <w:rPr>
                <w:b w:val="0"/>
                <w:bCs w:val="0"/>
                <w:sz w:val="22"/>
                <w:szCs w:val="24"/>
                <w:lang w:val="fr-FR"/>
              </w:rPr>
            </w:pPr>
            <w:r w:rsidRPr="00803037">
              <w:rPr>
                <w:b w:val="0"/>
                <w:bCs w:val="0"/>
                <w:sz w:val="22"/>
                <w:szCs w:val="24"/>
                <w:lang w:val="fr-FR"/>
              </w:rPr>
              <w:t>–</w:t>
            </w:r>
            <w:r w:rsidRPr="00803037">
              <w:rPr>
                <w:rFonts w:cstheme="minorHAnsi"/>
                <w:b w:val="0"/>
                <w:bCs w:val="0"/>
                <w:sz w:val="22"/>
                <w:szCs w:val="24"/>
                <w:lang w:val="fr-FR"/>
              </w:rPr>
              <w:tab/>
            </w:r>
            <w:r w:rsidR="000B3E0D" w:rsidRPr="00803037">
              <w:rPr>
                <w:b w:val="0"/>
                <w:bCs w:val="0"/>
                <w:sz w:val="22"/>
                <w:szCs w:val="24"/>
                <w:lang w:val="fr-FR"/>
              </w:rPr>
              <w:t xml:space="preserve">de </w:t>
            </w:r>
            <w:r w:rsidR="0089542D" w:rsidRPr="00803037">
              <w:rPr>
                <w:b w:val="0"/>
                <w:bCs w:val="0"/>
                <w:sz w:val="22"/>
                <w:szCs w:val="24"/>
                <w:lang w:val="fr-FR"/>
              </w:rPr>
              <w:t>l'</w:t>
            </w:r>
            <w:r w:rsidR="000B3E0D" w:rsidRPr="00803037">
              <w:rPr>
                <w:b w:val="0"/>
                <w:bCs w:val="0"/>
                <w:sz w:val="22"/>
                <w:szCs w:val="24"/>
                <w:lang w:val="fr-FR"/>
              </w:rPr>
              <w:t xml:space="preserve">équipe de direction de la CE et de </w:t>
            </w:r>
            <w:r w:rsidR="0089542D" w:rsidRPr="00803037">
              <w:rPr>
                <w:b w:val="0"/>
                <w:bCs w:val="0"/>
                <w:sz w:val="22"/>
                <w:szCs w:val="24"/>
                <w:lang w:val="fr-FR"/>
              </w:rPr>
              <w:t>l'</w:t>
            </w:r>
            <w:r w:rsidR="000B3E0D" w:rsidRPr="00803037">
              <w:rPr>
                <w:b w:val="0"/>
                <w:bCs w:val="0"/>
                <w:sz w:val="22"/>
                <w:szCs w:val="24"/>
                <w:lang w:val="fr-FR"/>
              </w:rPr>
              <w:t>UIT</w:t>
            </w:r>
            <w:r w:rsidRPr="00803037">
              <w:rPr>
                <w:b w:val="0"/>
                <w:bCs w:val="0"/>
                <w:sz w:val="22"/>
                <w:szCs w:val="24"/>
                <w:lang w:val="fr-FR"/>
              </w:rPr>
              <w:t>.</w:t>
            </w:r>
          </w:p>
        </w:tc>
        <w:tc>
          <w:tcPr>
            <w:tcW w:w="845" w:type="dxa"/>
          </w:tcPr>
          <w:p w14:paraId="3E4E9481"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56</w:t>
            </w:r>
          </w:p>
        </w:tc>
        <w:tc>
          <w:tcPr>
            <w:tcW w:w="851" w:type="dxa"/>
          </w:tcPr>
          <w:p w14:paraId="67A3ECC8"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163</w:t>
            </w:r>
          </w:p>
        </w:tc>
        <w:tc>
          <w:tcPr>
            <w:tcW w:w="850" w:type="dxa"/>
          </w:tcPr>
          <w:p w14:paraId="16BF9F48"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207</w:t>
            </w:r>
          </w:p>
        </w:tc>
        <w:tc>
          <w:tcPr>
            <w:tcW w:w="851" w:type="dxa"/>
          </w:tcPr>
          <w:p w14:paraId="504E52D7"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54</w:t>
            </w:r>
          </w:p>
        </w:tc>
        <w:tc>
          <w:tcPr>
            <w:tcW w:w="1412" w:type="dxa"/>
          </w:tcPr>
          <w:p w14:paraId="67CCD918"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b/>
                <w:bCs/>
                <w:sz w:val="22"/>
                <w:szCs w:val="24"/>
                <w:lang w:val="fr-FR"/>
              </w:rPr>
            </w:pPr>
            <w:r w:rsidRPr="00803037">
              <w:rPr>
                <w:b/>
                <w:bCs/>
                <w:sz w:val="22"/>
                <w:szCs w:val="24"/>
                <w:lang w:val="fr-FR"/>
              </w:rPr>
              <w:t>482</w:t>
            </w:r>
          </w:p>
          <w:p w14:paraId="38B16980"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353</w:t>
            </w:r>
          </w:p>
          <w:p w14:paraId="0929300A"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129</w:t>
            </w:r>
          </w:p>
        </w:tc>
      </w:tr>
      <w:tr w:rsidR="000B3E0D" w:rsidRPr="00803037" w14:paraId="288100DD" w14:textId="77777777" w:rsidTr="00B76C4C">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7672453E" w14:textId="77777777" w:rsidR="000B3E0D" w:rsidRPr="00803037" w:rsidRDefault="000B3E0D" w:rsidP="00B76C4C">
            <w:pPr>
              <w:pStyle w:val="Tabletext"/>
              <w:rPr>
                <w:b w:val="0"/>
                <w:bCs w:val="0"/>
                <w:sz w:val="22"/>
                <w:szCs w:val="24"/>
                <w:lang w:val="fr-FR"/>
              </w:rPr>
            </w:pPr>
            <w:r w:rsidRPr="00803037">
              <w:rPr>
                <w:b w:val="0"/>
                <w:bCs w:val="0"/>
                <w:sz w:val="22"/>
                <w:szCs w:val="24"/>
                <w:lang w:val="fr-FR"/>
              </w:rPr>
              <w:t>Notes de liaison reçues</w:t>
            </w:r>
          </w:p>
        </w:tc>
        <w:tc>
          <w:tcPr>
            <w:tcW w:w="845" w:type="dxa"/>
          </w:tcPr>
          <w:p w14:paraId="18D75D9A"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34</w:t>
            </w:r>
          </w:p>
        </w:tc>
        <w:tc>
          <w:tcPr>
            <w:tcW w:w="851" w:type="dxa"/>
          </w:tcPr>
          <w:p w14:paraId="192E9D03"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36</w:t>
            </w:r>
          </w:p>
        </w:tc>
        <w:tc>
          <w:tcPr>
            <w:tcW w:w="850" w:type="dxa"/>
          </w:tcPr>
          <w:p w14:paraId="2C4A3B2E"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34</w:t>
            </w:r>
          </w:p>
        </w:tc>
        <w:tc>
          <w:tcPr>
            <w:tcW w:w="851" w:type="dxa"/>
          </w:tcPr>
          <w:p w14:paraId="36CD2B4E"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9</w:t>
            </w:r>
          </w:p>
        </w:tc>
        <w:tc>
          <w:tcPr>
            <w:tcW w:w="1412" w:type="dxa"/>
          </w:tcPr>
          <w:p w14:paraId="78030FC5"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113</w:t>
            </w:r>
          </w:p>
        </w:tc>
      </w:tr>
      <w:tr w:rsidR="000B3E0D" w:rsidRPr="00803037" w14:paraId="784996EF" w14:textId="77777777" w:rsidTr="00B76C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780AE158" w14:textId="77777777" w:rsidR="000B3E0D" w:rsidRPr="00803037" w:rsidRDefault="000B3E0D" w:rsidP="00B76C4C">
            <w:pPr>
              <w:pStyle w:val="Tabletext"/>
              <w:rPr>
                <w:b w:val="0"/>
                <w:bCs w:val="0"/>
                <w:sz w:val="22"/>
                <w:szCs w:val="24"/>
                <w:lang w:val="fr-FR"/>
              </w:rPr>
            </w:pPr>
            <w:r w:rsidRPr="00803037">
              <w:rPr>
                <w:b w:val="0"/>
                <w:bCs w:val="0"/>
                <w:sz w:val="22"/>
                <w:szCs w:val="24"/>
                <w:lang w:val="fr-FR"/>
              </w:rPr>
              <w:t>Notes de liaison envoyées</w:t>
            </w:r>
          </w:p>
        </w:tc>
        <w:tc>
          <w:tcPr>
            <w:tcW w:w="845" w:type="dxa"/>
          </w:tcPr>
          <w:p w14:paraId="5473DC9C"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7</w:t>
            </w:r>
          </w:p>
        </w:tc>
        <w:tc>
          <w:tcPr>
            <w:tcW w:w="851" w:type="dxa"/>
          </w:tcPr>
          <w:p w14:paraId="7BE33F62"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10</w:t>
            </w:r>
          </w:p>
        </w:tc>
        <w:tc>
          <w:tcPr>
            <w:tcW w:w="850" w:type="dxa"/>
          </w:tcPr>
          <w:p w14:paraId="58039653"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5</w:t>
            </w:r>
          </w:p>
        </w:tc>
        <w:tc>
          <w:tcPr>
            <w:tcW w:w="851" w:type="dxa"/>
          </w:tcPr>
          <w:p w14:paraId="1CAAD495"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5</w:t>
            </w:r>
          </w:p>
        </w:tc>
        <w:tc>
          <w:tcPr>
            <w:tcW w:w="1412" w:type="dxa"/>
          </w:tcPr>
          <w:p w14:paraId="60AA1738"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27</w:t>
            </w:r>
          </w:p>
        </w:tc>
      </w:tr>
      <w:tr w:rsidR="000B3E0D" w:rsidRPr="00803037" w14:paraId="40E8FB92" w14:textId="77777777" w:rsidTr="00B76C4C">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3A3035A0" w14:textId="6E11E779" w:rsidR="000B3E0D" w:rsidRPr="00803037" w:rsidRDefault="000B3E0D" w:rsidP="00B76C4C">
            <w:pPr>
              <w:pStyle w:val="Tabletext"/>
              <w:rPr>
                <w:b w:val="0"/>
                <w:bCs w:val="0"/>
                <w:sz w:val="22"/>
                <w:szCs w:val="24"/>
                <w:lang w:val="fr-FR"/>
              </w:rPr>
            </w:pPr>
            <w:r w:rsidRPr="00803037">
              <w:rPr>
                <w:b w:val="0"/>
                <w:bCs w:val="0"/>
                <w:sz w:val="22"/>
                <w:szCs w:val="24"/>
                <w:lang w:val="fr-FR"/>
              </w:rPr>
              <w:t xml:space="preserve">Rapports de réunion et </w:t>
            </w:r>
            <w:r w:rsidR="0089542D" w:rsidRPr="00803037">
              <w:rPr>
                <w:b w:val="0"/>
                <w:bCs w:val="0"/>
                <w:sz w:val="22"/>
                <w:szCs w:val="24"/>
                <w:lang w:val="fr-FR"/>
              </w:rPr>
              <w:t>d'</w:t>
            </w:r>
            <w:r w:rsidRPr="00803037">
              <w:rPr>
                <w:b w:val="0"/>
                <w:bCs w:val="0"/>
                <w:sz w:val="22"/>
                <w:szCs w:val="24"/>
                <w:lang w:val="fr-FR"/>
              </w:rPr>
              <w:t>activité</w:t>
            </w:r>
          </w:p>
        </w:tc>
        <w:tc>
          <w:tcPr>
            <w:tcW w:w="845" w:type="dxa"/>
          </w:tcPr>
          <w:p w14:paraId="66861D0E"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8</w:t>
            </w:r>
          </w:p>
        </w:tc>
        <w:tc>
          <w:tcPr>
            <w:tcW w:w="851" w:type="dxa"/>
          </w:tcPr>
          <w:p w14:paraId="42158B6F"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22</w:t>
            </w:r>
          </w:p>
        </w:tc>
        <w:tc>
          <w:tcPr>
            <w:tcW w:w="850" w:type="dxa"/>
          </w:tcPr>
          <w:p w14:paraId="4F930A00"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22</w:t>
            </w:r>
          </w:p>
        </w:tc>
        <w:tc>
          <w:tcPr>
            <w:tcW w:w="851" w:type="dxa"/>
          </w:tcPr>
          <w:p w14:paraId="56F37252"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15</w:t>
            </w:r>
          </w:p>
        </w:tc>
        <w:tc>
          <w:tcPr>
            <w:tcW w:w="1412" w:type="dxa"/>
          </w:tcPr>
          <w:p w14:paraId="5475A933" w14:textId="77777777" w:rsidR="000B3E0D" w:rsidRPr="00803037" w:rsidRDefault="000B3E0D" w:rsidP="00EB7263">
            <w:pPr>
              <w:pStyle w:val="Tabletext"/>
              <w:jc w:val="right"/>
              <w:cnfStyle w:val="000000000000" w:firstRow="0" w:lastRow="0" w:firstColumn="0" w:lastColumn="0" w:oddVBand="0" w:evenVBand="0" w:oddHBand="0" w:evenHBand="0" w:firstRowFirstColumn="0" w:firstRowLastColumn="0" w:lastRowFirstColumn="0" w:lastRowLastColumn="0"/>
              <w:rPr>
                <w:rFonts w:eastAsia="Malgun Gothic"/>
                <w:sz w:val="22"/>
                <w:szCs w:val="24"/>
                <w:lang w:val="fr-FR"/>
              </w:rPr>
            </w:pPr>
            <w:r w:rsidRPr="00803037">
              <w:rPr>
                <w:sz w:val="22"/>
                <w:szCs w:val="24"/>
                <w:lang w:val="fr-FR"/>
              </w:rPr>
              <w:t>67</w:t>
            </w:r>
          </w:p>
        </w:tc>
      </w:tr>
      <w:tr w:rsidR="000B3E0D" w:rsidRPr="00803037" w14:paraId="7CFC0447" w14:textId="77777777" w:rsidTr="00B76C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4507D50C" w14:textId="77777777" w:rsidR="000B3E0D" w:rsidRPr="00803037" w:rsidRDefault="000B3E0D" w:rsidP="00B76C4C">
            <w:pPr>
              <w:pStyle w:val="Tabletext"/>
              <w:rPr>
                <w:sz w:val="22"/>
                <w:szCs w:val="24"/>
                <w:lang w:val="fr-FR"/>
              </w:rPr>
            </w:pPr>
            <w:r w:rsidRPr="00803037">
              <w:rPr>
                <w:sz w:val="22"/>
                <w:szCs w:val="24"/>
                <w:lang w:val="fr-FR"/>
              </w:rPr>
              <w:t>Nombre total de documents</w:t>
            </w:r>
          </w:p>
        </w:tc>
        <w:tc>
          <w:tcPr>
            <w:tcW w:w="845" w:type="dxa"/>
          </w:tcPr>
          <w:p w14:paraId="5885125D"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105</w:t>
            </w:r>
          </w:p>
        </w:tc>
        <w:tc>
          <w:tcPr>
            <w:tcW w:w="851" w:type="dxa"/>
          </w:tcPr>
          <w:p w14:paraId="041E4DEF"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231</w:t>
            </w:r>
          </w:p>
        </w:tc>
        <w:tc>
          <w:tcPr>
            <w:tcW w:w="850" w:type="dxa"/>
          </w:tcPr>
          <w:p w14:paraId="19A07CA1"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268</w:t>
            </w:r>
          </w:p>
        </w:tc>
        <w:tc>
          <w:tcPr>
            <w:tcW w:w="851" w:type="dxa"/>
          </w:tcPr>
          <w:p w14:paraId="3CD9E5CF"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sz w:val="22"/>
                <w:szCs w:val="24"/>
                <w:lang w:val="fr-FR"/>
              </w:rPr>
            </w:pPr>
            <w:r w:rsidRPr="00803037">
              <w:rPr>
                <w:sz w:val="22"/>
                <w:szCs w:val="24"/>
                <w:lang w:val="fr-FR"/>
              </w:rPr>
              <w:t>83</w:t>
            </w:r>
          </w:p>
        </w:tc>
        <w:tc>
          <w:tcPr>
            <w:tcW w:w="1412" w:type="dxa"/>
          </w:tcPr>
          <w:p w14:paraId="0E520E51" w14:textId="77777777" w:rsidR="000B3E0D" w:rsidRPr="00803037" w:rsidRDefault="000B3E0D" w:rsidP="00EB7263">
            <w:pPr>
              <w:pStyle w:val="Tabletext"/>
              <w:jc w:val="right"/>
              <w:cnfStyle w:val="000000100000" w:firstRow="0" w:lastRow="0" w:firstColumn="0" w:lastColumn="0" w:oddVBand="0" w:evenVBand="0" w:oddHBand="1" w:evenHBand="0" w:firstRowFirstColumn="0" w:firstRowLastColumn="0" w:lastRowFirstColumn="0" w:lastRowLastColumn="0"/>
              <w:rPr>
                <w:rFonts w:eastAsia="Malgun Gothic"/>
                <w:b/>
                <w:bCs/>
                <w:sz w:val="22"/>
                <w:szCs w:val="24"/>
                <w:lang w:val="fr-FR"/>
              </w:rPr>
            </w:pPr>
            <w:r w:rsidRPr="00803037">
              <w:rPr>
                <w:b/>
                <w:bCs/>
                <w:sz w:val="22"/>
                <w:szCs w:val="24"/>
                <w:lang w:val="fr-FR"/>
              </w:rPr>
              <w:t>689</w:t>
            </w:r>
          </w:p>
        </w:tc>
      </w:tr>
    </w:tbl>
    <w:p w14:paraId="6B3D033D" w14:textId="0D309BE0" w:rsidR="000B3E0D" w:rsidRPr="00803037" w:rsidRDefault="000B3E0D" w:rsidP="00FD0921">
      <w:pPr>
        <w:pStyle w:val="Tabletitle"/>
        <w:spacing w:before="120" w:after="240"/>
        <w:rPr>
          <w:rFonts w:eastAsia="Malgun Gothic"/>
          <w:lang w:val="fr-FR"/>
        </w:rPr>
      </w:pPr>
      <w:r w:rsidRPr="00803037">
        <w:rPr>
          <w:sz w:val="24"/>
          <w:szCs w:val="24"/>
          <w:lang w:val="fr-FR"/>
        </w:rPr>
        <w:t xml:space="preserve">Tableau 2 – Documents examinés par la CE 2 pendant la période </w:t>
      </w:r>
      <w:r w:rsidR="0089542D" w:rsidRPr="00803037">
        <w:rPr>
          <w:sz w:val="24"/>
          <w:szCs w:val="24"/>
          <w:lang w:val="fr-FR"/>
        </w:rPr>
        <w:t>d'</w:t>
      </w:r>
      <w:r w:rsidRPr="00803037">
        <w:rPr>
          <w:sz w:val="24"/>
          <w:szCs w:val="24"/>
          <w:lang w:val="fr-FR"/>
        </w:rPr>
        <w:t>études 2022-2025</w:t>
      </w:r>
    </w:p>
    <w:p w14:paraId="1EB22749" w14:textId="3D593688" w:rsidR="000B3E0D" w:rsidRPr="00803037" w:rsidRDefault="000B3E0D" w:rsidP="000B3E0D">
      <w:pPr>
        <w:rPr>
          <w:rFonts w:eastAsia="Malgun Gothic" w:cstheme="minorBidi"/>
          <w:lang w:val="fr-FR"/>
        </w:rPr>
      </w:pPr>
      <w:r w:rsidRPr="00803037">
        <w:rPr>
          <w:lang w:val="fr-FR"/>
        </w:rPr>
        <w:t xml:space="preserve">La </w:t>
      </w:r>
      <w:r w:rsidRPr="00803037">
        <w:rPr>
          <w:b/>
          <w:bCs/>
          <w:lang w:val="fr-FR"/>
        </w:rPr>
        <w:t>Figure 5</w:t>
      </w:r>
      <w:r w:rsidRPr="00803037">
        <w:rPr>
          <w:lang w:val="fr-FR"/>
        </w:rPr>
        <w:t xml:space="preserve"> montre </w:t>
      </w:r>
      <w:r w:rsidR="0089542D" w:rsidRPr="00803037">
        <w:rPr>
          <w:lang w:val="fr-FR"/>
        </w:rPr>
        <w:t>l'</w:t>
      </w:r>
      <w:r w:rsidRPr="00803037">
        <w:rPr>
          <w:lang w:val="fr-FR"/>
        </w:rPr>
        <w:t xml:space="preserve">évolution du nombre de documents par rapport à la période </w:t>
      </w:r>
      <w:r w:rsidR="0089542D" w:rsidRPr="00803037">
        <w:rPr>
          <w:lang w:val="fr-FR"/>
        </w:rPr>
        <w:t>d'</w:t>
      </w:r>
      <w:r w:rsidRPr="00803037">
        <w:rPr>
          <w:lang w:val="fr-FR"/>
        </w:rPr>
        <w:t>études précédente</w:t>
      </w:r>
      <w:r w:rsidRPr="00803037">
        <w:rPr>
          <w:rStyle w:val="FootnoteReference"/>
          <w:rFonts w:eastAsia="Malgun Gothic" w:cstheme="minorBidi"/>
          <w:lang w:val="fr-FR" w:eastAsia="ko-KR"/>
        </w:rPr>
        <w:footnoteReference w:id="7"/>
      </w:r>
      <w:r w:rsidRPr="00803037">
        <w:rPr>
          <w:lang w:val="fr-FR"/>
        </w:rPr>
        <w:t xml:space="preserve">. Le nombre de documents pour cette période </w:t>
      </w:r>
      <w:r w:rsidR="0089542D" w:rsidRPr="00803037">
        <w:rPr>
          <w:lang w:val="fr-FR"/>
        </w:rPr>
        <w:t>d'</w:t>
      </w:r>
      <w:r w:rsidRPr="00803037">
        <w:rPr>
          <w:lang w:val="fr-FR"/>
        </w:rPr>
        <w:t xml:space="preserve">études est inférieur à celui de la période </w:t>
      </w:r>
      <w:r w:rsidR="0089542D" w:rsidRPr="00803037">
        <w:rPr>
          <w:lang w:val="fr-FR"/>
        </w:rPr>
        <w:t>d'</w:t>
      </w:r>
      <w:r w:rsidRPr="00803037">
        <w:rPr>
          <w:lang w:val="fr-FR"/>
        </w:rPr>
        <w:t xml:space="preserve">études précédente (total: 921, moyenne: 115 par réunion), ce qui </w:t>
      </w:r>
      <w:r w:rsidR="0089542D" w:rsidRPr="00803037">
        <w:rPr>
          <w:lang w:val="fr-FR"/>
        </w:rPr>
        <w:t>s'</w:t>
      </w:r>
      <w:r w:rsidRPr="00803037">
        <w:rPr>
          <w:lang w:val="fr-FR"/>
        </w:rPr>
        <w:t>explique en partie par une période plus courte et un nombre inférieur de réunions</w:t>
      </w:r>
      <w:r w:rsidRPr="00803037">
        <w:rPr>
          <w:rStyle w:val="FootnoteReference"/>
          <w:rFonts w:eastAsia="Malgun Gothic"/>
          <w:lang w:val="fr-FR" w:eastAsia="ko-KR"/>
        </w:rPr>
        <w:footnoteReference w:id="8"/>
      </w:r>
      <w:r w:rsidRPr="00803037">
        <w:rPr>
          <w:lang w:val="fr-FR"/>
        </w:rPr>
        <w:t>. Toutefois, le nombre moyen de documents reçus par réunion est identique, à savoir 115 documents par réunion.</w:t>
      </w:r>
    </w:p>
    <w:p w14:paraId="3399D331" w14:textId="77777777" w:rsidR="000B3E0D" w:rsidRPr="00803037" w:rsidRDefault="000B3E0D" w:rsidP="00375F89">
      <w:pPr>
        <w:pStyle w:val="Figure"/>
        <w:rPr>
          <w:rFonts w:eastAsia="Malgun Gothic"/>
          <w:lang w:val="fr-FR" w:eastAsia="ko-KR"/>
        </w:rPr>
      </w:pPr>
      <w:r w:rsidRPr="00803037">
        <w:rPr>
          <w:rFonts w:eastAsia="Malgun Gothic"/>
          <w:lang w:val="fr-FR" w:eastAsia="ko-KR"/>
        </w:rPr>
        <w:drawing>
          <wp:inline distT="0" distB="0" distL="0" distR="0" wp14:anchorId="52888B06" wp14:editId="5B4A374D">
            <wp:extent cx="3536831" cy="1891153"/>
            <wp:effectExtent l="0" t="0" r="6985" b="0"/>
            <wp:docPr id="1897667485"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67485" name="Picture 1" descr="A graph with numbers and a bar&#10;&#10;AI-generated content may be incorrect."/>
                    <pic:cNvPicPr/>
                  </pic:nvPicPr>
                  <pic:blipFill>
                    <a:blip r:embed="rId26"/>
                    <a:stretch>
                      <a:fillRect/>
                    </a:stretch>
                  </pic:blipFill>
                  <pic:spPr>
                    <a:xfrm>
                      <a:off x="0" y="0"/>
                      <a:ext cx="3592217" cy="1920768"/>
                    </a:xfrm>
                    <a:prstGeom prst="rect">
                      <a:avLst/>
                    </a:prstGeom>
                  </pic:spPr>
                </pic:pic>
              </a:graphicData>
            </a:graphic>
          </wp:inline>
        </w:drawing>
      </w:r>
    </w:p>
    <w:p w14:paraId="2F47D711" w14:textId="77777777" w:rsidR="000B3E0D" w:rsidRPr="00803037" w:rsidRDefault="000B3E0D" w:rsidP="00FD0921">
      <w:pPr>
        <w:pStyle w:val="Figuretitle"/>
        <w:keepNext w:val="0"/>
        <w:spacing w:before="120" w:after="240"/>
        <w:rPr>
          <w:rFonts w:eastAsia="Malgun Gothic" w:cstheme="minorHAnsi"/>
          <w:szCs w:val="24"/>
          <w:lang w:val="fr-FR"/>
        </w:rPr>
      </w:pPr>
      <w:r w:rsidRPr="00803037">
        <w:rPr>
          <w:sz w:val="24"/>
          <w:szCs w:val="24"/>
          <w:lang w:val="fr-FR"/>
        </w:rPr>
        <w:t>Figure 5 – Évolution du nombre de documents de la CE 2 (2018-2025)</w:t>
      </w:r>
    </w:p>
    <w:p w14:paraId="72127FF7" w14:textId="0429682F" w:rsidR="000B3E0D" w:rsidRPr="00803037" w:rsidRDefault="000B3E0D" w:rsidP="000B3E0D">
      <w:pPr>
        <w:spacing w:before="240"/>
        <w:rPr>
          <w:rFonts w:eastAsia="Malgun Gothic"/>
          <w:szCs w:val="24"/>
          <w:lang w:val="fr-FR"/>
        </w:rPr>
      </w:pPr>
      <w:r w:rsidRPr="00803037">
        <w:rPr>
          <w:lang w:val="fr-FR"/>
        </w:rPr>
        <w:lastRenderedPageBreak/>
        <w:t xml:space="preserve">La </w:t>
      </w:r>
      <w:r w:rsidRPr="00803037">
        <w:rPr>
          <w:b/>
          <w:bCs/>
          <w:lang w:val="fr-FR"/>
        </w:rPr>
        <w:t xml:space="preserve">Figure 6 </w:t>
      </w:r>
      <w:r w:rsidRPr="00803037">
        <w:rPr>
          <w:lang w:val="fr-FR"/>
        </w:rPr>
        <w:t xml:space="preserve">présente la répartition régionale des contributions soumises par les membres. La majorité des contributions venait des régions Afrique et Asie-Pacifique, devant la région Amériques, </w:t>
      </w:r>
      <w:r w:rsidR="0089542D" w:rsidRPr="00803037">
        <w:rPr>
          <w:lang w:val="fr-FR"/>
        </w:rPr>
        <w:t>l'</w:t>
      </w:r>
      <w:r w:rsidRPr="00803037">
        <w:rPr>
          <w:lang w:val="fr-FR"/>
        </w:rPr>
        <w:t xml:space="preserve">Europe, les États arabes et les pays de la CEI. Par rapport à la période </w:t>
      </w:r>
      <w:r w:rsidR="0089542D" w:rsidRPr="00803037">
        <w:rPr>
          <w:lang w:val="fr-FR"/>
        </w:rPr>
        <w:t>d'</w:t>
      </w:r>
      <w:r w:rsidRPr="00803037">
        <w:rPr>
          <w:lang w:val="fr-FR"/>
        </w:rPr>
        <w:t xml:space="preserve">études précédente, la répartition pour chaque région a varié </w:t>
      </w:r>
      <w:r w:rsidR="0089542D" w:rsidRPr="00803037">
        <w:rPr>
          <w:lang w:val="fr-FR"/>
        </w:rPr>
        <w:t>d'</w:t>
      </w:r>
      <w:r w:rsidRPr="00803037">
        <w:rPr>
          <w:lang w:val="fr-FR"/>
        </w:rPr>
        <w:t xml:space="preserve">une valeur comprise entre </w:t>
      </w:r>
      <w:r w:rsidR="00EB60A4" w:rsidRPr="00803037">
        <w:rPr>
          <w:lang w:val="fr-FR"/>
        </w:rPr>
        <w:t>–</w:t>
      </w:r>
      <w:r w:rsidRPr="00803037">
        <w:rPr>
          <w:lang w:val="fr-FR"/>
        </w:rPr>
        <w:t>7% (Europe) et</w:t>
      </w:r>
      <w:r w:rsidR="00EB7263" w:rsidRPr="00803037">
        <w:rPr>
          <w:lang w:val="fr-FR"/>
        </w:rPr>
        <w:t> </w:t>
      </w:r>
      <w:r w:rsidRPr="00803037">
        <w:rPr>
          <w:lang w:val="fr-FR"/>
        </w:rPr>
        <w:t>+9% (Afrique).</w:t>
      </w:r>
    </w:p>
    <w:p w14:paraId="4AC409EF" w14:textId="77777777" w:rsidR="000B3E0D" w:rsidRPr="00803037" w:rsidRDefault="000B3E0D" w:rsidP="00C5008F">
      <w:pPr>
        <w:pStyle w:val="Figure"/>
        <w:spacing w:before="0" w:after="120"/>
        <w:rPr>
          <w:rFonts w:eastAsia="Malgun Gothic"/>
          <w:lang w:val="fr-FR" w:eastAsia="ko-KR"/>
        </w:rPr>
      </w:pPr>
      <w:r w:rsidRPr="00803037">
        <w:rPr>
          <w:rFonts w:eastAsia="Malgun Gothic"/>
          <w:lang w:val="fr-FR" w:eastAsia="ko-KR"/>
        </w:rPr>
        <w:drawing>
          <wp:inline distT="0" distB="0" distL="0" distR="0" wp14:anchorId="493861CF" wp14:editId="05B988A2">
            <wp:extent cx="3776400" cy="2427150"/>
            <wp:effectExtent l="0" t="0" r="0" b="0"/>
            <wp:docPr id="917977355" name="Picture 1"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77355" name="Picture 1" descr="A pie chart with text&#10;&#10;AI-generated content may be incorrect."/>
                    <pic:cNvPicPr/>
                  </pic:nvPicPr>
                  <pic:blipFill rotWithShape="1">
                    <a:blip r:embed="rId27"/>
                    <a:srcRect t="5364" b="3759"/>
                    <a:stretch/>
                  </pic:blipFill>
                  <pic:spPr bwMode="auto">
                    <a:xfrm>
                      <a:off x="0" y="0"/>
                      <a:ext cx="3776400" cy="2427150"/>
                    </a:xfrm>
                    <a:prstGeom prst="rect">
                      <a:avLst/>
                    </a:prstGeom>
                    <a:ln>
                      <a:noFill/>
                    </a:ln>
                    <a:extLst>
                      <a:ext uri="{53640926-AAD7-44D8-BBD7-CCE9431645EC}">
                        <a14:shadowObscured xmlns:a14="http://schemas.microsoft.com/office/drawing/2010/main"/>
                      </a:ext>
                    </a:extLst>
                  </pic:spPr>
                </pic:pic>
              </a:graphicData>
            </a:graphic>
          </wp:inline>
        </w:drawing>
      </w:r>
    </w:p>
    <w:p w14:paraId="5DBE028B" w14:textId="4CE3CB5F" w:rsidR="000B3E0D" w:rsidRPr="00803037" w:rsidRDefault="000B3E0D" w:rsidP="00C5008F">
      <w:pPr>
        <w:pStyle w:val="Figuretitle"/>
        <w:spacing w:before="120" w:after="240"/>
        <w:rPr>
          <w:rFonts w:eastAsia="Malgun Gothic"/>
          <w:szCs w:val="24"/>
          <w:lang w:val="fr-FR"/>
        </w:rPr>
      </w:pPr>
      <w:r w:rsidRPr="00803037">
        <w:rPr>
          <w:sz w:val="24"/>
          <w:szCs w:val="24"/>
          <w:lang w:val="fr-FR"/>
        </w:rPr>
        <w:t>Figure 6 – Répartition régionale des contributions soumises</w:t>
      </w:r>
      <w:r w:rsidR="00EB7263" w:rsidRPr="00803037">
        <w:rPr>
          <w:sz w:val="24"/>
          <w:szCs w:val="24"/>
          <w:lang w:val="fr-FR"/>
        </w:rPr>
        <w:br/>
      </w:r>
      <w:r w:rsidRPr="00803037">
        <w:rPr>
          <w:sz w:val="24"/>
          <w:szCs w:val="24"/>
          <w:lang w:val="fr-FR"/>
        </w:rPr>
        <w:t xml:space="preserve">par les membres à la Commission </w:t>
      </w:r>
      <w:r w:rsidR="0089542D" w:rsidRPr="00803037">
        <w:rPr>
          <w:sz w:val="24"/>
          <w:szCs w:val="24"/>
          <w:lang w:val="fr-FR"/>
        </w:rPr>
        <w:t>d'</w:t>
      </w:r>
      <w:r w:rsidRPr="00803037">
        <w:rPr>
          <w:sz w:val="24"/>
          <w:szCs w:val="24"/>
          <w:lang w:val="fr-FR"/>
        </w:rPr>
        <w:t>études 2</w:t>
      </w:r>
    </w:p>
    <w:p w14:paraId="5D747DD7" w14:textId="7825A3ED" w:rsidR="000B3E0D" w:rsidRPr="00803037" w:rsidRDefault="000B3E0D" w:rsidP="000B3E0D">
      <w:pPr>
        <w:spacing w:after="120"/>
        <w:rPr>
          <w:rFonts w:eastAsia="Malgun Gothic"/>
          <w:szCs w:val="24"/>
          <w:lang w:val="fr-FR"/>
        </w:rPr>
      </w:pPr>
      <w:r w:rsidRPr="00803037">
        <w:rPr>
          <w:lang w:val="fr-FR"/>
        </w:rPr>
        <w:t xml:space="preserve">Le </w:t>
      </w:r>
      <w:r w:rsidRPr="00803037">
        <w:rPr>
          <w:b/>
          <w:bCs/>
          <w:lang w:val="fr-FR"/>
        </w:rPr>
        <w:t>Tableau 3</w:t>
      </w:r>
      <w:r w:rsidRPr="00803037">
        <w:rPr>
          <w:lang w:val="fr-FR"/>
        </w:rPr>
        <w:t xml:space="preserve"> indique le nombre de contributions écrites reçues au titre de chaque Question pour </w:t>
      </w:r>
      <w:r w:rsidR="0089542D" w:rsidRPr="00803037">
        <w:rPr>
          <w:lang w:val="fr-FR"/>
        </w:rPr>
        <w:t>l'</w:t>
      </w:r>
      <w:r w:rsidRPr="00803037">
        <w:rPr>
          <w:lang w:val="fr-FR"/>
        </w:rPr>
        <w:t xml:space="preserve">élaboration des résultats attendus pour la période </w:t>
      </w:r>
      <w:r w:rsidR="0089542D" w:rsidRPr="00803037">
        <w:rPr>
          <w:lang w:val="fr-FR"/>
        </w:rPr>
        <w:t>d'</w:t>
      </w:r>
      <w:r w:rsidRPr="00803037">
        <w:rPr>
          <w:lang w:val="fr-FR"/>
        </w:rPr>
        <w:t xml:space="preserve">études. Outre les contributions soumises au titre de toutes les Questions confiées à la CE 2, adressées à la plénière de la CE 2, les trois Questions pour lesquelles le plus grand nombre de contributions a été présenté sont la Question 5/2 (compétences numériques) avec 100 contributions, suivie de la Question 2/2 (cyberservices et cyberapplications) avec 98 contributions et de la Question 3/2 (cybersécurité) avec 96 contributions. La dernière colonne indique le nombre de contributions reçues au titre de chaque Question pendant la période </w:t>
      </w:r>
      <w:r w:rsidR="0089542D" w:rsidRPr="00803037">
        <w:rPr>
          <w:lang w:val="fr-FR"/>
        </w:rPr>
        <w:t>d'</w:t>
      </w:r>
      <w:r w:rsidRPr="00803037">
        <w:rPr>
          <w:lang w:val="fr-FR"/>
        </w:rPr>
        <w:t xml:space="preserve">études précédente (2018-2021). Les Questions ont fait </w:t>
      </w:r>
      <w:r w:rsidR="0089542D" w:rsidRPr="00803037">
        <w:rPr>
          <w:lang w:val="fr-FR"/>
        </w:rPr>
        <w:t>l'</w:t>
      </w:r>
      <w:r w:rsidRPr="00803037">
        <w:rPr>
          <w:lang w:val="fr-FR"/>
        </w:rPr>
        <w:t xml:space="preserve">objet de moins de contributions par rapport à la période </w:t>
      </w:r>
      <w:r w:rsidR="0089542D" w:rsidRPr="00803037">
        <w:rPr>
          <w:lang w:val="fr-FR"/>
        </w:rPr>
        <w:t>d'</w:t>
      </w:r>
      <w:r w:rsidRPr="00803037">
        <w:rPr>
          <w:lang w:val="fr-FR"/>
        </w:rPr>
        <w:t xml:space="preserve">études précédente, en raison là encore de la plus courte durée de la période </w:t>
      </w:r>
      <w:r w:rsidR="0089542D" w:rsidRPr="00803037">
        <w:rPr>
          <w:lang w:val="fr-FR"/>
        </w:rPr>
        <w:t>d'</w:t>
      </w:r>
      <w:r w:rsidRPr="00803037">
        <w:rPr>
          <w:lang w:val="fr-FR"/>
        </w:rPr>
        <w:t xml:space="preserve">études et du nombre réduit de réunions. La Question 5/2 (compétences numériques) a débuté pendant cette période </w:t>
      </w:r>
      <w:r w:rsidR="0089542D" w:rsidRPr="00803037">
        <w:rPr>
          <w:lang w:val="fr-FR"/>
        </w:rPr>
        <w:t>d'</w:t>
      </w:r>
      <w:r w:rsidRPr="00803037">
        <w:rPr>
          <w:lang w:val="fr-FR"/>
        </w:rPr>
        <w:t xml:space="preserve">études, de sorte </w:t>
      </w:r>
      <w:r w:rsidR="0089542D" w:rsidRPr="00803037">
        <w:rPr>
          <w:lang w:val="fr-FR"/>
        </w:rPr>
        <w:t>qu'</w:t>
      </w:r>
      <w:r w:rsidRPr="00803037">
        <w:rPr>
          <w:lang w:val="fr-FR"/>
        </w:rPr>
        <w:t xml:space="preserve">aucune comparaison </w:t>
      </w:r>
      <w:r w:rsidR="0089542D" w:rsidRPr="00803037">
        <w:rPr>
          <w:lang w:val="fr-FR"/>
        </w:rPr>
        <w:t>n'</w:t>
      </w:r>
      <w:r w:rsidRPr="00803037">
        <w:rPr>
          <w:lang w:val="fr-FR"/>
        </w:rPr>
        <w:t xml:space="preserve">est possible. En outre, il convient de noter que tous les Groupes du Rapporteur ont organisé des ateliers et des webinaires (voir la </w:t>
      </w:r>
      <w:r w:rsidR="00EB7263" w:rsidRPr="00803037">
        <w:rPr>
          <w:b/>
          <w:bCs/>
          <w:lang w:val="fr-FR"/>
        </w:rPr>
        <w:t>P</w:t>
      </w:r>
      <w:r w:rsidRPr="00803037">
        <w:rPr>
          <w:b/>
          <w:bCs/>
          <w:lang w:val="fr-FR"/>
        </w:rPr>
        <w:t>artie 3</w:t>
      </w:r>
      <w:r w:rsidRPr="00803037">
        <w:rPr>
          <w:lang w:val="fr-FR"/>
        </w:rPr>
        <w:t xml:space="preserve">) au cours de la période </w:t>
      </w:r>
      <w:r w:rsidR="0089542D" w:rsidRPr="00803037">
        <w:rPr>
          <w:lang w:val="fr-FR"/>
        </w:rPr>
        <w:t>d'</w:t>
      </w:r>
      <w:r w:rsidRPr="00803037">
        <w:rPr>
          <w:lang w:val="fr-FR"/>
        </w:rPr>
        <w:t xml:space="preserve">études actuelle, dont les résultats ont aussi été utilisés en tant que contributions permettant </w:t>
      </w:r>
      <w:r w:rsidR="0089542D" w:rsidRPr="00803037">
        <w:rPr>
          <w:lang w:val="fr-FR"/>
        </w:rPr>
        <w:t>d'</w:t>
      </w:r>
      <w:r w:rsidRPr="00803037">
        <w:rPr>
          <w:lang w:val="fr-FR"/>
        </w:rPr>
        <w:t xml:space="preserve">appuyer et de compléter </w:t>
      </w:r>
      <w:r w:rsidR="0089542D" w:rsidRPr="00803037">
        <w:rPr>
          <w:lang w:val="fr-FR"/>
        </w:rPr>
        <w:t>l'</w:t>
      </w:r>
      <w:r w:rsidRPr="00803037">
        <w:rPr>
          <w:lang w:val="fr-FR"/>
        </w:rPr>
        <w:t>élaboration de leurs rapports finals.</w:t>
      </w:r>
    </w:p>
    <w:tbl>
      <w:tblPr>
        <w:tblStyle w:val="GridTable5Dark-Accent1"/>
        <w:tblW w:w="0" w:type="auto"/>
        <w:jc w:val="center"/>
        <w:tblLayout w:type="fixed"/>
        <w:tblLook w:val="04A0" w:firstRow="1" w:lastRow="0" w:firstColumn="1" w:lastColumn="0" w:noHBand="0" w:noVBand="1"/>
      </w:tblPr>
      <w:tblGrid>
        <w:gridCol w:w="4248"/>
        <w:gridCol w:w="850"/>
        <w:gridCol w:w="851"/>
        <w:gridCol w:w="850"/>
        <w:gridCol w:w="851"/>
        <w:gridCol w:w="992"/>
        <w:gridCol w:w="987"/>
      </w:tblGrid>
      <w:tr w:rsidR="000B3E0D" w:rsidRPr="00803037" w14:paraId="5A9AFC60" w14:textId="77777777" w:rsidTr="00C5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90C77CC" w14:textId="10BC030D" w:rsidR="000B3E0D" w:rsidRPr="00803037" w:rsidRDefault="000B3E0D" w:rsidP="00C5008F">
            <w:pPr>
              <w:pStyle w:val="Tablehead"/>
              <w:keepLines/>
              <w:spacing w:before="60" w:after="60"/>
              <w:rPr>
                <w:b/>
                <w:bCs w:val="0"/>
                <w:lang w:val="fr-FR"/>
              </w:rPr>
            </w:pPr>
            <w:bookmarkStart w:id="10" w:name="_Hlk69474320"/>
            <w:r w:rsidRPr="00803037">
              <w:rPr>
                <w:b/>
                <w:bCs w:val="0"/>
                <w:sz w:val="22"/>
                <w:szCs w:val="24"/>
                <w:lang w:val="fr-FR"/>
              </w:rPr>
              <w:t>Contributions soumises aux réunions annuelles de la CE 2 et des</w:t>
            </w:r>
            <w:r w:rsidR="00C5008F" w:rsidRPr="00803037">
              <w:rPr>
                <w:b/>
                <w:bCs w:val="0"/>
                <w:sz w:val="22"/>
                <w:szCs w:val="24"/>
                <w:lang w:val="fr-FR"/>
              </w:rPr>
              <w:br/>
            </w:r>
            <w:r w:rsidRPr="00803037">
              <w:rPr>
                <w:b/>
                <w:bCs w:val="0"/>
                <w:sz w:val="22"/>
                <w:szCs w:val="24"/>
                <w:lang w:val="fr-FR"/>
              </w:rPr>
              <w:t>Groupes du Rapporteur</w:t>
            </w:r>
            <w:r w:rsidRPr="00803037">
              <w:rPr>
                <w:rStyle w:val="FootnoteReference"/>
                <w:lang w:val="fr-FR"/>
              </w:rPr>
              <w:footnoteReference w:id="9"/>
            </w:r>
          </w:p>
        </w:tc>
        <w:tc>
          <w:tcPr>
            <w:tcW w:w="850" w:type="dxa"/>
            <w:vAlign w:val="center"/>
          </w:tcPr>
          <w:p w14:paraId="4E5CAD04" w14:textId="77777777"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2022</w:t>
            </w:r>
          </w:p>
        </w:tc>
        <w:tc>
          <w:tcPr>
            <w:tcW w:w="851" w:type="dxa"/>
            <w:vAlign w:val="center"/>
          </w:tcPr>
          <w:p w14:paraId="54665F79" w14:textId="77777777"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2023</w:t>
            </w:r>
          </w:p>
        </w:tc>
        <w:tc>
          <w:tcPr>
            <w:tcW w:w="850" w:type="dxa"/>
            <w:vAlign w:val="center"/>
          </w:tcPr>
          <w:p w14:paraId="766989CF" w14:textId="77777777"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2024</w:t>
            </w:r>
          </w:p>
        </w:tc>
        <w:tc>
          <w:tcPr>
            <w:tcW w:w="851" w:type="dxa"/>
            <w:vAlign w:val="center"/>
          </w:tcPr>
          <w:p w14:paraId="49D8B6C5" w14:textId="77777777"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2025</w:t>
            </w:r>
          </w:p>
        </w:tc>
        <w:tc>
          <w:tcPr>
            <w:tcW w:w="992" w:type="dxa"/>
            <w:vAlign w:val="center"/>
          </w:tcPr>
          <w:p w14:paraId="19E8850D" w14:textId="7562D4F2"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rFonts w:eastAsia="Malgun Gothic"/>
                <w:b/>
                <w:bCs w:val="0"/>
                <w:sz w:val="22"/>
                <w:szCs w:val="24"/>
                <w:lang w:val="fr-FR"/>
              </w:rPr>
            </w:pPr>
            <w:r w:rsidRPr="00803037">
              <w:rPr>
                <w:b/>
                <w:bCs w:val="0"/>
                <w:sz w:val="22"/>
                <w:szCs w:val="24"/>
                <w:lang w:val="fr-FR"/>
              </w:rPr>
              <w:t>Total</w:t>
            </w:r>
            <w:r w:rsidR="00C5008F" w:rsidRPr="00803037">
              <w:rPr>
                <w:b/>
                <w:bCs w:val="0"/>
                <w:sz w:val="22"/>
                <w:szCs w:val="24"/>
                <w:lang w:val="fr-FR"/>
              </w:rPr>
              <w:t xml:space="preserve"> </w:t>
            </w:r>
            <w:r w:rsidRPr="00803037">
              <w:rPr>
                <w:b/>
                <w:bCs w:val="0"/>
                <w:sz w:val="22"/>
                <w:szCs w:val="24"/>
                <w:lang w:val="fr-FR"/>
              </w:rPr>
              <w:t>(2022-2025)</w:t>
            </w:r>
          </w:p>
        </w:tc>
        <w:tc>
          <w:tcPr>
            <w:tcW w:w="987" w:type="dxa"/>
            <w:vAlign w:val="center"/>
          </w:tcPr>
          <w:p w14:paraId="08450344" w14:textId="16A7959E" w:rsidR="000B3E0D" w:rsidRPr="00803037" w:rsidRDefault="000B3E0D" w:rsidP="00C5008F">
            <w:pPr>
              <w:pStyle w:val="Tablehead"/>
              <w:keepLines/>
              <w:spacing w:before="60" w:after="60"/>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03037">
              <w:rPr>
                <w:b/>
                <w:bCs w:val="0"/>
                <w:sz w:val="22"/>
                <w:szCs w:val="24"/>
                <w:lang w:val="fr-FR"/>
              </w:rPr>
              <w:t>Total</w:t>
            </w:r>
            <w:r w:rsidR="00C5008F" w:rsidRPr="00803037">
              <w:rPr>
                <w:b/>
                <w:bCs w:val="0"/>
                <w:sz w:val="22"/>
                <w:szCs w:val="24"/>
                <w:lang w:val="fr-FR"/>
              </w:rPr>
              <w:t xml:space="preserve"> </w:t>
            </w:r>
            <w:r w:rsidRPr="00803037">
              <w:rPr>
                <w:b/>
                <w:bCs w:val="0"/>
                <w:sz w:val="22"/>
                <w:szCs w:val="24"/>
                <w:lang w:val="fr-FR"/>
              </w:rPr>
              <w:t>(2018-2021)</w:t>
            </w:r>
          </w:p>
        </w:tc>
      </w:tr>
      <w:tr w:rsidR="000B3E0D" w:rsidRPr="00803037" w14:paraId="1840C8FE" w14:textId="77777777" w:rsidTr="00C500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06D0E351" w14:textId="77777777" w:rsidR="000B3E0D" w:rsidRPr="00803037" w:rsidRDefault="000B3E0D" w:rsidP="00C5008F">
            <w:pPr>
              <w:pStyle w:val="Tabletext"/>
              <w:keepNext/>
              <w:keepLines/>
              <w:spacing w:before="30" w:after="30"/>
              <w:rPr>
                <w:sz w:val="22"/>
                <w:lang w:val="fr-FR"/>
              </w:rPr>
            </w:pPr>
            <w:r w:rsidRPr="00803037">
              <w:rPr>
                <w:sz w:val="22"/>
                <w:lang w:val="fr-FR"/>
              </w:rPr>
              <w:t>Question 1/2</w:t>
            </w:r>
          </w:p>
        </w:tc>
        <w:tc>
          <w:tcPr>
            <w:tcW w:w="850" w:type="dxa"/>
          </w:tcPr>
          <w:p w14:paraId="16AD583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7</w:t>
            </w:r>
          </w:p>
        </w:tc>
        <w:tc>
          <w:tcPr>
            <w:tcW w:w="851" w:type="dxa"/>
          </w:tcPr>
          <w:p w14:paraId="131F16B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24</w:t>
            </w:r>
          </w:p>
        </w:tc>
        <w:tc>
          <w:tcPr>
            <w:tcW w:w="850" w:type="dxa"/>
          </w:tcPr>
          <w:p w14:paraId="2AB85728"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26</w:t>
            </w:r>
          </w:p>
        </w:tc>
        <w:tc>
          <w:tcPr>
            <w:tcW w:w="851" w:type="dxa"/>
          </w:tcPr>
          <w:p w14:paraId="7CF47517"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6</w:t>
            </w:r>
          </w:p>
        </w:tc>
        <w:tc>
          <w:tcPr>
            <w:tcW w:w="992" w:type="dxa"/>
          </w:tcPr>
          <w:p w14:paraId="493CF235"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63</w:t>
            </w:r>
          </w:p>
        </w:tc>
        <w:tc>
          <w:tcPr>
            <w:tcW w:w="987" w:type="dxa"/>
          </w:tcPr>
          <w:p w14:paraId="4224C906"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125</w:t>
            </w:r>
          </w:p>
        </w:tc>
      </w:tr>
      <w:tr w:rsidR="000B3E0D" w:rsidRPr="00803037" w14:paraId="6841E1E4" w14:textId="77777777" w:rsidTr="00C5008F">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086B7BA3" w14:textId="77777777" w:rsidR="000B3E0D" w:rsidRPr="00803037" w:rsidRDefault="000B3E0D" w:rsidP="00C5008F">
            <w:pPr>
              <w:pStyle w:val="Tabletext"/>
              <w:keepNext/>
              <w:keepLines/>
              <w:spacing w:before="30" w:after="30"/>
              <w:rPr>
                <w:sz w:val="22"/>
                <w:lang w:val="fr-FR"/>
              </w:rPr>
            </w:pPr>
            <w:r w:rsidRPr="00803037">
              <w:rPr>
                <w:sz w:val="22"/>
                <w:lang w:val="fr-FR"/>
              </w:rPr>
              <w:t>Question 2/2</w:t>
            </w:r>
          </w:p>
        </w:tc>
        <w:tc>
          <w:tcPr>
            <w:tcW w:w="850" w:type="dxa"/>
          </w:tcPr>
          <w:p w14:paraId="1E72DB02"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13</w:t>
            </w:r>
          </w:p>
        </w:tc>
        <w:tc>
          <w:tcPr>
            <w:tcW w:w="851" w:type="dxa"/>
          </w:tcPr>
          <w:p w14:paraId="37489772"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40</w:t>
            </w:r>
          </w:p>
        </w:tc>
        <w:tc>
          <w:tcPr>
            <w:tcW w:w="850" w:type="dxa"/>
          </w:tcPr>
          <w:p w14:paraId="76E6C155"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35</w:t>
            </w:r>
          </w:p>
        </w:tc>
        <w:tc>
          <w:tcPr>
            <w:tcW w:w="851" w:type="dxa"/>
          </w:tcPr>
          <w:p w14:paraId="0D93E0AE"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7</w:t>
            </w:r>
          </w:p>
        </w:tc>
        <w:tc>
          <w:tcPr>
            <w:tcW w:w="992" w:type="dxa"/>
          </w:tcPr>
          <w:p w14:paraId="7D1F1DFE"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98</w:t>
            </w:r>
          </w:p>
        </w:tc>
        <w:tc>
          <w:tcPr>
            <w:tcW w:w="987" w:type="dxa"/>
          </w:tcPr>
          <w:p w14:paraId="2DCE8E9D"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104</w:t>
            </w:r>
          </w:p>
        </w:tc>
      </w:tr>
      <w:tr w:rsidR="000B3E0D" w:rsidRPr="00803037" w14:paraId="7618AFE7" w14:textId="77777777" w:rsidTr="00C500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4283E542" w14:textId="77777777" w:rsidR="000B3E0D" w:rsidRPr="00803037" w:rsidRDefault="000B3E0D" w:rsidP="00C5008F">
            <w:pPr>
              <w:pStyle w:val="Tabletext"/>
              <w:keepNext/>
              <w:keepLines/>
              <w:spacing w:before="30" w:after="30"/>
              <w:rPr>
                <w:rFonts w:eastAsia="Malgun Gothic"/>
                <w:sz w:val="22"/>
                <w:lang w:val="fr-FR"/>
              </w:rPr>
            </w:pPr>
            <w:r w:rsidRPr="00803037">
              <w:rPr>
                <w:sz w:val="22"/>
                <w:lang w:val="fr-FR"/>
              </w:rPr>
              <w:t>Question 3/2</w:t>
            </w:r>
          </w:p>
        </w:tc>
        <w:tc>
          <w:tcPr>
            <w:tcW w:w="850" w:type="dxa"/>
          </w:tcPr>
          <w:p w14:paraId="58FEF15D"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10</w:t>
            </w:r>
          </w:p>
        </w:tc>
        <w:tc>
          <w:tcPr>
            <w:tcW w:w="851" w:type="dxa"/>
          </w:tcPr>
          <w:p w14:paraId="477E5533"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33</w:t>
            </w:r>
          </w:p>
        </w:tc>
        <w:tc>
          <w:tcPr>
            <w:tcW w:w="850" w:type="dxa"/>
          </w:tcPr>
          <w:p w14:paraId="54976C41"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44</w:t>
            </w:r>
          </w:p>
        </w:tc>
        <w:tc>
          <w:tcPr>
            <w:tcW w:w="851" w:type="dxa"/>
          </w:tcPr>
          <w:p w14:paraId="5020D493"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9</w:t>
            </w:r>
          </w:p>
        </w:tc>
        <w:tc>
          <w:tcPr>
            <w:tcW w:w="992" w:type="dxa"/>
          </w:tcPr>
          <w:p w14:paraId="1687F8E0"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96</w:t>
            </w:r>
          </w:p>
        </w:tc>
        <w:tc>
          <w:tcPr>
            <w:tcW w:w="987" w:type="dxa"/>
          </w:tcPr>
          <w:p w14:paraId="79636B4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106</w:t>
            </w:r>
          </w:p>
        </w:tc>
      </w:tr>
      <w:tr w:rsidR="000B3E0D" w:rsidRPr="00803037" w14:paraId="6C7BAFF3" w14:textId="77777777" w:rsidTr="00C5008F">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2C213B03" w14:textId="77777777" w:rsidR="000B3E0D" w:rsidRPr="00803037" w:rsidRDefault="000B3E0D" w:rsidP="00C5008F">
            <w:pPr>
              <w:pStyle w:val="Tabletext"/>
              <w:keepNext/>
              <w:keepLines/>
              <w:spacing w:before="30" w:after="30"/>
              <w:rPr>
                <w:sz w:val="22"/>
                <w:lang w:val="fr-FR"/>
              </w:rPr>
            </w:pPr>
            <w:r w:rsidRPr="00803037">
              <w:rPr>
                <w:sz w:val="22"/>
                <w:lang w:val="fr-FR"/>
              </w:rPr>
              <w:t>Question 4/2</w:t>
            </w:r>
          </w:p>
        </w:tc>
        <w:tc>
          <w:tcPr>
            <w:tcW w:w="850" w:type="dxa"/>
          </w:tcPr>
          <w:p w14:paraId="11E1B2F1"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5</w:t>
            </w:r>
          </w:p>
        </w:tc>
        <w:tc>
          <w:tcPr>
            <w:tcW w:w="851" w:type="dxa"/>
          </w:tcPr>
          <w:p w14:paraId="1A9A7AA8"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9</w:t>
            </w:r>
          </w:p>
        </w:tc>
        <w:tc>
          <w:tcPr>
            <w:tcW w:w="850" w:type="dxa"/>
          </w:tcPr>
          <w:p w14:paraId="33602DDD"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15</w:t>
            </w:r>
          </w:p>
        </w:tc>
        <w:tc>
          <w:tcPr>
            <w:tcW w:w="851" w:type="dxa"/>
          </w:tcPr>
          <w:p w14:paraId="0BCC3EEC"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4</w:t>
            </w:r>
          </w:p>
        </w:tc>
        <w:tc>
          <w:tcPr>
            <w:tcW w:w="992" w:type="dxa"/>
          </w:tcPr>
          <w:p w14:paraId="359689B9"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33</w:t>
            </w:r>
          </w:p>
        </w:tc>
        <w:tc>
          <w:tcPr>
            <w:tcW w:w="987" w:type="dxa"/>
          </w:tcPr>
          <w:p w14:paraId="6B2E5B91"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74</w:t>
            </w:r>
          </w:p>
        </w:tc>
      </w:tr>
      <w:tr w:rsidR="000B3E0D" w:rsidRPr="00803037" w14:paraId="610969F5" w14:textId="77777777" w:rsidTr="00C500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6019FB3B" w14:textId="77777777" w:rsidR="000B3E0D" w:rsidRPr="00803037" w:rsidRDefault="000B3E0D" w:rsidP="00C5008F">
            <w:pPr>
              <w:pStyle w:val="Tabletext"/>
              <w:keepNext/>
              <w:keepLines/>
              <w:spacing w:before="30" w:after="30"/>
              <w:rPr>
                <w:sz w:val="22"/>
                <w:lang w:val="fr-FR"/>
              </w:rPr>
            </w:pPr>
            <w:r w:rsidRPr="00803037">
              <w:rPr>
                <w:sz w:val="22"/>
                <w:lang w:val="fr-FR"/>
              </w:rPr>
              <w:t>Question 5/2</w:t>
            </w:r>
          </w:p>
        </w:tc>
        <w:tc>
          <w:tcPr>
            <w:tcW w:w="850" w:type="dxa"/>
          </w:tcPr>
          <w:p w14:paraId="5FC7ED4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9</w:t>
            </w:r>
          </w:p>
        </w:tc>
        <w:tc>
          <w:tcPr>
            <w:tcW w:w="851" w:type="dxa"/>
          </w:tcPr>
          <w:p w14:paraId="13E7D89A"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34</w:t>
            </w:r>
          </w:p>
        </w:tc>
        <w:tc>
          <w:tcPr>
            <w:tcW w:w="850" w:type="dxa"/>
          </w:tcPr>
          <w:p w14:paraId="406D4AC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49</w:t>
            </w:r>
          </w:p>
        </w:tc>
        <w:tc>
          <w:tcPr>
            <w:tcW w:w="851" w:type="dxa"/>
          </w:tcPr>
          <w:p w14:paraId="3BDBD040"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8</w:t>
            </w:r>
          </w:p>
        </w:tc>
        <w:tc>
          <w:tcPr>
            <w:tcW w:w="992" w:type="dxa"/>
          </w:tcPr>
          <w:p w14:paraId="7AD0F40C"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100</w:t>
            </w:r>
          </w:p>
        </w:tc>
        <w:tc>
          <w:tcPr>
            <w:tcW w:w="987" w:type="dxa"/>
          </w:tcPr>
          <w:p w14:paraId="3D2F7788"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s.o.</w:t>
            </w:r>
          </w:p>
        </w:tc>
      </w:tr>
      <w:tr w:rsidR="000B3E0D" w:rsidRPr="00803037" w14:paraId="15736368" w14:textId="77777777" w:rsidTr="00C5008F">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4132B5C5" w14:textId="77777777" w:rsidR="000B3E0D" w:rsidRPr="00803037" w:rsidRDefault="000B3E0D" w:rsidP="00C5008F">
            <w:pPr>
              <w:pStyle w:val="Tabletext"/>
              <w:keepNext/>
              <w:keepLines/>
              <w:spacing w:before="30" w:after="30"/>
              <w:rPr>
                <w:sz w:val="22"/>
                <w:lang w:val="fr-FR"/>
              </w:rPr>
            </w:pPr>
            <w:r w:rsidRPr="00803037">
              <w:rPr>
                <w:sz w:val="22"/>
                <w:lang w:val="fr-FR"/>
              </w:rPr>
              <w:t>Question 6/2</w:t>
            </w:r>
          </w:p>
        </w:tc>
        <w:tc>
          <w:tcPr>
            <w:tcW w:w="850" w:type="dxa"/>
          </w:tcPr>
          <w:p w14:paraId="51741145"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10</w:t>
            </w:r>
          </w:p>
        </w:tc>
        <w:tc>
          <w:tcPr>
            <w:tcW w:w="851" w:type="dxa"/>
          </w:tcPr>
          <w:p w14:paraId="6CC76193"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11</w:t>
            </w:r>
          </w:p>
        </w:tc>
        <w:tc>
          <w:tcPr>
            <w:tcW w:w="850" w:type="dxa"/>
          </w:tcPr>
          <w:p w14:paraId="37F7389E"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24</w:t>
            </w:r>
          </w:p>
        </w:tc>
        <w:tc>
          <w:tcPr>
            <w:tcW w:w="851" w:type="dxa"/>
          </w:tcPr>
          <w:p w14:paraId="2243D4C0"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6</w:t>
            </w:r>
          </w:p>
        </w:tc>
        <w:tc>
          <w:tcPr>
            <w:tcW w:w="992" w:type="dxa"/>
          </w:tcPr>
          <w:p w14:paraId="1F458AF1"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51</w:t>
            </w:r>
          </w:p>
        </w:tc>
        <w:tc>
          <w:tcPr>
            <w:tcW w:w="987" w:type="dxa"/>
          </w:tcPr>
          <w:p w14:paraId="49EFF413"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65</w:t>
            </w:r>
          </w:p>
        </w:tc>
      </w:tr>
      <w:tr w:rsidR="000B3E0D" w:rsidRPr="00803037" w14:paraId="6A6F9F82" w14:textId="77777777" w:rsidTr="00C500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06B952D8" w14:textId="77777777" w:rsidR="000B3E0D" w:rsidRPr="00803037" w:rsidRDefault="000B3E0D" w:rsidP="00C5008F">
            <w:pPr>
              <w:pStyle w:val="Tabletext"/>
              <w:keepNext/>
              <w:keepLines/>
              <w:spacing w:before="30" w:after="30"/>
              <w:rPr>
                <w:sz w:val="22"/>
                <w:lang w:val="fr-FR"/>
              </w:rPr>
            </w:pPr>
            <w:r w:rsidRPr="00803037">
              <w:rPr>
                <w:sz w:val="22"/>
                <w:lang w:val="fr-FR"/>
              </w:rPr>
              <w:t>Question 7/2</w:t>
            </w:r>
          </w:p>
        </w:tc>
        <w:tc>
          <w:tcPr>
            <w:tcW w:w="850" w:type="dxa"/>
          </w:tcPr>
          <w:p w14:paraId="0EABD594"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5</w:t>
            </w:r>
          </w:p>
        </w:tc>
        <w:tc>
          <w:tcPr>
            <w:tcW w:w="851" w:type="dxa"/>
          </w:tcPr>
          <w:p w14:paraId="712D4F93"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21</w:t>
            </w:r>
          </w:p>
        </w:tc>
        <w:tc>
          <w:tcPr>
            <w:tcW w:w="850" w:type="dxa"/>
          </w:tcPr>
          <w:p w14:paraId="7252BF2C"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26</w:t>
            </w:r>
          </w:p>
        </w:tc>
        <w:tc>
          <w:tcPr>
            <w:tcW w:w="851" w:type="dxa"/>
          </w:tcPr>
          <w:p w14:paraId="6B7CF617"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sz w:val="22"/>
                <w:lang w:val="fr-FR"/>
              </w:rPr>
            </w:pPr>
            <w:r w:rsidRPr="00803037">
              <w:rPr>
                <w:sz w:val="22"/>
                <w:lang w:val="fr-FR"/>
              </w:rPr>
              <w:t>2</w:t>
            </w:r>
          </w:p>
        </w:tc>
        <w:tc>
          <w:tcPr>
            <w:tcW w:w="992" w:type="dxa"/>
          </w:tcPr>
          <w:p w14:paraId="33F9BAFB"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54</w:t>
            </w:r>
          </w:p>
        </w:tc>
        <w:tc>
          <w:tcPr>
            <w:tcW w:w="987" w:type="dxa"/>
          </w:tcPr>
          <w:p w14:paraId="0E86F4F2"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88</w:t>
            </w:r>
          </w:p>
        </w:tc>
      </w:tr>
      <w:tr w:rsidR="000B3E0D" w:rsidRPr="00803037" w14:paraId="67113D32" w14:textId="77777777" w:rsidTr="00C5008F">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574735E3" w14:textId="4D562DCF" w:rsidR="000B3E0D" w:rsidRPr="00803037" w:rsidRDefault="000B3E0D" w:rsidP="00C5008F">
            <w:pPr>
              <w:pStyle w:val="Tabletext"/>
              <w:keepNext/>
              <w:keepLines/>
              <w:spacing w:before="30" w:after="30"/>
              <w:rPr>
                <w:rFonts w:eastAsia="Malgun Gothic"/>
                <w:sz w:val="22"/>
                <w:lang w:val="fr-FR"/>
              </w:rPr>
            </w:pPr>
            <w:r w:rsidRPr="00803037">
              <w:rPr>
                <w:sz w:val="22"/>
                <w:lang w:val="fr-FR"/>
              </w:rPr>
              <w:t>Toutes les Questions confiées à la CE 2 (pour</w:t>
            </w:r>
            <w:r w:rsidR="00EB7263" w:rsidRPr="00803037">
              <w:rPr>
                <w:sz w:val="22"/>
                <w:lang w:val="fr-FR"/>
              </w:rPr>
              <w:t> </w:t>
            </w:r>
            <w:r w:rsidRPr="00803037">
              <w:rPr>
                <w:sz w:val="22"/>
                <w:lang w:val="fr-FR"/>
              </w:rPr>
              <w:t>la plénière de la CE 2)</w:t>
            </w:r>
          </w:p>
        </w:tc>
        <w:tc>
          <w:tcPr>
            <w:tcW w:w="850" w:type="dxa"/>
          </w:tcPr>
          <w:p w14:paraId="61EB2260"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16</w:t>
            </w:r>
          </w:p>
        </w:tc>
        <w:tc>
          <w:tcPr>
            <w:tcW w:w="851" w:type="dxa"/>
          </w:tcPr>
          <w:p w14:paraId="14929FB5"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14</w:t>
            </w:r>
          </w:p>
        </w:tc>
        <w:tc>
          <w:tcPr>
            <w:tcW w:w="850" w:type="dxa"/>
          </w:tcPr>
          <w:p w14:paraId="5805ACA2"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15</w:t>
            </w:r>
          </w:p>
        </w:tc>
        <w:tc>
          <w:tcPr>
            <w:tcW w:w="851" w:type="dxa"/>
          </w:tcPr>
          <w:p w14:paraId="6CBCA06F"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sz w:val="22"/>
                <w:lang w:val="fr-FR"/>
              </w:rPr>
            </w:pPr>
            <w:r w:rsidRPr="00803037">
              <w:rPr>
                <w:sz w:val="22"/>
                <w:lang w:val="fr-FR"/>
              </w:rPr>
              <w:t>19</w:t>
            </w:r>
          </w:p>
        </w:tc>
        <w:tc>
          <w:tcPr>
            <w:tcW w:w="992" w:type="dxa"/>
          </w:tcPr>
          <w:p w14:paraId="1B63BD82"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67</w:t>
            </w:r>
          </w:p>
        </w:tc>
        <w:tc>
          <w:tcPr>
            <w:tcW w:w="987" w:type="dxa"/>
          </w:tcPr>
          <w:p w14:paraId="5C69EF61" w14:textId="77777777" w:rsidR="000B3E0D" w:rsidRPr="00803037" w:rsidRDefault="000B3E0D" w:rsidP="00C5008F">
            <w:pPr>
              <w:pStyle w:val="Tabletext"/>
              <w:keepNext/>
              <w:keepLines/>
              <w:spacing w:before="30" w:after="30"/>
              <w:jc w:val="right"/>
              <w:cnfStyle w:val="000000000000" w:firstRow="0" w:lastRow="0" w:firstColumn="0" w:lastColumn="0" w:oddVBand="0" w:evenVBand="0" w:oddHBand="0" w:evenHBand="0" w:firstRowFirstColumn="0" w:firstRowLastColumn="0" w:lastRowFirstColumn="0" w:lastRowLastColumn="0"/>
              <w:rPr>
                <w:rFonts w:eastAsia="Malgun Gothic"/>
                <w:b/>
                <w:bCs/>
                <w:sz w:val="22"/>
                <w:lang w:val="fr-FR"/>
              </w:rPr>
            </w:pPr>
            <w:r w:rsidRPr="00803037">
              <w:rPr>
                <w:b/>
                <w:bCs/>
                <w:sz w:val="22"/>
                <w:lang w:val="fr-FR"/>
              </w:rPr>
              <w:t>116</w:t>
            </w:r>
          </w:p>
        </w:tc>
      </w:tr>
      <w:tr w:rsidR="000B3E0D" w:rsidRPr="00803037" w14:paraId="08EBEDE0" w14:textId="77777777" w:rsidTr="00C500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1B6582A7" w14:textId="77777777" w:rsidR="000B3E0D" w:rsidRPr="00803037" w:rsidRDefault="000B3E0D" w:rsidP="00C5008F">
            <w:pPr>
              <w:pStyle w:val="Tabletext"/>
              <w:keepNext/>
              <w:keepLines/>
              <w:spacing w:before="30" w:after="30"/>
              <w:rPr>
                <w:sz w:val="22"/>
                <w:lang w:val="fr-FR"/>
              </w:rPr>
            </w:pPr>
            <w:r w:rsidRPr="00803037">
              <w:rPr>
                <w:sz w:val="22"/>
                <w:lang w:val="fr-FR"/>
              </w:rPr>
              <w:t>Total</w:t>
            </w:r>
          </w:p>
        </w:tc>
        <w:tc>
          <w:tcPr>
            <w:tcW w:w="850" w:type="dxa"/>
          </w:tcPr>
          <w:p w14:paraId="20521231"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78</w:t>
            </w:r>
          </w:p>
        </w:tc>
        <w:tc>
          <w:tcPr>
            <w:tcW w:w="851" w:type="dxa"/>
          </w:tcPr>
          <w:p w14:paraId="0790AD42"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189</w:t>
            </w:r>
          </w:p>
        </w:tc>
        <w:tc>
          <w:tcPr>
            <w:tcW w:w="850" w:type="dxa"/>
          </w:tcPr>
          <w:p w14:paraId="54536D14"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234</w:t>
            </w:r>
          </w:p>
        </w:tc>
        <w:tc>
          <w:tcPr>
            <w:tcW w:w="851" w:type="dxa"/>
          </w:tcPr>
          <w:p w14:paraId="1F8C89A2"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61</w:t>
            </w:r>
          </w:p>
        </w:tc>
        <w:tc>
          <w:tcPr>
            <w:tcW w:w="992" w:type="dxa"/>
          </w:tcPr>
          <w:p w14:paraId="6D88DEDF"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562</w:t>
            </w:r>
          </w:p>
        </w:tc>
        <w:tc>
          <w:tcPr>
            <w:tcW w:w="987" w:type="dxa"/>
          </w:tcPr>
          <w:p w14:paraId="36DAF4BE" w14:textId="77777777" w:rsidR="000B3E0D" w:rsidRPr="00803037" w:rsidRDefault="000B3E0D" w:rsidP="00C5008F">
            <w:pPr>
              <w:pStyle w:val="Tabletext"/>
              <w:keepNext/>
              <w:keepLines/>
              <w:spacing w:before="30" w:after="30"/>
              <w:jc w:val="right"/>
              <w:cnfStyle w:val="000000100000" w:firstRow="0" w:lastRow="0" w:firstColumn="0" w:lastColumn="0" w:oddVBand="0" w:evenVBand="0" w:oddHBand="1" w:evenHBand="0" w:firstRowFirstColumn="0" w:firstRowLastColumn="0" w:lastRowFirstColumn="0" w:lastRowLastColumn="0"/>
              <w:rPr>
                <w:rFonts w:eastAsia="Malgun Gothic"/>
                <w:b/>
                <w:bCs/>
                <w:sz w:val="22"/>
                <w:lang w:val="fr-FR"/>
              </w:rPr>
            </w:pPr>
            <w:r w:rsidRPr="00803037">
              <w:rPr>
                <w:b/>
                <w:bCs/>
                <w:sz w:val="22"/>
                <w:lang w:val="fr-FR"/>
              </w:rPr>
              <w:t>769</w:t>
            </w:r>
          </w:p>
        </w:tc>
      </w:tr>
    </w:tbl>
    <w:bookmarkEnd w:id="10"/>
    <w:p w14:paraId="5E115D79" w14:textId="3BD02AFA" w:rsidR="000B3E0D" w:rsidRPr="00803037" w:rsidRDefault="000B3E0D" w:rsidP="00A828D3">
      <w:pPr>
        <w:pStyle w:val="Tabletitle"/>
        <w:keepNext w:val="0"/>
        <w:keepLines w:val="0"/>
        <w:widowControl w:val="0"/>
        <w:spacing w:before="80" w:after="0"/>
        <w:rPr>
          <w:rFonts w:eastAsia="Malgun Gothic"/>
          <w:lang w:val="fr-FR"/>
        </w:rPr>
      </w:pPr>
      <w:r w:rsidRPr="00803037">
        <w:rPr>
          <w:sz w:val="24"/>
          <w:szCs w:val="24"/>
          <w:lang w:val="fr-FR"/>
        </w:rPr>
        <w:t>Tableau 3 – Nombre de contributions reçues au titre de</w:t>
      </w:r>
      <w:r w:rsidR="00EB7263" w:rsidRPr="00803037">
        <w:rPr>
          <w:sz w:val="24"/>
          <w:szCs w:val="24"/>
          <w:lang w:val="fr-FR"/>
        </w:rPr>
        <w:br/>
      </w:r>
      <w:r w:rsidRPr="00803037">
        <w:rPr>
          <w:sz w:val="24"/>
          <w:szCs w:val="24"/>
          <w:lang w:val="fr-FR"/>
        </w:rPr>
        <w:t xml:space="preserve">chaque Question confiée à la Commission </w:t>
      </w:r>
      <w:r w:rsidR="0089542D" w:rsidRPr="00803037">
        <w:rPr>
          <w:sz w:val="24"/>
          <w:szCs w:val="24"/>
          <w:lang w:val="fr-FR"/>
        </w:rPr>
        <w:t>d'</w:t>
      </w:r>
      <w:r w:rsidRPr="00803037">
        <w:rPr>
          <w:sz w:val="24"/>
          <w:szCs w:val="24"/>
          <w:lang w:val="fr-FR"/>
        </w:rPr>
        <w:t>études 2</w:t>
      </w:r>
    </w:p>
    <w:p w14:paraId="5B3BE683" w14:textId="7C2ABEE7" w:rsidR="000B3E0D" w:rsidRPr="00803037" w:rsidRDefault="000B3E0D" w:rsidP="007F7A91">
      <w:pPr>
        <w:spacing w:after="120"/>
        <w:ind w:right="22"/>
        <w:rPr>
          <w:rFonts w:eastAsia="Malgun Gothic" w:cstheme="minorHAnsi"/>
          <w:spacing w:val="-2"/>
          <w:szCs w:val="24"/>
          <w:lang w:val="fr-FR"/>
        </w:rPr>
      </w:pPr>
      <w:r w:rsidRPr="00803037">
        <w:rPr>
          <w:spacing w:val="-2"/>
          <w:lang w:val="fr-FR"/>
        </w:rPr>
        <w:t xml:space="preserve">La </w:t>
      </w:r>
      <w:r w:rsidRPr="00803037">
        <w:rPr>
          <w:b/>
          <w:bCs/>
          <w:spacing w:val="-2"/>
          <w:lang w:val="fr-FR"/>
        </w:rPr>
        <w:t xml:space="preserve">Figure 7 </w:t>
      </w:r>
      <w:r w:rsidRPr="00803037">
        <w:rPr>
          <w:spacing w:val="-2"/>
          <w:lang w:val="fr-FR"/>
        </w:rPr>
        <w:t xml:space="preserve">illustre la répartition des contributions par type de contributeur. Comme pendant la période </w:t>
      </w:r>
      <w:r w:rsidR="0089542D" w:rsidRPr="00803037">
        <w:rPr>
          <w:spacing w:val="-2"/>
          <w:lang w:val="fr-FR"/>
        </w:rPr>
        <w:t>d'</w:t>
      </w:r>
      <w:r w:rsidRPr="00803037">
        <w:rPr>
          <w:spacing w:val="-2"/>
          <w:lang w:val="fr-FR"/>
        </w:rPr>
        <w:t xml:space="preserve">études précédente, les États Membres sont restés les plus nombreux à soumettre des contributions, quelle que soit la Question. Les Questions 3/2 (cybersécurité) et 5/2 (compétences numériques) sont celles qui ont fait </w:t>
      </w:r>
      <w:r w:rsidR="0089542D" w:rsidRPr="00803037">
        <w:rPr>
          <w:spacing w:val="-2"/>
          <w:lang w:val="fr-FR"/>
        </w:rPr>
        <w:t>l'</w:t>
      </w:r>
      <w:r w:rsidRPr="00803037">
        <w:rPr>
          <w:spacing w:val="-2"/>
          <w:lang w:val="fr-FR"/>
        </w:rPr>
        <w:t xml:space="preserve">objet du plus grand nombre de contributions de leur part. Viennent ensuite les Membres de Secteur (qui incluent les organisations régionales et internationales), qui ont contribué davantage aux Questions 2/2 (cyberservices et cyberapplications) et 5/2 (compétences numériques). Les contributions des Membres de Secteur sont restées à un niveau élevé, sauf pour les Questions 4/2 (conformité et interopérabilité, lutte contre la contrefaçon et le vol de dispositifs mobiles) et 6/2 (environnement). Il reste souhaitable que les établissements universitaires et les Associés soumettent davantage de contributions, mais </w:t>
      </w:r>
      <w:r w:rsidR="0089542D" w:rsidRPr="00803037">
        <w:rPr>
          <w:spacing w:val="-2"/>
          <w:lang w:val="fr-FR"/>
        </w:rPr>
        <w:t>l'</w:t>
      </w:r>
      <w:r w:rsidRPr="00803037">
        <w:rPr>
          <w:spacing w:val="-2"/>
          <w:lang w:val="fr-FR"/>
        </w:rPr>
        <w:t>on note une augmentation de nombre de contributions soumises par des Associés au titre de la Question 4/2.</w:t>
      </w:r>
    </w:p>
    <w:p w14:paraId="4006CFD8" w14:textId="77777777" w:rsidR="000B3E0D" w:rsidRPr="00803037" w:rsidRDefault="000B3E0D" w:rsidP="007F7A91">
      <w:pPr>
        <w:pStyle w:val="Figure"/>
        <w:keepNext w:val="0"/>
        <w:keepLines w:val="0"/>
        <w:spacing w:before="0"/>
        <w:rPr>
          <w:rFonts w:eastAsia="Malgun Gothic"/>
          <w:lang w:val="fr-FR" w:eastAsia="ko-KR"/>
        </w:rPr>
      </w:pPr>
      <w:r w:rsidRPr="00803037">
        <w:rPr>
          <w:rFonts w:eastAsia="Malgun Gothic"/>
          <w:lang w:val="fr-FR" w:eastAsia="ko-KR"/>
        </w:rPr>
        <w:drawing>
          <wp:inline distT="0" distB="0" distL="0" distR="0" wp14:anchorId="794719CF" wp14:editId="0ECCB6EE">
            <wp:extent cx="3327201" cy="2505350"/>
            <wp:effectExtent l="0" t="0" r="6985" b="0"/>
            <wp:docPr id="1318774699" name="Picture 1" descr="A graph of number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74699" name="Picture 1" descr="A graph of numbers and colors&#10;&#10;AI-generated content may be incorrect."/>
                    <pic:cNvPicPr/>
                  </pic:nvPicPr>
                  <pic:blipFill rotWithShape="1">
                    <a:blip r:embed="rId28"/>
                    <a:srcRect t="2432" b="1"/>
                    <a:stretch/>
                  </pic:blipFill>
                  <pic:spPr bwMode="auto">
                    <a:xfrm>
                      <a:off x="0" y="0"/>
                      <a:ext cx="3443296" cy="2592769"/>
                    </a:xfrm>
                    <a:prstGeom prst="rect">
                      <a:avLst/>
                    </a:prstGeom>
                    <a:ln>
                      <a:noFill/>
                    </a:ln>
                    <a:extLst>
                      <a:ext uri="{53640926-AAD7-44D8-BBD7-CCE9431645EC}">
                        <a14:shadowObscured xmlns:a14="http://schemas.microsoft.com/office/drawing/2010/main"/>
                      </a:ext>
                    </a:extLst>
                  </pic:spPr>
                </pic:pic>
              </a:graphicData>
            </a:graphic>
          </wp:inline>
        </w:drawing>
      </w:r>
    </w:p>
    <w:p w14:paraId="60606ED4" w14:textId="4079AEC4" w:rsidR="000B3E0D" w:rsidRPr="00803037" w:rsidRDefault="000B3E0D" w:rsidP="00C5008F">
      <w:pPr>
        <w:pStyle w:val="Figuretitle"/>
        <w:keepNext w:val="0"/>
        <w:keepLines w:val="0"/>
        <w:widowControl w:val="0"/>
        <w:spacing w:after="0"/>
        <w:rPr>
          <w:rFonts w:eastAsia="Malgun Gothic"/>
          <w:szCs w:val="24"/>
          <w:lang w:val="fr-FR"/>
        </w:rPr>
      </w:pPr>
      <w:r w:rsidRPr="00803037">
        <w:rPr>
          <w:sz w:val="24"/>
          <w:szCs w:val="24"/>
          <w:lang w:val="fr-FR"/>
        </w:rPr>
        <w:t>Figure 7 – Contributions soumises à la Commission</w:t>
      </w:r>
      <w:r w:rsidR="003B3D99" w:rsidRPr="00803037">
        <w:rPr>
          <w:sz w:val="24"/>
          <w:szCs w:val="24"/>
          <w:lang w:val="fr-FR"/>
        </w:rPr>
        <w:br/>
      </w:r>
      <w:r w:rsidR="0089542D" w:rsidRPr="00803037">
        <w:rPr>
          <w:sz w:val="24"/>
          <w:szCs w:val="24"/>
          <w:lang w:val="fr-FR"/>
        </w:rPr>
        <w:t>d'</w:t>
      </w:r>
      <w:r w:rsidRPr="00803037">
        <w:rPr>
          <w:sz w:val="24"/>
          <w:szCs w:val="24"/>
          <w:lang w:val="fr-FR"/>
        </w:rPr>
        <w:t>études 2,</w:t>
      </w:r>
      <w:r w:rsidR="003B3D99" w:rsidRPr="00803037">
        <w:rPr>
          <w:sz w:val="24"/>
          <w:szCs w:val="24"/>
          <w:lang w:val="fr-FR"/>
        </w:rPr>
        <w:t xml:space="preserve"> </w:t>
      </w:r>
      <w:r w:rsidRPr="00803037">
        <w:rPr>
          <w:sz w:val="24"/>
          <w:szCs w:val="24"/>
          <w:lang w:val="fr-FR"/>
        </w:rPr>
        <w:t>par Question et type de contributeur</w:t>
      </w:r>
    </w:p>
    <w:p w14:paraId="6E88A14A" w14:textId="77777777" w:rsidR="000B3E0D" w:rsidRPr="00803037" w:rsidRDefault="000B3E0D" w:rsidP="000B3E0D">
      <w:pPr>
        <w:pStyle w:val="Headingb"/>
        <w:rPr>
          <w:lang w:val="fr-FR"/>
        </w:rPr>
      </w:pPr>
      <w:r w:rsidRPr="00803037">
        <w:rPr>
          <w:sz w:val="28"/>
          <w:szCs w:val="28"/>
          <w:lang w:val="fr-FR"/>
        </w:rPr>
        <w:t>Réunions</w:t>
      </w:r>
    </w:p>
    <w:p w14:paraId="0AA091C4" w14:textId="60977DF7" w:rsidR="000B3E0D" w:rsidRPr="00803037" w:rsidRDefault="000B3E0D" w:rsidP="000B3E0D">
      <w:pPr>
        <w:pStyle w:val="Headingb"/>
        <w:rPr>
          <w:lang w:val="fr-FR"/>
        </w:rPr>
      </w:pPr>
      <w:r w:rsidRPr="00803037">
        <w:rPr>
          <w:lang w:val="fr-FR"/>
        </w:rPr>
        <w:t xml:space="preserve">Réunions de </w:t>
      </w:r>
      <w:r w:rsidR="0089542D" w:rsidRPr="00803037">
        <w:rPr>
          <w:lang w:val="fr-FR"/>
        </w:rPr>
        <w:t>l'</w:t>
      </w:r>
      <w:r w:rsidRPr="00803037">
        <w:rPr>
          <w:lang w:val="fr-FR"/>
        </w:rPr>
        <w:t>équipe de direction</w:t>
      </w:r>
    </w:p>
    <w:p w14:paraId="4D04C5AC" w14:textId="3B1F51CE" w:rsidR="000B3E0D" w:rsidRPr="00803037" w:rsidRDefault="000B3E0D" w:rsidP="000B3E0D">
      <w:pPr>
        <w:rPr>
          <w:lang w:val="fr-FR"/>
        </w:rPr>
      </w:pPr>
      <w:r w:rsidRPr="00803037">
        <w:rPr>
          <w:lang w:val="fr-FR"/>
        </w:rPr>
        <w:t xml:space="preserve">Au cours de la période </w:t>
      </w:r>
      <w:r w:rsidR="0089542D" w:rsidRPr="00803037">
        <w:rPr>
          <w:lang w:val="fr-FR"/>
        </w:rPr>
        <w:t>d'</w:t>
      </w:r>
      <w:r w:rsidRPr="00803037">
        <w:rPr>
          <w:lang w:val="fr-FR"/>
        </w:rPr>
        <w:t xml:space="preserve">études, </w:t>
      </w:r>
      <w:r w:rsidR="0089542D" w:rsidRPr="00803037">
        <w:rPr>
          <w:lang w:val="fr-FR"/>
        </w:rPr>
        <w:t>l'</w:t>
      </w:r>
      <w:r w:rsidRPr="00803037">
        <w:rPr>
          <w:lang w:val="fr-FR"/>
        </w:rPr>
        <w:t xml:space="preserve">équipe de direction de la CE 2 </w:t>
      </w:r>
      <w:r w:rsidR="0089542D" w:rsidRPr="00803037">
        <w:rPr>
          <w:lang w:val="fr-FR"/>
        </w:rPr>
        <w:t>s'</w:t>
      </w:r>
      <w:r w:rsidRPr="00803037">
        <w:rPr>
          <w:lang w:val="fr-FR"/>
        </w:rPr>
        <w:t xml:space="preserve">est réunie en présence du </w:t>
      </w:r>
      <w:r w:rsidR="0067798E" w:rsidRPr="00803037">
        <w:rPr>
          <w:lang w:val="fr-FR"/>
        </w:rPr>
        <w:t>P</w:t>
      </w:r>
      <w:r w:rsidRPr="00803037">
        <w:rPr>
          <w:lang w:val="fr-FR"/>
        </w:rPr>
        <w:t xml:space="preserve">résident, des </w:t>
      </w:r>
      <w:r w:rsidR="0067798E" w:rsidRPr="00803037">
        <w:rPr>
          <w:lang w:val="fr-FR"/>
        </w:rPr>
        <w:t>V</w:t>
      </w:r>
      <w:r w:rsidRPr="00803037">
        <w:rPr>
          <w:lang w:val="fr-FR"/>
        </w:rPr>
        <w:t>ice-</w:t>
      </w:r>
      <w:r w:rsidR="0067798E" w:rsidRPr="00803037">
        <w:rPr>
          <w:lang w:val="fr-FR"/>
        </w:rPr>
        <w:t>P</w:t>
      </w:r>
      <w:r w:rsidRPr="00803037">
        <w:rPr>
          <w:lang w:val="fr-FR"/>
        </w:rPr>
        <w:t xml:space="preserve">résidents, des Rapporteurs et Corapporteurs, des Vice-Rapporteurs et des Coordonnateurs du Bureau de développement des télécommunications (BDT) la veille de chacune des quatre réunions annuelles de la CE 2, afin de préparer les réunions, </w:t>
      </w:r>
      <w:r w:rsidR="0089542D" w:rsidRPr="00803037">
        <w:rPr>
          <w:lang w:val="fr-FR"/>
        </w:rPr>
        <w:t>d'</w:t>
      </w:r>
      <w:r w:rsidRPr="00803037">
        <w:rPr>
          <w:lang w:val="fr-FR"/>
        </w:rPr>
        <w:t xml:space="preserve">approuver le programme de gestion du temps, </w:t>
      </w:r>
      <w:r w:rsidR="0089542D" w:rsidRPr="00803037">
        <w:rPr>
          <w:lang w:val="fr-FR"/>
        </w:rPr>
        <w:t>d'</w:t>
      </w:r>
      <w:r w:rsidRPr="00803037">
        <w:rPr>
          <w:lang w:val="fr-FR"/>
        </w:rPr>
        <w:t xml:space="preserve">examiner </w:t>
      </w:r>
      <w:r w:rsidR="0089542D" w:rsidRPr="00803037">
        <w:rPr>
          <w:lang w:val="fr-FR"/>
        </w:rPr>
        <w:t>l'</w:t>
      </w:r>
      <w:r w:rsidRPr="00803037">
        <w:rPr>
          <w:lang w:val="fr-FR"/>
        </w:rPr>
        <w:t xml:space="preserve">état </w:t>
      </w:r>
      <w:r w:rsidR="0089542D" w:rsidRPr="00803037">
        <w:rPr>
          <w:lang w:val="fr-FR"/>
        </w:rPr>
        <w:t>d'</w:t>
      </w:r>
      <w:r w:rsidRPr="00803037">
        <w:rPr>
          <w:lang w:val="fr-FR"/>
        </w:rPr>
        <w:t xml:space="preserve">avancement de chacune des Questions à </w:t>
      </w:r>
      <w:r w:rsidR="0089542D" w:rsidRPr="00803037">
        <w:rPr>
          <w:lang w:val="fr-FR"/>
        </w:rPr>
        <w:t>l'</w:t>
      </w:r>
      <w:r w:rsidRPr="00803037">
        <w:rPr>
          <w:lang w:val="fr-FR"/>
        </w:rPr>
        <w:t xml:space="preserve">étude, </w:t>
      </w:r>
      <w:r w:rsidR="0089542D" w:rsidRPr="00803037">
        <w:rPr>
          <w:lang w:val="fr-FR"/>
        </w:rPr>
        <w:t>d'</w:t>
      </w:r>
      <w:r w:rsidRPr="00803037">
        <w:rPr>
          <w:lang w:val="fr-FR"/>
        </w:rPr>
        <w:t xml:space="preserve">évoquer les activités prévues et en cours et de formuler des propositions en vue </w:t>
      </w:r>
      <w:r w:rsidR="0089542D" w:rsidRPr="00803037">
        <w:rPr>
          <w:lang w:val="fr-FR"/>
        </w:rPr>
        <w:t>d'</w:t>
      </w:r>
      <w:r w:rsidRPr="00803037">
        <w:rPr>
          <w:lang w:val="fr-FR"/>
        </w:rPr>
        <w:t xml:space="preserve">améliorer encore le fonctionnement des commissions </w:t>
      </w:r>
      <w:r w:rsidR="0089542D" w:rsidRPr="00803037">
        <w:rPr>
          <w:lang w:val="fr-FR"/>
        </w:rPr>
        <w:t>d'</w:t>
      </w:r>
      <w:r w:rsidRPr="00803037">
        <w:rPr>
          <w:lang w:val="fr-FR"/>
        </w:rPr>
        <w:t>études.</w:t>
      </w:r>
    </w:p>
    <w:p w14:paraId="4B203D89" w14:textId="54E3C637" w:rsidR="000B3E0D" w:rsidRPr="00803037" w:rsidRDefault="000B3E0D" w:rsidP="000B3E0D">
      <w:pPr>
        <w:rPr>
          <w:lang w:val="fr-FR"/>
        </w:rPr>
      </w:pPr>
      <w:r w:rsidRPr="00803037">
        <w:rPr>
          <w:lang w:val="fr-FR"/>
        </w:rPr>
        <w:t xml:space="preserve">En outre, 17 réunions supplémentaires entre le </w:t>
      </w:r>
      <w:r w:rsidR="009654D4" w:rsidRPr="00803037">
        <w:rPr>
          <w:lang w:val="fr-FR"/>
        </w:rPr>
        <w:t>P</w:t>
      </w:r>
      <w:r w:rsidRPr="00803037">
        <w:rPr>
          <w:lang w:val="fr-FR"/>
        </w:rPr>
        <w:t xml:space="preserve">résident de la CE 2 et les membres de </w:t>
      </w:r>
      <w:r w:rsidR="0089542D" w:rsidRPr="00803037">
        <w:rPr>
          <w:lang w:val="fr-FR"/>
        </w:rPr>
        <w:t>l'</w:t>
      </w:r>
      <w:r w:rsidRPr="00803037">
        <w:rPr>
          <w:lang w:val="fr-FR"/>
        </w:rPr>
        <w:t xml:space="preserve">équipe de direction ont été organisées – dont deux conjointement avec la CE 1 – en vue de préparer les ateliers et séances </w:t>
      </w:r>
      <w:r w:rsidR="0089542D" w:rsidRPr="00803037">
        <w:rPr>
          <w:lang w:val="fr-FR"/>
        </w:rPr>
        <w:t>d'</w:t>
      </w:r>
      <w:r w:rsidRPr="00803037">
        <w:rPr>
          <w:lang w:val="fr-FR"/>
        </w:rPr>
        <w:t xml:space="preserve">information, </w:t>
      </w:r>
      <w:r w:rsidR="0089542D" w:rsidRPr="00803037">
        <w:rPr>
          <w:lang w:val="fr-FR"/>
        </w:rPr>
        <w:t>d'</w:t>
      </w:r>
      <w:r w:rsidRPr="00803037">
        <w:rPr>
          <w:lang w:val="fr-FR"/>
        </w:rPr>
        <w:t xml:space="preserve">examiner </w:t>
      </w:r>
      <w:r w:rsidR="0089542D" w:rsidRPr="00803037">
        <w:rPr>
          <w:lang w:val="fr-FR"/>
        </w:rPr>
        <w:t>l'</w:t>
      </w:r>
      <w:r w:rsidRPr="00803037">
        <w:rPr>
          <w:lang w:val="fr-FR"/>
        </w:rPr>
        <w:t xml:space="preserve">état </w:t>
      </w:r>
      <w:r w:rsidR="0089542D" w:rsidRPr="00803037">
        <w:rPr>
          <w:lang w:val="fr-FR"/>
        </w:rPr>
        <w:t>d'</w:t>
      </w:r>
      <w:r w:rsidRPr="00803037">
        <w:rPr>
          <w:lang w:val="fr-FR"/>
        </w:rPr>
        <w:t xml:space="preserve">avancement des produits intérimaires et des produits finals et de coordonner </w:t>
      </w:r>
      <w:r w:rsidR="0089542D" w:rsidRPr="00803037">
        <w:rPr>
          <w:lang w:val="fr-FR"/>
        </w:rPr>
        <w:t>d'</w:t>
      </w:r>
      <w:r w:rsidRPr="00803037">
        <w:rPr>
          <w:lang w:val="fr-FR"/>
        </w:rPr>
        <w:t xml:space="preserve">autres sujets </w:t>
      </w:r>
      <w:r w:rsidR="0089542D" w:rsidRPr="00803037">
        <w:rPr>
          <w:lang w:val="fr-FR"/>
        </w:rPr>
        <w:t>d'</w:t>
      </w:r>
      <w:r w:rsidRPr="00803037">
        <w:rPr>
          <w:lang w:val="fr-FR"/>
        </w:rPr>
        <w:t xml:space="preserve">intérêt en vue de la prochaine CMDT, notamment les futures Questions à </w:t>
      </w:r>
      <w:r w:rsidR="0089542D" w:rsidRPr="00803037">
        <w:rPr>
          <w:lang w:val="fr-FR"/>
        </w:rPr>
        <w:t>l'</w:t>
      </w:r>
      <w:r w:rsidRPr="00803037">
        <w:rPr>
          <w:lang w:val="fr-FR"/>
        </w:rPr>
        <w:t>étude. Avant la date limite pour la soumission des rapports fina</w:t>
      </w:r>
      <w:r w:rsidR="00B6049D" w:rsidRPr="00803037">
        <w:rPr>
          <w:lang w:val="fr-FR"/>
        </w:rPr>
        <w:t>ls</w:t>
      </w:r>
      <w:r w:rsidRPr="00803037">
        <w:rPr>
          <w:lang w:val="fr-FR"/>
        </w:rPr>
        <w:t xml:space="preserve">, le Président de la CE 2 a tenu une réunion distincte avec </w:t>
      </w:r>
      <w:r w:rsidR="0089542D" w:rsidRPr="00803037">
        <w:rPr>
          <w:lang w:val="fr-FR"/>
        </w:rPr>
        <w:t>l'</w:t>
      </w:r>
      <w:r w:rsidRPr="00803037">
        <w:rPr>
          <w:lang w:val="fr-FR"/>
        </w:rPr>
        <w:t>équipe de direction de chaque Question</w:t>
      </w:r>
      <w:r w:rsidRPr="00803037">
        <w:rPr>
          <w:rStyle w:val="FootnoteReference"/>
          <w:lang w:val="fr-FR"/>
        </w:rPr>
        <w:footnoteReference w:id="10"/>
      </w:r>
      <w:r w:rsidRPr="00803037">
        <w:rPr>
          <w:lang w:val="fr-FR"/>
        </w:rPr>
        <w:t xml:space="preserve"> en vue </w:t>
      </w:r>
      <w:r w:rsidR="0089542D" w:rsidRPr="00803037">
        <w:rPr>
          <w:lang w:val="fr-FR"/>
        </w:rPr>
        <w:t>d'</w:t>
      </w:r>
      <w:r w:rsidRPr="00803037">
        <w:rPr>
          <w:lang w:val="fr-FR"/>
        </w:rPr>
        <w:t xml:space="preserve">examiner en détail son projet de rapport et de donner des indications pour </w:t>
      </w:r>
      <w:r w:rsidR="0089542D" w:rsidRPr="00803037">
        <w:rPr>
          <w:lang w:val="fr-FR"/>
        </w:rPr>
        <w:t>l'</w:t>
      </w:r>
      <w:r w:rsidRPr="00803037">
        <w:rPr>
          <w:lang w:val="fr-FR"/>
        </w:rPr>
        <w:t>améliorer.</w:t>
      </w:r>
    </w:p>
    <w:p w14:paraId="2EE599BF" w14:textId="414A2604" w:rsidR="000B3E0D" w:rsidRPr="00803037" w:rsidRDefault="000B3E0D" w:rsidP="000B3E0D">
      <w:pPr>
        <w:rPr>
          <w:lang w:val="fr-FR"/>
        </w:rPr>
      </w:pPr>
      <w:r w:rsidRPr="00803037">
        <w:rPr>
          <w:lang w:val="fr-FR"/>
        </w:rPr>
        <w:t xml:space="preserve">Des coordonnateurs ont été désignés afin de faciliter la collaboration sur les sujets clés. Une liste des sujets et des coordonnateurs désignés figure à </w:t>
      </w:r>
      <w:r w:rsidR="0089542D" w:rsidRPr="00803037">
        <w:rPr>
          <w:lang w:val="fr-FR"/>
        </w:rPr>
        <w:t>l'</w:t>
      </w:r>
      <w:r w:rsidRPr="00803037">
        <w:rPr>
          <w:b/>
          <w:bCs/>
          <w:lang w:val="fr-FR"/>
        </w:rPr>
        <w:t>Annexe 2</w:t>
      </w:r>
      <w:r w:rsidRPr="00803037">
        <w:rPr>
          <w:lang w:val="fr-FR"/>
        </w:rPr>
        <w:t xml:space="preserve"> du présent rapport.</w:t>
      </w:r>
    </w:p>
    <w:p w14:paraId="3947FA38" w14:textId="77777777" w:rsidR="000B3E0D" w:rsidRPr="00803037" w:rsidRDefault="000B3E0D" w:rsidP="000B3E0D">
      <w:pPr>
        <w:rPr>
          <w:lang w:val="fr-FR"/>
        </w:rPr>
      </w:pPr>
      <w:r w:rsidRPr="00803037">
        <w:rPr>
          <w:lang w:val="fr-FR"/>
        </w:rPr>
        <w:lastRenderedPageBreak/>
        <w:t>Enfin, les équipes de direction des sept Groupes du Rapporteur ont tenu des réunions à leur niveau pour assurer une bonne coordination et remplir leur mandat au titre de la Question.</w:t>
      </w:r>
    </w:p>
    <w:p w14:paraId="19571B46" w14:textId="1141ADE9" w:rsidR="000B3E0D" w:rsidRPr="00803037" w:rsidRDefault="000B3E0D" w:rsidP="000B3E0D">
      <w:pPr>
        <w:pStyle w:val="Headingb"/>
        <w:rPr>
          <w:lang w:val="fr-FR"/>
        </w:rPr>
      </w:pPr>
      <w:r w:rsidRPr="00803037">
        <w:rPr>
          <w:lang w:val="fr-FR"/>
        </w:rPr>
        <w:t xml:space="preserve">Réunions de la Commission </w:t>
      </w:r>
      <w:r w:rsidR="0089542D" w:rsidRPr="00803037">
        <w:rPr>
          <w:lang w:val="fr-FR"/>
        </w:rPr>
        <w:t>d'</w:t>
      </w:r>
      <w:r w:rsidRPr="00803037">
        <w:rPr>
          <w:lang w:val="fr-FR"/>
        </w:rPr>
        <w:t>études 2</w:t>
      </w:r>
    </w:p>
    <w:p w14:paraId="3DBE199B" w14:textId="56A9D619" w:rsidR="000B3E0D" w:rsidRPr="00803037" w:rsidRDefault="000B3E0D" w:rsidP="000B3E0D">
      <w:pPr>
        <w:rPr>
          <w:lang w:val="fr-FR"/>
        </w:rPr>
      </w:pPr>
      <w:r w:rsidRPr="00803037">
        <w:rPr>
          <w:lang w:val="fr-FR"/>
        </w:rPr>
        <w:t xml:space="preserve">Au cours de la période </w:t>
      </w:r>
      <w:r w:rsidR="0089542D" w:rsidRPr="00803037">
        <w:rPr>
          <w:lang w:val="fr-FR"/>
        </w:rPr>
        <w:t>d'</w:t>
      </w:r>
      <w:r w:rsidRPr="00803037">
        <w:rPr>
          <w:lang w:val="fr-FR"/>
        </w:rPr>
        <w:t xml:space="preserve">études, la CE 2 </w:t>
      </w:r>
      <w:r w:rsidR="0089542D" w:rsidRPr="00803037">
        <w:rPr>
          <w:lang w:val="fr-FR"/>
        </w:rPr>
        <w:t>s'</w:t>
      </w:r>
      <w:r w:rsidRPr="00803037">
        <w:rPr>
          <w:lang w:val="fr-FR"/>
        </w:rPr>
        <w:t>est réunie six fois. Quatre réunions annuelles ont eu lieu en décembre 2022, en octobre-novembre 2023, en novembre 2024 et en mai 2025. Les RGQ se</w:t>
      </w:r>
      <w:r w:rsidR="00EB60A4" w:rsidRPr="00803037">
        <w:rPr>
          <w:lang w:val="fr-FR"/>
        </w:rPr>
        <w:t> </w:t>
      </w:r>
      <w:r w:rsidRPr="00803037">
        <w:rPr>
          <w:lang w:val="fr-FR"/>
        </w:rPr>
        <w:t xml:space="preserve">sont réunis six fois au cours de la même période: à chaque réunion annuelle de la Commission </w:t>
      </w:r>
      <w:r w:rsidR="0089542D" w:rsidRPr="00803037">
        <w:rPr>
          <w:lang w:val="fr-FR"/>
        </w:rPr>
        <w:t>d'</w:t>
      </w:r>
      <w:r w:rsidRPr="00803037">
        <w:rPr>
          <w:lang w:val="fr-FR"/>
        </w:rPr>
        <w:t>études et, séparément, en mai-juin 2023 et en avril-mai 2024.</w:t>
      </w:r>
    </w:p>
    <w:p w14:paraId="40E92C98" w14:textId="0BF37BE6" w:rsidR="000B3E0D" w:rsidRPr="00803037" w:rsidRDefault="0089542D" w:rsidP="000B3E0D">
      <w:pPr>
        <w:rPr>
          <w:lang w:val="fr-FR"/>
        </w:rPr>
      </w:pPr>
      <w:r w:rsidRPr="00803037">
        <w:rPr>
          <w:lang w:val="fr-FR"/>
        </w:rPr>
        <w:t>L'</w:t>
      </w:r>
      <w:r w:rsidR="000B3E0D" w:rsidRPr="00803037">
        <w:rPr>
          <w:b/>
          <w:bCs/>
          <w:lang w:val="fr-FR"/>
        </w:rPr>
        <w:t>Annexe 3</w:t>
      </w:r>
      <w:r w:rsidR="000B3E0D" w:rsidRPr="00803037">
        <w:rPr>
          <w:lang w:val="fr-FR"/>
        </w:rPr>
        <w:t xml:space="preserve"> contient les dates des réunions de la Commission </w:t>
      </w:r>
      <w:r w:rsidRPr="00803037">
        <w:rPr>
          <w:lang w:val="fr-FR"/>
        </w:rPr>
        <w:t>d'</w:t>
      </w:r>
      <w:r w:rsidR="000B3E0D" w:rsidRPr="00803037">
        <w:rPr>
          <w:lang w:val="fr-FR"/>
        </w:rPr>
        <w:t xml:space="preserve">études et des RGQ tenues pendant la période </w:t>
      </w:r>
      <w:r w:rsidRPr="00803037">
        <w:rPr>
          <w:lang w:val="fr-FR"/>
        </w:rPr>
        <w:t>d'</w:t>
      </w:r>
      <w:r w:rsidR="000B3E0D" w:rsidRPr="00803037">
        <w:rPr>
          <w:lang w:val="fr-FR"/>
        </w:rPr>
        <w:t>études. Une grande partie des travaux a également été effectuée par voie électronique et par correspondance, entre deux réunions en présence.</w:t>
      </w:r>
    </w:p>
    <w:p w14:paraId="4C60A287" w14:textId="77777777" w:rsidR="000B3E0D" w:rsidRPr="00803037" w:rsidRDefault="000B3E0D" w:rsidP="000B3E0D">
      <w:pPr>
        <w:pStyle w:val="Headingb"/>
        <w:rPr>
          <w:lang w:val="fr-FR"/>
        </w:rPr>
      </w:pPr>
      <w:r w:rsidRPr="00803037">
        <w:rPr>
          <w:lang w:val="fr-FR"/>
        </w:rPr>
        <w:t>Première réunion annuelle de la CE 2</w:t>
      </w:r>
    </w:p>
    <w:p w14:paraId="3247F0AE" w14:textId="493F3574" w:rsidR="000B3E0D" w:rsidRPr="00803037" w:rsidRDefault="000B3E0D" w:rsidP="000B3E0D">
      <w:pPr>
        <w:keepNext/>
        <w:keepLines/>
        <w:rPr>
          <w:lang w:val="fr-FR"/>
        </w:rPr>
      </w:pPr>
      <w:r w:rsidRPr="00803037">
        <w:rPr>
          <w:lang w:val="fr-FR"/>
        </w:rPr>
        <w:t xml:space="preserve">La réunion </w:t>
      </w:r>
      <w:r w:rsidR="0089542D" w:rsidRPr="00803037">
        <w:rPr>
          <w:lang w:val="fr-FR"/>
        </w:rPr>
        <w:t>s'</w:t>
      </w:r>
      <w:r w:rsidRPr="00803037">
        <w:rPr>
          <w:lang w:val="fr-FR"/>
        </w:rPr>
        <w:t>est tenue à Genève du 5 au 9 décembre 2022. Les participants ont pris les principales mesures et décisions suivantes:</w:t>
      </w:r>
    </w:p>
    <w:p w14:paraId="0CE922AC" w14:textId="15AA8444" w:rsidR="000B3E0D" w:rsidRPr="00803037" w:rsidRDefault="000B3E0D" w:rsidP="000B3E0D">
      <w:pPr>
        <w:pStyle w:val="enumlev1"/>
        <w:rPr>
          <w:lang w:val="fr-FR"/>
        </w:rPr>
      </w:pPr>
      <w:r w:rsidRPr="00803037">
        <w:rPr>
          <w:lang w:val="fr-FR"/>
        </w:rPr>
        <w:t>–</w:t>
      </w:r>
      <w:r w:rsidRPr="00803037">
        <w:rPr>
          <w:lang w:val="fr-FR"/>
        </w:rPr>
        <w:tab/>
        <w:t xml:space="preserve">Examen des principaux résultats de la période </w:t>
      </w:r>
      <w:r w:rsidR="0089542D" w:rsidRPr="00803037">
        <w:rPr>
          <w:lang w:val="fr-FR"/>
        </w:rPr>
        <w:t>d'</w:t>
      </w:r>
      <w:r w:rsidRPr="00803037">
        <w:rPr>
          <w:lang w:val="fr-FR"/>
        </w:rPr>
        <w:t xml:space="preserve">études précédente (2018-2021), du programme de travail de la CE 2 et des attentes pour la période </w:t>
      </w:r>
      <w:r w:rsidR="0089542D" w:rsidRPr="00803037">
        <w:rPr>
          <w:lang w:val="fr-FR"/>
        </w:rPr>
        <w:t>d'</w:t>
      </w:r>
      <w:r w:rsidRPr="00803037">
        <w:rPr>
          <w:lang w:val="fr-FR"/>
        </w:rPr>
        <w:t>études 2022-2025.</w:t>
      </w:r>
    </w:p>
    <w:p w14:paraId="66E3E3B1" w14:textId="3E8A30C6" w:rsidR="000B3E0D" w:rsidRPr="00803037" w:rsidRDefault="000B3E0D" w:rsidP="000B3E0D">
      <w:pPr>
        <w:pStyle w:val="enumlev1"/>
        <w:rPr>
          <w:lang w:val="fr-FR"/>
        </w:rPr>
      </w:pPr>
      <w:r w:rsidRPr="00803037">
        <w:rPr>
          <w:lang w:val="fr-FR"/>
        </w:rPr>
        <w:t>–</w:t>
      </w:r>
      <w:r w:rsidRPr="00803037">
        <w:rPr>
          <w:lang w:val="fr-FR"/>
        </w:rPr>
        <w:tab/>
        <w:t xml:space="preserve">Désignation de nouveaux Rapporteurs, Corapporteurs et Vice-Rapporteurs pour diriger les travaux menés au titre des Questions à </w:t>
      </w:r>
      <w:r w:rsidR="0089542D" w:rsidRPr="00803037">
        <w:rPr>
          <w:lang w:val="fr-FR"/>
        </w:rPr>
        <w:t>l'</w:t>
      </w:r>
      <w:r w:rsidRPr="00803037">
        <w:rPr>
          <w:lang w:val="fr-FR"/>
        </w:rPr>
        <w:t>étude.</w:t>
      </w:r>
    </w:p>
    <w:p w14:paraId="4FA2FAE1" w14:textId="3D1EB107" w:rsidR="000B3E0D" w:rsidRPr="00803037" w:rsidRDefault="000B3E0D" w:rsidP="000B3E0D">
      <w:pPr>
        <w:pStyle w:val="enumlev1"/>
        <w:rPr>
          <w:lang w:val="fr-FR"/>
        </w:rPr>
      </w:pPr>
      <w:r w:rsidRPr="00803037">
        <w:rPr>
          <w:lang w:val="fr-FR"/>
        </w:rPr>
        <w:t>–</w:t>
      </w:r>
      <w:r w:rsidRPr="00803037">
        <w:rPr>
          <w:lang w:val="fr-FR"/>
        </w:rPr>
        <w:tab/>
        <w:t xml:space="preserve">Désignation des coordonnateurs (principalement les vice-présidents) pour des sujets </w:t>
      </w:r>
      <w:r w:rsidR="0089542D" w:rsidRPr="00803037">
        <w:rPr>
          <w:lang w:val="fr-FR"/>
        </w:rPr>
        <w:t>d'</w:t>
      </w:r>
      <w:r w:rsidRPr="00803037">
        <w:rPr>
          <w:lang w:val="fr-FR"/>
        </w:rPr>
        <w:t>intérêt particuliers.</w:t>
      </w:r>
    </w:p>
    <w:p w14:paraId="3A7F7410" w14:textId="77777777" w:rsidR="000B3E0D" w:rsidRPr="00803037" w:rsidRDefault="000B3E0D" w:rsidP="000B3E0D">
      <w:pPr>
        <w:pStyle w:val="enumlev1"/>
        <w:rPr>
          <w:lang w:val="fr-FR"/>
        </w:rPr>
      </w:pPr>
      <w:r w:rsidRPr="00803037">
        <w:rPr>
          <w:lang w:val="fr-FR"/>
        </w:rPr>
        <w:t>–</w:t>
      </w:r>
      <w:r w:rsidRPr="00803037">
        <w:rPr>
          <w:lang w:val="fr-FR"/>
        </w:rPr>
        <w:tab/>
        <w:t>Élaboration des projets de programme de travail et de table des matières pour chaque Question afin de commencer les travaux.</w:t>
      </w:r>
    </w:p>
    <w:p w14:paraId="469459FC" w14:textId="75F7335A" w:rsidR="000B3E0D" w:rsidRPr="00803037" w:rsidRDefault="000B3E0D" w:rsidP="000B3E0D">
      <w:pPr>
        <w:pStyle w:val="enumlev1"/>
        <w:rPr>
          <w:lang w:val="fr-FR"/>
        </w:rPr>
      </w:pPr>
      <w:r w:rsidRPr="00803037">
        <w:rPr>
          <w:lang w:val="fr-FR"/>
        </w:rPr>
        <w:t>–</w:t>
      </w:r>
      <w:r w:rsidRPr="00803037">
        <w:rPr>
          <w:lang w:val="fr-FR"/>
        </w:rPr>
        <w:tab/>
        <w:t xml:space="preserve">Organisation </w:t>
      </w:r>
      <w:r w:rsidR="0089542D" w:rsidRPr="00803037">
        <w:rPr>
          <w:lang w:val="fr-FR"/>
        </w:rPr>
        <w:t>d'</w:t>
      </w:r>
      <w:r w:rsidRPr="00803037">
        <w:rPr>
          <w:lang w:val="fr-FR"/>
        </w:rPr>
        <w:t xml:space="preserve">une séance pour présenter les commissions </w:t>
      </w:r>
      <w:r w:rsidR="0089542D" w:rsidRPr="00803037">
        <w:rPr>
          <w:lang w:val="fr-FR"/>
        </w:rPr>
        <w:t>d'</w:t>
      </w:r>
      <w:r w:rsidRPr="00803037">
        <w:rPr>
          <w:lang w:val="fr-FR"/>
        </w:rPr>
        <w:t>études et fournir des informations aux participants afin de les aider à prendre part aux travaux (</w:t>
      </w:r>
      <w:hyperlink r:id="rId29" w:history="1">
        <w:r w:rsidRPr="00803037">
          <w:rPr>
            <w:rStyle w:val="Hyperlink"/>
            <w:lang w:val="fr-FR"/>
          </w:rPr>
          <w:t>présentation</w:t>
        </w:r>
      </w:hyperlink>
      <w:r w:rsidRPr="00803037">
        <w:rPr>
          <w:lang w:val="fr-FR"/>
        </w:rPr>
        <w:t>).</w:t>
      </w:r>
    </w:p>
    <w:p w14:paraId="444D0006" w14:textId="0ABE70BA" w:rsidR="000B3E0D" w:rsidRPr="00803037" w:rsidRDefault="000B3E0D" w:rsidP="000B3E0D">
      <w:pPr>
        <w:pStyle w:val="enumlev1"/>
        <w:rPr>
          <w:lang w:val="fr-FR"/>
        </w:rPr>
      </w:pPr>
      <w:r w:rsidRPr="00803037">
        <w:rPr>
          <w:lang w:val="fr-FR"/>
        </w:rPr>
        <w:t>–</w:t>
      </w:r>
      <w:r w:rsidRPr="00803037">
        <w:rPr>
          <w:lang w:val="fr-FR"/>
        </w:rPr>
        <w:tab/>
        <w:t xml:space="preserve">Examen de plusieurs thèmes de collaboration future, notamment avec </w:t>
      </w:r>
      <w:r w:rsidR="0089542D" w:rsidRPr="00803037">
        <w:rPr>
          <w:lang w:val="fr-FR"/>
        </w:rPr>
        <w:t>d'</w:t>
      </w:r>
      <w:r w:rsidRPr="00803037">
        <w:rPr>
          <w:lang w:val="fr-FR"/>
        </w:rPr>
        <w:t xml:space="preserve">autres Secteurs de </w:t>
      </w:r>
      <w:r w:rsidR="0089542D" w:rsidRPr="00803037">
        <w:rPr>
          <w:lang w:val="fr-FR"/>
        </w:rPr>
        <w:t>l'</w:t>
      </w:r>
      <w:r w:rsidRPr="00803037">
        <w:rPr>
          <w:lang w:val="fr-FR"/>
        </w:rPr>
        <w:t>UIT, la Résolution 9 (Rév. Kigali, 2022) de la CMDT, et des synergies avec les travaux statistiques et les projets du BDT.</w:t>
      </w:r>
    </w:p>
    <w:p w14:paraId="5906BA19" w14:textId="58ADA877" w:rsidR="000B3E0D" w:rsidRPr="00803037" w:rsidRDefault="000B3E0D" w:rsidP="000B3E0D">
      <w:pPr>
        <w:rPr>
          <w:lang w:val="fr-FR"/>
        </w:rPr>
      </w:pPr>
      <w:r w:rsidRPr="00803037">
        <w:rPr>
          <w:lang w:val="fr-FR"/>
        </w:rPr>
        <w:t xml:space="preserve">Le rapport de cette réunion est </w:t>
      </w:r>
      <w:r w:rsidR="0089542D" w:rsidRPr="00803037">
        <w:rPr>
          <w:lang w:val="fr-FR"/>
        </w:rPr>
        <w:t>l'</w:t>
      </w:r>
      <w:r w:rsidRPr="00803037">
        <w:rPr>
          <w:lang w:val="fr-FR"/>
        </w:rPr>
        <w:t xml:space="preserve">objet du </w:t>
      </w:r>
      <w:r w:rsidR="00901403" w:rsidRPr="00803037">
        <w:rPr>
          <w:lang w:val="fr-FR"/>
        </w:rPr>
        <w:t xml:space="preserve">Document </w:t>
      </w:r>
      <w:hyperlink r:id="rId30" w:history="1">
        <w:r w:rsidR="00901403" w:rsidRPr="00803037">
          <w:rPr>
            <w:rStyle w:val="Hyperlink"/>
            <w:lang w:val="fr-FR"/>
          </w:rPr>
          <w:t>2/REP/8</w:t>
        </w:r>
      </w:hyperlink>
      <w:r w:rsidRPr="00803037">
        <w:rPr>
          <w:lang w:val="fr-FR"/>
        </w:rPr>
        <w:t>.</w:t>
      </w:r>
    </w:p>
    <w:p w14:paraId="721E3BB4" w14:textId="77777777" w:rsidR="000B3E0D" w:rsidRPr="00803037" w:rsidRDefault="000B3E0D" w:rsidP="000B3E0D">
      <w:pPr>
        <w:pStyle w:val="Headingb"/>
        <w:rPr>
          <w:lang w:val="fr-FR"/>
        </w:rPr>
      </w:pPr>
      <w:r w:rsidRPr="00803037">
        <w:rPr>
          <w:lang w:val="fr-FR"/>
        </w:rPr>
        <w:t>Deuxième réunion annuelle de la CE 2</w:t>
      </w:r>
    </w:p>
    <w:p w14:paraId="0CE55471" w14:textId="27615580" w:rsidR="000B3E0D" w:rsidRPr="00803037" w:rsidRDefault="000B3E0D" w:rsidP="000B3E0D">
      <w:pPr>
        <w:rPr>
          <w:lang w:val="fr-FR"/>
        </w:rPr>
      </w:pPr>
      <w:r w:rsidRPr="00803037">
        <w:rPr>
          <w:lang w:val="fr-FR"/>
        </w:rPr>
        <w:t xml:space="preserve">La réunion </w:t>
      </w:r>
      <w:r w:rsidR="0089542D" w:rsidRPr="00803037">
        <w:rPr>
          <w:lang w:val="fr-FR"/>
        </w:rPr>
        <w:t>s'</w:t>
      </w:r>
      <w:r w:rsidRPr="00803037">
        <w:rPr>
          <w:lang w:val="fr-FR"/>
        </w:rPr>
        <w:t>est tenue à Genève du 30 octobre au 3 novembre 2023. Les participants ont pris les principales mesures suivantes:</w:t>
      </w:r>
    </w:p>
    <w:p w14:paraId="54E523D4" w14:textId="1F104801" w:rsidR="000B3E0D" w:rsidRPr="00803037" w:rsidRDefault="000B3E0D" w:rsidP="000B3E0D">
      <w:pPr>
        <w:pStyle w:val="enumlev1"/>
        <w:rPr>
          <w:lang w:val="fr-FR"/>
        </w:rPr>
      </w:pPr>
      <w:r w:rsidRPr="00803037">
        <w:rPr>
          <w:lang w:val="fr-FR"/>
        </w:rPr>
        <w:t>–</w:t>
      </w:r>
      <w:r w:rsidRPr="00803037">
        <w:rPr>
          <w:lang w:val="fr-FR"/>
        </w:rPr>
        <w:tab/>
        <w:t xml:space="preserve">Désignation </w:t>
      </w:r>
      <w:r w:rsidR="0089542D" w:rsidRPr="00803037">
        <w:rPr>
          <w:lang w:val="fr-FR"/>
        </w:rPr>
        <w:t>d'</w:t>
      </w:r>
      <w:r w:rsidRPr="00803037">
        <w:rPr>
          <w:lang w:val="fr-FR"/>
        </w:rPr>
        <w:t xml:space="preserve">un </w:t>
      </w:r>
      <w:r w:rsidR="009654D4" w:rsidRPr="00803037">
        <w:rPr>
          <w:lang w:val="fr-FR"/>
        </w:rPr>
        <w:t>V</w:t>
      </w:r>
      <w:r w:rsidRPr="00803037">
        <w:rPr>
          <w:lang w:val="fr-FR"/>
        </w:rPr>
        <w:t>ice-</w:t>
      </w:r>
      <w:r w:rsidR="009654D4" w:rsidRPr="00803037">
        <w:rPr>
          <w:lang w:val="fr-FR"/>
        </w:rPr>
        <w:t>P</w:t>
      </w:r>
      <w:r w:rsidRPr="00803037">
        <w:rPr>
          <w:lang w:val="fr-FR"/>
        </w:rPr>
        <w:t xml:space="preserve">résident (région Europe), de 3 Corapporteurs et </w:t>
      </w:r>
      <w:r w:rsidR="0089542D" w:rsidRPr="00803037">
        <w:rPr>
          <w:lang w:val="fr-FR"/>
        </w:rPr>
        <w:t>d'</w:t>
      </w:r>
      <w:r w:rsidRPr="00803037">
        <w:rPr>
          <w:lang w:val="fr-FR"/>
        </w:rPr>
        <w:t>un </w:t>
      </w:r>
      <w:r w:rsidR="00051E79" w:rsidRPr="00803037">
        <w:rPr>
          <w:lang w:val="fr-FR"/>
        </w:rPr>
        <w:t>V</w:t>
      </w:r>
      <w:r w:rsidRPr="00803037">
        <w:rPr>
          <w:lang w:val="fr-FR"/>
        </w:rPr>
        <w:t>ice</w:t>
      </w:r>
      <w:r w:rsidRPr="00803037">
        <w:rPr>
          <w:lang w:val="fr-FR"/>
        </w:rPr>
        <w:noBreakHyphen/>
        <w:t>Rapporteur pour renforcer les équipes de direction et remplacer les personnes qui occupaient précédemment ces fonctions, et qui ont démissionné en raison de leur évolution professionnelle.</w:t>
      </w:r>
    </w:p>
    <w:p w14:paraId="759C5F5E" w14:textId="47922C69" w:rsidR="000B3E0D" w:rsidRPr="00803037" w:rsidRDefault="000B3E0D" w:rsidP="000B3E0D">
      <w:pPr>
        <w:pStyle w:val="enumlev1"/>
        <w:rPr>
          <w:lang w:val="fr-FR"/>
        </w:rPr>
      </w:pPr>
      <w:r w:rsidRPr="00803037">
        <w:rPr>
          <w:lang w:val="fr-FR"/>
        </w:rPr>
        <w:t>–</w:t>
      </w:r>
      <w:r w:rsidRPr="00803037">
        <w:rPr>
          <w:lang w:val="fr-FR"/>
        </w:rPr>
        <w:tab/>
        <w:t xml:space="preserve">Approbation </w:t>
      </w:r>
      <w:r w:rsidR="0089542D" w:rsidRPr="00803037">
        <w:rPr>
          <w:lang w:val="fr-FR"/>
        </w:rPr>
        <w:t>d'</w:t>
      </w:r>
      <w:r w:rsidRPr="00803037">
        <w:rPr>
          <w:lang w:val="fr-FR"/>
        </w:rPr>
        <w:t xml:space="preserve">un produit intérimaire élaboré par </w:t>
      </w:r>
      <w:r w:rsidR="0089542D" w:rsidRPr="00803037">
        <w:rPr>
          <w:lang w:val="fr-FR"/>
        </w:rPr>
        <w:t>l'</w:t>
      </w:r>
      <w:r w:rsidRPr="00803037">
        <w:rPr>
          <w:lang w:val="fr-FR"/>
        </w:rPr>
        <w:t>équipe de direction chargée de la Question 3/2 (</w:t>
      </w:r>
      <w:r w:rsidR="00700A62" w:rsidRPr="00803037">
        <w:rPr>
          <w:lang w:val="fr-FR"/>
        </w:rPr>
        <w:t>"</w:t>
      </w:r>
      <w:r w:rsidRPr="00803037">
        <w:rPr>
          <w:lang w:val="fr-FR"/>
        </w:rPr>
        <w:t xml:space="preserve">Pratiques en matière </w:t>
      </w:r>
      <w:r w:rsidR="0089542D" w:rsidRPr="00803037">
        <w:rPr>
          <w:lang w:val="fr-FR"/>
        </w:rPr>
        <w:t>d'</w:t>
      </w:r>
      <w:r w:rsidRPr="00803037">
        <w:rPr>
          <w:lang w:val="fr-FR"/>
        </w:rPr>
        <w:t>assurance de la cybersécurité</w:t>
      </w:r>
      <w:r w:rsidR="00700A62" w:rsidRPr="00803037">
        <w:rPr>
          <w:lang w:val="fr-FR"/>
        </w:rPr>
        <w:t>"</w:t>
      </w:r>
      <w:r w:rsidRPr="00803037">
        <w:rPr>
          <w:lang w:val="fr-FR"/>
        </w:rPr>
        <w:t xml:space="preserve">). Ce document décrit le paysage mondial de </w:t>
      </w:r>
      <w:r w:rsidR="0089542D" w:rsidRPr="00803037">
        <w:rPr>
          <w:lang w:val="fr-FR"/>
        </w:rPr>
        <w:t>l'</w:t>
      </w:r>
      <w:r w:rsidRPr="00803037">
        <w:rPr>
          <w:lang w:val="fr-FR"/>
        </w:rPr>
        <w:t>assurance de la cybersécurité dans divers domaines (Internet des objets, télécommunications, etc.) en présentant un large éventail de pratiques adoptées et de perspectives offertes dans le monde entier.</w:t>
      </w:r>
    </w:p>
    <w:p w14:paraId="0B0393CF" w14:textId="680965DD" w:rsidR="000B3E0D" w:rsidRPr="00803037" w:rsidRDefault="000B3E0D" w:rsidP="000B3E0D">
      <w:pPr>
        <w:pStyle w:val="enumlev1"/>
        <w:rPr>
          <w:lang w:val="fr-FR"/>
        </w:rPr>
      </w:pPr>
      <w:r w:rsidRPr="00803037">
        <w:rPr>
          <w:lang w:val="fr-FR"/>
        </w:rPr>
        <w:lastRenderedPageBreak/>
        <w:t>–</w:t>
      </w:r>
      <w:r w:rsidRPr="00803037">
        <w:rPr>
          <w:lang w:val="fr-FR"/>
        </w:rPr>
        <w:tab/>
        <w:t xml:space="preserve">Élaboration et consolidation </w:t>
      </w:r>
      <w:r w:rsidR="0089542D" w:rsidRPr="00803037">
        <w:rPr>
          <w:lang w:val="fr-FR"/>
        </w:rPr>
        <w:t>d'</w:t>
      </w:r>
      <w:r w:rsidRPr="00803037">
        <w:rPr>
          <w:lang w:val="fr-FR"/>
        </w:rPr>
        <w:t xml:space="preserve">un tableau de mise en correspondances des Questions confiées à </w:t>
      </w:r>
      <w:r w:rsidR="0089542D" w:rsidRPr="00803037">
        <w:rPr>
          <w:lang w:val="fr-FR"/>
        </w:rPr>
        <w:t>l'</w:t>
      </w:r>
      <w:r w:rsidRPr="00803037">
        <w:rPr>
          <w:lang w:val="fr-FR"/>
        </w:rPr>
        <w:t xml:space="preserve">UIT-D avec les autres Secteurs de </w:t>
      </w:r>
      <w:r w:rsidR="0089542D" w:rsidRPr="00803037">
        <w:rPr>
          <w:lang w:val="fr-FR"/>
        </w:rPr>
        <w:t>l'</w:t>
      </w:r>
      <w:r w:rsidRPr="00803037">
        <w:rPr>
          <w:lang w:val="fr-FR"/>
        </w:rPr>
        <w:t>UIT.</w:t>
      </w:r>
    </w:p>
    <w:p w14:paraId="234A2D04" w14:textId="17FF5F33" w:rsidR="000B3E0D" w:rsidRPr="00803037" w:rsidRDefault="000B3E0D" w:rsidP="000B3E0D">
      <w:pPr>
        <w:pStyle w:val="enumlev1"/>
        <w:rPr>
          <w:lang w:val="fr-FR"/>
        </w:rPr>
      </w:pPr>
      <w:r w:rsidRPr="00803037">
        <w:rPr>
          <w:lang w:val="fr-FR"/>
        </w:rPr>
        <w:t>–</w:t>
      </w:r>
      <w:r w:rsidRPr="00803037">
        <w:rPr>
          <w:lang w:val="fr-FR"/>
        </w:rPr>
        <w:tab/>
        <w:t xml:space="preserve">Organisation de deux séances </w:t>
      </w:r>
      <w:r w:rsidR="0089542D" w:rsidRPr="00803037">
        <w:rPr>
          <w:lang w:val="fr-FR"/>
        </w:rPr>
        <w:t>d'</w:t>
      </w:r>
      <w:r w:rsidRPr="00803037">
        <w:rPr>
          <w:lang w:val="fr-FR"/>
        </w:rPr>
        <w:t xml:space="preserve">information: lors de la première, le nouveau produit intérimaire sur les pratiques en matière </w:t>
      </w:r>
      <w:r w:rsidR="0089542D" w:rsidRPr="00803037">
        <w:rPr>
          <w:lang w:val="fr-FR"/>
        </w:rPr>
        <w:t>d'</w:t>
      </w:r>
      <w:r w:rsidRPr="00803037">
        <w:rPr>
          <w:lang w:val="fr-FR"/>
        </w:rPr>
        <w:t>assurance de la cybersécurité a été présenté (</w:t>
      </w:r>
      <w:hyperlink r:id="rId31" w:history="1">
        <w:r w:rsidRPr="00803037">
          <w:rPr>
            <w:rStyle w:val="Hyperlink"/>
            <w:lang w:val="fr-FR"/>
          </w:rPr>
          <w:t>programme</w:t>
        </w:r>
      </w:hyperlink>
      <w:r w:rsidRPr="00803037">
        <w:rPr>
          <w:lang w:val="fr-FR"/>
        </w:rPr>
        <w:t xml:space="preserve">, </w:t>
      </w:r>
      <w:hyperlink r:id="rId32" w:history="1">
        <w:r w:rsidRPr="00803037">
          <w:rPr>
            <w:rStyle w:val="Hyperlink"/>
            <w:lang w:val="fr-FR"/>
          </w:rPr>
          <w:t>rapport</w:t>
        </w:r>
      </w:hyperlink>
      <w:r w:rsidRPr="00803037">
        <w:rPr>
          <w:lang w:val="fr-FR"/>
        </w:rPr>
        <w:t xml:space="preserve"> (voir Annexe 5)), et, lors de la seconde, une sélection de projets de </w:t>
      </w:r>
      <w:r w:rsidR="0089542D" w:rsidRPr="00803037">
        <w:rPr>
          <w:lang w:val="fr-FR"/>
        </w:rPr>
        <w:t>l'</w:t>
      </w:r>
      <w:r w:rsidRPr="00803037">
        <w:rPr>
          <w:lang w:val="fr-FR"/>
        </w:rPr>
        <w:t>UIT relatifs à la transformation numérique et leur incidence sur le terrain ont été présentés (</w:t>
      </w:r>
      <w:hyperlink r:id="rId33" w:history="1">
        <w:r w:rsidRPr="00803037">
          <w:rPr>
            <w:rStyle w:val="Hyperlink"/>
            <w:lang w:val="fr-FR"/>
          </w:rPr>
          <w:t>programme</w:t>
        </w:r>
      </w:hyperlink>
      <w:r w:rsidRPr="00803037">
        <w:rPr>
          <w:lang w:val="fr-FR"/>
        </w:rPr>
        <w:t xml:space="preserve">, </w:t>
      </w:r>
      <w:hyperlink r:id="rId34" w:history="1">
        <w:r w:rsidRPr="00803037">
          <w:rPr>
            <w:rStyle w:val="Hyperlink"/>
            <w:lang w:val="fr-FR"/>
          </w:rPr>
          <w:t>rapport</w:t>
        </w:r>
      </w:hyperlink>
      <w:r w:rsidRPr="00803037">
        <w:rPr>
          <w:lang w:val="fr-FR"/>
        </w:rPr>
        <w:t xml:space="preserve"> (voir Annexe 6)).</w:t>
      </w:r>
    </w:p>
    <w:p w14:paraId="6FADAA7F" w14:textId="64063ABB" w:rsidR="000B3E0D" w:rsidRPr="00803037" w:rsidRDefault="000B3E0D" w:rsidP="000B3E0D">
      <w:pPr>
        <w:pStyle w:val="enumlev1"/>
        <w:rPr>
          <w:lang w:val="fr-FR"/>
        </w:rPr>
      </w:pPr>
      <w:r w:rsidRPr="00803037">
        <w:rPr>
          <w:lang w:val="fr-FR"/>
        </w:rPr>
        <w:t>–</w:t>
      </w:r>
      <w:r w:rsidRPr="00803037">
        <w:rPr>
          <w:lang w:val="fr-FR"/>
        </w:rPr>
        <w:tab/>
        <w:t xml:space="preserve">Organisation </w:t>
      </w:r>
      <w:r w:rsidR="0089542D" w:rsidRPr="00803037">
        <w:rPr>
          <w:lang w:val="fr-FR"/>
        </w:rPr>
        <w:t>d'</w:t>
      </w:r>
      <w:r w:rsidRPr="00803037">
        <w:rPr>
          <w:lang w:val="fr-FR"/>
        </w:rPr>
        <w:t xml:space="preserve">un débat informel sur la participation des jeunes a également eu lieu entre certains jeunes membres et les équipes de direction de la CE 2, afin </w:t>
      </w:r>
      <w:r w:rsidR="0089542D" w:rsidRPr="00803037">
        <w:rPr>
          <w:lang w:val="fr-FR"/>
        </w:rPr>
        <w:t>d'</w:t>
      </w:r>
      <w:r w:rsidRPr="00803037">
        <w:rPr>
          <w:lang w:val="fr-FR"/>
        </w:rPr>
        <w:t xml:space="preserve">étudier comment les jeunes participants pourraient </w:t>
      </w:r>
      <w:r w:rsidR="0089542D" w:rsidRPr="00803037">
        <w:rPr>
          <w:lang w:val="fr-FR"/>
        </w:rPr>
        <w:t>s'</w:t>
      </w:r>
      <w:r w:rsidRPr="00803037">
        <w:rPr>
          <w:lang w:val="fr-FR"/>
        </w:rPr>
        <w:t xml:space="preserve">investir davantage dans les travaux des commissions </w:t>
      </w:r>
      <w:r w:rsidR="0089542D" w:rsidRPr="00803037">
        <w:rPr>
          <w:lang w:val="fr-FR"/>
        </w:rPr>
        <w:t>d'</w:t>
      </w:r>
      <w:r w:rsidRPr="00803037">
        <w:rPr>
          <w:lang w:val="fr-FR"/>
        </w:rPr>
        <w:t>études.</w:t>
      </w:r>
    </w:p>
    <w:p w14:paraId="7472C53E" w14:textId="25D04104" w:rsidR="000B3E0D" w:rsidRPr="00803037" w:rsidRDefault="000B3E0D" w:rsidP="000B3E0D">
      <w:pPr>
        <w:pStyle w:val="enumlev1"/>
        <w:rPr>
          <w:lang w:val="fr-FR"/>
        </w:rPr>
      </w:pPr>
      <w:r w:rsidRPr="00803037">
        <w:rPr>
          <w:lang w:val="fr-FR"/>
        </w:rPr>
        <w:t>–</w:t>
      </w:r>
      <w:r w:rsidRPr="00803037">
        <w:rPr>
          <w:lang w:val="fr-FR"/>
        </w:rPr>
        <w:tab/>
        <w:t xml:space="preserve">Poursuite de </w:t>
      </w:r>
      <w:r w:rsidR="0089542D" w:rsidRPr="00803037">
        <w:rPr>
          <w:lang w:val="fr-FR"/>
        </w:rPr>
        <w:t>l'</w:t>
      </w:r>
      <w:r w:rsidRPr="00803037">
        <w:rPr>
          <w:lang w:val="fr-FR"/>
        </w:rPr>
        <w:t>examen de plusieurs thèmes de collaboration future, en particulier avec le Groupe du Rapporteur sur la transformation numérique durable (RG-DT) du Groupe consultatif de la normalisation des télécommunications (GCNT), auquel une note de liaison a été envoyée pour informer sur les activités de la CE 2.</w:t>
      </w:r>
    </w:p>
    <w:p w14:paraId="7205C625" w14:textId="18C92C1C" w:rsidR="000B3E0D" w:rsidRPr="00803037" w:rsidRDefault="000B3E0D" w:rsidP="000B3E0D">
      <w:pPr>
        <w:rPr>
          <w:lang w:val="fr-FR"/>
        </w:rPr>
      </w:pPr>
      <w:r w:rsidRPr="00803037">
        <w:rPr>
          <w:lang w:val="fr-FR"/>
        </w:rPr>
        <w:t xml:space="preserve">Le rapport de cette réunion est </w:t>
      </w:r>
      <w:r w:rsidR="0089542D" w:rsidRPr="00803037">
        <w:rPr>
          <w:lang w:val="fr-FR"/>
        </w:rPr>
        <w:t>l'</w:t>
      </w:r>
      <w:r w:rsidRPr="00803037">
        <w:rPr>
          <w:lang w:val="fr-FR"/>
        </w:rPr>
        <w:t xml:space="preserve">objet du </w:t>
      </w:r>
      <w:r w:rsidR="00901403" w:rsidRPr="00803037">
        <w:rPr>
          <w:lang w:val="fr-FR"/>
        </w:rPr>
        <w:t xml:space="preserve">Document </w:t>
      </w:r>
      <w:hyperlink r:id="rId35" w:history="1">
        <w:r w:rsidR="00901403" w:rsidRPr="00803037">
          <w:rPr>
            <w:rStyle w:val="Hyperlink"/>
            <w:lang w:val="fr-FR"/>
          </w:rPr>
          <w:t>2/REP/9</w:t>
        </w:r>
      </w:hyperlink>
      <w:r w:rsidRPr="00803037">
        <w:rPr>
          <w:lang w:val="fr-FR"/>
        </w:rPr>
        <w:t>.</w:t>
      </w:r>
    </w:p>
    <w:p w14:paraId="628F6590" w14:textId="77777777" w:rsidR="000B3E0D" w:rsidRPr="00803037" w:rsidRDefault="000B3E0D" w:rsidP="00375F89">
      <w:pPr>
        <w:pStyle w:val="Headingb"/>
        <w:keepNext/>
        <w:keepLines/>
        <w:rPr>
          <w:lang w:val="fr-FR"/>
        </w:rPr>
      </w:pPr>
      <w:r w:rsidRPr="00803037">
        <w:rPr>
          <w:lang w:val="fr-FR"/>
        </w:rPr>
        <w:t>Troisième réunion annuelle de la CE 2</w:t>
      </w:r>
    </w:p>
    <w:p w14:paraId="32382359" w14:textId="74F226A5" w:rsidR="000B3E0D" w:rsidRPr="00803037" w:rsidRDefault="000B3E0D" w:rsidP="00375F89">
      <w:pPr>
        <w:keepNext/>
        <w:keepLines/>
        <w:rPr>
          <w:lang w:val="fr-FR"/>
        </w:rPr>
      </w:pPr>
      <w:r w:rsidRPr="00803037">
        <w:rPr>
          <w:lang w:val="fr-FR"/>
        </w:rPr>
        <w:t xml:space="preserve">La réunion </w:t>
      </w:r>
      <w:r w:rsidR="0089542D" w:rsidRPr="00803037">
        <w:rPr>
          <w:lang w:val="fr-FR"/>
        </w:rPr>
        <w:t>s'</w:t>
      </w:r>
      <w:r w:rsidRPr="00803037">
        <w:rPr>
          <w:lang w:val="fr-FR"/>
        </w:rPr>
        <w:t>est tenue à Genève du 11 au 15 novembre 2024. Les participants ont pris les principales mesures et décisions suivantes:</w:t>
      </w:r>
    </w:p>
    <w:p w14:paraId="2EB0E599" w14:textId="4D5530BE" w:rsidR="000B3E0D" w:rsidRPr="00803037" w:rsidRDefault="000B3E0D" w:rsidP="000B3E0D">
      <w:pPr>
        <w:pStyle w:val="enumlev1"/>
        <w:rPr>
          <w:lang w:val="fr-FR"/>
        </w:rPr>
      </w:pPr>
      <w:r w:rsidRPr="00803037">
        <w:rPr>
          <w:lang w:val="fr-FR"/>
        </w:rPr>
        <w:t>–</w:t>
      </w:r>
      <w:r w:rsidRPr="00803037">
        <w:rPr>
          <w:lang w:val="fr-FR"/>
        </w:rPr>
        <w:tab/>
        <w:t xml:space="preserve">Désignation </w:t>
      </w:r>
      <w:r w:rsidR="0089542D" w:rsidRPr="00803037">
        <w:rPr>
          <w:lang w:val="fr-FR"/>
        </w:rPr>
        <w:t>d'</w:t>
      </w:r>
      <w:r w:rsidRPr="00803037">
        <w:rPr>
          <w:lang w:val="fr-FR"/>
        </w:rPr>
        <w:t xml:space="preserve">un </w:t>
      </w:r>
      <w:r w:rsidR="00CF2F46" w:rsidRPr="00803037">
        <w:rPr>
          <w:lang w:val="fr-FR"/>
        </w:rPr>
        <w:t>V</w:t>
      </w:r>
      <w:r w:rsidRPr="00803037">
        <w:rPr>
          <w:lang w:val="fr-FR"/>
        </w:rPr>
        <w:t>ice-</w:t>
      </w:r>
      <w:r w:rsidR="00E23CDB" w:rsidRPr="00803037">
        <w:rPr>
          <w:lang w:val="fr-FR"/>
        </w:rPr>
        <w:t>P</w:t>
      </w:r>
      <w:r w:rsidRPr="00803037">
        <w:rPr>
          <w:lang w:val="fr-FR"/>
        </w:rPr>
        <w:t xml:space="preserve">résident (région CIS), </w:t>
      </w:r>
      <w:r w:rsidR="0089542D" w:rsidRPr="00803037">
        <w:rPr>
          <w:lang w:val="fr-FR"/>
        </w:rPr>
        <w:t>d'</w:t>
      </w:r>
      <w:r w:rsidRPr="00803037">
        <w:rPr>
          <w:lang w:val="fr-FR"/>
        </w:rPr>
        <w:t xml:space="preserve">un </w:t>
      </w:r>
      <w:r w:rsidR="00CF2F46" w:rsidRPr="00803037">
        <w:rPr>
          <w:lang w:val="fr-FR"/>
        </w:rPr>
        <w:t>C</w:t>
      </w:r>
      <w:r w:rsidRPr="00803037">
        <w:rPr>
          <w:lang w:val="fr-FR"/>
        </w:rPr>
        <w:t>orapporteur et de</w:t>
      </w:r>
      <w:r w:rsidR="00FD0921" w:rsidRPr="00803037">
        <w:rPr>
          <w:lang w:val="fr-FR"/>
        </w:rPr>
        <w:t> </w:t>
      </w:r>
      <w:r w:rsidRPr="00803037">
        <w:rPr>
          <w:lang w:val="fr-FR"/>
        </w:rPr>
        <w:t>6</w:t>
      </w:r>
      <w:r w:rsidR="00EB60A4" w:rsidRPr="00803037">
        <w:rPr>
          <w:lang w:val="fr-FR"/>
        </w:rPr>
        <w:t> </w:t>
      </w:r>
      <w:r w:rsidRPr="00803037">
        <w:rPr>
          <w:lang w:val="fr-FR"/>
        </w:rPr>
        <w:t>Vice</w:t>
      </w:r>
      <w:r w:rsidR="00EB60A4" w:rsidRPr="00803037">
        <w:rPr>
          <w:lang w:val="fr-FR"/>
        </w:rPr>
        <w:t>­</w:t>
      </w:r>
      <w:r w:rsidRPr="00803037">
        <w:rPr>
          <w:lang w:val="fr-FR"/>
        </w:rPr>
        <w:t>Rapporteurs pour renforcer les équipes de direction et remplacer les personnes qui occupaient précédemment ces fonctions, et qui ont démissionné en raison de leur évolution professionnelle.</w:t>
      </w:r>
    </w:p>
    <w:p w14:paraId="5364F75F" w14:textId="7BEEF5F9" w:rsidR="000B3E0D" w:rsidRPr="00803037" w:rsidRDefault="000B3E0D" w:rsidP="000B3E0D">
      <w:pPr>
        <w:pStyle w:val="enumlev1"/>
        <w:rPr>
          <w:lang w:val="fr-FR"/>
        </w:rPr>
      </w:pPr>
      <w:r w:rsidRPr="00803037">
        <w:rPr>
          <w:lang w:val="fr-FR"/>
        </w:rPr>
        <w:t>–</w:t>
      </w:r>
      <w:r w:rsidRPr="00803037">
        <w:rPr>
          <w:lang w:val="fr-FR"/>
        </w:rPr>
        <w:tab/>
        <w:t xml:space="preserve">Approbation </w:t>
      </w:r>
      <w:r w:rsidR="0089542D" w:rsidRPr="00803037">
        <w:rPr>
          <w:lang w:val="fr-FR"/>
        </w:rPr>
        <w:t>d'</w:t>
      </w:r>
      <w:r w:rsidRPr="00803037">
        <w:rPr>
          <w:lang w:val="fr-FR"/>
        </w:rPr>
        <w:t xml:space="preserve">un produit intérimaire élaboré par </w:t>
      </w:r>
      <w:r w:rsidR="0089542D" w:rsidRPr="00803037">
        <w:rPr>
          <w:lang w:val="fr-FR"/>
        </w:rPr>
        <w:t>l'</w:t>
      </w:r>
      <w:r w:rsidRPr="00803037">
        <w:rPr>
          <w:lang w:val="fr-FR"/>
        </w:rPr>
        <w:t xml:space="preserve">équipe de direction chargée de la Question 3/2 ("Cybersécurité 5G"). Ce document a pour objet de faire connaître les idées et les bonnes pratiques en matière de sécurisation des réseaux 5G afin </w:t>
      </w:r>
      <w:r w:rsidR="0089542D" w:rsidRPr="00803037">
        <w:rPr>
          <w:lang w:val="fr-FR"/>
        </w:rPr>
        <w:t>d'</w:t>
      </w:r>
      <w:r w:rsidRPr="00803037">
        <w:rPr>
          <w:lang w:val="fr-FR"/>
        </w:rPr>
        <w:t xml:space="preserve">aider les membres de </w:t>
      </w:r>
      <w:r w:rsidR="0089542D" w:rsidRPr="00803037">
        <w:rPr>
          <w:lang w:val="fr-FR"/>
        </w:rPr>
        <w:t>l'</w:t>
      </w:r>
      <w:r w:rsidRPr="00803037">
        <w:rPr>
          <w:lang w:val="fr-FR"/>
        </w:rPr>
        <w:t>UIT à mettre en œuvre des mesures de cybersécurité dans leurs pays.</w:t>
      </w:r>
    </w:p>
    <w:p w14:paraId="6372DAB7" w14:textId="791A2EB9" w:rsidR="000B3E0D" w:rsidRPr="00803037" w:rsidRDefault="000B3E0D" w:rsidP="000B3E0D">
      <w:pPr>
        <w:pStyle w:val="enumlev1"/>
        <w:rPr>
          <w:lang w:val="fr-FR"/>
        </w:rPr>
      </w:pPr>
      <w:r w:rsidRPr="00803037">
        <w:rPr>
          <w:lang w:val="fr-FR"/>
        </w:rPr>
        <w:t>–</w:t>
      </w:r>
      <w:r w:rsidRPr="00803037">
        <w:rPr>
          <w:lang w:val="fr-FR"/>
        </w:rPr>
        <w:tab/>
        <w:t xml:space="preserve">Examen approfondi des projets de rapport élaborés par les sept RGQ et formulation </w:t>
      </w:r>
      <w:r w:rsidR="0089542D" w:rsidRPr="00803037">
        <w:rPr>
          <w:lang w:val="fr-FR"/>
        </w:rPr>
        <w:t>d'</w:t>
      </w:r>
      <w:r w:rsidRPr="00803037">
        <w:rPr>
          <w:lang w:val="fr-FR"/>
        </w:rPr>
        <w:t>observations en vue de faciliter leur élaboration et leur soumission pour approbation.</w:t>
      </w:r>
    </w:p>
    <w:p w14:paraId="483D8B34" w14:textId="3CBA254F" w:rsidR="000B3E0D" w:rsidRPr="00803037" w:rsidRDefault="000B3E0D" w:rsidP="000B3E0D">
      <w:pPr>
        <w:pStyle w:val="enumlev1"/>
        <w:rPr>
          <w:lang w:val="fr-FR"/>
        </w:rPr>
      </w:pPr>
      <w:r w:rsidRPr="00803037">
        <w:rPr>
          <w:lang w:val="fr-FR"/>
        </w:rPr>
        <w:t>–</w:t>
      </w:r>
      <w:r w:rsidRPr="00803037">
        <w:rPr>
          <w:lang w:val="fr-FR"/>
        </w:rPr>
        <w:tab/>
        <w:t xml:space="preserve">Poursuite de </w:t>
      </w:r>
      <w:r w:rsidR="0089542D" w:rsidRPr="00803037">
        <w:rPr>
          <w:lang w:val="fr-FR"/>
        </w:rPr>
        <w:t>l'</w:t>
      </w:r>
      <w:r w:rsidRPr="00803037">
        <w:rPr>
          <w:lang w:val="fr-FR"/>
        </w:rPr>
        <w:t xml:space="preserve">examen de plusieurs thèmes de collaboration future, en particulier avec le Groupe consultatif de professionnels chargé des questions de développement et des Directeurs de la réglementation du secteur privé (IAGDI-CRO), avec lequel la CE 2 a décidé de collaborer en vue de </w:t>
      </w:r>
      <w:r w:rsidR="0089542D" w:rsidRPr="00803037">
        <w:rPr>
          <w:lang w:val="fr-FR"/>
        </w:rPr>
        <w:t>l'</w:t>
      </w:r>
      <w:r w:rsidRPr="00803037">
        <w:rPr>
          <w:lang w:val="fr-FR"/>
        </w:rPr>
        <w:t xml:space="preserve">organisation </w:t>
      </w:r>
      <w:r w:rsidR="0089542D" w:rsidRPr="00803037">
        <w:rPr>
          <w:lang w:val="fr-FR"/>
        </w:rPr>
        <w:t>d'</w:t>
      </w:r>
      <w:r w:rsidRPr="00803037">
        <w:rPr>
          <w:lang w:val="fr-FR"/>
        </w:rPr>
        <w:t>une discussion de spécialistes sur la transformation numérique.</w:t>
      </w:r>
    </w:p>
    <w:p w14:paraId="7C1212DE" w14:textId="23C7C67B" w:rsidR="000B3E0D" w:rsidRPr="00803037" w:rsidRDefault="000B3E0D" w:rsidP="000B3E0D">
      <w:pPr>
        <w:pStyle w:val="enumlev1"/>
        <w:rPr>
          <w:lang w:val="fr-FR"/>
        </w:rPr>
      </w:pPr>
      <w:r w:rsidRPr="00803037">
        <w:rPr>
          <w:lang w:val="fr-FR"/>
        </w:rPr>
        <w:t>–</w:t>
      </w:r>
      <w:r w:rsidRPr="00803037">
        <w:rPr>
          <w:lang w:val="fr-FR"/>
        </w:rPr>
        <w:tab/>
        <w:t xml:space="preserve">Examen des questions proposées pour </w:t>
      </w:r>
      <w:r w:rsidR="0089542D" w:rsidRPr="00803037">
        <w:rPr>
          <w:lang w:val="fr-FR"/>
        </w:rPr>
        <w:t>l'</w:t>
      </w:r>
      <w:r w:rsidRPr="00803037">
        <w:rPr>
          <w:lang w:val="fr-FR"/>
        </w:rPr>
        <w:t>enquête traditionnelle de fin de cycle (menée conjointement avec la CE 1), conformément à la Résolution 1 de la CMDT.</w:t>
      </w:r>
    </w:p>
    <w:p w14:paraId="5C6ACBB4" w14:textId="191657D5" w:rsidR="000B3E0D" w:rsidRPr="00803037" w:rsidRDefault="000B3E0D" w:rsidP="000B3E0D">
      <w:pPr>
        <w:rPr>
          <w:lang w:val="fr-FR"/>
        </w:rPr>
      </w:pPr>
      <w:r w:rsidRPr="00803037">
        <w:rPr>
          <w:lang w:val="fr-FR"/>
        </w:rPr>
        <w:t xml:space="preserve">Le rapport de cette réunion est </w:t>
      </w:r>
      <w:r w:rsidR="0089542D" w:rsidRPr="00803037">
        <w:rPr>
          <w:lang w:val="fr-FR"/>
        </w:rPr>
        <w:t>l'</w:t>
      </w:r>
      <w:r w:rsidRPr="00803037">
        <w:rPr>
          <w:lang w:val="fr-FR"/>
        </w:rPr>
        <w:t xml:space="preserve">objet du </w:t>
      </w:r>
      <w:r w:rsidR="00901403" w:rsidRPr="00803037">
        <w:rPr>
          <w:lang w:val="fr-FR"/>
        </w:rPr>
        <w:t xml:space="preserve">Document </w:t>
      </w:r>
      <w:hyperlink r:id="rId36" w:history="1">
        <w:r w:rsidR="00901403" w:rsidRPr="00803037">
          <w:rPr>
            <w:rStyle w:val="Hyperlink"/>
            <w:lang w:val="fr-FR"/>
          </w:rPr>
          <w:t>2/REP/17</w:t>
        </w:r>
      </w:hyperlink>
      <w:r w:rsidRPr="00803037">
        <w:rPr>
          <w:lang w:val="fr-FR"/>
        </w:rPr>
        <w:t>.</w:t>
      </w:r>
    </w:p>
    <w:p w14:paraId="08159861" w14:textId="77777777" w:rsidR="000B3E0D" w:rsidRPr="00803037" w:rsidRDefault="000B3E0D" w:rsidP="000B3E0D">
      <w:pPr>
        <w:pStyle w:val="Headingb"/>
        <w:rPr>
          <w:lang w:val="fr-FR"/>
        </w:rPr>
      </w:pPr>
      <w:r w:rsidRPr="00803037">
        <w:rPr>
          <w:lang w:val="fr-FR"/>
        </w:rPr>
        <w:t>Quatrième réunion annuelle de la CE 2</w:t>
      </w:r>
    </w:p>
    <w:p w14:paraId="3F836880" w14:textId="0448BCEA" w:rsidR="000B3E0D" w:rsidRPr="00803037" w:rsidRDefault="000B3E0D" w:rsidP="000B3E0D">
      <w:pPr>
        <w:rPr>
          <w:rFonts w:cstheme="minorHAnsi"/>
          <w:szCs w:val="24"/>
          <w:lang w:val="fr-FR"/>
        </w:rPr>
      </w:pPr>
      <w:r w:rsidRPr="00803037">
        <w:rPr>
          <w:lang w:val="fr-FR"/>
        </w:rPr>
        <w:t xml:space="preserve">La réunion </w:t>
      </w:r>
      <w:r w:rsidR="0089542D" w:rsidRPr="00803037">
        <w:rPr>
          <w:lang w:val="fr-FR"/>
        </w:rPr>
        <w:t>s'</w:t>
      </w:r>
      <w:r w:rsidRPr="00803037">
        <w:rPr>
          <w:lang w:val="fr-FR"/>
        </w:rPr>
        <w:t>est tenue à Genève du 5 au 9 mai 2025. Les participants ont pris les principales mesures et décisions suivantes:</w:t>
      </w:r>
    </w:p>
    <w:p w14:paraId="2F4CD73C" w14:textId="2AAA5D49" w:rsidR="000B3E0D" w:rsidRPr="00803037" w:rsidRDefault="002E3ACA" w:rsidP="002E3ACA">
      <w:pPr>
        <w:pStyle w:val="enumlev1"/>
        <w:rPr>
          <w:bCs/>
          <w:lang w:val="fr-FR"/>
        </w:rPr>
      </w:pPr>
      <w:r w:rsidRPr="00803037">
        <w:rPr>
          <w:lang w:val="fr-FR"/>
        </w:rPr>
        <w:lastRenderedPageBreak/>
        <w:t>–</w:t>
      </w:r>
      <w:r w:rsidRPr="00803037">
        <w:rPr>
          <w:lang w:val="fr-FR"/>
        </w:rPr>
        <w:tab/>
      </w:r>
      <w:r w:rsidR="000B3E0D" w:rsidRPr="00803037">
        <w:rPr>
          <w:lang w:val="fr-FR"/>
        </w:rPr>
        <w:t xml:space="preserve">Approbation des rapports finals sur les sept Questions confiées à la CE 2 pour la période </w:t>
      </w:r>
      <w:r w:rsidR="0089542D" w:rsidRPr="00803037">
        <w:rPr>
          <w:lang w:val="fr-FR"/>
        </w:rPr>
        <w:t>d'</w:t>
      </w:r>
      <w:r w:rsidR="000B3E0D" w:rsidRPr="00803037">
        <w:rPr>
          <w:lang w:val="fr-FR"/>
        </w:rPr>
        <w:t>études.</w:t>
      </w:r>
    </w:p>
    <w:p w14:paraId="31E9DF61" w14:textId="1EE5BE9F"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Désignation </w:t>
      </w:r>
      <w:r w:rsidR="0089542D" w:rsidRPr="00803037">
        <w:rPr>
          <w:lang w:val="fr-FR"/>
        </w:rPr>
        <w:t>d'</w:t>
      </w:r>
      <w:r w:rsidR="000B3E0D" w:rsidRPr="00803037">
        <w:rPr>
          <w:lang w:val="fr-FR"/>
        </w:rPr>
        <w:t xml:space="preserve">un nouveau Vice-Rapporteur pour la Question 7/2, pour remplacer la personne qui occupait précédemment cette fonction et qui </w:t>
      </w:r>
      <w:r w:rsidR="0089542D" w:rsidRPr="00803037">
        <w:rPr>
          <w:lang w:val="fr-FR"/>
        </w:rPr>
        <w:t>l'</w:t>
      </w:r>
      <w:r w:rsidR="000B3E0D" w:rsidRPr="00803037">
        <w:rPr>
          <w:lang w:val="fr-FR"/>
        </w:rPr>
        <w:t>a quittée en raison de son évolution professionnelle.</w:t>
      </w:r>
    </w:p>
    <w:p w14:paraId="742B6A1F" w14:textId="6ECE9746"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Synthétisation des vues relatives aux nouvelles idées concernant les thèmes des Questions actuellement à </w:t>
      </w:r>
      <w:r w:rsidR="0089542D" w:rsidRPr="00803037">
        <w:rPr>
          <w:lang w:val="fr-FR"/>
        </w:rPr>
        <w:t>l'</w:t>
      </w:r>
      <w:r w:rsidR="000B3E0D" w:rsidRPr="00803037">
        <w:rPr>
          <w:lang w:val="fr-FR"/>
        </w:rPr>
        <w:t>étude.</w:t>
      </w:r>
    </w:p>
    <w:p w14:paraId="409317F4" w14:textId="2E266707"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Examen de deux projets de lignes directrices relatives à la composition des équipes des Groupes du Rapporteur et à </w:t>
      </w:r>
      <w:r w:rsidR="0089542D" w:rsidRPr="00803037">
        <w:rPr>
          <w:lang w:val="fr-FR"/>
        </w:rPr>
        <w:t>l'</w:t>
      </w:r>
      <w:r w:rsidR="000B3E0D" w:rsidRPr="00803037">
        <w:rPr>
          <w:lang w:val="fr-FR"/>
        </w:rPr>
        <w:t xml:space="preserve">amélioration de </w:t>
      </w:r>
      <w:r w:rsidR="0089542D" w:rsidRPr="00803037">
        <w:rPr>
          <w:lang w:val="fr-FR"/>
        </w:rPr>
        <w:t>l'</w:t>
      </w:r>
      <w:r w:rsidR="000B3E0D" w:rsidRPr="00803037">
        <w:rPr>
          <w:lang w:val="fr-FR"/>
        </w:rPr>
        <w:t xml:space="preserve">utilisation des produits des commissions </w:t>
      </w:r>
      <w:r w:rsidR="0089542D" w:rsidRPr="00803037">
        <w:rPr>
          <w:lang w:val="fr-FR"/>
        </w:rPr>
        <w:t>d'</w:t>
      </w:r>
      <w:r w:rsidR="000B3E0D" w:rsidRPr="00803037">
        <w:rPr>
          <w:lang w:val="fr-FR"/>
        </w:rPr>
        <w:t xml:space="preserve">études de </w:t>
      </w:r>
      <w:r w:rsidR="0089542D" w:rsidRPr="00803037">
        <w:rPr>
          <w:lang w:val="fr-FR"/>
        </w:rPr>
        <w:t>l'</w:t>
      </w:r>
      <w:r w:rsidR="000B3E0D" w:rsidRPr="00803037">
        <w:rPr>
          <w:lang w:val="fr-FR"/>
        </w:rPr>
        <w:t xml:space="preserve">UIT-D (voir la </w:t>
      </w:r>
      <w:r w:rsidR="00FD0921" w:rsidRPr="00803037">
        <w:rPr>
          <w:lang w:val="fr-FR"/>
        </w:rPr>
        <w:t>P</w:t>
      </w:r>
      <w:r w:rsidR="000B3E0D" w:rsidRPr="00803037">
        <w:rPr>
          <w:lang w:val="fr-FR"/>
        </w:rPr>
        <w:t xml:space="preserve">artie 4.1 pour de plus amples informations), en collaboration avec la Commission </w:t>
      </w:r>
      <w:r w:rsidR="0089542D" w:rsidRPr="00803037">
        <w:rPr>
          <w:lang w:val="fr-FR"/>
        </w:rPr>
        <w:t>d'</w:t>
      </w:r>
      <w:r w:rsidR="000B3E0D" w:rsidRPr="00803037">
        <w:rPr>
          <w:lang w:val="fr-FR"/>
        </w:rPr>
        <w:t xml:space="preserve">études 1 de </w:t>
      </w:r>
      <w:r w:rsidR="0089542D" w:rsidRPr="00803037">
        <w:rPr>
          <w:lang w:val="fr-FR"/>
        </w:rPr>
        <w:t>l'</w:t>
      </w:r>
      <w:r w:rsidR="000B3E0D" w:rsidRPr="00803037">
        <w:rPr>
          <w:lang w:val="fr-FR"/>
        </w:rPr>
        <w:t>UIT-D.</w:t>
      </w:r>
    </w:p>
    <w:p w14:paraId="660ACCAC" w14:textId="1EA5E81F"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Examen </w:t>
      </w:r>
      <w:r w:rsidR="0089542D" w:rsidRPr="00803037">
        <w:rPr>
          <w:lang w:val="fr-FR"/>
        </w:rPr>
        <w:t>d'</w:t>
      </w:r>
      <w:r w:rsidR="000B3E0D" w:rsidRPr="00803037">
        <w:rPr>
          <w:lang w:val="fr-FR"/>
        </w:rPr>
        <w:t xml:space="preserve">un document de synthèse des études de cas et des pratiques qui ont été présentées individuellement ou intégrées dans les rapports finals. Ce document </w:t>
      </w:r>
      <w:r w:rsidR="0089542D" w:rsidRPr="00803037">
        <w:rPr>
          <w:lang w:val="fr-FR"/>
        </w:rPr>
        <w:t>n'</w:t>
      </w:r>
      <w:r w:rsidR="000B3E0D" w:rsidRPr="00803037">
        <w:rPr>
          <w:lang w:val="fr-FR"/>
        </w:rPr>
        <w:t xml:space="preserve">a pas été approuvé en tant que rapport final, conformément aux procédures en vigueur, mais il pourrait servir de base à des travaux ultérieurs en vue </w:t>
      </w:r>
      <w:r w:rsidR="0089542D" w:rsidRPr="00803037">
        <w:rPr>
          <w:lang w:val="fr-FR"/>
        </w:rPr>
        <w:t>d'</w:t>
      </w:r>
      <w:r w:rsidR="000B3E0D" w:rsidRPr="00803037">
        <w:rPr>
          <w:lang w:val="fr-FR"/>
        </w:rPr>
        <w:t xml:space="preserve">obtenir des résultats au niveau des CE à </w:t>
      </w:r>
      <w:r w:rsidR="0089542D" w:rsidRPr="00803037">
        <w:rPr>
          <w:lang w:val="fr-FR"/>
        </w:rPr>
        <w:t>l'</w:t>
      </w:r>
      <w:r w:rsidR="000B3E0D" w:rsidRPr="00803037">
        <w:rPr>
          <w:lang w:val="fr-FR"/>
        </w:rPr>
        <w:t>avenir, en coordination avec les Groupes du Rapporteur.</w:t>
      </w:r>
    </w:p>
    <w:p w14:paraId="475AC4F1" w14:textId="6EE5699D"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Examen des résultats de </w:t>
      </w:r>
      <w:r w:rsidR="0089542D" w:rsidRPr="00803037">
        <w:rPr>
          <w:lang w:val="fr-FR"/>
        </w:rPr>
        <w:t>l'</w:t>
      </w:r>
      <w:r w:rsidR="000B3E0D" w:rsidRPr="00803037">
        <w:rPr>
          <w:lang w:val="fr-FR"/>
        </w:rPr>
        <w:t xml:space="preserve">enquête de fin de cycle (voir la </w:t>
      </w:r>
      <w:r w:rsidR="00FD0921" w:rsidRPr="00803037">
        <w:rPr>
          <w:lang w:val="fr-FR"/>
        </w:rPr>
        <w:t>P</w:t>
      </w:r>
      <w:r w:rsidR="000B3E0D" w:rsidRPr="00803037">
        <w:rPr>
          <w:lang w:val="fr-FR"/>
        </w:rPr>
        <w:t xml:space="preserve">artie 6 pour plus </w:t>
      </w:r>
      <w:r w:rsidR="0089542D" w:rsidRPr="00803037">
        <w:rPr>
          <w:lang w:val="fr-FR"/>
        </w:rPr>
        <w:t>d'</w:t>
      </w:r>
      <w:r w:rsidR="000B3E0D" w:rsidRPr="00803037">
        <w:rPr>
          <w:lang w:val="fr-FR"/>
        </w:rPr>
        <w:t>informations).</w:t>
      </w:r>
    </w:p>
    <w:p w14:paraId="00421EF5" w14:textId="2819E3F2"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Examen des domaines présentant un intérêt pour les activités de </w:t>
      </w:r>
      <w:r w:rsidR="0089542D" w:rsidRPr="00803037">
        <w:rPr>
          <w:lang w:val="fr-FR"/>
        </w:rPr>
        <w:t>l'</w:t>
      </w:r>
      <w:r w:rsidR="000B3E0D" w:rsidRPr="00803037">
        <w:rPr>
          <w:lang w:val="fr-FR"/>
        </w:rPr>
        <w:t xml:space="preserve">UIT-D, y compris la mise en œuvre de la Résolution 9 de la CMDT, les activités relatives aux statistiques ainsi que la collaboration avec les autres Secteurs de </w:t>
      </w:r>
      <w:r w:rsidR="0089542D" w:rsidRPr="00803037">
        <w:rPr>
          <w:lang w:val="fr-FR"/>
        </w:rPr>
        <w:t>l'</w:t>
      </w:r>
      <w:r w:rsidR="000B3E0D" w:rsidRPr="00803037">
        <w:rPr>
          <w:lang w:val="fr-FR"/>
        </w:rPr>
        <w:t xml:space="preserve">UIT et le Comité de coordination de </w:t>
      </w:r>
      <w:r w:rsidR="0089542D" w:rsidRPr="00803037">
        <w:rPr>
          <w:lang w:val="fr-FR"/>
        </w:rPr>
        <w:t>l'</w:t>
      </w:r>
      <w:r w:rsidR="000B3E0D" w:rsidRPr="00803037">
        <w:rPr>
          <w:lang w:val="fr-FR"/>
        </w:rPr>
        <w:t xml:space="preserve">UIT pour la terminologie (CCT de </w:t>
      </w:r>
      <w:r w:rsidR="0089542D" w:rsidRPr="00803037">
        <w:rPr>
          <w:lang w:val="fr-FR"/>
        </w:rPr>
        <w:t>l'</w:t>
      </w:r>
      <w:r w:rsidR="000B3E0D" w:rsidRPr="00803037">
        <w:rPr>
          <w:lang w:val="fr-FR"/>
        </w:rPr>
        <w:t>UIT).</w:t>
      </w:r>
    </w:p>
    <w:p w14:paraId="03AA4279" w14:textId="044A87F2" w:rsidR="000B3E0D" w:rsidRPr="00803037" w:rsidRDefault="002E3ACA" w:rsidP="002E3ACA">
      <w:pPr>
        <w:pStyle w:val="enumlev1"/>
        <w:rPr>
          <w:bCs/>
          <w:lang w:val="fr-FR"/>
        </w:rPr>
      </w:pPr>
      <w:r w:rsidRPr="00803037">
        <w:rPr>
          <w:lang w:val="fr-FR"/>
        </w:rPr>
        <w:t>–</w:t>
      </w:r>
      <w:r w:rsidRPr="00803037">
        <w:rPr>
          <w:lang w:val="fr-FR"/>
        </w:rPr>
        <w:tab/>
      </w:r>
      <w:r w:rsidR="000B3E0D" w:rsidRPr="00803037">
        <w:rPr>
          <w:lang w:val="fr-FR"/>
        </w:rPr>
        <w:t xml:space="preserve">Examen des résultats de la discussion "tech talk" sur la transformation numérique, organisée par le groupe IAGDI-CRO, en collaboration avec la CE 2. Cette discussion a porté sur des thèmes qui pourraient constituer une base utile pour la définition de futures Questions à </w:t>
      </w:r>
      <w:r w:rsidR="0089542D" w:rsidRPr="00803037">
        <w:rPr>
          <w:lang w:val="fr-FR"/>
        </w:rPr>
        <w:t>l'</w:t>
      </w:r>
      <w:r w:rsidR="000B3E0D" w:rsidRPr="00803037">
        <w:rPr>
          <w:lang w:val="fr-FR"/>
        </w:rPr>
        <w:t>étude.</w:t>
      </w:r>
    </w:p>
    <w:p w14:paraId="35C4C88B" w14:textId="5179E3E0" w:rsidR="000B3E0D" w:rsidRPr="00803037" w:rsidRDefault="000B3E0D" w:rsidP="000B3E0D">
      <w:pPr>
        <w:spacing w:after="120"/>
        <w:contextualSpacing/>
        <w:textAlignment w:val="auto"/>
        <w:rPr>
          <w:rFonts w:eastAsia="Malgun Gothic"/>
          <w:lang w:val="fr-FR"/>
        </w:rPr>
      </w:pPr>
      <w:r w:rsidRPr="00803037">
        <w:rPr>
          <w:lang w:val="fr-FR"/>
        </w:rPr>
        <w:t xml:space="preserve">Le rapport de cette réunion est </w:t>
      </w:r>
      <w:r w:rsidR="0089542D" w:rsidRPr="00803037">
        <w:rPr>
          <w:lang w:val="fr-FR"/>
        </w:rPr>
        <w:t>l'</w:t>
      </w:r>
      <w:r w:rsidRPr="00803037">
        <w:rPr>
          <w:lang w:val="fr-FR"/>
        </w:rPr>
        <w:t xml:space="preserve">objet du Document </w:t>
      </w:r>
      <w:hyperlink r:id="rId37" w:history="1">
        <w:r w:rsidRPr="00803037">
          <w:rPr>
            <w:rStyle w:val="Hyperlink"/>
            <w:lang w:val="fr-FR"/>
          </w:rPr>
          <w:t>2/REP/25</w:t>
        </w:r>
      </w:hyperlink>
      <w:r w:rsidRPr="00803037">
        <w:rPr>
          <w:lang w:val="fr-FR"/>
        </w:rPr>
        <w:t>.</w:t>
      </w:r>
      <w:hyperlink r:id="rId38" w:history="1"/>
    </w:p>
    <w:p w14:paraId="594E4144" w14:textId="77777777" w:rsidR="000B3E0D" w:rsidRPr="00803037" w:rsidRDefault="000B3E0D" w:rsidP="000B3E0D">
      <w:pPr>
        <w:pStyle w:val="Headingb"/>
        <w:rPr>
          <w:sz w:val="28"/>
          <w:szCs w:val="28"/>
          <w:lang w:val="fr-FR"/>
        </w:rPr>
      </w:pPr>
      <w:r w:rsidRPr="00803037">
        <w:rPr>
          <w:sz w:val="28"/>
          <w:szCs w:val="28"/>
          <w:lang w:val="fr-FR"/>
        </w:rPr>
        <w:t>Résumé des principaux résultats obtenus</w:t>
      </w:r>
    </w:p>
    <w:p w14:paraId="2A2AAD50" w14:textId="77777777" w:rsidR="000B3E0D" w:rsidRPr="00803037" w:rsidRDefault="000B3E0D" w:rsidP="000B3E0D">
      <w:pPr>
        <w:pStyle w:val="Headingb"/>
        <w:rPr>
          <w:lang w:val="fr-FR"/>
        </w:rPr>
      </w:pPr>
      <w:r w:rsidRPr="00803037">
        <w:rPr>
          <w:lang w:val="fr-FR"/>
        </w:rPr>
        <w:t>Question 1/2 – Villes et communautés intelligentes et durables</w:t>
      </w:r>
    </w:p>
    <w:p w14:paraId="4247A736" w14:textId="7CC48FCC" w:rsidR="000B3E0D" w:rsidRPr="00803037" w:rsidRDefault="000B3E0D" w:rsidP="000B3E0D">
      <w:pPr>
        <w:rPr>
          <w:lang w:val="fr-FR"/>
        </w:rPr>
      </w:pPr>
      <w:r w:rsidRPr="00803037">
        <w:rPr>
          <w:lang w:val="fr-FR"/>
        </w:rPr>
        <w:t xml:space="preserve">Le rapport final approuvé sur la Question 1/2 est </w:t>
      </w:r>
      <w:r w:rsidR="0089542D" w:rsidRPr="00803037">
        <w:rPr>
          <w:lang w:val="fr-FR"/>
        </w:rPr>
        <w:t>l'</w:t>
      </w:r>
      <w:r w:rsidRPr="00803037">
        <w:rPr>
          <w:lang w:val="fr-FR"/>
        </w:rPr>
        <w:t xml:space="preserve">objet du </w:t>
      </w:r>
      <w:r w:rsidR="00901403" w:rsidRPr="00803037">
        <w:rPr>
          <w:lang w:val="fr-FR"/>
        </w:rPr>
        <w:t xml:space="preserve">Document </w:t>
      </w:r>
      <w:hyperlink r:id="rId39" w:history="1">
        <w:r w:rsidR="00901403" w:rsidRPr="00803037">
          <w:rPr>
            <w:rStyle w:val="Hyperlink"/>
            <w:lang w:val="fr-FR"/>
          </w:rPr>
          <w:t>2/358</w:t>
        </w:r>
      </w:hyperlink>
      <w:r w:rsidRPr="00803037">
        <w:rPr>
          <w:lang w:val="fr-FR"/>
        </w:rPr>
        <w:t>.</w:t>
      </w:r>
    </w:p>
    <w:p w14:paraId="51E69197" w14:textId="77777777" w:rsidR="000B3E0D" w:rsidRPr="00803037" w:rsidRDefault="000B3E0D" w:rsidP="000B3E0D">
      <w:pPr>
        <w:rPr>
          <w:lang w:val="fr-FR"/>
        </w:rPr>
      </w:pPr>
      <w:r w:rsidRPr="00803037">
        <w:rPr>
          <w:lang w:val="fr-FR"/>
        </w:rPr>
        <w:t>Le Groupe du Rapporteur pour la Question 1/2 a également organisé les ateliers suivants:</w:t>
      </w:r>
    </w:p>
    <w:p w14:paraId="156C38EE" w14:textId="59369493" w:rsidR="000B3E0D" w:rsidRPr="00803037" w:rsidRDefault="000B3E0D" w:rsidP="000B3E0D">
      <w:pPr>
        <w:pStyle w:val="enumlev1"/>
        <w:rPr>
          <w:lang w:val="fr-FR"/>
        </w:rPr>
      </w:pPr>
      <w:r w:rsidRPr="00803037">
        <w:rPr>
          <w:lang w:val="fr-FR"/>
        </w:rPr>
        <w:t>–</w:t>
      </w:r>
      <w:r w:rsidRPr="00803037">
        <w:rPr>
          <w:lang w:val="fr-FR"/>
        </w:rPr>
        <w:tab/>
        <w:t xml:space="preserve">Atelier sur </w:t>
      </w:r>
      <w:r w:rsidR="0089542D" w:rsidRPr="00803037">
        <w:rPr>
          <w:lang w:val="fr-FR"/>
        </w:rPr>
        <w:t>l'</w:t>
      </w:r>
      <w:r w:rsidRPr="00803037">
        <w:rPr>
          <w:lang w:val="fr-FR"/>
        </w:rPr>
        <w:t xml:space="preserve">infrastructure publique numérique et les services partagés pour </w:t>
      </w:r>
      <w:r w:rsidR="0089542D" w:rsidRPr="00803037">
        <w:rPr>
          <w:lang w:val="fr-FR"/>
        </w:rPr>
        <w:t>l'</w:t>
      </w:r>
      <w:r w:rsidRPr="00803037">
        <w:rPr>
          <w:lang w:val="fr-FR"/>
        </w:rPr>
        <w:t>administration, les villes et les communautés intelligentes et durables, tenu le 25 mai 2023 (</w:t>
      </w:r>
      <w:hyperlink r:id="rId40" w:history="1">
        <w:r w:rsidRPr="00803037">
          <w:rPr>
            <w:rStyle w:val="Hyperlink"/>
            <w:lang w:val="fr-FR"/>
          </w:rPr>
          <w:t>programme</w:t>
        </w:r>
      </w:hyperlink>
      <w:r w:rsidRPr="00803037">
        <w:rPr>
          <w:lang w:val="fr-FR"/>
        </w:rPr>
        <w:t xml:space="preserve">, </w:t>
      </w:r>
      <w:hyperlink r:id="rId41" w:history="1">
        <w:r w:rsidRPr="00803037">
          <w:rPr>
            <w:rStyle w:val="Hyperlink"/>
            <w:lang w:val="fr-FR"/>
          </w:rPr>
          <w:t>rapport</w:t>
        </w:r>
      </w:hyperlink>
      <w:r w:rsidRPr="00803037">
        <w:rPr>
          <w:lang w:val="fr-FR"/>
        </w:rPr>
        <w:t xml:space="preserve"> (Annexe 4)).</w:t>
      </w:r>
    </w:p>
    <w:p w14:paraId="73D0CB97" w14:textId="251289C7" w:rsidR="000B3E0D" w:rsidRPr="00803037" w:rsidRDefault="000B3E0D" w:rsidP="000B3E0D">
      <w:pPr>
        <w:pStyle w:val="enumlev1"/>
        <w:rPr>
          <w:lang w:val="fr-FR"/>
        </w:rPr>
      </w:pPr>
      <w:r w:rsidRPr="00803037">
        <w:rPr>
          <w:lang w:val="fr-FR"/>
        </w:rPr>
        <w:t>–</w:t>
      </w:r>
      <w:r w:rsidRPr="00803037">
        <w:rPr>
          <w:lang w:val="fr-FR"/>
        </w:rPr>
        <w:tab/>
        <w:t>Atelier sur les politiques et les modèles économiques relatifs aux villes et aux communautés intelligentes numériques propres à garantir la participation des parties prenantes et à favoriser le développement durable, tenu le 30 avril 2024 (</w:t>
      </w:r>
      <w:hyperlink r:id="rId42" w:history="1">
        <w:r w:rsidRPr="00803037">
          <w:rPr>
            <w:rStyle w:val="Hyperlink"/>
            <w:lang w:val="fr-FR"/>
          </w:rPr>
          <w:t>programme</w:t>
        </w:r>
      </w:hyperlink>
      <w:r w:rsidRPr="00803037">
        <w:rPr>
          <w:lang w:val="fr-FR"/>
        </w:rPr>
        <w:t>,</w:t>
      </w:r>
      <w:r w:rsidR="00700A62" w:rsidRPr="00803037">
        <w:rPr>
          <w:lang w:val="fr-FR"/>
        </w:rPr>
        <w:t> </w:t>
      </w:r>
      <w:hyperlink r:id="rId43" w:history="1">
        <w:r w:rsidRPr="00803037">
          <w:rPr>
            <w:rStyle w:val="Hyperlink"/>
            <w:lang w:val="fr-FR"/>
          </w:rPr>
          <w:t>rapport</w:t>
        </w:r>
      </w:hyperlink>
      <w:r w:rsidRPr="00803037">
        <w:rPr>
          <w:lang w:val="fr-FR"/>
        </w:rPr>
        <w:t xml:space="preserve"> (Annexe 3)).</w:t>
      </w:r>
    </w:p>
    <w:p w14:paraId="2C1F447C" w14:textId="3C2C86FF" w:rsidR="000B3E0D" w:rsidRPr="00803037" w:rsidRDefault="000B3E0D" w:rsidP="000B3E0D">
      <w:pPr>
        <w:rPr>
          <w:rFonts w:eastAsia="Malgun Gothic" w:cstheme="minorHAnsi"/>
          <w:szCs w:val="24"/>
          <w:lang w:val="fr-FR"/>
        </w:rPr>
      </w:pPr>
      <w:r w:rsidRPr="00803037">
        <w:rPr>
          <w:lang w:val="fr-FR"/>
        </w:rPr>
        <w:t xml:space="preserve">Les thèmes suivants ont notamment été proposés pour la prochaine période </w:t>
      </w:r>
      <w:r w:rsidR="0089542D" w:rsidRPr="00803037">
        <w:rPr>
          <w:lang w:val="fr-FR"/>
        </w:rPr>
        <w:t>d'</w:t>
      </w:r>
      <w:r w:rsidRPr="00803037">
        <w:rPr>
          <w:lang w:val="fr-FR"/>
        </w:rPr>
        <w:t>études:</w:t>
      </w:r>
    </w:p>
    <w:p w14:paraId="469320CA" w14:textId="275CB219" w:rsidR="000B3E0D" w:rsidRPr="00803037" w:rsidRDefault="000B3E0D" w:rsidP="000B3E0D">
      <w:pPr>
        <w:pStyle w:val="enumlev1"/>
        <w:rPr>
          <w:rFonts w:eastAsia="Malgun Gothic"/>
          <w:lang w:val="fr-FR"/>
        </w:rPr>
      </w:pPr>
      <w:r w:rsidRPr="00803037">
        <w:rPr>
          <w:lang w:val="fr-FR"/>
        </w:rPr>
        <w:t>–</w:t>
      </w:r>
      <w:r w:rsidRPr="00803037">
        <w:rPr>
          <w:lang w:val="fr-FR"/>
        </w:rPr>
        <w:tab/>
        <w:t xml:space="preserve">Élaboration de mécanismes et </w:t>
      </w:r>
      <w:r w:rsidR="0089542D" w:rsidRPr="00803037">
        <w:rPr>
          <w:lang w:val="fr-FR"/>
        </w:rPr>
        <w:t>d'</w:t>
      </w:r>
      <w:r w:rsidRPr="00803037">
        <w:rPr>
          <w:lang w:val="fr-FR"/>
        </w:rPr>
        <w:t xml:space="preserve">outils pour </w:t>
      </w:r>
      <w:r w:rsidR="0089542D" w:rsidRPr="00803037">
        <w:rPr>
          <w:lang w:val="fr-FR"/>
        </w:rPr>
        <w:t>l'</w:t>
      </w:r>
      <w:r w:rsidRPr="00803037">
        <w:rPr>
          <w:lang w:val="fr-FR"/>
        </w:rPr>
        <w:t>évaluation des villes et communautés intelligentes.</w:t>
      </w:r>
    </w:p>
    <w:p w14:paraId="155DB3C3" w14:textId="77777777" w:rsidR="000B3E0D" w:rsidRPr="00803037" w:rsidRDefault="000B3E0D" w:rsidP="000B3E0D">
      <w:pPr>
        <w:pStyle w:val="enumlev1"/>
        <w:rPr>
          <w:rFonts w:eastAsia="Malgun Gothic"/>
          <w:lang w:val="fr-FR"/>
        </w:rPr>
      </w:pPr>
      <w:r w:rsidRPr="00803037">
        <w:rPr>
          <w:lang w:val="fr-FR"/>
        </w:rPr>
        <w:lastRenderedPageBreak/>
        <w:t>–</w:t>
      </w:r>
      <w:r w:rsidRPr="00803037">
        <w:rPr>
          <w:lang w:val="fr-FR"/>
        </w:rPr>
        <w:tab/>
        <w:t>Modèles économiques pour le développement harmonieux des villes et communautés intelligentes.</w:t>
      </w:r>
    </w:p>
    <w:p w14:paraId="46C5F32A" w14:textId="0C216799" w:rsidR="000B3E0D" w:rsidRPr="00803037" w:rsidRDefault="000B3E0D" w:rsidP="000B3E0D">
      <w:pPr>
        <w:pStyle w:val="enumlev1"/>
        <w:rPr>
          <w:rFonts w:eastAsia="Malgun Gothic"/>
          <w:lang w:val="fr-FR"/>
        </w:rPr>
      </w:pPr>
      <w:r w:rsidRPr="00803037">
        <w:rPr>
          <w:lang w:val="fr-FR"/>
        </w:rPr>
        <w:t>–</w:t>
      </w:r>
      <w:r w:rsidRPr="00803037">
        <w:rPr>
          <w:lang w:val="fr-FR"/>
        </w:rPr>
        <w:tab/>
        <w:t xml:space="preserve">Bonnes pratiques et lignes directrices pour un cadre juridique approprié en matière de mise en place de villes intelligentes et de choix/fourniture </w:t>
      </w:r>
      <w:r w:rsidR="0089542D" w:rsidRPr="00803037">
        <w:rPr>
          <w:lang w:val="fr-FR"/>
        </w:rPr>
        <w:t>d'</w:t>
      </w:r>
      <w:r w:rsidRPr="00803037">
        <w:rPr>
          <w:lang w:val="fr-FR"/>
        </w:rPr>
        <w:t>applications et de services intelligents.</w:t>
      </w:r>
    </w:p>
    <w:p w14:paraId="330E7C5B" w14:textId="1C97C457" w:rsidR="000B3E0D" w:rsidRPr="00803037" w:rsidRDefault="000B3E0D" w:rsidP="000B3E0D">
      <w:pPr>
        <w:rPr>
          <w:lang w:val="fr-FR"/>
        </w:rPr>
      </w:pPr>
      <w:r w:rsidRPr="00803037">
        <w:rPr>
          <w:lang w:val="fr-FR"/>
        </w:rPr>
        <w:t xml:space="preserve">Une version actualisée du projet de champ </w:t>
      </w:r>
      <w:r w:rsidR="0089542D" w:rsidRPr="00803037">
        <w:rPr>
          <w:lang w:val="fr-FR"/>
        </w:rPr>
        <w:t>d'</w:t>
      </w:r>
      <w:r w:rsidRPr="00803037">
        <w:rPr>
          <w:lang w:val="fr-FR"/>
        </w:rPr>
        <w:t xml:space="preserve">application de la Question 1/2 figure dans le </w:t>
      </w:r>
      <w:r w:rsidR="00901403" w:rsidRPr="00803037">
        <w:rPr>
          <w:lang w:val="fr-FR"/>
        </w:rPr>
        <w:t xml:space="preserve">Document </w:t>
      </w:r>
      <w:hyperlink r:id="rId44" w:history="1">
        <w:r w:rsidR="00901403" w:rsidRPr="00803037">
          <w:rPr>
            <w:rStyle w:val="Hyperlink"/>
            <w:lang w:val="fr-FR"/>
          </w:rPr>
          <w:t>TDAG-WG-futureSGQ/48</w:t>
        </w:r>
      </w:hyperlink>
      <w:r w:rsidRPr="00803037">
        <w:rPr>
          <w:lang w:val="fr-FR"/>
        </w:rPr>
        <w:t>.</w:t>
      </w:r>
      <w:hyperlink r:id="rId45" w:history="1"/>
    </w:p>
    <w:p w14:paraId="4DC590B1" w14:textId="3496E38C" w:rsidR="000B3E0D" w:rsidRPr="00803037" w:rsidRDefault="000B3E0D" w:rsidP="000B3E0D">
      <w:pPr>
        <w:pStyle w:val="Headingb"/>
        <w:rPr>
          <w:lang w:val="fr-FR"/>
        </w:rPr>
      </w:pPr>
      <w:r w:rsidRPr="00803037">
        <w:rPr>
          <w:lang w:val="fr-FR"/>
        </w:rPr>
        <w:t>Question 2/2 – Technologies de base pour les cyberservices et les cyberapplications, y</w:t>
      </w:r>
      <w:r w:rsidR="00EB60A4" w:rsidRPr="00803037">
        <w:rPr>
          <w:lang w:val="fr-FR"/>
        </w:rPr>
        <w:t xml:space="preserve"> </w:t>
      </w:r>
      <w:r w:rsidRPr="00803037">
        <w:rPr>
          <w:lang w:val="fr-FR"/>
        </w:rPr>
        <w:t>compris la cybersanté et le cyberenseignement</w:t>
      </w:r>
    </w:p>
    <w:p w14:paraId="2F4CA3C7" w14:textId="4EFE2BD8" w:rsidR="000B3E0D" w:rsidRPr="00803037" w:rsidRDefault="000B3E0D" w:rsidP="000B3E0D">
      <w:pPr>
        <w:rPr>
          <w:lang w:val="fr-FR"/>
        </w:rPr>
      </w:pPr>
      <w:r w:rsidRPr="00803037">
        <w:rPr>
          <w:lang w:val="fr-FR"/>
        </w:rPr>
        <w:t xml:space="preserve">Le </w:t>
      </w:r>
      <w:r w:rsidR="00700A62" w:rsidRPr="00803037">
        <w:rPr>
          <w:lang w:val="fr-FR"/>
        </w:rPr>
        <w:t>R</w:t>
      </w:r>
      <w:r w:rsidRPr="00803037">
        <w:rPr>
          <w:lang w:val="fr-FR"/>
        </w:rPr>
        <w:t xml:space="preserve">apport final approuvé sur la Question 2/2 est </w:t>
      </w:r>
      <w:r w:rsidR="0089542D" w:rsidRPr="00803037">
        <w:rPr>
          <w:lang w:val="fr-FR"/>
        </w:rPr>
        <w:t>l'</w:t>
      </w:r>
      <w:r w:rsidRPr="00803037">
        <w:rPr>
          <w:lang w:val="fr-FR"/>
        </w:rPr>
        <w:t>objet du</w:t>
      </w:r>
      <w:r w:rsidR="009654D4" w:rsidRPr="00803037">
        <w:rPr>
          <w:lang w:val="fr-FR"/>
        </w:rPr>
        <w:t xml:space="preserve"> Document</w:t>
      </w:r>
      <w:r w:rsidRPr="00803037">
        <w:rPr>
          <w:lang w:val="fr-FR"/>
        </w:rPr>
        <w:t xml:space="preserve"> </w:t>
      </w:r>
      <w:hyperlink r:id="rId46" w:history="1">
        <w:r w:rsidR="009654D4" w:rsidRPr="00803037">
          <w:rPr>
            <w:rStyle w:val="Hyperlink"/>
            <w:lang w:val="fr-FR"/>
          </w:rPr>
          <w:t>2/359</w:t>
        </w:r>
      </w:hyperlink>
      <w:r w:rsidRPr="00803037">
        <w:rPr>
          <w:lang w:val="fr-FR"/>
        </w:rPr>
        <w:t>.</w:t>
      </w:r>
    </w:p>
    <w:p w14:paraId="2A33DC17" w14:textId="77777777" w:rsidR="000B3E0D" w:rsidRPr="00803037" w:rsidRDefault="000B3E0D" w:rsidP="00FD0921">
      <w:pPr>
        <w:rPr>
          <w:lang w:val="fr-FR"/>
        </w:rPr>
      </w:pPr>
      <w:r w:rsidRPr="00803037">
        <w:rPr>
          <w:lang w:val="fr-FR"/>
        </w:rPr>
        <w:t>Le Groupe du Rapporteur pour la Question 2/2 a également organisé les ateliers suivants:</w:t>
      </w:r>
    </w:p>
    <w:p w14:paraId="228F2D2F" w14:textId="10B9A1EC" w:rsidR="000B3E0D" w:rsidRPr="00803037" w:rsidRDefault="000B3E0D" w:rsidP="00FD0921">
      <w:pPr>
        <w:pStyle w:val="enumlev1"/>
        <w:rPr>
          <w:lang w:val="fr-FR"/>
        </w:rPr>
      </w:pPr>
      <w:r w:rsidRPr="00803037">
        <w:rPr>
          <w:lang w:val="fr-FR"/>
        </w:rPr>
        <w:t>–</w:t>
      </w:r>
      <w:r w:rsidRPr="00803037">
        <w:rPr>
          <w:lang w:val="fr-FR"/>
        </w:rPr>
        <w:tab/>
        <w:t xml:space="preserve">Atelier sur </w:t>
      </w:r>
      <w:r w:rsidR="0089542D" w:rsidRPr="00803037">
        <w:rPr>
          <w:lang w:val="fr-FR"/>
        </w:rPr>
        <w:t>l'</w:t>
      </w:r>
      <w:r w:rsidRPr="00803037">
        <w:rPr>
          <w:lang w:val="fr-FR"/>
        </w:rPr>
        <w:t xml:space="preserve">adoption des nouvelles technologies numériques au service de la cybersanté, du cyberapprentissage et </w:t>
      </w:r>
      <w:r w:rsidR="0089542D" w:rsidRPr="00803037">
        <w:rPr>
          <w:lang w:val="fr-FR"/>
        </w:rPr>
        <w:t>d'</w:t>
      </w:r>
      <w:r w:rsidRPr="00803037">
        <w:rPr>
          <w:lang w:val="fr-FR"/>
        </w:rPr>
        <w:t>autres cyberservices, tenu le 30 mai 2023 (</w:t>
      </w:r>
      <w:hyperlink r:id="rId47" w:history="1">
        <w:r w:rsidRPr="00803037">
          <w:rPr>
            <w:rStyle w:val="Hyperlink"/>
            <w:lang w:val="fr-FR"/>
          </w:rPr>
          <w:t>programme</w:t>
        </w:r>
      </w:hyperlink>
      <w:r w:rsidRPr="00803037">
        <w:rPr>
          <w:lang w:val="fr-FR"/>
        </w:rPr>
        <w:t xml:space="preserve">, </w:t>
      </w:r>
      <w:hyperlink r:id="rId48" w:history="1">
        <w:r w:rsidRPr="00803037">
          <w:rPr>
            <w:rStyle w:val="Hyperlink"/>
            <w:lang w:val="fr-FR"/>
          </w:rPr>
          <w:t>rapport</w:t>
        </w:r>
      </w:hyperlink>
      <w:r w:rsidRPr="00803037">
        <w:rPr>
          <w:lang w:val="fr-FR"/>
        </w:rPr>
        <w:t xml:space="preserve"> (Annexe 5)).</w:t>
      </w:r>
    </w:p>
    <w:p w14:paraId="69C51AD8" w14:textId="6E7353D5" w:rsidR="000B3E0D" w:rsidRPr="00803037" w:rsidRDefault="000B3E0D" w:rsidP="000B3E0D">
      <w:pPr>
        <w:pStyle w:val="enumlev1"/>
        <w:rPr>
          <w:lang w:val="fr-FR"/>
        </w:rPr>
      </w:pPr>
      <w:r w:rsidRPr="00803037">
        <w:rPr>
          <w:lang w:val="fr-FR"/>
        </w:rPr>
        <w:t>–</w:t>
      </w:r>
      <w:r w:rsidRPr="00803037">
        <w:rPr>
          <w:lang w:val="fr-FR"/>
        </w:rPr>
        <w:tab/>
        <w:t xml:space="preserve">Atelier sur les exemples de bonnes pratiques et les technologies clés pour la transformation numérique en matière de cybersanté, de cyberéducation et </w:t>
      </w:r>
      <w:r w:rsidR="0089542D" w:rsidRPr="00803037">
        <w:rPr>
          <w:lang w:val="fr-FR"/>
        </w:rPr>
        <w:t>d'</w:t>
      </w:r>
      <w:r w:rsidRPr="00803037">
        <w:rPr>
          <w:lang w:val="fr-FR"/>
        </w:rPr>
        <w:t>autres cyberapplications, tenu le 29 avril 2024 (</w:t>
      </w:r>
      <w:hyperlink r:id="rId49" w:history="1">
        <w:r w:rsidRPr="00803037">
          <w:rPr>
            <w:rStyle w:val="Hyperlink"/>
            <w:lang w:val="fr-FR"/>
          </w:rPr>
          <w:t>programme</w:t>
        </w:r>
      </w:hyperlink>
      <w:r w:rsidRPr="00803037">
        <w:rPr>
          <w:lang w:val="fr-FR"/>
        </w:rPr>
        <w:t xml:space="preserve">, </w:t>
      </w:r>
      <w:hyperlink r:id="rId50" w:history="1">
        <w:r w:rsidRPr="00803037">
          <w:rPr>
            <w:rStyle w:val="Hyperlink"/>
            <w:lang w:val="fr-FR"/>
          </w:rPr>
          <w:t>rapport</w:t>
        </w:r>
      </w:hyperlink>
      <w:r w:rsidRPr="00803037">
        <w:rPr>
          <w:lang w:val="fr-FR"/>
        </w:rPr>
        <w:t xml:space="preserve"> (Annexe 4)).</w:t>
      </w:r>
    </w:p>
    <w:p w14:paraId="49A3C834" w14:textId="6E8E76DB" w:rsidR="000B3E0D" w:rsidRPr="00803037" w:rsidRDefault="000B3E0D" w:rsidP="000B3E0D">
      <w:pPr>
        <w:rPr>
          <w:lang w:val="fr-FR"/>
        </w:rPr>
      </w:pPr>
      <w:r w:rsidRPr="00803037">
        <w:rPr>
          <w:lang w:val="fr-FR"/>
        </w:rPr>
        <w:t xml:space="preserve">Des thèmes ont été proposés pour la prochaine période </w:t>
      </w:r>
      <w:r w:rsidR="0089542D" w:rsidRPr="00803037">
        <w:rPr>
          <w:lang w:val="fr-FR"/>
        </w:rPr>
        <w:t>d'</w:t>
      </w:r>
      <w:r w:rsidRPr="00803037">
        <w:rPr>
          <w:lang w:val="fr-FR"/>
        </w:rPr>
        <w:t xml:space="preserve">études, notamment </w:t>
      </w:r>
      <w:r w:rsidR="0089542D" w:rsidRPr="00803037">
        <w:rPr>
          <w:lang w:val="fr-FR"/>
        </w:rPr>
        <w:t>l'</w:t>
      </w:r>
      <w:r w:rsidRPr="00803037">
        <w:rPr>
          <w:lang w:val="fr-FR"/>
        </w:rPr>
        <w:t xml:space="preserve">incidence des technologies reposant sur </w:t>
      </w:r>
      <w:r w:rsidR="0089542D" w:rsidRPr="00803037">
        <w:rPr>
          <w:lang w:val="fr-FR"/>
        </w:rPr>
        <w:t>l'</w:t>
      </w:r>
      <w:r w:rsidRPr="00803037">
        <w:rPr>
          <w:lang w:val="fr-FR"/>
        </w:rPr>
        <w:t>intelligence artificielle (IA) sur le développement des services en ligne et des applications.</w:t>
      </w:r>
    </w:p>
    <w:p w14:paraId="2B4456C6" w14:textId="164E37EF" w:rsidR="000B3E0D" w:rsidRPr="00803037" w:rsidRDefault="000B3E0D" w:rsidP="000B3E0D">
      <w:pPr>
        <w:rPr>
          <w:lang w:val="fr-FR"/>
        </w:rPr>
      </w:pPr>
      <w:r w:rsidRPr="00803037">
        <w:rPr>
          <w:lang w:val="fr-FR"/>
        </w:rPr>
        <w:t xml:space="preserve">Une version actualisée du projet de champ </w:t>
      </w:r>
      <w:r w:rsidR="0089542D" w:rsidRPr="00803037">
        <w:rPr>
          <w:lang w:val="fr-FR"/>
        </w:rPr>
        <w:t>d'</w:t>
      </w:r>
      <w:r w:rsidRPr="00803037">
        <w:rPr>
          <w:lang w:val="fr-FR"/>
        </w:rPr>
        <w:t xml:space="preserve">application de la Question 2/2 figure dans le </w:t>
      </w:r>
      <w:r w:rsidR="00901403" w:rsidRPr="00803037">
        <w:rPr>
          <w:lang w:val="fr-FR"/>
        </w:rPr>
        <w:t xml:space="preserve">Document </w:t>
      </w:r>
      <w:hyperlink r:id="rId51" w:history="1">
        <w:r w:rsidR="00901403" w:rsidRPr="00803037">
          <w:rPr>
            <w:rStyle w:val="Hyperlink"/>
            <w:lang w:val="fr-FR"/>
          </w:rPr>
          <w:t>TDAG-WG-futureSGQ/48</w:t>
        </w:r>
      </w:hyperlink>
      <w:r w:rsidRPr="00803037">
        <w:rPr>
          <w:lang w:val="fr-FR"/>
        </w:rPr>
        <w:t>.</w:t>
      </w:r>
    </w:p>
    <w:p w14:paraId="77C1A246" w14:textId="53FB4F5E" w:rsidR="000B3E0D" w:rsidRPr="00803037" w:rsidRDefault="000B3E0D" w:rsidP="000B3E0D">
      <w:pPr>
        <w:pStyle w:val="Headingb"/>
        <w:rPr>
          <w:lang w:val="fr-FR"/>
        </w:rPr>
      </w:pPr>
      <w:r w:rsidRPr="00803037">
        <w:rPr>
          <w:lang w:val="fr-FR"/>
        </w:rPr>
        <w:t xml:space="preserve">Question 3/2 – Sécurisation des réseaux </w:t>
      </w:r>
      <w:r w:rsidR="0089542D" w:rsidRPr="00803037">
        <w:rPr>
          <w:lang w:val="fr-FR"/>
        </w:rPr>
        <w:t>d'</w:t>
      </w:r>
      <w:r w:rsidRPr="00803037">
        <w:rPr>
          <w:lang w:val="fr-FR"/>
        </w:rPr>
        <w:t>information et de communication: bonnes pratiques pour créer une culture de la cybersécurité</w:t>
      </w:r>
    </w:p>
    <w:p w14:paraId="5A7B480C" w14:textId="7F09A98C" w:rsidR="000B3E0D" w:rsidRPr="00803037" w:rsidRDefault="000B3E0D" w:rsidP="000B3E0D">
      <w:pPr>
        <w:rPr>
          <w:lang w:val="fr-FR"/>
        </w:rPr>
      </w:pPr>
      <w:r w:rsidRPr="00803037">
        <w:rPr>
          <w:lang w:val="fr-FR"/>
        </w:rPr>
        <w:t xml:space="preserve">Le rapport final approuvé sur la Question 3/2 est </w:t>
      </w:r>
      <w:r w:rsidR="0089542D" w:rsidRPr="00803037">
        <w:rPr>
          <w:lang w:val="fr-FR"/>
        </w:rPr>
        <w:t>l'</w:t>
      </w:r>
      <w:r w:rsidRPr="00803037">
        <w:rPr>
          <w:lang w:val="fr-FR"/>
        </w:rPr>
        <w:t xml:space="preserve">objet du </w:t>
      </w:r>
      <w:r w:rsidR="00CF2F46" w:rsidRPr="00803037">
        <w:rPr>
          <w:lang w:val="fr-FR"/>
        </w:rPr>
        <w:t xml:space="preserve">Document </w:t>
      </w:r>
      <w:hyperlink r:id="rId52" w:history="1">
        <w:r w:rsidR="00CF2F46" w:rsidRPr="00803037">
          <w:rPr>
            <w:rStyle w:val="Hyperlink"/>
            <w:lang w:val="fr-FR"/>
          </w:rPr>
          <w:t>2/360</w:t>
        </w:r>
      </w:hyperlink>
      <w:r w:rsidRPr="00803037">
        <w:rPr>
          <w:lang w:val="fr-FR"/>
        </w:rPr>
        <w:t>.</w:t>
      </w:r>
    </w:p>
    <w:p w14:paraId="4687CE7F" w14:textId="77777777" w:rsidR="000B3E0D" w:rsidRPr="00803037" w:rsidRDefault="000B3E0D" w:rsidP="000B3E0D">
      <w:pPr>
        <w:rPr>
          <w:lang w:val="fr-FR"/>
        </w:rPr>
      </w:pPr>
      <w:r w:rsidRPr="00803037">
        <w:rPr>
          <w:lang w:val="fr-FR"/>
        </w:rPr>
        <w:t>La publication des produits intérimaires suivants sur la Question 3/2 a été approuvée</w:t>
      </w:r>
      <w:r w:rsidRPr="00803037">
        <w:rPr>
          <w:rStyle w:val="FootnoteReference"/>
          <w:lang w:val="fr-FR"/>
        </w:rPr>
        <w:footnoteReference w:id="11"/>
      </w:r>
      <w:r w:rsidRPr="00803037">
        <w:rPr>
          <w:lang w:val="fr-FR"/>
        </w:rPr>
        <w:t>:</w:t>
      </w:r>
    </w:p>
    <w:p w14:paraId="6309CBAE" w14:textId="4B815D3B" w:rsidR="000B3E0D" w:rsidRPr="00803037" w:rsidRDefault="000B3E0D" w:rsidP="000B3E0D">
      <w:pPr>
        <w:pStyle w:val="enumlev1"/>
        <w:rPr>
          <w:lang w:val="fr-FR"/>
        </w:rPr>
      </w:pPr>
      <w:r w:rsidRPr="00803037">
        <w:rPr>
          <w:lang w:val="fr-FR"/>
        </w:rPr>
        <w:t>–</w:t>
      </w:r>
      <w:r w:rsidRPr="00803037">
        <w:rPr>
          <w:lang w:val="fr-FR"/>
        </w:rPr>
        <w:tab/>
      </w:r>
      <w:r w:rsidRPr="00803037">
        <w:rPr>
          <w:i/>
          <w:iCs/>
          <w:lang w:val="fr-FR"/>
        </w:rPr>
        <w:t xml:space="preserve">Pratiques en matière </w:t>
      </w:r>
      <w:r w:rsidR="0089542D" w:rsidRPr="00803037">
        <w:rPr>
          <w:i/>
          <w:iCs/>
          <w:lang w:val="fr-FR"/>
        </w:rPr>
        <w:t>d'</w:t>
      </w:r>
      <w:r w:rsidRPr="00803037">
        <w:rPr>
          <w:i/>
          <w:iCs/>
          <w:lang w:val="fr-FR"/>
        </w:rPr>
        <w:t>assurance de la cybersécurité</w:t>
      </w:r>
      <w:r w:rsidRPr="00803037">
        <w:rPr>
          <w:lang w:val="fr-FR"/>
        </w:rPr>
        <w:t xml:space="preserve"> (produit intérimaire de</w:t>
      </w:r>
      <w:r w:rsidR="00667ECD" w:rsidRPr="00803037">
        <w:rPr>
          <w:lang w:val="fr-FR"/>
        </w:rPr>
        <w:t> </w:t>
      </w:r>
      <w:r w:rsidRPr="00803037">
        <w:rPr>
          <w:lang w:val="fr-FR"/>
        </w:rPr>
        <w:t>2023,</w:t>
      </w:r>
      <w:r w:rsidR="00667ECD" w:rsidRPr="00803037">
        <w:rPr>
          <w:lang w:val="fr-FR"/>
        </w:rPr>
        <w:t> </w:t>
      </w:r>
      <w:hyperlink r:id="rId53" w:anchor="/fr" w:history="1">
        <w:r w:rsidRPr="00803037">
          <w:rPr>
            <w:rStyle w:val="Hyperlink"/>
            <w:lang w:val="fr-FR"/>
          </w:rPr>
          <w:t>lien</w:t>
        </w:r>
      </w:hyperlink>
      <w:r w:rsidRPr="00803037">
        <w:rPr>
          <w:lang w:val="fr-FR"/>
        </w:rPr>
        <w:t>). Une table ronde a été organisée afin de présenter les principales conclusions de ce document (</w:t>
      </w:r>
      <w:hyperlink r:id="rId54" w:history="1">
        <w:r w:rsidRPr="00803037">
          <w:rPr>
            <w:rStyle w:val="Hyperlink"/>
            <w:lang w:val="fr-FR"/>
          </w:rPr>
          <w:t>programme</w:t>
        </w:r>
      </w:hyperlink>
      <w:r w:rsidRPr="00803037">
        <w:rPr>
          <w:lang w:val="fr-FR"/>
        </w:rPr>
        <w:t xml:space="preserve">, </w:t>
      </w:r>
      <w:hyperlink r:id="rId55" w:history="1">
        <w:r w:rsidRPr="00803037">
          <w:rPr>
            <w:rStyle w:val="Hyperlink"/>
            <w:lang w:val="fr-FR"/>
          </w:rPr>
          <w:t>rapport</w:t>
        </w:r>
      </w:hyperlink>
      <w:r w:rsidRPr="00803037">
        <w:rPr>
          <w:lang w:val="fr-FR"/>
        </w:rPr>
        <w:t xml:space="preserve"> (Annexe 5)).</w:t>
      </w:r>
    </w:p>
    <w:p w14:paraId="09D7C17C" w14:textId="77777777" w:rsidR="000B3E0D" w:rsidRPr="00803037" w:rsidRDefault="000B3E0D" w:rsidP="000B3E0D">
      <w:pPr>
        <w:pStyle w:val="enumlev1"/>
        <w:rPr>
          <w:lang w:val="fr-FR"/>
        </w:rPr>
      </w:pPr>
      <w:r w:rsidRPr="00803037">
        <w:rPr>
          <w:lang w:val="fr-FR"/>
        </w:rPr>
        <w:t>–</w:t>
      </w:r>
      <w:r w:rsidRPr="00803037">
        <w:rPr>
          <w:lang w:val="fr-FR"/>
        </w:rPr>
        <w:tab/>
      </w:r>
      <w:r w:rsidRPr="00803037">
        <w:rPr>
          <w:i/>
          <w:iCs/>
          <w:lang w:val="fr-FR"/>
        </w:rPr>
        <w:t>Cybersécurité 5G</w:t>
      </w:r>
      <w:r w:rsidRPr="00803037">
        <w:rPr>
          <w:lang w:val="fr-FR"/>
        </w:rPr>
        <w:t xml:space="preserve"> (produit intermédiaire de 2024, </w:t>
      </w:r>
      <w:hyperlink r:id="rId56" w:history="1">
        <w:r w:rsidRPr="00803037">
          <w:rPr>
            <w:rStyle w:val="Hyperlink"/>
            <w:lang w:val="fr-FR"/>
          </w:rPr>
          <w:t>lien</w:t>
        </w:r>
      </w:hyperlink>
      <w:r w:rsidRPr="00803037">
        <w:rPr>
          <w:lang w:val="fr-FR"/>
        </w:rPr>
        <w:t>).</w:t>
      </w:r>
    </w:p>
    <w:p w14:paraId="35265B69" w14:textId="77777777" w:rsidR="000B3E0D" w:rsidRPr="00803037" w:rsidRDefault="000B3E0D" w:rsidP="000B3E0D">
      <w:pPr>
        <w:rPr>
          <w:lang w:val="fr-FR"/>
        </w:rPr>
      </w:pPr>
      <w:r w:rsidRPr="00803037">
        <w:rPr>
          <w:lang w:val="fr-FR"/>
        </w:rPr>
        <w:t>Le Groupe du Rapporteur pour la Question 3/2 a également organisé les ateliers suivants:</w:t>
      </w:r>
    </w:p>
    <w:p w14:paraId="1B8D88D0" w14:textId="513A2CCE" w:rsidR="000B3E0D" w:rsidRPr="00803037" w:rsidRDefault="000B3E0D" w:rsidP="000B3E0D">
      <w:pPr>
        <w:pStyle w:val="enumlev1"/>
        <w:rPr>
          <w:lang w:val="fr-FR"/>
        </w:rPr>
      </w:pPr>
      <w:r w:rsidRPr="00803037">
        <w:rPr>
          <w:lang w:val="fr-FR"/>
        </w:rPr>
        <w:t>–</w:t>
      </w:r>
      <w:r w:rsidRPr="00803037">
        <w:rPr>
          <w:lang w:val="fr-FR"/>
        </w:rPr>
        <w:tab/>
        <w:t xml:space="preserve">Atelier sur les pratiques en matière </w:t>
      </w:r>
      <w:r w:rsidR="0089542D" w:rsidRPr="00803037">
        <w:rPr>
          <w:lang w:val="fr-FR"/>
        </w:rPr>
        <w:t>d'</w:t>
      </w:r>
      <w:r w:rsidRPr="00803037">
        <w:rPr>
          <w:lang w:val="fr-FR"/>
        </w:rPr>
        <w:t>assurance de la cybersécurité, tenu le</w:t>
      </w:r>
      <w:r w:rsidR="00EB60A4" w:rsidRPr="00803037">
        <w:rPr>
          <w:lang w:val="fr-FR"/>
        </w:rPr>
        <w:t> </w:t>
      </w:r>
      <w:r w:rsidRPr="00803037">
        <w:rPr>
          <w:lang w:val="fr-FR"/>
        </w:rPr>
        <w:t>23</w:t>
      </w:r>
      <w:r w:rsidR="00EB60A4" w:rsidRPr="00803037">
        <w:rPr>
          <w:lang w:val="fr-FR"/>
        </w:rPr>
        <w:t> </w:t>
      </w:r>
      <w:r w:rsidRPr="00803037">
        <w:rPr>
          <w:lang w:val="fr-FR"/>
        </w:rPr>
        <w:t>mai</w:t>
      </w:r>
      <w:r w:rsidR="00EB60A4" w:rsidRPr="00803037">
        <w:rPr>
          <w:lang w:val="fr-FR"/>
        </w:rPr>
        <w:t> </w:t>
      </w:r>
      <w:r w:rsidRPr="00803037">
        <w:rPr>
          <w:lang w:val="fr-FR"/>
        </w:rPr>
        <w:t>2023 (</w:t>
      </w:r>
      <w:hyperlink r:id="rId57" w:history="1">
        <w:r w:rsidRPr="00803037">
          <w:rPr>
            <w:rStyle w:val="Hyperlink"/>
            <w:lang w:val="fr-FR"/>
          </w:rPr>
          <w:t>programme</w:t>
        </w:r>
      </w:hyperlink>
      <w:r w:rsidRPr="00803037">
        <w:rPr>
          <w:lang w:val="fr-FR"/>
        </w:rPr>
        <w:t xml:space="preserve"> et </w:t>
      </w:r>
      <w:hyperlink r:id="rId58" w:history="1">
        <w:r w:rsidRPr="00803037">
          <w:rPr>
            <w:rStyle w:val="Hyperlink"/>
            <w:lang w:val="fr-FR"/>
          </w:rPr>
          <w:t>rapport</w:t>
        </w:r>
      </w:hyperlink>
      <w:r w:rsidRPr="00803037">
        <w:rPr>
          <w:lang w:val="fr-FR"/>
        </w:rPr>
        <w:t xml:space="preserve"> (Annexe 4)).</w:t>
      </w:r>
    </w:p>
    <w:p w14:paraId="1FC659D9" w14:textId="77777777" w:rsidR="000B3E0D" w:rsidRPr="00803037" w:rsidRDefault="000B3E0D" w:rsidP="000B3E0D">
      <w:pPr>
        <w:pStyle w:val="enumlev1"/>
        <w:rPr>
          <w:lang w:val="fr-FR"/>
        </w:rPr>
      </w:pPr>
      <w:r w:rsidRPr="00803037">
        <w:rPr>
          <w:lang w:val="fr-FR"/>
        </w:rPr>
        <w:t>–</w:t>
      </w:r>
      <w:r w:rsidRPr="00803037">
        <w:rPr>
          <w:lang w:val="fr-FR"/>
        </w:rPr>
        <w:tab/>
        <w:t>Atelier sur la cybersécurité 5G, tenu le 2 mai 2024 (</w:t>
      </w:r>
      <w:hyperlink r:id="rId59" w:history="1">
        <w:r w:rsidRPr="00803037">
          <w:rPr>
            <w:rStyle w:val="Hyperlink"/>
            <w:lang w:val="fr-FR"/>
          </w:rPr>
          <w:t>programme</w:t>
        </w:r>
      </w:hyperlink>
      <w:r w:rsidRPr="00803037">
        <w:rPr>
          <w:lang w:val="fr-FR"/>
        </w:rPr>
        <w:t xml:space="preserve">, </w:t>
      </w:r>
      <w:hyperlink r:id="rId60" w:history="1">
        <w:r w:rsidRPr="00803037">
          <w:rPr>
            <w:rStyle w:val="Hyperlink"/>
            <w:lang w:val="fr-FR"/>
          </w:rPr>
          <w:t>rapport</w:t>
        </w:r>
      </w:hyperlink>
      <w:r w:rsidRPr="00803037">
        <w:rPr>
          <w:lang w:val="fr-FR"/>
        </w:rPr>
        <w:t xml:space="preserve"> (Annexe 4)).</w:t>
      </w:r>
    </w:p>
    <w:p w14:paraId="17719BD9" w14:textId="748643F6" w:rsidR="000B3E0D" w:rsidRPr="00803037" w:rsidRDefault="000B3E0D" w:rsidP="000B3E0D">
      <w:pPr>
        <w:rPr>
          <w:rFonts w:eastAsia="Malgun Gothic" w:cstheme="minorHAnsi"/>
          <w:szCs w:val="24"/>
          <w:lang w:val="fr-FR"/>
        </w:rPr>
      </w:pPr>
      <w:r w:rsidRPr="00803037">
        <w:rPr>
          <w:lang w:val="fr-FR"/>
        </w:rPr>
        <w:t xml:space="preserve">Les thèmes suivants ont notamment été proposés pour la prochaine période </w:t>
      </w:r>
      <w:r w:rsidR="0089542D" w:rsidRPr="00803037">
        <w:rPr>
          <w:lang w:val="fr-FR"/>
        </w:rPr>
        <w:t>d'</w:t>
      </w:r>
      <w:r w:rsidRPr="00803037">
        <w:rPr>
          <w:lang w:val="fr-FR"/>
        </w:rPr>
        <w:t>études en ce qui concerne la manière de promouvoir la cybersécurité et la cyberrésilience dans le secteur des télécommunications/TIC:</w:t>
      </w:r>
    </w:p>
    <w:p w14:paraId="7C748847" w14:textId="791E42C1" w:rsidR="000B3E0D" w:rsidRPr="00803037" w:rsidRDefault="000B3E0D" w:rsidP="000B3E0D">
      <w:pPr>
        <w:pStyle w:val="enumlev1"/>
        <w:rPr>
          <w:rFonts w:eastAsia="Malgun Gothic"/>
          <w:lang w:val="fr-FR"/>
        </w:rPr>
      </w:pPr>
      <w:r w:rsidRPr="00803037">
        <w:rPr>
          <w:lang w:val="fr-FR"/>
        </w:rPr>
        <w:lastRenderedPageBreak/>
        <w:t>–</w:t>
      </w:r>
      <w:r w:rsidRPr="00803037">
        <w:rPr>
          <w:lang w:val="fr-FR"/>
        </w:rPr>
        <w:tab/>
        <w:t xml:space="preserve">Politiques publiques et réglementations relatives à la cybersécurité applicables au secteur des télécommunications/TIC, y compris les obligations et les pratiques en matière </w:t>
      </w:r>
      <w:r w:rsidR="0089542D" w:rsidRPr="00803037">
        <w:rPr>
          <w:lang w:val="fr-FR"/>
        </w:rPr>
        <w:t>d'</w:t>
      </w:r>
      <w:r w:rsidRPr="00803037">
        <w:rPr>
          <w:lang w:val="fr-FR"/>
        </w:rPr>
        <w:t>assurance de la cybersécurité.</w:t>
      </w:r>
    </w:p>
    <w:p w14:paraId="1D9D11B1" w14:textId="77777777" w:rsidR="000B3E0D" w:rsidRPr="00803037" w:rsidRDefault="000B3E0D" w:rsidP="000B3E0D">
      <w:pPr>
        <w:pStyle w:val="enumlev1"/>
        <w:rPr>
          <w:rFonts w:eastAsia="Malgun Gothic"/>
          <w:lang w:val="fr-FR"/>
        </w:rPr>
      </w:pPr>
      <w:r w:rsidRPr="00803037">
        <w:rPr>
          <w:lang w:val="fr-FR"/>
        </w:rPr>
        <w:t>–</w:t>
      </w:r>
      <w:r w:rsidRPr="00803037">
        <w:rPr>
          <w:lang w:val="fr-FR"/>
        </w:rPr>
        <w:tab/>
        <w:t>Mesures, initiatives et projets spécifiques visant à améliorer la cybersécurité et la cyberrésilience des fournisseurs de services de télécommunication de petite taille ou de taille moyenne.</w:t>
      </w:r>
    </w:p>
    <w:p w14:paraId="2DBC7D8E" w14:textId="47E01868" w:rsidR="000B3E0D" w:rsidRPr="00803037" w:rsidRDefault="000B3E0D" w:rsidP="000B3E0D">
      <w:pPr>
        <w:pStyle w:val="enumlev1"/>
        <w:rPr>
          <w:rFonts w:eastAsia="Malgun Gothic"/>
          <w:lang w:val="fr-FR"/>
        </w:rPr>
      </w:pPr>
      <w:r w:rsidRPr="00803037">
        <w:rPr>
          <w:lang w:val="fr-FR"/>
        </w:rPr>
        <w:t>–</w:t>
      </w:r>
      <w:r w:rsidRPr="00803037">
        <w:rPr>
          <w:lang w:val="fr-FR"/>
        </w:rPr>
        <w:tab/>
        <w:t xml:space="preserve">Comment les membres de </w:t>
      </w:r>
      <w:r w:rsidR="0089542D" w:rsidRPr="00803037">
        <w:rPr>
          <w:lang w:val="fr-FR"/>
        </w:rPr>
        <w:t>l'</w:t>
      </w:r>
      <w:r w:rsidRPr="00803037">
        <w:rPr>
          <w:lang w:val="fr-FR"/>
        </w:rPr>
        <w:t>UIT abordent les défis posés par la cybersécurité et se saisissent des possibilités offertes par les technologies et les services de télécommunication/TIC nouveaux et émergents dans le secteur.</w:t>
      </w:r>
    </w:p>
    <w:p w14:paraId="33298AA7" w14:textId="1FDD359F" w:rsidR="000B3E0D" w:rsidRPr="00803037" w:rsidRDefault="000B3E0D" w:rsidP="000B3E0D">
      <w:pPr>
        <w:rPr>
          <w:lang w:val="fr-FR"/>
        </w:rPr>
      </w:pPr>
      <w:r w:rsidRPr="00803037">
        <w:rPr>
          <w:lang w:val="fr-FR"/>
        </w:rPr>
        <w:t xml:space="preserve">Une version actualisée du projet de champ </w:t>
      </w:r>
      <w:r w:rsidR="0089542D" w:rsidRPr="00803037">
        <w:rPr>
          <w:lang w:val="fr-FR"/>
        </w:rPr>
        <w:t>d'</w:t>
      </w:r>
      <w:r w:rsidRPr="00803037">
        <w:rPr>
          <w:lang w:val="fr-FR"/>
        </w:rPr>
        <w:t xml:space="preserve">application de la Question 3/2 figure dans le </w:t>
      </w:r>
      <w:r w:rsidR="00901403" w:rsidRPr="00803037">
        <w:rPr>
          <w:lang w:val="fr-FR"/>
        </w:rPr>
        <w:t xml:space="preserve">Document </w:t>
      </w:r>
      <w:hyperlink r:id="rId61" w:history="1">
        <w:r w:rsidR="00901403" w:rsidRPr="00803037">
          <w:rPr>
            <w:rStyle w:val="Hyperlink"/>
            <w:lang w:val="fr-FR"/>
          </w:rPr>
          <w:t>TDAG-WG-future SGQ/48</w:t>
        </w:r>
      </w:hyperlink>
      <w:r w:rsidRPr="00803037">
        <w:rPr>
          <w:lang w:val="fr-FR"/>
        </w:rPr>
        <w:t>.</w:t>
      </w:r>
      <w:hyperlink r:id="rId62" w:history="1"/>
    </w:p>
    <w:p w14:paraId="5BB8E8E1" w14:textId="77777777" w:rsidR="000B3E0D" w:rsidRPr="00803037" w:rsidRDefault="000B3E0D" w:rsidP="000B3E0D">
      <w:pPr>
        <w:pStyle w:val="Headingb"/>
        <w:rPr>
          <w:lang w:val="fr-FR"/>
        </w:rPr>
      </w:pPr>
      <w:r w:rsidRPr="00803037">
        <w:rPr>
          <w:lang w:val="fr-FR"/>
        </w:rPr>
        <w:t>Question 4/2 – Équipements de télécommunication/TIC: conformité et interopérabilité et lutte contre la contrefaçon et le vol de dispositifs mobiles</w:t>
      </w:r>
    </w:p>
    <w:p w14:paraId="5FCAF320" w14:textId="72C5909E" w:rsidR="000B3E0D" w:rsidRPr="00803037" w:rsidRDefault="000B3E0D" w:rsidP="000B3E0D">
      <w:pPr>
        <w:rPr>
          <w:lang w:val="fr-FR"/>
        </w:rPr>
      </w:pPr>
      <w:r w:rsidRPr="00803037">
        <w:rPr>
          <w:lang w:val="fr-FR"/>
        </w:rPr>
        <w:t xml:space="preserve">Le </w:t>
      </w:r>
      <w:r w:rsidR="00700A62" w:rsidRPr="00803037">
        <w:rPr>
          <w:lang w:val="fr-FR"/>
        </w:rPr>
        <w:t>R</w:t>
      </w:r>
      <w:r w:rsidRPr="00803037">
        <w:rPr>
          <w:lang w:val="fr-FR"/>
        </w:rPr>
        <w:t xml:space="preserve">apport final approuvé sur la Question 4/2 est </w:t>
      </w:r>
      <w:r w:rsidR="0089542D" w:rsidRPr="00803037">
        <w:rPr>
          <w:lang w:val="fr-FR"/>
        </w:rPr>
        <w:t>l'</w:t>
      </w:r>
      <w:r w:rsidRPr="00803037">
        <w:rPr>
          <w:lang w:val="fr-FR"/>
        </w:rPr>
        <w:t xml:space="preserve">objet du </w:t>
      </w:r>
      <w:r w:rsidR="00901403" w:rsidRPr="00803037">
        <w:rPr>
          <w:lang w:val="fr-FR"/>
        </w:rPr>
        <w:t xml:space="preserve">Document </w:t>
      </w:r>
      <w:hyperlink r:id="rId63" w:history="1">
        <w:r w:rsidR="00901403" w:rsidRPr="00803037">
          <w:rPr>
            <w:rStyle w:val="Hyperlink"/>
            <w:lang w:val="fr-FR"/>
          </w:rPr>
          <w:t>2/361</w:t>
        </w:r>
      </w:hyperlink>
      <w:r w:rsidRPr="00803037">
        <w:rPr>
          <w:lang w:val="fr-FR"/>
        </w:rPr>
        <w:t>.</w:t>
      </w:r>
    </w:p>
    <w:p w14:paraId="07DE0857" w14:textId="77777777" w:rsidR="000B3E0D" w:rsidRPr="00803037" w:rsidRDefault="000B3E0D" w:rsidP="000B3E0D">
      <w:pPr>
        <w:rPr>
          <w:lang w:val="fr-FR"/>
        </w:rPr>
      </w:pPr>
      <w:r w:rsidRPr="00803037">
        <w:rPr>
          <w:lang w:val="fr-FR"/>
        </w:rPr>
        <w:t>Le Groupe du Rapporteur pour la Question 4/2 a également organisé les ateliers suivants:</w:t>
      </w:r>
    </w:p>
    <w:p w14:paraId="6BF2B2CA" w14:textId="5662A721" w:rsidR="000B3E0D" w:rsidRPr="00803037" w:rsidRDefault="000B3E0D" w:rsidP="000B3E0D">
      <w:pPr>
        <w:pStyle w:val="enumlev1"/>
        <w:rPr>
          <w:lang w:val="fr-FR"/>
        </w:rPr>
      </w:pPr>
      <w:r w:rsidRPr="00803037">
        <w:rPr>
          <w:lang w:val="fr-FR"/>
        </w:rPr>
        <w:t>–</w:t>
      </w:r>
      <w:r w:rsidRPr="00803037">
        <w:rPr>
          <w:lang w:val="fr-FR"/>
        </w:rPr>
        <w:tab/>
        <w:t xml:space="preserve">Atelier sur les défis en matière de conformité et </w:t>
      </w:r>
      <w:r w:rsidR="0089542D" w:rsidRPr="00803037">
        <w:rPr>
          <w:lang w:val="fr-FR"/>
        </w:rPr>
        <w:t>d'</w:t>
      </w:r>
      <w:r w:rsidRPr="00803037">
        <w:rPr>
          <w:lang w:val="fr-FR"/>
        </w:rPr>
        <w:t>interopérabilité pour la transformation numérique, tenu le 2 juin 2023 (</w:t>
      </w:r>
      <w:hyperlink r:id="rId64" w:history="1">
        <w:r w:rsidRPr="00803037">
          <w:rPr>
            <w:rStyle w:val="Hyperlink"/>
            <w:lang w:val="fr-FR"/>
          </w:rPr>
          <w:t>programme</w:t>
        </w:r>
      </w:hyperlink>
      <w:r w:rsidRPr="00803037">
        <w:rPr>
          <w:lang w:val="fr-FR"/>
        </w:rPr>
        <w:t xml:space="preserve">, </w:t>
      </w:r>
      <w:hyperlink r:id="rId65" w:history="1">
        <w:r w:rsidRPr="00803037">
          <w:rPr>
            <w:rStyle w:val="Hyperlink"/>
            <w:lang w:val="fr-FR"/>
          </w:rPr>
          <w:t>rapport</w:t>
        </w:r>
      </w:hyperlink>
      <w:r w:rsidRPr="00803037">
        <w:rPr>
          <w:lang w:val="fr-FR"/>
        </w:rPr>
        <w:t xml:space="preserve"> (Annexe 4)).</w:t>
      </w:r>
    </w:p>
    <w:p w14:paraId="58C1F0A2" w14:textId="56E4506B" w:rsidR="000B3E0D" w:rsidRPr="00803037" w:rsidRDefault="000B3E0D" w:rsidP="000B3E0D">
      <w:pPr>
        <w:pStyle w:val="enumlev1"/>
        <w:rPr>
          <w:lang w:val="fr-FR"/>
        </w:rPr>
      </w:pPr>
      <w:r w:rsidRPr="00803037">
        <w:rPr>
          <w:lang w:val="fr-FR"/>
        </w:rPr>
        <w:t>–</w:t>
      </w:r>
      <w:r w:rsidRPr="00803037">
        <w:rPr>
          <w:lang w:val="fr-FR"/>
        </w:rPr>
        <w:tab/>
        <w:t xml:space="preserve">Atelier sur les techniques permettant de promouvoir </w:t>
      </w:r>
      <w:r w:rsidR="0089542D" w:rsidRPr="00803037">
        <w:rPr>
          <w:lang w:val="fr-FR"/>
        </w:rPr>
        <w:t>l'</w:t>
      </w:r>
      <w:r w:rsidRPr="00803037">
        <w:rPr>
          <w:lang w:val="fr-FR"/>
        </w:rPr>
        <w:t xml:space="preserve">harmonisation des systèmes de conformité et </w:t>
      </w:r>
      <w:r w:rsidR="0089542D" w:rsidRPr="00803037">
        <w:rPr>
          <w:lang w:val="fr-FR"/>
        </w:rPr>
        <w:t>d'</w:t>
      </w:r>
      <w:r w:rsidRPr="00803037">
        <w:rPr>
          <w:lang w:val="fr-FR"/>
        </w:rPr>
        <w:t>interopérabilité (C&amp;I), organisé le 10 mai 2024 (</w:t>
      </w:r>
      <w:hyperlink r:id="rId66" w:history="1">
        <w:r w:rsidRPr="00803037">
          <w:rPr>
            <w:rStyle w:val="Hyperlink"/>
            <w:lang w:val="fr-FR"/>
          </w:rPr>
          <w:t>programme</w:t>
        </w:r>
      </w:hyperlink>
      <w:r w:rsidRPr="00803037">
        <w:rPr>
          <w:lang w:val="fr-FR"/>
        </w:rPr>
        <w:t xml:space="preserve">, </w:t>
      </w:r>
      <w:hyperlink r:id="rId67" w:history="1">
        <w:r w:rsidRPr="00803037">
          <w:rPr>
            <w:rStyle w:val="Hyperlink"/>
            <w:lang w:val="fr-FR"/>
          </w:rPr>
          <w:t>rapport</w:t>
        </w:r>
      </w:hyperlink>
      <w:r w:rsidRPr="00803037">
        <w:rPr>
          <w:lang w:val="fr-FR"/>
        </w:rPr>
        <w:t xml:space="preserve"> (Annexe 3)).</w:t>
      </w:r>
    </w:p>
    <w:p w14:paraId="23395D6E" w14:textId="5BD9A2A1" w:rsidR="000B3E0D" w:rsidRPr="00803037" w:rsidRDefault="000B3E0D" w:rsidP="000B3E0D">
      <w:pPr>
        <w:rPr>
          <w:lang w:val="fr-FR"/>
        </w:rPr>
      </w:pPr>
      <w:r w:rsidRPr="00803037">
        <w:rPr>
          <w:lang w:val="fr-FR"/>
        </w:rPr>
        <w:t xml:space="preserve">Des thèmes ont été proposés pour la prochaine période </w:t>
      </w:r>
      <w:r w:rsidR="0089542D" w:rsidRPr="00803037">
        <w:rPr>
          <w:lang w:val="fr-FR"/>
        </w:rPr>
        <w:t>d'</w:t>
      </w:r>
      <w:r w:rsidRPr="00803037">
        <w:rPr>
          <w:lang w:val="fr-FR"/>
        </w:rPr>
        <w:t xml:space="preserve">études, notamment la création </w:t>
      </w:r>
      <w:r w:rsidR="0089542D" w:rsidRPr="00803037">
        <w:rPr>
          <w:lang w:val="fr-FR"/>
        </w:rPr>
        <w:t>d'</w:t>
      </w:r>
      <w:r w:rsidRPr="00803037">
        <w:rPr>
          <w:lang w:val="fr-FR"/>
        </w:rPr>
        <w:t xml:space="preserve">instances de collaboration en matière de C&amp;I, la création de bases de données centralisées pour lutter contre la contrefaçon </w:t>
      </w:r>
      <w:r w:rsidR="0089542D" w:rsidRPr="00803037">
        <w:rPr>
          <w:lang w:val="fr-FR"/>
        </w:rPr>
        <w:t>d'</w:t>
      </w:r>
      <w:r w:rsidRPr="00803037">
        <w:rPr>
          <w:lang w:val="fr-FR"/>
        </w:rPr>
        <w:t xml:space="preserve">équipements TIC et </w:t>
      </w:r>
      <w:r w:rsidR="0089542D" w:rsidRPr="00803037">
        <w:rPr>
          <w:lang w:val="fr-FR"/>
        </w:rPr>
        <w:t>l'</w:t>
      </w:r>
      <w:r w:rsidRPr="00803037">
        <w:rPr>
          <w:lang w:val="fr-FR"/>
        </w:rPr>
        <w:t>établissement de cadres juridiques harmonisés pour lutter contre le vol de dispositifs mobiles. On trouvera de plus amples informations dans le </w:t>
      </w:r>
      <w:r w:rsidR="00901403" w:rsidRPr="00803037">
        <w:rPr>
          <w:lang w:val="fr-FR"/>
        </w:rPr>
        <w:t xml:space="preserve">Document </w:t>
      </w:r>
      <w:hyperlink r:id="rId68" w:history="1">
        <w:r w:rsidR="00901403" w:rsidRPr="00803037">
          <w:rPr>
            <w:rStyle w:val="Hyperlink"/>
            <w:lang w:val="fr-FR"/>
          </w:rPr>
          <w:t>TDAG-WG-futureSGQ/48</w:t>
        </w:r>
      </w:hyperlink>
      <w:r w:rsidRPr="00803037">
        <w:rPr>
          <w:lang w:val="fr-FR"/>
        </w:rPr>
        <w:t>.</w:t>
      </w:r>
    </w:p>
    <w:p w14:paraId="6AC211FC" w14:textId="77777777" w:rsidR="000B3E0D" w:rsidRPr="00803037" w:rsidRDefault="000B3E0D" w:rsidP="000B3E0D">
      <w:pPr>
        <w:pStyle w:val="Headingb"/>
        <w:rPr>
          <w:lang w:val="fr-FR"/>
        </w:rPr>
      </w:pPr>
      <w:r w:rsidRPr="00803037">
        <w:rPr>
          <w:lang w:val="fr-FR"/>
        </w:rPr>
        <w:t>Question 5/2 – Adoption des télécommunications/TIC et amélioration des compétences numériques</w:t>
      </w:r>
    </w:p>
    <w:p w14:paraId="3238E643" w14:textId="01028F71" w:rsidR="000B3E0D" w:rsidRPr="00803037" w:rsidRDefault="000B3E0D" w:rsidP="000B3E0D">
      <w:pPr>
        <w:rPr>
          <w:lang w:val="fr-FR"/>
        </w:rPr>
      </w:pPr>
      <w:r w:rsidRPr="00803037">
        <w:rPr>
          <w:lang w:val="fr-FR"/>
        </w:rPr>
        <w:t xml:space="preserve">Le </w:t>
      </w:r>
      <w:r w:rsidR="00700A62" w:rsidRPr="00803037">
        <w:rPr>
          <w:lang w:val="fr-FR"/>
        </w:rPr>
        <w:t xml:space="preserve">Rapport </w:t>
      </w:r>
      <w:r w:rsidRPr="00803037">
        <w:rPr>
          <w:lang w:val="fr-FR"/>
        </w:rPr>
        <w:t xml:space="preserve">final sur la Question 5/2 est </w:t>
      </w:r>
      <w:r w:rsidR="0089542D" w:rsidRPr="00803037">
        <w:rPr>
          <w:lang w:val="fr-FR"/>
        </w:rPr>
        <w:t>l'</w:t>
      </w:r>
      <w:r w:rsidRPr="00803037">
        <w:rPr>
          <w:lang w:val="fr-FR"/>
        </w:rPr>
        <w:t xml:space="preserve">objet du </w:t>
      </w:r>
      <w:r w:rsidR="00901403" w:rsidRPr="00803037">
        <w:rPr>
          <w:lang w:val="fr-FR"/>
        </w:rPr>
        <w:t xml:space="preserve">Document </w:t>
      </w:r>
      <w:hyperlink r:id="rId69" w:history="1">
        <w:r w:rsidR="00901403" w:rsidRPr="00803037">
          <w:rPr>
            <w:rStyle w:val="Hyperlink"/>
            <w:lang w:val="fr-FR"/>
          </w:rPr>
          <w:t>2/362</w:t>
        </w:r>
      </w:hyperlink>
      <w:r w:rsidRPr="00803037">
        <w:rPr>
          <w:lang w:val="fr-FR"/>
        </w:rPr>
        <w:t>.</w:t>
      </w:r>
    </w:p>
    <w:p w14:paraId="4BE65987" w14:textId="77777777" w:rsidR="000B3E0D" w:rsidRPr="00803037" w:rsidRDefault="000B3E0D" w:rsidP="000B3E0D">
      <w:pPr>
        <w:rPr>
          <w:lang w:val="fr-FR"/>
        </w:rPr>
      </w:pPr>
      <w:r w:rsidRPr="00803037">
        <w:rPr>
          <w:lang w:val="fr-FR"/>
        </w:rPr>
        <w:t>Le Groupe du Rapporteur pour la Question 5/2 a également organisé les ateliers suivants:</w:t>
      </w:r>
    </w:p>
    <w:p w14:paraId="5F056AEE" w14:textId="051E6906" w:rsidR="000B3E0D" w:rsidRPr="00803037" w:rsidRDefault="000B3E0D" w:rsidP="000B3E0D">
      <w:pPr>
        <w:pStyle w:val="enumlev1"/>
        <w:rPr>
          <w:lang w:val="fr-FR"/>
        </w:rPr>
      </w:pPr>
      <w:r w:rsidRPr="00803037">
        <w:rPr>
          <w:lang w:val="fr-FR"/>
        </w:rPr>
        <w:t>–</w:t>
      </w:r>
      <w:r w:rsidRPr="00803037">
        <w:rPr>
          <w:lang w:val="fr-FR"/>
        </w:rPr>
        <w:tab/>
        <w:t xml:space="preserve">Atelier sur </w:t>
      </w:r>
      <w:r w:rsidR="0089542D" w:rsidRPr="00803037">
        <w:rPr>
          <w:lang w:val="fr-FR"/>
        </w:rPr>
        <w:t>l'</w:t>
      </w:r>
      <w:r w:rsidRPr="00803037">
        <w:rPr>
          <w:lang w:val="fr-FR"/>
        </w:rPr>
        <w:t>adoption des TIC et le développement des compétences numériques, tenu le 1er juin 2023 (</w:t>
      </w:r>
      <w:hyperlink r:id="rId70" w:history="1">
        <w:r w:rsidRPr="00803037">
          <w:rPr>
            <w:rStyle w:val="Hyperlink"/>
            <w:lang w:val="fr-FR"/>
          </w:rPr>
          <w:t>programme</w:t>
        </w:r>
      </w:hyperlink>
      <w:r w:rsidRPr="00803037">
        <w:rPr>
          <w:lang w:val="fr-FR"/>
        </w:rPr>
        <w:t xml:space="preserve">, </w:t>
      </w:r>
      <w:hyperlink r:id="rId71" w:history="1">
        <w:r w:rsidRPr="00803037">
          <w:rPr>
            <w:rStyle w:val="Hyperlink"/>
            <w:lang w:val="fr-FR"/>
          </w:rPr>
          <w:t>rapport</w:t>
        </w:r>
      </w:hyperlink>
      <w:r w:rsidRPr="00803037">
        <w:rPr>
          <w:lang w:val="fr-FR"/>
        </w:rPr>
        <w:t xml:space="preserve"> (Annexe 3)).</w:t>
      </w:r>
    </w:p>
    <w:p w14:paraId="6DE412F6" w14:textId="298DF18C" w:rsidR="000B3E0D" w:rsidRPr="00803037" w:rsidRDefault="000B3E0D" w:rsidP="000B3E0D">
      <w:pPr>
        <w:pStyle w:val="enumlev1"/>
        <w:rPr>
          <w:lang w:val="fr-FR"/>
        </w:rPr>
      </w:pPr>
      <w:r w:rsidRPr="00803037">
        <w:rPr>
          <w:lang w:val="fr-FR"/>
        </w:rPr>
        <w:t>–</w:t>
      </w:r>
      <w:r w:rsidRPr="00803037">
        <w:rPr>
          <w:lang w:val="fr-FR"/>
        </w:rPr>
        <w:tab/>
        <w:t xml:space="preserve">Atelier sur le renforcement des compétences numériques: politiques, stratégies et données </w:t>
      </w:r>
      <w:r w:rsidR="0089542D" w:rsidRPr="00803037">
        <w:rPr>
          <w:lang w:val="fr-FR"/>
        </w:rPr>
        <w:t>d'</w:t>
      </w:r>
      <w:r w:rsidRPr="00803037">
        <w:rPr>
          <w:lang w:val="fr-FR"/>
        </w:rPr>
        <w:t>expérience nationales pour un avenir meilleur, tenu le 8 mai 2024 (</w:t>
      </w:r>
      <w:hyperlink r:id="rId72" w:history="1">
        <w:r w:rsidRPr="00803037">
          <w:rPr>
            <w:rStyle w:val="Hyperlink"/>
            <w:lang w:val="fr-FR"/>
          </w:rPr>
          <w:t>programme</w:t>
        </w:r>
      </w:hyperlink>
      <w:r w:rsidRPr="00803037">
        <w:rPr>
          <w:lang w:val="fr-FR"/>
        </w:rPr>
        <w:t>, </w:t>
      </w:r>
      <w:hyperlink r:id="rId73" w:history="1">
        <w:r w:rsidRPr="00803037">
          <w:rPr>
            <w:rStyle w:val="Hyperlink"/>
            <w:lang w:val="fr-FR"/>
          </w:rPr>
          <w:t>rapport</w:t>
        </w:r>
      </w:hyperlink>
      <w:r w:rsidRPr="00803037">
        <w:rPr>
          <w:lang w:val="fr-FR"/>
        </w:rPr>
        <w:t xml:space="preserve"> (Annexe 4)).</w:t>
      </w:r>
    </w:p>
    <w:p w14:paraId="61B853C9" w14:textId="2FAE2B60" w:rsidR="000B3E0D" w:rsidRPr="00803037" w:rsidRDefault="0089542D" w:rsidP="000B3E0D">
      <w:pPr>
        <w:rPr>
          <w:lang w:val="fr-FR"/>
        </w:rPr>
      </w:pPr>
      <w:r w:rsidRPr="00803037">
        <w:rPr>
          <w:lang w:val="fr-FR"/>
        </w:rPr>
        <w:t>S'</w:t>
      </w:r>
      <w:r w:rsidR="000B3E0D" w:rsidRPr="00803037">
        <w:rPr>
          <w:lang w:val="fr-FR"/>
        </w:rPr>
        <w:t xml:space="preserve">agissant des thèmes futurs, étant donné que ce domaine </w:t>
      </w:r>
      <w:r w:rsidRPr="00803037">
        <w:rPr>
          <w:lang w:val="fr-FR"/>
        </w:rPr>
        <w:t>d'</w:t>
      </w:r>
      <w:r w:rsidR="000B3E0D" w:rsidRPr="00803037">
        <w:rPr>
          <w:lang w:val="fr-FR"/>
        </w:rPr>
        <w:t xml:space="preserve">étude a été introduit pour la première fois pendant la présente période </w:t>
      </w:r>
      <w:r w:rsidRPr="00803037">
        <w:rPr>
          <w:lang w:val="fr-FR"/>
        </w:rPr>
        <w:t>d'</w:t>
      </w:r>
      <w:r w:rsidR="000B3E0D" w:rsidRPr="00803037">
        <w:rPr>
          <w:lang w:val="fr-FR"/>
        </w:rPr>
        <w:t xml:space="preserve">études, il a été estimé que tous les éléments inclus dans le champ </w:t>
      </w:r>
      <w:r w:rsidRPr="00803037">
        <w:rPr>
          <w:lang w:val="fr-FR"/>
        </w:rPr>
        <w:t>d'</w:t>
      </w:r>
      <w:r w:rsidR="000B3E0D" w:rsidRPr="00803037">
        <w:rPr>
          <w:lang w:val="fr-FR"/>
        </w:rPr>
        <w:t xml:space="preserve">application actuel de cette Question </w:t>
      </w:r>
      <w:r w:rsidRPr="00803037">
        <w:rPr>
          <w:lang w:val="fr-FR"/>
        </w:rPr>
        <w:t>n'</w:t>
      </w:r>
      <w:r w:rsidR="000B3E0D" w:rsidRPr="00803037">
        <w:rPr>
          <w:lang w:val="fr-FR"/>
        </w:rPr>
        <w:t>avaient pas été pleinement explorés et que des études complémentaires étaient nécessaires.</w:t>
      </w:r>
    </w:p>
    <w:p w14:paraId="77733FED" w14:textId="42C1E9BF" w:rsidR="000B3E0D" w:rsidRPr="00803037" w:rsidRDefault="000B3E0D" w:rsidP="000B3E0D">
      <w:pPr>
        <w:pStyle w:val="Headingb"/>
        <w:rPr>
          <w:lang w:val="fr-FR"/>
        </w:rPr>
      </w:pPr>
      <w:r w:rsidRPr="00803037">
        <w:rPr>
          <w:lang w:val="fr-FR"/>
        </w:rPr>
        <w:t xml:space="preserve">Question 6/2 – Les TIC au service de </w:t>
      </w:r>
      <w:r w:rsidR="0089542D" w:rsidRPr="00803037">
        <w:rPr>
          <w:lang w:val="fr-FR"/>
        </w:rPr>
        <w:t>l'</w:t>
      </w:r>
      <w:r w:rsidRPr="00803037">
        <w:rPr>
          <w:lang w:val="fr-FR"/>
        </w:rPr>
        <w:t>environnement</w:t>
      </w:r>
    </w:p>
    <w:p w14:paraId="1B68553F" w14:textId="3CCDB377" w:rsidR="000B3E0D" w:rsidRPr="00803037" w:rsidRDefault="000B3E0D" w:rsidP="000B3E0D">
      <w:pPr>
        <w:rPr>
          <w:lang w:val="fr-FR"/>
        </w:rPr>
      </w:pPr>
      <w:r w:rsidRPr="00803037">
        <w:rPr>
          <w:lang w:val="fr-FR"/>
        </w:rPr>
        <w:t xml:space="preserve">Le </w:t>
      </w:r>
      <w:r w:rsidR="00700A62" w:rsidRPr="00803037">
        <w:rPr>
          <w:lang w:val="fr-FR"/>
        </w:rPr>
        <w:t>R</w:t>
      </w:r>
      <w:r w:rsidRPr="00803037">
        <w:rPr>
          <w:lang w:val="fr-FR"/>
        </w:rPr>
        <w:t xml:space="preserve">apport final approuvé sur la Question 6/2 est </w:t>
      </w:r>
      <w:r w:rsidR="0089542D" w:rsidRPr="00803037">
        <w:rPr>
          <w:lang w:val="fr-FR"/>
        </w:rPr>
        <w:t>l'</w:t>
      </w:r>
      <w:r w:rsidRPr="00803037">
        <w:rPr>
          <w:lang w:val="fr-FR"/>
        </w:rPr>
        <w:t xml:space="preserve">objet du </w:t>
      </w:r>
      <w:r w:rsidR="00901403" w:rsidRPr="00803037">
        <w:rPr>
          <w:lang w:val="fr-FR"/>
        </w:rPr>
        <w:t xml:space="preserve">Document </w:t>
      </w:r>
      <w:hyperlink r:id="rId74" w:history="1">
        <w:r w:rsidR="00901403" w:rsidRPr="00803037">
          <w:rPr>
            <w:rStyle w:val="Hyperlink"/>
            <w:lang w:val="fr-FR"/>
          </w:rPr>
          <w:t>2/363</w:t>
        </w:r>
      </w:hyperlink>
      <w:r w:rsidRPr="00803037">
        <w:rPr>
          <w:lang w:val="fr-FR"/>
        </w:rPr>
        <w:t>.</w:t>
      </w:r>
    </w:p>
    <w:p w14:paraId="0C9B05F7" w14:textId="77777777" w:rsidR="000B3E0D" w:rsidRPr="00803037" w:rsidRDefault="000B3E0D" w:rsidP="000B3E0D">
      <w:pPr>
        <w:rPr>
          <w:lang w:val="fr-FR"/>
        </w:rPr>
      </w:pPr>
      <w:r w:rsidRPr="00803037">
        <w:rPr>
          <w:lang w:val="fr-FR"/>
        </w:rPr>
        <w:lastRenderedPageBreak/>
        <w:t>Le Groupe du Rapporteur pour la Question 6/2 a également organisé les ateliers suivants:</w:t>
      </w:r>
    </w:p>
    <w:p w14:paraId="3240916C" w14:textId="3BFAF563" w:rsidR="000B3E0D" w:rsidRPr="00803037" w:rsidRDefault="000B3E0D" w:rsidP="000B3E0D">
      <w:pPr>
        <w:pStyle w:val="enumlev1"/>
        <w:rPr>
          <w:lang w:val="fr-FR"/>
        </w:rPr>
      </w:pPr>
      <w:r w:rsidRPr="00803037">
        <w:rPr>
          <w:lang w:val="fr-FR"/>
        </w:rPr>
        <w:t>–</w:t>
      </w:r>
      <w:r w:rsidRPr="00803037">
        <w:rPr>
          <w:lang w:val="fr-FR"/>
        </w:rPr>
        <w:tab/>
        <w:t xml:space="preserve">Atelier sur les TIC et les technologies émergentes vertes au service de </w:t>
      </w:r>
      <w:r w:rsidR="0089542D" w:rsidRPr="00803037">
        <w:rPr>
          <w:lang w:val="fr-FR"/>
        </w:rPr>
        <w:t>l'</w:t>
      </w:r>
      <w:r w:rsidRPr="00803037">
        <w:rPr>
          <w:lang w:val="fr-FR"/>
        </w:rPr>
        <w:t>atténuation des effets des changements climatiques, tenu le 29 mai 2023 (</w:t>
      </w:r>
      <w:hyperlink r:id="rId75" w:history="1">
        <w:r w:rsidRPr="00803037">
          <w:rPr>
            <w:rStyle w:val="Hyperlink"/>
            <w:lang w:val="fr-FR"/>
          </w:rPr>
          <w:t>programme</w:t>
        </w:r>
      </w:hyperlink>
      <w:r w:rsidRPr="00803037">
        <w:rPr>
          <w:lang w:val="fr-FR"/>
        </w:rPr>
        <w:t xml:space="preserve">, </w:t>
      </w:r>
      <w:hyperlink r:id="rId76" w:history="1">
        <w:r w:rsidRPr="00803037">
          <w:rPr>
            <w:rStyle w:val="Hyperlink"/>
            <w:lang w:val="fr-FR"/>
          </w:rPr>
          <w:t>rapport</w:t>
        </w:r>
      </w:hyperlink>
      <w:r w:rsidRPr="00803037">
        <w:rPr>
          <w:lang w:val="fr-FR"/>
        </w:rPr>
        <w:t xml:space="preserve"> (Annexe 4)).</w:t>
      </w:r>
    </w:p>
    <w:p w14:paraId="7217BB04" w14:textId="27DB049D" w:rsidR="000B3E0D" w:rsidRPr="00803037" w:rsidRDefault="000B3E0D" w:rsidP="000B3E0D">
      <w:pPr>
        <w:pStyle w:val="enumlev1"/>
        <w:rPr>
          <w:lang w:val="fr-FR"/>
        </w:rPr>
      </w:pPr>
      <w:r w:rsidRPr="00803037">
        <w:rPr>
          <w:lang w:val="fr-FR"/>
        </w:rPr>
        <w:t>–</w:t>
      </w:r>
      <w:r w:rsidRPr="00803037">
        <w:rPr>
          <w:lang w:val="fr-FR"/>
        </w:rPr>
        <w:tab/>
        <w:t xml:space="preserve">Atelier sur les considérations liées à </w:t>
      </w:r>
      <w:r w:rsidR="0089542D" w:rsidRPr="00803037">
        <w:rPr>
          <w:lang w:val="fr-FR"/>
        </w:rPr>
        <w:t>l'</w:t>
      </w:r>
      <w:r w:rsidRPr="00803037">
        <w:rPr>
          <w:lang w:val="fr-FR"/>
        </w:rPr>
        <w:t>économie circulaire et les nouvelles technologies pour lutter contre les changements climatiques, tenu le 6 mai 2024 (</w:t>
      </w:r>
      <w:hyperlink r:id="rId77" w:history="1">
        <w:r w:rsidRPr="00803037">
          <w:rPr>
            <w:rStyle w:val="Hyperlink"/>
            <w:lang w:val="fr-FR"/>
          </w:rPr>
          <w:t>programme</w:t>
        </w:r>
      </w:hyperlink>
      <w:r w:rsidRPr="00803037">
        <w:rPr>
          <w:lang w:val="fr-FR"/>
        </w:rPr>
        <w:t>,</w:t>
      </w:r>
      <w:r w:rsidR="00700A62" w:rsidRPr="00803037">
        <w:rPr>
          <w:lang w:val="fr-FR"/>
        </w:rPr>
        <w:t> </w:t>
      </w:r>
      <w:hyperlink r:id="rId78" w:history="1">
        <w:r w:rsidRPr="00803037">
          <w:rPr>
            <w:rStyle w:val="Hyperlink"/>
            <w:lang w:val="fr-FR"/>
          </w:rPr>
          <w:t>rapport</w:t>
        </w:r>
      </w:hyperlink>
      <w:r w:rsidRPr="00803037">
        <w:rPr>
          <w:lang w:val="fr-FR"/>
        </w:rPr>
        <w:t xml:space="preserve"> (Annexe 4)).</w:t>
      </w:r>
    </w:p>
    <w:p w14:paraId="136E800B" w14:textId="518B4C3E" w:rsidR="000B3E0D" w:rsidRPr="00803037" w:rsidRDefault="000B3E0D" w:rsidP="000B3E0D">
      <w:pPr>
        <w:spacing w:after="120"/>
        <w:rPr>
          <w:rFonts w:eastAsia="Malgun Gothic" w:cstheme="minorHAnsi"/>
          <w:szCs w:val="24"/>
          <w:lang w:val="fr-FR"/>
        </w:rPr>
      </w:pPr>
      <w:r w:rsidRPr="00803037">
        <w:rPr>
          <w:lang w:val="fr-FR"/>
        </w:rPr>
        <w:t xml:space="preserve">Les thèmes suivants ont notamment été proposés pour la prochaine période </w:t>
      </w:r>
      <w:r w:rsidR="0089542D" w:rsidRPr="00803037">
        <w:rPr>
          <w:lang w:val="fr-FR"/>
        </w:rPr>
        <w:t>d'</w:t>
      </w:r>
      <w:r w:rsidRPr="00803037">
        <w:rPr>
          <w:lang w:val="fr-FR"/>
        </w:rPr>
        <w:t>études:</w:t>
      </w:r>
    </w:p>
    <w:p w14:paraId="1132D594" w14:textId="149AAE03"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 xml:space="preserve">Rôle des TIC et des technologies intelligentes de pointe comme </w:t>
      </w:r>
      <w:r w:rsidR="0089542D" w:rsidRPr="00803037">
        <w:rPr>
          <w:lang w:val="fr-FR"/>
        </w:rPr>
        <w:t>l'</w:t>
      </w:r>
      <w:r w:rsidR="000B3E0D" w:rsidRPr="00803037">
        <w:rPr>
          <w:lang w:val="fr-FR"/>
        </w:rPr>
        <w:t xml:space="preserve">IA dans la réduction des catastrophes liées aux changements climatiques, telles que les crues soudaines et les incendies de grande ampleur (en collaboration avec </w:t>
      </w:r>
      <w:r w:rsidR="0089542D" w:rsidRPr="00803037">
        <w:rPr>
          <w:lang w:val="fr-FR"/>
        </w:rPr>
        <w:t>l'</w:t>
      </w:r>
      <w:r w:rsidR="000B3E0D" w:rsidRPr="00803037">
        <w:rPr>
          <w:lang w:val="fr-FR"/>
        </w:rPr>
        <w:t>équipe de direction chargée de la Question 3/1).</w:t>
      </w:r>
    </w:p>
    <w:p w14:paraId="66384F5A" w14:textId="4749EB16"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Rôle des TIC dans la surveillance et la protection de la biodiversité dans le monde et, en particulier, dans les zones prioritaires où la biodiversité des écosystèmes est exceptionnellement riche et variée.</w:t>
      </w:r>
    </w:p>
    <w:p w14:paraId="19491F91" w14:textId="1134055E" w:rsidR="000B3E0D" w:rsidRPr="00803037" w:rsidRDefault="000B3E0D" w:rsidP="000B3E0D">
      <w:pPr>
        <w:spacing w:after="120"/>
        <w:rPr>
          <w:rFonts w:eastAsia="Malgun Gothic"/>
          <w:lang w:val="fr-FR"/>
        </w:rPr>
      </w:pPr>
      <w:r w:rsidRPr="00803037">
        <w:rPr>
          <w:lang w:val="fr-FR"/>
        </w:rPr>
        <w:t xml:space="preserve">Une version actualisée du projet de champ </w:t>
      </w:r>
      <w:r w:rsidR="0089542D" w:rsidRPr="00803037">
        <w:rPr>
          <w:lang w:val="fr-FR"/>
        </w:rPr>
        <w:t>d'</w:t>
      </w:r>
      <w:r w:rsidRPr="00803037">
        <w:rPr>
          <w:lang w:val="fr-FR"/>
        </w:rPr>
        <w:t xml:space="preserve">application de la Question 6/2 figure dans le </w:t>
      </w:r>
      <w:r w:rsidR="00CF2F46" w:rsidRPr="00803037">
        <w:rPr>
          <w:lang w:val="fr-FR"/>
        </w:rPr>
        <w:t xml:space="preserve">Document </w:t>
      </w:r>
      <w:hyperlink r:id="rId79" w:history="1">
        <w:r w:rsidR="00CF2F46" w:rsidRPr="00803037">
          <w:rPr>
            <w:rStyle w:val="Hyperlink"/>
            <w:lang w:val="fr-FR"/>
          </w:rPr>
          <w:t>TDAG-WG-futureSGQ/48</w:t>
        </w:r>
      </w:hyperlink>
      <w:r w:rsidRPr="00803037">
        <w:rPr>
          <w:lang w:val="fr-FR"/>
        </w:rPr>
        <w:t>.</w:t>
      </w:r>
      <w:hyperlink r:id="rId80" w:history="1"/>
    </w:p>
    <w:p w14:paraId="254CB86C" w14:textId="4DE8D8AA" w:rsidR="000B3E0D" w:rsidRPr="00803037" w:rsidRDefault="000B3E0D" w:rsidP="000B3E0D">
      <w:pPr>
        <w:pStyle w:val="Headingb"/>
        <w:rPr>
          <w:lang w:val="fr-FR"/>
        </w:rPr>
      </w:pPr>
      <w:r w:rsidRPr="00803037">
        <w:rPr>
          <w:lang w:val="fr-FR"/>
        </w:rPr>
        <w:t xml:space="preserve">Question 7/2 – Stratégies et politiques concernant </w:t>
      </w:r>
      <w:r w:rsidR="0089542D" w:rsidRPr="00803037">
        <w:rPr>
          <w:lang w:val="fr-FR"/>
        </w:rPr>
        <w:t>l'</w:t>
      </w:r>
      <w:r w:rsidRPr="00803037">
        <w:rPr>
          <w:lang w:val="fr-FR"/>
        </w:rPr>
        <w:t>exposition des personnes aux champs électromagnétiques</w:t>
      </w:r>
    </w:p>
    <w:p w14:paraId="0B4BCA4C" w14:textId="540B8404" w:rsidR="000B3E0D" w:rsidRPr="00803037" w:rsidRDefault="000B3E0D" w:rsidP="000B3E0D">
      <w:pPr>
        <w:rPr>
          <w:lang w:val="fr-FR"/>
        </w:rPr>
      </w:pPr>
      <w:r w:rsidRPr="00803037">
        <w:rPr>
          <w:lang w:val="fr-FR"/>
        </w:rPr>
        <w:t xml:space="preserve">Le </w:t>
      </w:r>
      <w:r w:rsidR="00700A62" w:rsidRPr="00803037">
        <w:rPr>
          <w:lang w:val="fr-FR"/>
        </w:rPr>
        <w:t>R</w:t>
      </w:r>
      <w:r w:rsidRPr="00803037">
        <w:rPr>
          <w:lang w:val="fr-FR"/>
        </w:rPr>
        <w:t xml:space="preserve">apport final approuvé sur la Question 7/2 est </w:t>
      </w:r>
      <w:r w:rsidR="0089542D" w:rsidRPr="00803037">
        <w:rPr>
          <w:lang w:val="fr-FR"/>
        </w:rPr>
        <w:t>l'</w:t>
      </w:r>
      <w:r w:rsidRPr="00803037">
        <w:rPr>
          <w:lang w:val="fr-FR"/>
        </w:rPr>
        <w:t xml:space="preserve">objet du </w:t>
      </w:r>
      <w:r w:rsidR="00CF2F46" w:rsidRPr="00803037">
        <w:rPr>
          <w:lang w:val="fr-FR"/>
        </w:rPr>
        <w:t xml:space="preserve">Document </w:t>
      </w:r>
      <w:hyperlink r:id="rId81" w:history="1">
        <w:r w:rsidR="00CF2F46" w:rsidRPr="00803037">
          <w:rPr>
            <w:rStyle w:val="Hyperlink"/>
            <w:lang w:val="fr-FR"/>
          </w:rPr>
          <w:t>2/364</w:t>
        </w:r>
      </w:hyperlink>
      <w:r w:rsidRPr="00803037">
        <w:rPr>
          <w:lang w:val="fr-FR"/>
        </w:rPr>
        <w:t>.</w:t>
      </w:r>
    </w:p>
    <w:p w14:paraId="759C8EE3" w14:textId="77777777" w:rsidR="000B3E0D" w:rsidRPr="00803037" w:rsidRDefault="000B3E0D" w:rsidP="000B3E0D">
      <w:pPr>
        <w:rPr>
          <w:lang w:val="fr-FR"/>
        </w:rPr>
      </w:pPr>
      <w:r w:rsidRPr="00803037">
        <w:rPr>
          <w:lang w:val="fr-FR"/>
        </w:rPr>
        <w:t>Le Groupe du Rapporteur pour la Question 7/2 a également organisé les ateliers suivants:</w:t>
      </w:r>
    </w:p>
    <w:p w14:paraId="12228D09" w14:textId="4579CF65" w:rsidR="000B3E0D" w:rsidRPr="00803037" w:rsidRDefault="000B3E0D" w:rsidP="000B3E0D">
      <w:pPr>
        <w:pStyle w:val="enumlev1"/>
        <w:rPr>
          <w:lang w:val="fr-FR"/>
        </w:rPr>
      </w:pPr>
      <w:r w:rsidRPr="00803037">
        <w:rPr>
          <w:lang w:val="fr-FR"/>
        </w:rPr>
        <w:t>–</w:t>
      </w:r>
      <w:r w:rsidRPr="00803037">
        <w:rPr>
          <w:lang w:val="fr-FR"/>
        </w:rPr>
        <w:tab/>
        <w:t xml:space="preserve">Atelier sur les politiques internationales, régionales et nationales relatives à </w:t>
      </w:r>
      <w:r w:rsidR="0089542D" w:rsidRPr="00803037">
        <w:rPr>
          <w:lang w:val="fr-FR"/>
        </w:rPr>
        <w:t>l'</w:t>
      </w:r>
      <w:r w:rsidRPr="00803037">
        <w:rPr>
          <w:lang w:val="fr-FR"/>
        </w:rPr>
        <w:t>exposition des personnes aux champs électromagnétiques (EMF), tenu le 25 mai 2023 (</w:t>
      </w:r>
      <w:hyperlink r:id="rId82" w:history="1">
        <w:r w:rsidRPr="00803037">
          <w:rPr>
            <w:rStyle w:val="Hyperlink"/>
            <w:lang w:val="fr-FR"/>
          </w:rPr>
          <w:t>programme</w:t>
        </w:r>
      </w:hyperlink>
      <w:r w:rsidRPr="00803037">
        <w:rPr>
          <w:lang w:val="fr-FR"/>
        </w:rPr>
        <w:t xml:space="preserve">, </w:t>
      </w:r>
      <w:hyperlink r:id="rId83" w:history="1">
        <w:r w:rsidRPr="00803037">
          <w:rPr>
            <w:rStyle w:val="Hyperlink"/>
            <w:lang w:val="fr-FR"/>
          </w:rPr>
          <w:t>rapport</w:t>
        </w:r>
      </w:hyperlink>
      <w:r w:rsidRPr="00803037">
        <w:rPr>
          <w:lang w:val="fr-FR"/>
        </w:rPr>
        <w:t xml:space="preserve"> (Annexe 4)).</w:t>
      </w:r>
    </w:p>
    <w:p w14:paraId="52893B68" w14:textId="45CCD7AA" w:rsidR="000B3E0D" w:rsidRPr="00803037" w:rsidRDefault="000B3E0D" w:rsidP="000B3E0D">
      <w:pPr>
        <w:pStyle w:val="enumlev1"/>
        <w:rPr>
          <w:lang w:val="fr-FR"/>
        </w:rPr>
      </w:pPr>
      <w:r w:rsidRPr="00803037">
        <w:rPr>
          <w:lang w:val="fr-FR"/>
        </w:rPr>
        <w:t>–</w:t>
      </w:r>
      <w:r w:rsidRPr="00803037">
        <w:rPr>
          <w:lang w:val="fr-FR"/>
        </w:rPr>
        <w:tab/>
        <w:t xml:space="preserve">Atelier sur les évolutions récentes présentant un intérêt pour la formulation des politiques en matière </w:t>
      </w:r>
      <w:r w:rsidR="0089542D" w:rsidRPr="00803037">
        <w:rPr>
          <w:lang w:val="fr-FR"/>
        </w:rPr>
        <w:t>d'</w:t>
      </w:r>
      <w:r w:rsidRPr="00803037">
        <w:rPr>
          <w:lang w:val="fr-FR"/>
        </w:rPr>
        <w:t>exposition des personnes aux EMF, tenu le 8 mai 2024 (</w:t>
      </w:r>
      <w:hyperlink r:id="rId84" w:history="1">
        <w:r w:rsidRPr="00803037">
          <w:rPr>
            <w:rStyle w:val="Hyperlink"/>
            <w:lang w:val="fr-FR"/>
          </w:rPr>
          <w:t>programme</w:t>
        </w:r>
      </w:hyperlink>
      <w:r w:rsidRPr="00803037">
        <w:rPr>
          <w:lang w:val="fr-FR"/>
        </w:rPr>
        <w:t xml:space="preserve">, </w:t>
      </w:r>
      <w:hyperlink r:id="rId85" w:history="1">
        <w:r w:rsidRPr="00803037">
          <w:rPr>
            <w:rStyle w:val="Hyperlink"/>
            <w:lang w:val="fr-FR"/>
          </w:rPr>
          <w:t>rapport</w:t>
        </w:r>
      </w:hyperlink>
      <w:r w:rsidRPr="00803037">
        <w:rPr>
          <w:lang w:val="fr-FR"/>
        </w:rPr>
        <w:t xml:space="preserve"> (Annexe 5)).</w:t>
      </w:r>
    </w:p>
    <w:p w14:paraId="75B8D3E7" w14:textId="1BB7731E" w:rsidR="000B3E0D" w:rsidRPr="00803037" w:rsidRDefault="000B3E0D" w:rsidP="000B3E0D">
      <w:pPr>
        <w:keepNext/>
        <w:keepLines/>
        <w:rPr>
          <w:lang w:val="fr-FR"/>
        </w:rPr>
      </w:pPr>
      <w:r w:rsidRPr="00803037">
        <w:rPr>
          <w:lang w:val="fr-FR"/>
        </w:rPr>
        <w:t xml:space="preserve">À ce jour, il a été proposé </w:t>
      </w:r>
      <w:r w:rsidR="0089542D" w:rsidRPr="00803037">
        <w:rPr>
          <w:lang w:val="fr-FR"/>
        </w:rPr>
        <w:t>d'</w:t>
      </w:r>
      <w:r w:rsidRPr="00803037">
        <w:rPr>
          <w:lang w:val="fr-FR"/>
        </w:rPr>
        <w:t xml:space="preserve">étudier les thèmes suivants pour la prochaine période </w:t>
      </w:r>
      <w:r w:rsidR="0089542D" w:rsidRPr="00803037">
        <w:rPr>
          <w:lang w:val="fr-FR"/>
        </w:rPr>
        <w:t>d'</w:t>
      </w:r>
      <w:r w:rsidRPr="00803037">
        <w:rPr>
          <w:lang w:val="fr-FR"/>
        </w:rPr>
        <w:t xml:space="preserve">études: les EMF de la 5G, les EMF dans </w:t>
      </w:r>
      <w:r w:rsidR="0089542D" w:rsidRPr="00803037">
        <w:rPr>
          <w:lang w:val="fr-FR"/>
        </w:rPr>
        <w:t>l'</w:t>
      </w:r>
      <w:r w:rsidRPr="00803037">
        <w:rPr>
          <w:lang w:val="fr-FR"/>
        </w:rPr>
        <w:t xml:space="preserve">espace aérien à basse altitude et les drones aériens, </w:t>
      </w:r>
      <w:r w:rsidR="0089542D" w:rsidRPr="00803037">
        <w:rPr>
          <w:lang w:val="fr-FR"/>
        </w:rPr>
        <w:t>l'</w:t>
      </w:r>
      <w:r w:rsidRPr="00803037">
        <w:rPr>
          <w:lang w:val="fr-FR"/>
        </w:rPr>
        <w:t xml:space="preserve">utilisation de </w:t>
      </w:r>
      <w:r w:rsidR="0089542D" w:rsidRPr="00803037">
        <w:rPr>
          <w:lang w:val="fr-FR"/>
        </w:rPr>
        <w:t>l'</w:t>
      </w:r>
      <w:r w:rsidRPr="00803037">
        <w:rPr>
          <w:lang w:val="fr-FR"/>
        </w:rPr>
        <w:t xml:space="preserve">IA pour </w:t>
      </w:r>
      <w:r w:rsidR="0089542D" w:rsidRPr="00803037">
        <w:rPr>
          <w:lang w:val="fr-FR"/>
        </w:rPr>
        <w:t>l'</w:t>
      </w:r>
      <w:r w:rsidRPr="00803037">
        <w:rPr>
          <w:lang w:val="fr-FR"/>
        </w:rPr>
        <w:t>évaluation des EMF, les EMF dans les dispositifs à porter intelligents.</w:t>
      </w:r>
    </w:p>
    <w:p w14:paraId="4EA63DED" w14:textId="24416AA0" w:rsidR="000B3E0D" w:rsidRPr="00803037" w:rsidRDefault="000B3E0D" w:rsidP="000B3E0D">
      <w:pPr>
        <w:rPr>
          <w:b/>
          <w:bCs/>
          <w:lang w:val="fr-FR"/>
        </w:rPr>
      </w:pPr>
      <w:r w:rsidRPr="00803037">
        <w:rPr>
          <w:lang w:val="fr-FR"/>
        </w:rPr>
        <w:t xml:space="preserve">Une version actualisée du projet de champ </w:t>
      </w:r>
      <w:r w:rsidR="0089542D" w:rsidRPr="00803037">
        <w:rPr>
          <w:lang w:val="fr-FR"/>
        </w:rPr>
        <w:t>d'</w:t>
      </w:r>
      <w:r w:rsidRPr="00803037">
        <w:rPr>
          <w:lang w:val="fr-FR"/>
        </w:rPr>
        <w:t xml:space="preserve">application de la Question 7/2 figure dans le </w:t>
      </w:r>
      <w:r w:rsidR="00CF2F46" w:rsidRPr="00803037">
        <w:rPr>
          <w:lang w:val="fr-FR"/>
        </w:rPr>
        <w:t xml:space="preserve">Document </w:t>
      </w:r>
      <w:hyperlink r:id="rId86" w:history="1">
        <w:r w:rsidR="00CF2F46" w:rsidRPr="00803037">
          <w:rPr>
            <w:rStyle w:val="Hyperlink"/>
            <w:lang w:val="fr-FR"/>
          </w:rPr>
          <w:t>TDAG-WG-futureSGQ/48</w:t>
        </w:r>
      </w:hyperlink>
      <w:r w:rsidRPr="00803037">
        <w:rPr>
          <w:lang w:val="fr-FR"/>
        </w:rPr>
        <w:t>.</w:t>
      </w:r>
    </w:p>
    <w:p w14:paraId="5AA2946C" w14:textId="653ECE6B" w:rsidR="000B3E0D" w:rsidRPr="00803037" w:rsidRDefault="000B3E0D" w:rsidP="000B3E0D">
      <w:pPr>
        <w:pStyle w:val="Headingb"/>
        <w:keepNext/>
        <w:keepLines/>
        <w:rPr>
          <w:sz w:val="28"/>
          <w:szCs w:val="28"/>
          <w:lang w:val="fr-FR"/>
        </w:rPr>
      </w:pPr>
      <w:r w:rsidRPr="00803037">
        <w:rPr>
          <w:sz w:val="28"/>
          <w:szCs w:val="28"/>
          <w:lang w:val="fr-FR"/>
        </w:rPr>
        <w:lastRenderedPageBreak/>
        <w:t xml:space="preserve">Collaboration avec </w:t>
      </w:r>
      <w:r w:rsidR="0089542D" w:rsidRPr="00803037">
        <w:rPr>
          <w:sz w:val="28"/>
          <w:szCs w:val="28"/>
          <w:lang w:val="fr-FR"/>
        </w:rPr>
        <w:t>d'</w:t>
      </w:r>
      <w:r w:rsidRPr="00803037">
        <w:rPr>
          <w:sz w:val="28"/>
          <w:szCs w:val="28"/>
          <w:lang w:val="fr-FR"/>
        </w:rPr>
        <w:t>autres groupes</w:t>
      </w:r>
    </w:p>
    <w:p w14:paraId="2A24DF95" w14:textId="514C599A" w:rsidR="000B3E0D" w:rsidRPr="00803037" w:rsidRDefault="000B3E0D" w:rsidP="000B3E0D">
      <w:pPr>
        <w:pStyle w:val="Headingb"/>
        <w:keepNext/>
        <w:keepLines/>
        <w:rPr>
          <w:lang w:val="fr-FR"/>
        </w:rPr>
      </w:pPr>
      <w:r w:rsidRPr="00803037">
        <w:rPr>
          <w:lang w:val="fr-FR"/>
        </w:rPr>
        <w:t xml:space="preserve">Questions à </w:t>
      </w:r>
      <w:r w:rsidR="0089542D" w:rsidRPr="00803037">
        <w:rPr>
          <w:lang w:val="fr-FR"/>
        </w:rPr>
        <w:t>l'</w:t>
      </w:r>
      <w:r w:rsidRPr="00803037">
        <w:rPr>
          <w:lang w:val="fr-FR"/>
        </w:rPr>
        <w:t xml:space="preserve">étude de </w:t>
      </w:r>
      <w:r w:rsidR="0089542D" w:rsidRPr="00803037">
        <w:rPr>
          <w:lang w:val="fr-FR"/>
        </w:rPr>
        <w:t>l'</w:t>
      </w:r>
      <w:r w:rsidRPr="00803037">
        <w:rPr>
          <w:lang w:val="fr-FR"/>
        </w:rPr>
        <w:t xml:space="preserve">UIT-D et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UIT-D</w:t>
      </w:r>
    </w:p>
    <w:p w14:paraId="63A223A1" w14:textId="77777777" w:rsidR="000B3E0D" w:rsidRPr="00803037" w:rsidRDefault="000B3E0D" w:rsidP="000B3E0D">
      <w:pPr>
        <w:keepNext/>
        <w:keepLines/>
        <w:rPr>
          <w:lang w:val="fr-FR"/>
        </w:rPr>
      </w:pPr>
      <w:r w:rsidRPr="00803037">
        <w:rPr>
          <w:lang w:val="fr-FR"/>
        </w:rPr>
        <w:t>Les équipes de direction de la CE 2 et de la CE 1 ont cherché constamment à établir des synergies entre les Questions qui leur ont été confiées.</w:t>
      </w:r>
    </w:p>
    <w:p w14:paraId="5E3DC2C9" w14:textId="65ED4C1D" w:rsidR="000B3E0D" w:rsidRPr="00803037" w:rsidRDefault="000B3E0D" w:rsidP="000B3E0D">
      <w:pPr>
        <w:keepNext/>
        <w:keepLines/>
        <w:rPr>
          <w:lang w:val="fr-FR"/>
        </w:rPr>
      </w:pPr>
      <w:r w:rsidRPr="00803037">
        <w:rPr>
          <w:lang w:val="fr-FR"/>
        </w:rPr>
        <w:t>Un atelier conjointement organisé par les équipes de direction chargées des Questions 6/1 et 3/2 sur le thème "Accroître la sensibilisation des consommateurs"</w:t>
      </w:r>
      <w:r w:rsidRPr="00803037">
        <w:rPr>
          <w:rStyle w:val="FootnoteReference"/>
          <w:lang w:val="fr-FR"/>
        </w:rPr>
        <w:footnoteReference w:id="12"/>
      </w:r>
      <w:r w:rsidRPr="00803037">
        <w:rPr>
          <w:lang w:val="fr-FR"/>
        </w:rPr>
        <w:t xml:space="preserve"> a eu lieu du 18 au 20 juin 2024 à Brasilia, à </w:t>
      </w:r>
      <w:r w:rsidR="0089542D" w:rsidRPr="00803037">
        <w:rPr>
          <w:lang w:val="fr-FR"/>
        </w:rPr>
        <w:t>l'</w:t>
      </w:r>
      <w:r w:rsidRPr="00803037">
        <w:rPr>
          <w:lang w:val="fr-FR"/>
        </w:rPr>
        <w:t xml:space="preserve">aimable invitation </w:t>
      </w:r>
      <w:r w:rsidR="0089542D" w:rsidRPr="00803037">
        <w:rPr>
          <w:lang w:val="fr-FR"/>
        </w:rPr>
        <w:t>d'</w:t>
      </w:r>
      <w:r w:rsidRPr="00803037">
        <w:rPr>
          <w:lang w:val="fr-FR"/>
        </w:rPr>
        <w:t xml:space="preserve">ANATEL, en collaboration avec le Bureau régional de </w:t>
      </w:r>
      <w:r w:rsidR="0089542D" w:rsidRPr="00803037">
        <w:rPr>
          <w:lang w:val="fr-FR"/>
        </w:rPr>
        <w:t>l'</w:t>
      </w:r>
      <w:r w:rsidRPr="00803037">
        <w:rPr>
          <w:lang w:val="fr-FR"/>
        </w:rPr>
        <w:t>UIT pour les Amériques.</w:t>
      </w:r>
    </w:p>
    <w:p w14:paraId="0266770F" w14:textId="0FF6B627" w:rsidR="000B3E0D" w:rsidRPr="00803037" w:rsidRDefault="000B3E0D" w:rsidP="000B3E0D">
      <w:pPr>
        <w:rPr>
          <w:lang w:val="fr-FR"/>
        </w:rPr>
      </w:pPr>
      <w:r w:rsidRPr="00803037">
        <w:rPr>
          <w:lang w:val="fr-FR"/>
        </w:rPr>
        <w:t xml:space="preserve">Quatre réunions ont été conjointement organisées par les équipes de direction des CE 1 et 2 le dimanche précédant le début des réunions annuelles de la CE 2, sous la présidence du Directeur du BDT. Ces réunions ont permis </w:t>
      </w:r>
      <w:r w:rsidR="0089542D" w:rsidRPr="00803037">
        <w:rPr>
          <w:lang w:val="fr-FR"/>
        </w:rPr>
        <w:t>d'</w:t>
      </w:r>
      <w:r w:rsidRPr="00803037">
        <w:rPr>
          <w:lang w:val="fr-FR"/>
        </w:rPr>
        <w:t xml:space="preserve">assurer une gestion efficace des interactions et des travaux communs entre les deux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UIT-D.</w:t>
      </w:r>
    </w:p>
    <w:p w14:paraId="2FF22C5A" w14:textId="69A8238B" w:rsidR="000B3E0D" w:rsidRPr="00803037" w:rsidRDefault="000B3E0D" w:rsidP="000B3E0D">
      <w:pPr>
        <w:rPr>
          <w:lang w:val="fr-FR"/>
        </w:rPr>
      </w:pPr>
      <w:r w:rsidRPr="00803037">
        <w:rPr>
          <w:lang w:val="fr-FR"/>
        </w:rPr>
        <w:t xml:space="preserve">Deux projets de documents </w:t>
      </w:r>
      <w:r w:rsidR="0089542D" w:rsidRPr="00803037">
        <w:rPr>
          <w:lang w:val="fr-FR"/>
        </w:rPr>
        <w:t>d'</w:t>
      </w:r>
      <w:r w:rsidRPr="00803037">
        <w:rPr>
          <w:lang w:val="fr-FR"/>
        </w:rPr>
        <w:t xml:space="preserve">orientation ont été élaborés en collaboration avec la CE 1 sur des points qui nécessitent une réflexion commune en vue </w:t>
      </w:r>
      <w:r w:rsidR="0089542D" w:rsidRPr="00803037">
        <w:rPr>
          <w:lang w:val="fr-FR"/>
        </w:rPr>
        <w:t>d'</w:t>
      </w:r>
      <w:r w:rsidRPr="00803037">
        <w:rPr>
          <w:lang w:val="fr-FR"/>
        </w:rPr>
        <w:t xml:space="preserve">accroître </w:t>
      </w:r>
      <w:r w:rsidR="0089542D" w:rsidRPr="00803037">
        <w:rPr>
          <w:lang w:val="fr-FR"/>
        </w:rPr>
        <w:t>l'</w:t>
      </w:r>
      <w:r w:rsidRPr="00803037">
        <w:rPr>
          <w:lang w:val="fr-FR"/>
        </w:rPr>
        <w:t xml:space="preserve">efficacité et </w:t>
      </w:r>
      <w:r w:rsidR="0089542D" w:rsidRPr="00803037">
        <w:rPr>
          <w:lang w:val="fr-FR"/>
        </w:rPr>
        <w:t>l'</w:t>
      </w:r>
      <w:r w:rsidRPr="00803037">
        <w:rPr>
          <w:lang w:val="fr-FR"/>
        </w:rPr>
        <w:t xml:space="preserve">efficience des travaux des commissions </w:t>
      </w:r>
      <w:r w:rsidR="0089542D" w:rsidRPr="00803037">
        <w:rPr>
          <w:lang w:val="fr-FR"/>
        </w:rPr>
        <w:t>d'</w:t>
      </w:r>
      <w:r w:rsidRPr="00803037">
        <w:rPr>
          <w:lang w:val="fr-FR"/>
        </w:rPr>
        <w:t>études, à savoir:</w:t>
      </w:r>
    </w:p>
    <w:p w14:paraId="789C517C" w14:textId="4CD57792" w:rsidR="000B3E0D" w:rsidRPr="00803037" w:rsidRDefault="000B3E0D" w:rsidP="000B3E0D">
      <w:pPr>
        <w:pStyle w:val="enumlev1"/>
        <w:rPr>
          <w:lang w:val="fr-FR"/>
        </w:rPr>
      </w:pPr>
      <w:r w:rsidRPr="00803037">
        <w:rPr>
          <w:lang w:val="fr-FR"/>
        </w:rPr>
        <w:t>–</w:t>
      </w:r>
      <w:r w:rsidRPr="00803037">
        <w:rPr>
          <w:lang w:val="fr-FR"/>
        </w:rPr>
        <w:tab/>
        <w:t>Lignes directrices sur la soumission des candidatures aux postes de Rapporteur et Vice</w:t>
      </w:r>
      <w:r w:rsidRPr="00803037">
        <w:rPr>
          <w:lang w:val="fr-FR"/>
        </w:rPr>
        <w:noBreakHyphen/>
        <w:t xml:space="preserve">Rapporteur, et sur </w:t>
      </w:r>
      <w:r w:rsidR="0089542D" w:rsidRPr="00803037">
        <w:rPr>
          <w:lang w:val="fr-FR"/>
        </w:rPr>
        <w:t>l'</w:t>
      </w:r>
      <w:r w:rsidRPr="00803037">
        <w:rPr>
          <w:lang w:val="fr-FR"/>
        </w:rPr>
        <w:t>évaluation des candidatures.</w:t>
      </w:r>
    </w:p>
    <w:p w14:paraId="1FEEFC42" w14:textId="2B1E193E" w:rsidR="000B3E0D" w:rsidRPr="00803037" w:rsidRDefault="000B3E0D" w:rsidP="000B3E0D">
      <w:pPr>
        <w:pStyle w:val="enumlev1"/>
        <w:rPr>
          <w:lang w:val="fr-FR"/>
        </w:rPr>
      </w:pPr>
      <w:r w:rsidRPr="00803037">
        <w:rPr>
          <w:lang w:val="fr-FR"/>
        </w:rPr>
        <w:t>–</w:t>
      </w:r>
      <w:r w:rsidRPr="00803037">
        <w:rPr>
          <w:lang w:val="fr-FR"/>
        </w:rPr>
        <w:tab/>
        <w:t xml:space="preserve">Lignes directrices pour surmonter les difficultés qui empêchent </w:t>
      </w:r>
      <w:r w:rsidR="0089542D" w:rsidRPr="00803037">
        <w:rPr>
          <w:lang w:val="fr-FR"/>
        </w:rPr>
        <w:t>l'</w:t>
      </w:r>
      <w:r w:rsidRPr="00803037">
        <w:rPr>
          <w:lang w:val="fr-FR"/>
        </w:rPr>
        <w:t xml:space="preserve">utilisation efficace des produits des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UIT-D.</w:t>
      </w:r>
    </w:p>
    <w:p w14:paraId="2E502D58" w14:textId="4EE6EBAB" w:rsidR="000B3E0D" w:rsidRPr="00803037" w:rsidRDefault="000B3E0D" w:rsidP="000B3E0D">
      <w:pPr>
        <w:rPr>
          <w:lang w:val="fr-FR"/>
        </w:rPr>
      </w:pPr>
      <w:r w:rsidRPr="00803037">
        <w:rPr>
          <w:lang w:val="fr-FR"/>
        </w:rPr>
        <w:t xml:space="preserve">Ces documents sont en cours </w:t>
      </w:r>
      <w:r w:rsidR="0089542D" w:rsidRPr="00803037">
        <w:rPr>
          <w:lang w:val="fr-FR"/>
        </w:rPr>
        <w:t>d'</w:t>
      </w:r>
      <w:r w:rsidRPr="00803037">
        <w:rPr>
          <w:lang w:val="fr-FR"/>
        </w:rPr>
        <w:t xml:space="preserve">élaboration et sont reproduits dans le </w:t>
      </w:r>
      <w:r w:rsidR="00CF2F46" w:rsidRPr="00803037">
        <w:rPr>
          <w:lang w:val="fr-FR"/>
        </w:rPr>
        <w:t xml:space="preserve">Document </w:t>
      </w:r>
      <w:hyperlink r:id="rId87" w:history="1">
        <w:r w:rsidR="00CF2F46" w:rsidRPr="00803037">
          <w:rPr>
            <w:rStyle w:val="Hyperlink"/>
            <w:lang w:val="fr-FR"/>
          </w:rPr>
          <w:t>2/403</w:t>
        </w:r>
      </w:hyperlink>
      <w:r w:rsidRPr="00803037">
        <w:rPr>
          <w:lang w:val="fr-FR"/>
        </w:rPr>
        <w:t xml:space="preserve"> et aux </w:t>
      </w:r>
      <w:r w:rsidRPr="00803037">
        <w:rPr>
          <w:b/>
          <w:bCs/>
          <w:lang w:val="fr-FR"/>
        </w:rPr>
        <w:t>Annexes 4</w:t>
      </w:r>
      <w:r w:rsidRPr="00803037">
        <w:rPr>
          <w:lang w:val="fr-FR"/>
        </w:rPr>
        <w:t xml:space="preserve"> et </w:t>
      </w:r>
      <w:r w:rsidRPr="00803037">
        <w:rPr>
          <w:b/>
          <w:bCs/>
          <w:lang w:val="fr-FR"/>
        </w:rPr>
        <w:t>5</w:t>
      </w:r>
      <w:r w:rsidRPr="00803037">
        <w:rPr>
          <w:lang w:val="fr-FR"/>
        </w:rPr>
        <w:t xml:space="preserve"> du présent rapport. Ils sont communiqués au GCDT pour information et orientation, selon </w:t>
      </w:r>
      <w:r w:rsidR="0089542D" w:rsidRPr="00803037">
        <w:rPr>
          <w:lang w:val="fr-FR"/>
        </w:rPr>
        <w:t>qu'</w:t>
      </w:r>
      <w:r w:rsidRPr="00803037">
        <w:rPr>
          <w:lang w:val="fr-FR"/>
        </w:rPr>
        <w:t>il convient.</w:t>
      </w:r>
    </w:p>
    <w:p w14:paraId="54E859BE" w14:textId="60068A87" w:rsidR="000B3E0D" w:rsidRPr="00803037" w:rsidRDefault="000B3E0D" w:rsidP="000B3E0D">
      <w:pPr>
        <w:pStyle w:val="Headingb"/>
        <w:rPr>
          <w:lang w:val="fr-FR"/>
        </w:rPr>
      </w:pPr>
      <w:r w:rsidRPr="00803037">
        <w:rPr>
          <w:lang w:val="fr-FR"/>
        </w:rPr>
        <w:t xml:space="preserve">Collaboration avec le Groupe de travail du GCDT sur </w:t>
      </w:r>
      <w:r w:rsidR="0089542D" w:rsidRPr="00803037">
        <w:rPr>
          <w:lang w:val="fr-FR"/>
        </w:rPr>
        <w:t>l'</w:t>
      </w:r>
      <w:r w:rsidRPr="00803037">
        <w:rPr>
          <w:lang w:val="fr-FR"/>
        </w:rPr>
        <w:t xml:space="preserve">avenir des Questions confiées aux commissions </w:t>
      </w:r>
      <w:r w:rsidR="0089542D" w:rsidRPr="00803037">
        <w:rPr>
          <w:lang w:val="fr-FR"/>
        </w:rPr>
        <w:t>d'</w:t>
      </w:r>
      <w:r w:rsidRPr="00803037">
        <w:rPr>
          <w:lang w:val="fr-FR"/>
        </w:rPr>
        <w:t>études</w:t>
      </w:r>
    </w:p>
    <w:p w14:paraId="70C7A084" w14:textId="26DC9C83" w:rsidR="000B3E0D" w:rsidRPr="00803037" w:rsidRDefault="000B3E0D" w:rsidP="000B3E0D">
      <w:pPr>
        <w:rPr>
          <w:lang w:val="fr-FR"/>
        </w:rPr>
      </w:pPr>
      <w:r w:rsidRPr="00803037">
        <w:rPr>
          <w:lang w:val="fr-FR"/>
        </w:rPr>
        <w:t xml:space="preserve">En vue de préparer la prochaine CMDT, la CE 2 a établi une importante collaboration avec le Groupe de travail sur les Questions à confier aux futures commissions </w:t>
      </w:r>
      <w:r w:rsidR="0089542D" w:rsidRPr="00803037">
        <w:rPr>
          <w:lang w:val="fr-FR"/>
        </w:rPr>
        <w:t>d'</w:t>
      </w:r>
      <w:r w:rsidRPr="00803037">
        <w:rPr>
          <w:lang w:val="fr-FR"/>
        </w:rPr>
        <w:t xml:space="preserve">études (GT-futureSGQ) du Groupe consultatif pour le développement des télécommunications (GCDT). À cette fin, elle a nommé M. Abdelaziz Alzarooni (Émirats arabes unis), Vice-Président, auquel a succédé M. Víctor Martínez (Paraguay), Vice-Président, en 2025, afin de coordonner les travaux relatifs aux futures Questions à </w:t>
      </w:r>
      <w:r w:rsidR="0089542D" w:rsidRPr="00803037">
        <w:rPr>
          <w:lang w:val="fr-FR"/>
        </w:rPr>
        <w:t>l'</w:t>
      </w:r>
      <w:r w:rsidRPr="00803037">
        <w:rPr>
          <w:lang w:val="fr-FR"/>
        </w:rPr>
        <w:t xml:space="preserve">étude. M. Ahmad Reza Sharafat, Président du GT-futureSGQ, a également été régulièrement invité aux réunions de la CE 2. À plusieurs reprises, il a ainsi pu fournir de nouvelles informations à la Commission </w:t>
      </w:r>
      <w:r w:rsidR="0089542D" w:rsidRPr="00803037">
        <w:rPr>
          <w:lang w:val="fr-FR"/>
        </w:rPr>
        <w:t>d'</w:t>
      </w:r>
      <w:r w:rsidRPr="00803037">
        <w:rPr>
          <w:lang w:val="fr-FR"/>
        </w:rPr>
        <w:t xml:space="preserve">études et </w:t>
      </w:r>
      <w:r w:rsidR="0089542D" w:rsidRPr="00803037">
        <w:rPr>
          <w:lang w:val="fr-FR"/>
        </w:rPr>
        <w:t>s'</w:t>
      </w:r>
      <w:r w:rsidRPr="00803037">
        <w:rPr>
          <w:lang w:val="fr-FR"/>
        </w:rPr>
        <w:t>assurer que cette dernière puisse contribuer utilement aux travaux du Groupe de travail du GCDT.</w:t>
      </w:r>
    </w:p>
    <w:p w14:paraId="3565E7A2" w14:textId="2D6C1BF3" w:rsidR="000B3E0D" w:rsidRPr="00803037" w:rsidRDefault="000B3E0D" w:rsidP="000B3E0D">
      <w:pPr>
        <w:rPr>
          <w:lang w:val="fr-FR"/>
        </w:rPr>
      </w:pPr>
      <w:r w:rsidRPr="00803037">
        <w:rPr>
          <w:lang w:val="fr-FR"/>
        </w:rPr>
        <w:t xml:space="preserve">Après des échanges entre le Coordonnateur et les Rapporteurs et Corapporteurs de la CE 2, des propositions </w:t>
      </w:r>
      <w:r w:rsidR="0089542D" w:rsidRPr="00803037">
        <w:rPr>
          <w:lang w:val="fr-FR"/>
        </w:rPr>
        <w:t>d'</w:t>
      </w:r>
      <w:r w:rsidRPr="00803037">
        <w:rPr>
          <w:lang w:val="fr-FR"/>
        </w:rPr>
        <w:t xml:space="preserve">éventuelles nouvelles Questions </w:t>
      </w:r>
      <w:r w:rsidR="0089542D" w:rsidRPr="00803037">
        <w:rPr>
          <w:lang w:val="fr-FR"/>
        </w:rPr>
        <w:t>d'</w:t>
      </w:r>
      <w:r w:rsidRPr="00803037">
        <w:rPr>
          <w:lang w:val="fr-FR"/>
        </w:rPr>
        <w:t>étude ont été soumises au Groupe de travail pour examen.</w:t>
      </w:r>
    </w:p>
    <w:p w14:paraId="2173F91C" w14:textId="77777777" w:rsidR="000B3E0D" w:rsidRPr="00803037" w:rsidRDefault="000B3E0D" w:rsidP="000B3E0D">
      <w:pPr>
        <w:keepNext/>
        <w:keepLines/>
        <w:rPr>
          <w:lang w:val="fr-FR"/>
        </w:rPr>
      </w:pPr>
      <w:r w:rsidRPr="00803037">
        <w:rPr>
          <w:lang w:val="fr-FR"/>
        </w:rPr>
        <w:lastRenderedPageBreak/>
        <w:t>Pour de plus amples informations:</w:t>
      </w:r>
    </w:p>
    <w:p w14:paraId="7928770B" w14:textId="77777777" w:rsidR="000B3E0D" w:rsidRPr="00803037" w:rsidRDefault="000B3E0D" w:rsidP="00803037">
      <w:pPr>
        <w:pStyle w:val="enumlev1"/>
        <w:rPr>
          <w:lang w:val="fr-FR"/>
        </w:rPr>
      </w:pPr>
      <w:r w:rsidRPr="00803037">
        <w:rPr>
          <w:lang w:val="fr-FR"/>
        </w:rPr>
        <w:t>–</w:t>
      </w:r>
      <w:r w:rsidRPr="00803037">
        <w:rPr>
          <w:lang w:val="fr-FR"/>
        </w:rPr>
        <w:tab/>
        <w:t xml:space="preserve">Page web du Groupe GT-futureSGQ du GCDT: </w:t>
      </w:r>
      <w:hyperlink r:id="rId88" w:anchor="/fr" w:history="1">
        <w:r w:rsidRPr="00803037">
          <w:rPr>
            <w:rStyle w:val="Hyperlink"/>
            <w:lang w:val="fr-FR"/>
          </w:rPr>
          <w:t>lien</w:t>
        </w:r>
      </w:hyperlink>
      <w:r w:rsidRPr="00803037">
        <w:rPr>
          <w:lang w:val="fr-FR"/>
        </w:rPr>
        <w:t>.</w:t>
      </w:r>
    </w:p>
    <w:p w14:paraId="206BD2F7" w14:textId="67869E1B" w:rsidR="000B3E0D" w:rsidRPr="00803037" w:rsidRDefault="000B3E0D" w:rsidP="00803037">
      <w:pPr>
        <w:pStyle w:val="enumlev1"/>
        <w:rPr>
          <w:lang w:val="fr-FR"/>
        </w:rPr>
      </w:pPr>
      <w:r w:rsidRPr="00803037">
        <w:rPr>
          <w:lang w:val="fr-FR"/>
        </w:rPr>
        <w:t>–</w:t>
      </w:r>
      <w:r w:rsidRPr="00803037">
        <w:rPr>
          <w:lang w:val="fr-FR"/>
        </w:rPr>
        <w:tab/>
        <w:t xml:space="preserve">Proposition </w:t>
      </w:r>
      <w:r w:rsidR="0089542D" w:rsidRPr="00803037">
        <w:rPr>
          <w:lang w:val="fr-FR"/>
        </w:rPr>
        <w:t>d'</w:t>
      </w:r>
      <w:r w:rsidRPr="00803037">
        <w:rPr>
          <w:lang w:val="fr-FR"/>
        </w:rPr>
        <w:t xml:space="preserve">éventuelles futures Questions de la CE 2: </w:t>
      </w:r>
      <w:hyperlink r:id="rId89" w:history="1">
        <w:r w:rsidRPr="00803037">
          <w:rPr>
            <w:rStyle w:val="Hyperlink"/>
            <w:lang w:val="fr-FR"/>
          </w:rPr>
          <w:t>TDAG-WG-futureSGQ/22</w:t>
        </w:r>
      </w:hyperlink>
      <w:r w:rsidRPr="00803037">
        <w:rPr>
          <w:lang w:val="fr-FR"/>
        </w:rPr>
        <w:t>.</w:t>
      </w:r>
    </w:p>
    <w:p w14:paraId="63890BD8" w14:textId="77777777" w:rsidR="000B3E0D" w:rsidRPr="00803037" w:rsidRDefault="000B3E0D" w:rsidP="00803037">
      <w:pPr>
        <w:pStyle w:val="enumlev1"/>
        <w:rPr>
          <w:lang w:val="fr-FR"/>
        </w:rPr>
      </w:pPr>
      <w:r w:rsidRPr="00803037">
        <w:rPr>
          <w:lang w:val="fr-FR"/>
        </w:rPr>
        <w:t>–</w:t>
      </w:r>
      <w:r w:rsidRPr="00803037">
        <w:rPr>
          <w:lang w:val="fr-FR"/>
        </w:rPr>
        <w:tab/>
        <w:t>Vues actualisées sur les Questions futures de la CE 2</w:t>
      </w:r>
      <w:r w:rsidRPr="00803037">
        <w:rPr>
          <w:rFonts w:eastAsia="Malgun Gothic" w:cs="Calibri"/>
          <w:bCs/>
          <w:lang w:val="fr-FR" w:eastAsia="ko-KR"/>
        </w:rPr>
        <w:t xml:space="preserve">: </w:t>
      </w:r>
      <w:hyperlink r:id="rId90" w:history="1">
        <w:r w:rsidRPr="00803037">
          <w:rPr>
            <w:rStyle w:val="Hyperlink"/>
            <w:lang w:val="fr-FR"/>
          </w:rPr>
          <w:t>TDAG-WG-futureSGQ/</w:t>
        </w:r>
        <w:r w:rsidRPr="00803037">
          <w:rPr>
            <w:rStyle w:val="Hyperlink"/>
            <w:rFonts w:eastAsia="Malgun Gothic"/>
            <w:lang w:val="fr-FR" w:eastAsia="ko-KR"/>
          </w:rPr>
          <w:t>48</w:t>
        </w:r>
      </w:hyperlink>
      <w:r w:rsidRPr="00803037">
        <w:rPr>
          <w:rFonts w:eastAsia="Malgun Gothic"/>
          <w:lang w:val="fr-FR" w:eastAsia="ko-KR"/>
        </w:rPr>
        <w:t>.</w:t>
      </w:r>
    </w:p>
    <w:p w14:paraId="1B984D90" w14:textId="03535417" w:rsidR="000B3E0D" w:rsidRPr="00803037" w:rsidRDefault="000B3E0D" w:rsidP="000B3E0D">
      <w:pPr>
        <w:pStyle w:val="Headingb"/>
        <w:rPr>
          <w:lang w:val="fr-FR"/>
        </w:rPr>
      </w:pPr>
      <w:r w:rsidRPr="00803037">
        <w:rPr>
          <w:lang w:val="fr-FR"/>
        </w:rPr>
        <w:t xml:space="preserve">Mise en correspondance des activités entre les Questions de </w:t>
      </w:r>
      <w:r w:rsidR="0089542D" w:rsidRPr="00803037">
        <w:rPr>
          <w:lang w:val="fr-FR"/>
        </w:rPr>
        <w:t>l'</w:t>
      </w:r>
      <w:r w:rsidRPr="00803037">
        <w:rPr>
          <w:lang w:val="fr-FR"/>
        </w:rPr>
        <w:t xml:space="preserve">UIT-D à </w:t>
      </w:r>
      <w:r w:rsidR="0089542D" w:rsidRPr="00803037">
        <w:rPr>
          <w:lang w:val="fr-FR"/>
        </w:rPr>
        <w:t>l'</w:t>
      </w:r>
      <w:r w:rsidRPr="00803037">
        <w:rPr>
          <w:lang w:val="fr-FR"/>
        </w:rPr>
        <w:t xml:space="preserve">étude et celles des autres Secteurs de </w:t>
      </w:r>
      <w:r w:rsidR="0089542D" w:rsidRPr="00803037">
        <w:rPr>
          <w:lang w:val="fr-FR"/>
        </w:rPr>
        <w:t>l'</w:t>
      </w:r>
      <w:r w:rsidRPr="00803037">
        <w:rPr>
          <w:lang w:val="fr-FR"/>
        </w:rPr>
        <w:t>UIT</w:t>
      </w:r>
    </w:p>
    <w:p w14:paraId="3CE45CF6" w14:textId="708A3477" w:rsidR="000B3E0D" w:rsidRPr="00803037" w:rsidRDefault="000B3E0D" w:rsidP="000B3E0D">
      <w:pPr>
        <w:rPr>
          <w:lang w:val="fr-FR"/>
        </w:rPr>
      </w:pPr>
      <w:r w:rsidRPr="00803037">
        <w:rPr>
          <w:lang w:val="fr-FR"/>
        </w:rPr>
        <w:t xml:space="preserve">Au cours de la période </w:t>
      </w:r>
      <w:r w:rsidR="0089542D" w:rsidRPr="00803037">
        <w:rPr>
          <w:lang w:val="fr-FR"/>
        </w:rPr>
        <w:t>d'</w:t>
      </w:r>
      <w:r w:rsidRPr="00803037">
        <w:rPr>
          <w:lang w:val="fr-FR"/>
        </w:rPr>
        <w:t xml:space="preserve">études considérée, </w:t>
      </w:r>
      <w:r w:rsidR="0089542D" w:rsidRPr="00803037">
        <w:rPr>
          <w:lang w:val="fr-FR"/>
        </w:rPr>
        <w:t>l'</w:t>
      </w:r>
      <w:r w:rsidRPr="00803037">
        <w:rPr>
          <w:lang w:val="fr-FR"/>
        </w:rPr>
        <w:t xml:space="preserve">élaboration </w:t>
      </w:r>
      <w:r w:rsidR="0089542D" w:rsidRPr="00803037">
        <w:rPr>
          <w:lang w:val="fr-FR"/>
        </w:rPr>
        <w:t>d'</w:t>
      </w:r>
      <w:r w:rsidRPr="00803037">
        <w:rPr>
          <w:lang w:val="fr-FR"/>
        </w:rPr>
        <w:t xml:space="preserve">un tableau de correspondance des activités menées avec les autres Secteurs de </w:t>
      </w:r>
      <w:r w:rsidR="0089542D" w:rsidRPr="00803037">
        <w:rPr>
          <w:lang w:val="fr-FR"/>
        </w:rPr>
        <w:t>l'</w:t>
      </w:r>
      <w:r w:rsidRPr="00803037">
        <w:rPr>
          <w:lang w:val="fr-FR"/>
        </w:rPr>
        <w:t xml:space="preserve">UIT a été poursuivie en vue de déterminer </w:t>
      </w:r>
      <w:r w:rsidR="0089542D" w:rsidRPr="00803037">
        <w:rPr>
          <w:lang w:val="fr-FR"/>
        </w:rPr>
        <w:t>d'</w:t>
      </w:r>
      <w:r w:rsidRPr="00803037">
        <w:rPr>
          <w:lang w:val="fr-FR"/>
        </w:rPr>
        <w:t xml:space="preserve">éventuels domaines </w:t>
      </w:r>
      <w:r w:rsidR="0089542D" w:rsidRPr="00803037">
        <w:rPr>
          <w:lang w:val="fr-FR"/>
        </w:rPr>
        <w:t>d'</w:t>
      </w:r>
      <w:r w:rsidRPr="00803037">
        <w:rPr>
          <w:lang w:val="fr-FR"/>
        </w:rPr>
        <w:t xml:space="preserve">intérêt commun, de faciliter la collaboration et de renforcer encore la coopération. La CE 2 a chargé deux membres de </w:t>
      </w:r>
      <w:r w:rsidR="0089542D" w:rsidRPr="00803037">
        <w:rPr>
          <w:lang w:val="fr-FR"/>
        </w:rPr>
        <w:t>l'</w:t>
      </w:r>
      <w:r w:rsidRPr="00803037">
        <w:rPr>
          <w:lang w:val="fr-FR"/>
        </w:rPr>
        <w:t xml:space="preserve">équipe de direction de coordonner </w:t>
      </w:r>
      <w:r w:rsidR="0089542D" w:rsidRPr="00803037">
        <w:rPr>
          <w:lang w:val="fr-FR"/>
        </w:rPr>
        <w:t>l'</w:t>
      </w:r>
      <w:r w:rsidRPr="00803037">
        <w:rPr>
          <w:lang w:val="fr-FR"/>
        </w:rPr>
        <w:t>élaboration et la diffusion de ces tableaux de correspondance, à savoir M. Arseny Plossky (Fédération de Russie), Rapporteur pour la Question 4/1, et M. Haim Mazar (Israël), Corapporteur pour la Question 7/2.</w:t>
      </w:r>
    </w:p>
    <w:p w14:paraId="1FCF266E" w14:textId="7A0408AD" w:rsidR="000B3E0D" w:rsidRPr="00803037" w:rsidRDefault="000B3E0D" w:rsidP="000B3E0D">
      <w:pPr>
        <w:rPr>
          <w:lang w:val="fr-FR"/>
        </w:rPr>
      </w:pPr>
      <w:r w:rsidRPr="00803037">
        <w:rPr>
          <w:lang w:val="fr-FR"/>
        </w:rPr>
        <w:t xml:space="preserve">Les tableaux de correspondance intersectorielle ont été révisés afin de refléter </w:t>
      </w:r>
      <w:r w:rsidR="0089542D" w:rsidRPr="00803037">
        <w:rPr>
          <w:lang w:val="fr-FR"/>
        </w:rPr>
        <w:t>l'</w:t>
      </w:r>
      <w:r w:rsidRPr="00803037">
        <w:rPr>
          <w:lang w:val="fr-FR"/>
        </w:rPr>
        <w:t xml:space="preserve">évolution des activités dans les trois Secteurs de </w:t>
      </w:r>
      <w:r w:rsidR="0089542D" w:rsidRPr="00803037">
        <w:rPr>
          <w:lang w:val="fr-FR"/>
        </w:rPr>
        <w:t>l'</w:t>
      </w:r>
      <w:r w:rsidRPr="00803037">
        <w:rPr>
          <w:lang w:val="fr-FR"/>
        </w:rPr>
        <w:t xml:space="preserve">UIT au cours de la période </w:t>
      </w:r>
      <w:r w:rsidR="0089542D" w:rsidRPr="00803037">
        <w:rPr>
          <w:lang w:val="fr-FR"/>
        </w:rPr>
        <w:t>d'</w:t>
      </w:r>
      <w:r w:rsidRPr="00803037">
        <w:rPr>
          <w:lang w:val="fr-FR"/>
        </w:rPr>
        <w:t xml:space="preserve">étude. Tous les documents concernant la mise en correspondance intersectorielle se trouvent dans un répertoire commun, que le Groupe de coordination intersectorielle sur les questions </w:t>
      </w:r>
      <w:r w:rsidR="0089542D" w:rsidRPr="00803037">
        <w:rPr>
          <w:lang w:val="fr-FR"/>
        </w:rPr>
        <w:t>d'</w:t>
      </w:r>
      <w:r w:rsidRPr="00803037">
        <w:rPr>
          <w:lang w:val="fr-FR"/>
        </w:rPr>
        <w:t xml:space="preserve">intérêt mutuel (ISCG) met régulièrement à jour. </w:t>
      </w:r>
      <w:r w:rsidR="0089542D" w:rsidRPr="00803037">
        <w:rPr>
          <w:lang w:val="fr-FR"/>
        </w:rPr>
        <w:t>D'</w:t>
      </w:r>
      <w:r w:rsidRPr="00803037">
        <w:rPr>
          <w:lang w:val="fr-FR"/>
        </w:rPr>
        <w:t xml:space="preserve">autres mises à jour seront effectuées en collaboration entre le Groupe ISCG et les représentants des trois Secteurs de </w:t>
      </w:r>
      <w:r w:rsidR="0089542D" w:rsidRPr="00803037">
        <w:rPr>
          <w:lang w:val="fr-FR"/>
        </w:rPr>
        <w:t>l'</w:t>
      </w:r>
      <w:r w:rsidRPr="00803037">
        <w:rPr>
          <w:lang w:val="fr-FR"/>
        </w:rPr>
        <w:t>UIT.</w:t>
      </w:r>
    </w:p>
    <w:p w14:paraId="6902145D" w14:textId="77777777" w:rsidR="000B3E0D" w:rsidRPr="00803037" w:rsidRDefault="000B3E0D" w:rsidP="000B3E0D">
      <w:pPr>
        <w:rPr>
          <w:lang w:val="fr-FR"/>
        </w:rPr>
      </w:pPr>
      <w:r w:rsidRPr="00803037">
        <w:rPr>
          <w:lang w:val="fr-FR"/>
        </w:rPr>
        <w:t>Pour de plus amples informations:</w:t>
      </w:r>
    </w:p>
    <w:p w14:paraId="0FD41BCA" w14:textId="1B5242B6" w:rsidR="000B3E0D" w:rsidRPr="00803037" w:rsidRDefault="000B3E0D" w:rsidP="000B3E0D">
      <w:pPr>
        <w:pStyle w:val="enumlev1"/>
        <w:rPr>
          <w:lang w:val="fr-FR"/>
        </w:rPr>
      </w:pPr>
      <w:r w:rsidRPr="00803037">
        <w:rPr>
          <w:lang w:val="fr-FR"/>
        </w:rPr>
        <w:t>–</w:t>
      </w:r>
      <w:r w:rsidRPr="00803037">
        <w:rPr>
          <w:lang w:val="fr-FR"/>
        </w:rPr>
        <w:tab/>
        <w:t xml:space="preserve">Tableau de correspondance des Questions relevant des CE 1 et 2 de </w:t>
      </w:r>
      <w:r w:rsidR="0089542D" w:rsidRPr="00803037">
        <w:rPr>
          <w:lang w:val="fr-FR"/>
        </w:rPr>
        <w:t>l'</w:t>
      </w:r>
      <w:r w:rsidRPr="00803037">
        <w:rPr>
          <w:lang w:val="fr-FR"/>
        </w:rPr>
        <w:t xml:space="preserve">UIT-D avec les Groupes de travail de </w:t>
      </w:r>
      <w:r w:rsidR="0089542D" w:rsidRPr="00803037">
        <w:rPr>
          <w:lang w:val="fr-FR"/>
        </w:rPr>
        <w:t>l'</w:t>
      </w:r>
      <w:r w:rsidRPr="00803037">
        <w:rPr>
          <w:lang w:val="fr-FR"/>
        </w:rPr>
        <w:t xml:space="preserve">UIT-R: </w:t>
      </w:r>
      <w:hyperlink r:id="rId91" w:history="1">
        <w:r w:rsidRPr="00803037">
          <w:rPr>
            <w:rStyle w:val="Hyperlink"/>
            <w:lang w:val="fr-FR"/>
          </w:rPr>
          <w:t>lien</w:t>
        </w:r>
      </w:hyperlink>
      <w:r w:rsidRPr="00803037">
        <w:rPr>
          <w:lang w:val="fr-FR"/>
        </w:rPr>
        <w:t>.</w:t>
      </w:r>
    </w:p>
    <w:p w14:paraId="573ACC5A" w14:textId="7D38CA9E" w:rsidR="000B3E0D" w:rsidRPr="00803037" w:rsidRDefault="000B3E0D" w:rsidP="000B3E0D">
      <w:pPr>
        <w:pStyle w:val="enumlev1"/>
        <w:rPr>
          <w:lang w:val="fr-FR"/>
        </w:rPr>
      </w:pPr>
      <w:r w:rsidRPr="00803037">
        <w:rPr>
          <w:lang w:val="fr-FR"/>
        </w:rPr>
        <w:t>–</w:t>
      </w:r>
      <w:r w:rsidRPr="00803037">
        <w:rPr>
          <w:lang w:val="fr-FR"/>
        </w:rPr>
        <w:tab/>
        <w:t xml:space="preserve">Tableau de correspondance des Questions relevant des CE 1 et 2 de </w:t>
      </w:r>
      <w:r w:rsidR="0089542D" w:rsidRPr="00803037">
        <w:rPr>
          <w:lang w:val="fr-FR"/>
        </w:rPr>
        <w:t>l'</w:t>
      </w:r>
      <w:r w:rsidRPr="00803037">
        <w:rPr>
          <w:lang w:val="fr-FR"/>
        </w:rPr>
        <w:t xml:space="preserve">UIT-D avec les Questions de </w:t>
      </w:r>
      <w:r w:rsidR="0089542D" w:rsidRPr="00803037">
        <w:rPr>
          <w:lang w:val="fr-FR"/>
        </w:rPr>
        <w:t>l'</w:t>
      </w:r>
      <w:r w:rsidRPr="00803037">
        <w:rPr>
          <w:lang w:val="fr-FR"/>
        </w:rPr>
        <w:t xml:space="preserve">UIT-T: </w:t>
      </w:r>
      <w:hyperlink r:id="rId92" w:history="1">
        <w:r w:rsidRPr="00803037">
          <w:rPr>
            <w:rStyle w:val="Hyperlink"/>
            <w:lang w:val="fr-FR"/>
          </w:rPr>
          <w:t>lien</w:t>
        </w:r>
      </w:hyperlink>
      <w:r w:rsidRPr="00803037">
        <w:rPr>
          <w:lang w:val="fr-FR"/>
        </w:rPr>
        <w:t>.</w:t>
      </w:r>
    </w:p>
    <w:p w14:paraId="05BE8CD7" w14:textId="77777777" w:rsidR="000B3E0D" w:rsidRPr="00803037" w:rsidRDefault="000B3E0D" w:rsidP="009330BA">
      <w:pPr>
        <w:pStyle w:val="Headingb"/>
        <w:keepNext/>
        <w:keepLines/>
        <w:rPr>
          <w:lang w:val="fr-FR"/>
        </w:rPr>
      </w:pPr>
      <w:r w:rsidRPr="00803037">
        <w:rPr>
          <w:lang w:val="fr-FR"/>
        </w:rPr>
        <w:t>Résolution 9 (Rév. Kigali, 2022) de la CMDT</w:t>
      </w:r>
    </w:p>
    <w:p w14:paraId="7A2DB60B" w14:textId="5C6D693F" w:rsidR="000B3E0D" w:rsidRPr="00803037" w:rsidRDefault="000B3E0D" w:rsidP="009330BA">
      <w:pPr>
        <w:keepNext/>
        <w:keepLines/>
        <w:rPr>
          <w:lang w:val="fr-FR"/>
        </w:rPr>
      </w:pPr>
      <w:r w:rsidRPr="00803037">
        <w:rPr>
          <w:lang w:val="fr-FR"/>
        </w:rPr>
        <w:t xml:space="preserve">En application de la Résolution 9 (Rév. Kigali, 2022) de la CMDT et en particulier pour répondre aux besoins des pays en développement qui y sont énoncés, la CE 2 a adopté </w:t>
      </w:r>
      <w:r w:rsidR="0089542D" w:rsidRPr="00803037">
        <w:rPr>
          <w:lang w:val="fr-FR"/>
        </w:rPr>
        <w:t>l'</w:t>
      </w:r>
      <w:r w:rsidRPr="00803037">
        <w:rPr>
          <w:lang w:val="fr-FR"/>
        </w:rPr>
        <w:t>approche suivante:</w:t>
      </w:r>
    </w:p>
    <w:p w14:paraId="46ADCF10" w14:textId="7034298B" w:rsidR="000B3E0D" w:rsidRPr="00803037" w:rsidRDefault="000B3E0D" w:rsidP="009330BA">
      <w:pPr>
        <w:pStyle w:val="enumlev1"/>
        <w:keepNext/>
        <w:keepLines/>
        <w:rPr>
          <w:lang w:val="fr-FR"/>
        </w:rPr>
      </w:pPr>
      <w:r w:rsidRPr="00803037">
        <w:rPr>
          <w:lang w:val="fr-FR"/>
        </w:rPr>
        <w:t>–</w:t>
      </w:r>
      <w:r w:rsidRPr="00803037">
        <w:rPr>
          <w:lang w:val="fr-FR"/>
        </w:rPr>
        <w:tab/>
        <w:t xml:space="preserve">La CE 2 a désigné deux Coordonnateurs pour veiller à ce que ce sujet soit actualisé en permanence, à savoir M. Hideo Imanaka (Japon), Vice-Président de la CE 2 de </w:t>
      </w:r>
      <w:r w:rsidR="0089542D" w:rsidRPr="00803037">
        <w:rPr>
          <w:lang w:val="fr-FR"/>
        </w:rPr>
        <w:t>l'</w:t>
      </w:r>
      <w:r w:rsidRPr="00803037">
        <w:rPr>
          <w:lang w:val="fr-FR"/>
        </w:rPr>
        <w:t>UIT-D, et M. Haim Mazar (Israël), Corapporteur pour la Question 7/2.</w:t>
      </w:r>
    </w:p>
    <w:p w14:paraId="14ED7773" w14:textId="1568FBB6" w:rsidR="000B3E0D" w:rsidRPr="00803037" w:rsidRDefault="000B3E0D" w:rsidP="000B3E0D">
      <w:pPr>
        <w:pStyle w:val="enumlev1"/>
        <w:rPr>
          <w:lang w:val="fr-FR"/>
        </w:rPr>
      </w:pPr>
      <w:r w:rsidRPr="00803037">
        <w:rPr>
          <w:lang w:val="fr-FR"/>
        </w:rPr>
        <w:t>–</w:t>
      </w:r>
      <w:r w:rsidRPr="00803037">
        <w:rPr>
          <w:lang w:val="fr-FR"/>
        </w:rPr>
        <w:tab/>
        <w:t xml:space="preserve">Comme les Questions </w:t>
      </w:r>
      <w:r w:rsidR="0089542D" w:rsidRPr="00803037">
        <w:rPr>
          <w:lang w:val="fr-FR"/>
        </w:rPr>
        <w:t>n'</w:t>
      </w:r>
      <w:r w:rsidRPr="00803037">
        <w:rPr>
          <w:lang w:val="fr-FR"/>
        </w:rPr>
        <w:t xml:space="preserve">ont pas nécessairement toutes un lien avec la Résolution 9, il a été demandé aux équipes de direction des Groupes du Rapporteur de vérifier si cette dernière était pertinent pour le champ </w:t>
      </w:r>
      <w:r w:rsidR="0089542D" w:rsidRPr="00803037">
        <w:rPr>
          <w:lang w:val="fr-FR"/>
        </w:rPr>
        <w:t>d'</w:t>
      </w:r>
      <w:r w:rsidRPr="00803037">
        <w:rPr>
          <w:lang w:val="fr-FR"/>
        </w:rPr>
        <w:t>application de leur Question.</w:t>
      </w:r>
    </w:p>
    <w:p w14:paraId="750C3A0F" w14:textId="2AA7C1DE" w:rsidR="000B3E0D" w:rsidRPr="00803037" w:rsidRDefault="000B3E0D" w:rsidP="000B3E0D">
      <w:pPr>
        <w:pStyle w:val="enumlev1"/>
        <w:rPr>
          <w:lang w:val="fr-FR"/>
        </w:rPr>
      </w:pPr>
      <w:r w:rsidRPr="00803037">
        <w:rPr>
          <w:lang w:val="fr-FR"/>
        </w:rPr>
        <w:t>–</w:t>
      </w:r>
      <w:r w:rsidRPr="00803037">
        <w:rPr>
          <w:lang w:val="fr-FR"/>
        </w:rPr>
        <w:tab/>
        <w:t xml:space="preserve">Les Groupes du rapporteur ont été invités à analyser les contributions reçues et à tirer parti des informations fournies à intervalles réguliers par </w:t>
      </w:r>
      <w:r w:rsidR="0089542D" w:rsidRPr="00803037">
        <w:rPr>
          <w:lang w:val="fr-FR"/>
        </w:rPr>
        <w:t>l'</w:t>
      </w:r>
      <w:r w:rsidRPr="00803037">
        <w:rPr>
          <w:lang w:val="fr-FR"/>
        </w:rPr>
        <w:t>UIT-R (présentations en plénière et notes de liaison reçues), afin de recenser les éléments présentant un intérêt, en vue de renforcer la collaboration.</w:t>
      </w:r>
    </w:p>
    <w:p w14:paraId="711C55FF" w14:textId="7384CFAF" w:rsidR="000B3E0D" w:rsidRPr="00803037" w:rsidRDefault="000B3E0D" w:rsidP="000B3E0D">
      <w:pPr>
        <w:rPr>
          <w:lang w:val="fr-FR"/>
        </w:rPr>
      </w:pPr>
      <w:r w:rsidRPr="00803037">
        <w:rPr>
          <w:lang w:val="fr-FR"/>
        </w:rPr>
        <w:t xml:space="preserve">À </w:t>
      </w:r>
      <w:r w:rsidR="0089542D" w:rsidRPr="00803037">
        <w:rPr>
          <w:lang w:val="fr-FR"/>
        </w:rPr>
        <w:t>l'</w:t>
      </w:r>
      <w:r w:rsidRPr="00803037">
        <w:rPr>
          <w:lang w:val="fr-FR"/>
        </w:rPr>
        <w:t xml:space="preserve">issue de cet exercice, un tableau de correspondance entre les contributions reçues par la CE 2 et les types </w:t>
      </w:r>
      <w:r w:rsidR="0089542D" w:rsidRPr="00803037">
        <w:rPr>
          <w:lang w:val="fr-FR"/>
        </w:rPr>
        <w:t>d'</w:t>
      </w:r>
      <w:r w:rsidRPr="00803037">
        <w:rPr>
          <w:lang w:val="fr-FR"/>
        </w:rPr>
        <w:t xml:space="preserve">assistance décrits dans la Résolution 9 a été élaboré et est reproduit dans </w:t>
      </w:r>
      <w:r w:rsidR="0089542D" w:rsidRPr="00803037">
        <w:rPr>
          <w:lang w:val="fr-FR"/>
        </w:rPr>
        <w:t>l'</w:t>
      </w:r>
      <w:r w:rsidRPr="00803037">
        <w:rPr>
          <w:b/>
          <w:bCs/>
          <w:lang w:val="fr-FR"/>
        </w:rPr>
        <w:t>Annexe</w:t>
      </w:r>
      <w:r w:rsidR="005C1080" w:rsidRPr="00803037">
        <w:rPr>
          <w:b/>
          <w:bCs/>
          <w:lang w:val="fr-FR"/>
        </w:rPr>
        <w:t> </w:t>
      </w:r>
      <w:r w:rsidRPr="00803037">
        <w:rPr>
          <w:b/>
          <w:bCs/>
          <w:lang w:val="fr-FR"/>
        </w:rPr>
        <w:t>6</w:t>
      </w:r>
      <w:r w:rsidRPr="00803037">
        <w:rPr>
          <w:lang w:val="fr-FR"/>
        </w:rPr>
        <w:t xml:space="preserve">. On trouvera dans </w:t>
      </w:r>
      <w:r w:rsidR="0089542D" w:rsidRPr="00803037">
        <w:rPr>
          <w:lang w:val="fr-FR"/>
        </w:rPr>
        <w:t>l'</w:t>
      </w:r>
      <w:r w:rsidRPr="00803037">
        <w:rPr>
          <w:b/>
          <w:bCs/>
          <w:lang w:val="fr-FR"/>
        </w:rPr>
        <w:t>Annexe 7</w:t>
      </w:r>
      <w:r w:rsidRPr="00803037">
        <w:rPr>
          <w:lang w:val="fr-FR"/>
        </w:rPr>
        <w:t xml:space="preserve"> un tableau récapitulatif indiquant le nombre total de sujets pouvant présenter un intérêt pour chaque type </w:t>
      </w:r>
      <w:r w:rsidR="0089542D" w:rsidRPr="00803037">
        <w:rPr>
          <w:lang w:val="fr-FR"/>
        </w:rPr>
        <w:t>d'</w:t>
      </w:r>
      <w:r w:rsidRPr="00803037">
        <w:rPr>
          <w:lang w:val="fr-FR"/>
        </w:rPr>
        <w:t>assistance décrit dans la Résolution 9.</w:t>
      </w:r>
    </w:p>
    <w:p w14:paraId="671BFDE9" w14:textId="77777777" w:rsidR="000B3E0D" w:rsidRPr="00803037" w:rsidRDefault="000B3E0D" w:rsidP="009330BA">
      <w:pPr>
        <w:rPr>
          <w:lang w:val="fr-FR"/>
        </w:rPr>
      </w:pPr>
      <w:r w:rsidRPr="00803037">
        <w:rPr>
          <w:lang w:val="fr-FR"/>
        </w:rPr>
        <w:lastRenderedPageBreak/>
        <w:t>Pour de plus amples informations:</w:t>
      </w:r>
    </w:p>
    <w:p w14:paraId="37E8D19A" w14:textId="4AB4F89A" w:rsidR="000B3E0D" w:rsidRPr="00803037" w:rsidRDefault="000B3E0D" w:rsidP="009330BA">
      <w:pPr>
        <w:pStyle w:val="enumlev1"/>
        <w:rPr>
          <w:lang w:val="fr-FR"/>
        </w:rPr>
      </w:pPr>
      <w:r w:rsidRPr="00803037">
        <w:rPr>
          <w:lang w:val="fr-FR"/>
        </w:rPr>
        <w:t>–</w:t>
      </w:r>
      <w:r w:rsidRPr="00803037">
        <w:rPr>
          <w:lang w:val="fr-FR"/>
        </w:rPr>
        <w:tab/>
        <w:t xml:space="preserve">Rapport du </w:t>
      </w:r>
      <w:r w:rsidR="00CF2F46" w:rsidRPr="00803037">
        <w:rPr>
          <w:lang w:val="fr-FR"/>
        </w:rPr>
        <w:t>P</w:t>
      </w:r>
      <w:r w:rsidRPr="00803037">
        <w:rPr>
          <w:lang w:val="fr-FR"/>
        </w:rPr>
        <w:t xml:space="preserve">résident de la CE 2 au GCDT (2020): Partie 3.2 du </w:t>
      </w:r>
      <w:r w:rsidR="00CF2F46" w:rsidRPr="00803037">
        <w:rPr>
          <w:lang w:val="fr-FR"/>
        </w:rPr>
        <w:t xml:space="preserve">Document </w:t>
      </w:r>
      <w:hyperlink r:id="rId93" w:history="1">
        <w:r w:rsidR="00CF2F46" w:rsidRPr="00803037">
          <w:rPr>
            <w:rStyle w:val="Hyperlink"/>
            <w:lang w:val="fr-FR"/>
          </w:rPr>
          <w:t>TDAG-23/6</w:t>
        </w:r>
      </w:hyperlink>
      <w:r w:rsidRPr="00803037">
        <w:rPr>
          <w:lang w:val="fr-FR"/>
        </w:rPr>
        <w:t>.</w:t>
      </w:r>
    </w:p>
    <w:p w14:paraId="79BDC161" w14:textId="0982A935" w:rsidR="000B3E0D" w:rsidRPr="00803037" w:rsidRDefault="000B3E0D" w:rsidP="000B3E0D">
      <w:pPr>
        <w:pStyle w:val="enumlev1"/>
        <w:rPr>
          <w:lang w:val="fr-FR"/>
        </w:rPr>
      </w:pPr>
      <w:r w:rsidRPr="00803037">
        <w:rPr>
          <w:lang w:val="fr-FR"/>
        </w:rPr>
        <w:t>–</w:t>
      </w:r>
      <w:r w:rsidRPr="00803037">
        <w:rPr>
          <w:lang w:val="fr-FR"/>
        </w:rPr>
        <w:tab/>
        <w:t xml:space="preserve">Mesures proposées par les </w:t>
      </w:r>
      <w:r w:rsidR="00CF2F46" w:rsidRPr="00803037">
        <w:rPr>
          <w:lang w:val="fr-FR"/>
        </w:rPr>
        <w:t>C</w:t>
      </w:r>
      <w:r w:rsidRPr="00803037">
        <w:rPr>
          <w:lang w:val="fr-FR"/>
        </w:rPr>
        <w:t xml:space="preserve">oordonnateurs: </w:t>
      </w:r>
      <w:r w:rsidR="00CF2F46" w:rsidRPr="00803037">
        <w:rPr>
          <w:lang w:val="fr-FR"/>
        </w:rPr>
        <w:t xml:space="preserve">Document </w:t>
      </w:r>
      <w:hyperlink r:id="rId94" w:history="1">
        <w:r w:rsidR="00CF2F46" w:rsidRPr="00803037">
          <w:rPr>
            <w:rStyle w:val="Hyperlink"/>
            <w:lang w:val="fr-FR"/>
          </w:rPr>
          <w:t>2/161</w:t>
        </w:r>
      </w:hyperlink>
      <w:r w:rsidRPr="00803037">
        <w:rPr>
          <w:lang w:val="fr-FR"/>
        </w:rPr>
        <w:t>.</w:t>
      </w:r>
    </w:p>
    <w:p w14:paraId="7FB0AE87" w14:textId="77777777" w:rsidR="000B3E0D" w:rsidRPr="00803037" w:rsidRDefault="000B3E0D" w:rsidP="000B3E0D">
      <w:pPr>
        <w:pStyle w:val="enumlev1"/>
        <w:rPr>
          <w:lang w:val="fr-FR"/>
        </w:rPr>
      </w:pPr>
      <w:r w:rsidRPr="00803037">
        <w:rPr>
          <w:lang w:val="fr-FR"/>
        </w:rPr>
        <w:t>–</w:t>
      </w:r>
      <w:r w:rsidRPr="00803037">
        <w:rPr>
          <w:lang w:val="fr-FR"/>
        </w:rPr>
        <w:tab/>
        <w:t xml:space="preserve">Rapport des Coordonnateurs (avec le tableau de correspondance): Document </w:t>
      </w:r>
      <w:hyperlink r:id="rId95" w:history="1">
        <w:r w:rsidRPr="00803037">
          <w:rPr>
            <w:rStyle w:val="Hyperlink"/>
            <w:bCs/>
            <w:lang w:val="fr-FR"/>
          </w:rPr>
          <w:t>2/</w:t>
        </w:r>
        <w:r w:rsidRPr="00803037">
          <w:rPr>
            <w:rStyle w:val="Hyperlink"/>
            <w:bCs/>
            <w:lang w:val="fr-FR" w:eastAsia="ko-KR"/>
          </w:rPr>
          <w:t>402</w:t>
        </w:r>
      </w:hyperlink>
      <w:r w:rsidRPr="00803037">
        <w:rPr>
          <w:rFonts w:eastAsia="Malgun Gothic"/>
          <w:lang w:val="fr-FR" w:eastAsia="ko-KR"/>
        </w:rPr>
        <w:t>.</w:t>
      </w:r>
    </w:p>
    <w:p w14:paraId="382480D5" w14:textId="3CE287C3" w:rsidR="000B3E0D" w:rsidRPr="00803037" w:rsidRDefault="000B3E0D" w:rsidP="00667ECD">
      <w:pPr>
        <w:pStyle w:val="Headingb"/>
        <w:rPr>
          <w:lang w:val="fr-FR"/>
        </w:rPr>
      </w:pPr>
      <w:r w:rsidRPr="00803037">
        <w:rPr>
          <w:lang w:val="fr-FR"/>
        </w:rPr>
        <w:t xml:space="preserve">Comité de coordination de </w:t>
      </w:r>
      <w:r w:rsidR="0089542D" w:rsidRPr="00803037">
        <w:rPr>
          <w:lang w:val="fr-FR"/>
        </w:rPr>
        <w:t>l'</w:t>
      </w:r>
      <w:r w:rsidRPr="00803037">
        <w:rPr>
          <w:lang w:val="fr-FR"/>
        </w:rPr>
        <w:t xml:space="preserve">UIT pour la terminologie (CCT de </w:t>
      </w:r>
      <w:r w:rsidR="0089542D" w:rsidRPr="00803037">
        <w:rPr>
          <w:lang w:val="fr-FR"/>
        </w:rPr>
        <w:t>l'</w:t>
      </w:r>
      <w:r w:rsidRPr="00803037">
        <w:rPr>
          <w:lang w:val="fr-FR"/>
        </w:rPr>
        <w:t>UIT)</w:t>
      </w:r>
    </w:p>
    <w:p w14:paraId="6B6F34BB" w14:textId="29CB814E" w:rsidR="000B3E0D" w:rsidRPr="00803037" w:rsidRDefault="000B3E0D" w:rsidP="000B3E0D">
      <w:pPr>
        <w:rPr>
          <w:lang w:val="fr-FR"/>
        </w:rPr>
      </w:pPr>
      <w:r w:rsidRPr="00803037">
        <w:rPr>
          <w:lang w:val="fr-FR"/>
        </w:rPr>
        <w:t xml:space="preserve">La Résolution 154 (Rév. Bucarest, 2022) de la Conférence de plénipotentiaires, relative à </w:t>
      </w:r>
      <w:r w:rsidR="0089542D" w:rsidRPr="00803037">
        <w:rPr>
          <w:lang w:val="fr-FR"/>
        </w:rPr>
        <w:t>l'</w:t>
      </w:r>
      <w:r w:rsidRPr="00803037">
        <w:rPr>
          <w:lang w:val="fr-FR"/>
        </w:rPr>
        <w:t xml:space="preserve">utilisation des six langues officielles de </w:t>
      </w:r>
      <w:r w:rsidR="0089542D" w:rsidRPr="00803037">
        <w:rPr>
          <w:lang w:val="fr-FR"/>
        </w:rPr>
        <w:t>l'</w:t>
      </w:r>
      <w:r w:rsidRPr="00803037">
        <w:rPr>
          <w:lang w:val="fr-FR"/>
        </w:rPr>
        <w:t xml:space="preserve">Union sur un pied </w:t>
      </w:r>
      <w:r w:rsidR="0089542D" w:rsidRPr="00803037">
        <w:rPr>
          <w:lang w:val="fr-FR"/>
        </w:rPr>
        <w:t>d'</w:t>
      </w:r>
      <w:r w:rsidRPr="00803037">
        <w:rPr>
          <w:lang w:val="fr-FR"/>
        </w:rPr>
        <w:t xml:space="preserve">égalité, souligne </w:t>
      </w:r>
      <w:r w:rsidR="0089542D" w:rsidRPr="00803037">
        <w:rPr>
          <w:lang w:val="fr-FR"/>
        </w:rPr>
        <w:t>l'</w:t>
      </w:r>
      <w:r w:rsidRPr="00803037">
        <w:rPr>
          <w:lang w:val="fr-FR"/>
        </w:rPr>
        <w:t xml:space="preserve">importance des travaux du Comité de coordination de </w:t>
      </w:r>
      <w:r w:rsidR="0089542D" w:rsidRPr="00803037">
        <w:rPr>
          <w:lang w:val="fr-FR"/>
        </w:rPr>
        <w:t>l'</w:t>
      </w:r>
      <w:r w:rsidRPr="00803037">
        <w:rPr>
          <w:lang w:val="fr-FR"/>
        </w:rPr>
        <w:t xml:space="preserve">UIT pour la terminologie (CCT de </w:t>
      </w:r>
      <w:r w:rsidR="0089542D" w:rsidRPr="00803037">
        <w:rPr>
          <w:lang w:val="fr-FR"/>
        </w:rPr>
        <w:t>l'</w:t>
      </w:r>
      <w:r w:rsidRPr="00803037">
        <w:rPr>
          <w:lang w:val="fr-FR"/>
        </w:rPr>
        <w:t xml:space="preserve">UIT), qui approuve et adopte des termes et définitions liés aux télécommunications/TIC pour les trois Secteurs de </w:t>
      </w:r>
      <w:r w:rsidR="0089542D" w:rsidRPr="00803037">
        <w:rPr>
          <w:lang w:val="fr-FR"/>
        </w:rPr>
        <w:t>l'</w:t>
      </w:r>
      <w:r w:rsidRPr="00803037">
        <w:rPr>
          <w:lang w:val="fr-FR"/>
        </w:rPr>
        <w:t xml:space="preserve">UIT. Conformément au § 12.3 de la Résolution 1 de la CMDT, la CE 2 a désigné M. Tongning Wu (Chine), Vice-Président, en qualité de représentant de </w:t>
      </w:r>
      <w:r w:rsidR="0089542D" w:rsidRPr="00803037">
        <w:rPr>
          <w:lang w:val="fr-FR"/>
        </w:rPr>
        <w:t>l'</w:t>
      </w:r>
      <w:r w:rsidRPr="00803037">
        <w:rPr>
          <w:lang w:val="fr-FR"/>
        </w:rPr>
        <w:t xml:space="preserve">UIT-D auprès du CCT de </w:t>
      </w:r>
      <w:r w:rsidR="0089542D" w:rsidRPr="00803037">
        <w:rPr>
          <w:lang w:val="fr-FR"/>
        </w:rPr>
        <w:t>l'</w:t>
      </w:r>
      <w:r w:rsidRPr="00803037">
        <w:rPr>
          <w:lang w:val="fr-FR"/>
        </w:rPr>
        <w:t>UIT.</w:t>
      </w:r>
    </w:p>
    <w:p w14:paraId="2446E378" w14:textId="0CA00EE1" w:rsidR="000B3E0D" w:rsidRPr="00803037" w:rsidRDefault="000B3E0D" w:rsidP="000B3E0D">
      <w:pPr>
        <w:rPr>
          <w:lang w:val="fr-FR"/>
        </w:rPr>
      </w:pPr>
      <w:r w:rsidRPr="00803037">
        <w:rPr>
          <w:lang w:val="fr-FR"/>
        </w:rPr>
        <w:t xml:space="preserve">Au cours de la période </w:t>
      </w:r>
      <w:r w:rsidR="0089542D" w:rsidRPr="00803037">
        <w:rPr>
          <w:lang w:val="fr-FR"/>
        </w:rPr>
        <w:t>d'</w:t>
      </w:r>
      <w:r w:rsidRPr="00803037">
        <w:rPr>
          <w:lang w:val="fr-FR"/>
        </w:rPr>
        <w:t xml:space="preserve">études 2022-2025, le CCT de </w:t>
      </w:r>
      <w:r w:rsidR="0089542D" w:rsidRPr="00803037">
        <w:rPr>
          <w:lang w:val="fr-FR"/>
        </w:rPr>
        <w:t>l'</w:t>
      </w:r>
      <w:r w:rsidRPr="00803037">
        <w:rPr>
          <w:lang w:val="fr-FR"/>
        </w:rPr>
        <w:t xml:space="preserve">UIT </w:t>
      </w:r>
      <w:r w:rsidR="0089542D" w:rsidRPr="00803037">
        <w:rPr>
          <w:lang w:val="fr-FR"/>
        </w:rPr>
        <w:t>s'</w:t>
      </w:r>
      <w:r w:rsidRPr="00803037">
        <w:rPr>
          <w:lang w:val="fr-FR"/>
        </w:rPr>
        <w:t xml:space="preserve">est réuni neuf fois. À chaque réunion, les participants ont examiné des notes de liaison et des contributions portant sur des questions de terminologie et pris des décisions concernant les nouveaux termes à insérer dans la base de données terminologique de </w:t>
      </w:r>
      <w:r w:rsidR="0089542D" w:rsidRPr="00803037">
        <w:rPr>
          <w:lang w:val="fr-FR"/>
        </w:rPr>
        <w:t>l'</w:t>
      </w:r>
      <w:r w:rsidRPr="00803037">
        <w:rPr>
          <w:lang w:val="fr-FR"/>
        </w:rPr>
        <w:t>UIT, en particulier dans la Partie 3, qui contient les termes, acronymes et définitions.</w:t>
      </w:r>
    </w:p>
    <w:p w14:paraId="4E913E0C" w14:textId="0126B52F" w:rsidR="000B3E0D" w:rsidRPr="00803037" w:rsidRDefault="000B3E0D" w:rsidP="000B3E0D">
      <w:pPr>
        <w:rPr>
          <w:lang w:val="fr-FR"/>
        </w:rPr>
      </w:pPr>
      <w:r w:rsidRPr="00803037">
        <w:rPr>
          <w:lang w:val="fr-FR"/>
        </w:rPr>
        <w:t xml:space="preserve">Bien </w:t>
      </w:r>
      <w:r w:rsidR="0089542D" w:rsidRPr="00803037">
        <w:rPr>
          <w:lang w:val="fr-FR"/>
        </w:rPr>
        <w:t>qu'</w:t>
      </w:r>
      <w:r w:rsidRPr="00803037">
        <w:rPr>
          <w:lang w:val="fr-FR"/>
        </w:rPr>
        <w:t xml:space="preserve">aucun autre terme </w:t>
      </w:r>
      <w:r w:rsidR="0089542D" w:rsidRPr="00803037">
        <w:rPr>
          <w:lang w:val="fr-FR"/>
        </w:rPr>
        <w:t>n'</w:t>
      </w:r>
      <w:r w:rsidRPr="00803037">
        <w:rPr>
          <w:lang w:val="fr-FR"/>
        </w:rPr>
        <w:t xml:space="preserve">ait été proposé par la CE 2 au cours de la présente période </w:t>
      </w:r>
      <w:r w:rsidR="0089542D" w:rsidRPr="00803037">
        <w:rPr>
          <w:lang w:val="fr-FR"/>
        </w:rPr>
        <w:t>d'</w:t>
      </w:r>
      <w:r w:rsidRPr="00803037">
        <w:rPr>
          <w:lang w:val="fr-FR"/>
        </w:rPr>
        <w:t xml:space="preserve">études, certains termes, notamment celui de sécurité numérique, ont été examinés. Plusieurs termes et définitions proposés par les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UIT-R et de </w:t>
      </w:r>
      <w:r w:rsidR="0089542D" w:rsidRPr="00803037">
        <w:rPr>
          <w:lang w:val="fr-FR"/>
        </w:rPr>
        <w:t>l'</w:t>
      </w:r>
      <w:r w:rsidRPr="00803037">
        <w:rPr>
          <w:lang w:val="fr-FR"/>
        </w:rPr>
        <w:t xml:space="preserve">UIT-T comprenaient également des termes généraux susceptibles </w:t>
      </w:r>
      <w:r w:rsidR="0089542D" w:rsidRPr="00803037">
        <w:rPr>
          <w:lang w:val="fr-FR"/>
        </w:rPr>
        <w:t>d'</w:t>
      </w:r>
      <w:r w:rsidRPr="00803037">
        <w:rPr>
          <w:lang w:val="fr-FR"/>
        </w:rPr>
        <w:t xml:space="preserve">être utilisés dans le cadre des Questions confiées à </w:t>
      </w:r>
      <w:r w:rsidR="0089542D" w:rsidRPr="00803037">
        <w:rPr>
          <w:lang w:val="fr-FR"/>
        </w:rPr>
        <w:t>l'</w:t>
      </w:r>
      <w:r w:rsidRPr="00803037">
        <w:rPr>
          <w:lang w:val="fr-FR"/>
        </w:rPr>
        <w:t xml:space="preserve">UIT-D, tels que "applications/services </w:t>
      </w:r>
      <w:r w:rsidR="0089542D" w:rsidRPr="00803037">
        <w:rPr>
          <w:lang w:val="fr-FR"/>
        </w:rPr>
        <w:t>d'</w:t>
      </w:r>
      <w:r w:rsidRPr="00803037">
        <w:rPr>
          <w:lang w:val="fr-FR"/>
        </w:rPr>
        <w:t>IA", "chaîne de blocs", "services financiers numériques" et "téléphone intelligent".</w:t>
      </w:r>
    </w:p>
    <w:p w14:paraId="350628D4" w14:textId="04CA56E2" w:rsidR="000B3E0D" w:rsidRPr="00803037" w:rsidRDefault="000B3E0D" w:rsidP="009330BA">
      <w:pPr>
        <w:keepLines/>
        <w:rPr>
          <w:lang w:val="fr-FR"/>
        </w:rPr>
      </w:pPr>
      <w:r w:rsidRPr="00803037">
        <w:rPr>
          <w:lang w:val="fr-FR"/>
        </w:rPr>
        <w:t xml:space="preserve">Tous les groupes du Rapporteur ont été invités à examiner </w:t>
      </w:r>
      <w:r w:rsidR="0089542D" w:rsidRPr="00803037">
        <w:rPr>
          <w:lang w:val="fr-FR"/>
        </w:rPr>
        <w:t>d'</w:t>
      </w:r>
      <w:r w:rsidRPr="00803037">
        <w:rPr>
          <w:lang w:val="fr-FR"/>
        </w:rPr>
        <w:t xml:space="preserve">éventuels nouveaux termes et à tenir le CCT de </w:t>
      </w:r>
      <w:r w:rsidR="0089542D" w:rsidRPr="00803037">
        <w:rPr>
          <w:lang w:val="fr-FR"/>
        </w:rPr>
        <w:t>l'</w:t>
      </w:r>
      <w:r w:rsidRPr="00803037">
        <w:rPr>
          <w:lang w:val="fr-FR"/>
        </w:rPr>
        <w:t xml:space="preserve">UIT informé au moyen de notes de liaison, si nécessaire. Les participants de la CE 2 ont été régulièrement invités à se tenir informés de </w:t>
      </w:r>
      <w:r w:rsidR="0089542D" w:rsidRPr="00803037">
        <w:rPr>
          <w:lang w:val="fr-FR"/>
        </w:rPr>
        <w:t>l'</w:t>
      </w:r>
      <w:r w:rsidRPr="00803037">
        <w:rPr>
          <w:lang w:val="fr-FR"/>
        </w:rPr>
        <w:t xml:space="preserve">avancement des réunions et encouragés à participer aux travaux du CCT de </w:t>
      </w:r>
      <w:r w:rsidR="0089542D" w:rsidRPr="00803037">
        <w:rPr>
          <w:lang w:val="fr-FR"/>
        </w:rPr>
        <w:t>l'</w:t>
      </w:r>
      <w:r w:rsidRPr="00803037">
        <w:rPr>
          <w:lang w:val="fr-FR"/>
        </w:rPr>
        <w:t xml:space="preserve">UIT afin de parvenir à une meilleure harmonisation du vocabulaire à </w:t>
      </w:r>
      <w:r w:rsidR="0089542D" w:rsidRPr="00803037">
        <w:rPr>
          <w:lang w:val="fr-FR"/>
        </w:rPr>
        <w:t>l'</w:t>
      </w:r>
      <w:r w:rsidRPr="00803037">
        <w:rPr>
          <w:lang w:val="fr-FR"/>
        </w:rPr>
        <w:t xml:space="preserve">échelle de </w:t>
      </w:r>
      <w:r w:rsidR="0089542D" w:rsidRPr="00803037">
        <w:rPr>
          <w:lang w:val="fr-FR"/>
        </w:rPr>
        <w:t>l'</w:t>
      </w:r>
      <w:r w:rsidRPr="00803037">
        <w:rPr>
          <w:lang w:val="fr-FR"/>
        </w:rPr>
        <w:t>UIT.</w:t>
      </w:r>
    </w:p>
    <w:p w14:paraId="48591805" w14:textId="77777777" w:rsidR="000B3E0D" w:rsidRPr="00803037" w:rsidRDefault="000B3E0D" w:rsidP="000B3E0D">
      <w:pPr>
        <w:rPr>
          <w:lang w:val="fr-FR"/>
        </w:rPr>
      </w:pPr>
      <w:r w:rsidRPr="00803037">
        <w:rPr>
          <w:lang w:val="fr-FR"/>
        </w:rPr>
        <w:t>Pour de plus amples informations:</w:t>
      </w:r>
    </w:p>
    <w:p w14:paraId="1CFB4AD7" w14:textId="2259FDF0" w:rsidR="000B3E0D" w:rsidRPr="00803037" w:rsidRDefault="000B3E0D" w:rsidP="000B3E0D">
      <w:pPr>
        <w:pStyle w:val="enumlev1"/>
        <w:rPr>
          <w:lang w:val="fr-FR"/>
        </w:rPr>
      </w:pPr>
      <w:r w:rsidRPr="00803037">
        <w:rPr>
          <w:lang w:val="fr-FR"/>
        </w:rPr>
        <w:t>–</w:t>
      </w:r>
      <w:r w:rsidRPr="00803037">
        <w:rPr>
          <w:lang w:val="fr-FR"/>
        </w:rPr>
        <w:tab/>
        <w:t xml:space="preserve">Compte rendu des réunions du CCT de </w:t>
      </w:r>
      <w:r w:rsidR="0089542D" w:rsidRPr="00803037">
        <w:rPr>
          <w:lang w:val="fr-FR"/>
        </w:rPr>
        <w:t>l'</w:t>
      </w:r>
      <w:r w:rsidRPr="00803037">
        <w:rPr>
          <w:lang w:val="fr-FR"/>
        </w:rPr>
        <w:t xml:space="preserve">UIT (pour la période 2022-2025): </w:t>
      </w:r>
      <w:hyperlink r:id="rId96" w:history="1">
        <w:r w:rsidRPr="00803037">
          <w:rPr>
            <w:rStyle w:val="Hyperlink"/>
            <w:lang w:val="fr-FR"/>
          </w:rPr>
          <w:t>R19-CCV/51</w:t>
        </w:r>
      </w:hyperlink>
      <w:r w:rsidRPr="00803037">
        <w:rPr>
          <w:lang w:val="fr-FR"/>
        </w:rPr>
        <w:t xml:space="preserve"> (10 novembre 2022), </w:t>
      </w:r>
      <w:hyperlink r:id="rId97" w:history="1">
        <w:r w:rsidRPr="00803037">
          <w:rPr>
            <w:rStyle w:val="Hyperlink"/>
            <w:lang w:val="fr-FR"/>
          </w:rPr>
          <w:t>CCT/1</w:t>
        </w:r>
      </w:hyperlink>
      <w:r w:rsidRPr="00803037">
        <w:rPr>
          <w:lang w:val="fr-FR"/>
        </w:rPr>
        <w:t xml:space="preserve"> (18 avril 2023), </w:t>
      </w:r>
      <w:hyperlink r:id="rId98" w:history="1">
        <w:r w:rsidRPr="00803037">
          <w:rPr>
            <w:rStyle w:val="Hyperlink"/>
            <w:lang w:val="fr-FR"/>
          </w:rPr>
          <w:t>CCT/37</w:t>
        </w:r>
      </w:hyperlink>
      <w:r w:rsidRPr="00803037">
        <w:rPr>
          <w:lang w:val="fr-FR"/>
        </w:rPr>
        <w:t xml:space="preserve"> (26 septembre 2023), </w:t>
      </w:r>
      <w:hyperlink r:id="rId99" w:history="1">
        <w:r w:rsidRPr="00803037">
          <w:rPr>
            <w:rStyle w:val="Hyperlink"/>
            <w:lang w:val="fr-FR"/>
          </w:rPr>
          <w:t>CCT/60</w:t>
        </w:r>
      </w:hyperlink>
      <w:r w:rsidRPr="00803037">
        <w:rPr>
          <w:lang w:val="fr-FR"/>
        </w:rPr>
        <w:t xml:space="preserve"> (16 avril 2024), </w:t>
      </w:r>
      <w:hyperlink r:id="rId100" w:history="1">
        <w:r w:rsidRPr="00803037">
          <w:rPr>
            <w:rStyle w:val="Hyperlink"/>
            <w:lang w:val="fr-FR"/>
          </w:rPr>
          <w:t>CCT/73</w:t>
        </w:r>
      </w:hyperlink>
      <w:r w:rsidRPr="00803037">
        <w:rPr>
          <w:lang w:val="fr-FR"/>
        </w:rPr>
        <w:t xml:space="preserve"> (25 juin 2024), </w:t>
      </w:r>
      <w:hyperlink r:id="rId101" w:history="1">
        <w:r w:rsidRPr="00803037">
          <w:rPr>
            <w:rStyle w:val="Hyperlink"/>
            <w:lang w:val="fr-FR"/>
          </w:rPr>
          <w:t>CCT/87</w:t>
        </w:r>
      </w:hyperlink>
      <w:r w:rsidRPr="00803037">
        <w:rPr>
          <w:lang w:val="fr-FR"/>
        </w:rPr>
        <w:t xml:space="preserve"> (17 septembre 2024), </w:t>
      </w:r>
      <w:hyperlink r:id="rId102" w:history="1">
        <w:r w:rsidRPr="00803037">
          <w:rPr>
            <w:rStyle w:val="Hyperlink"/>
            <w:lang w:val="fr-FR"/>
          </w:rPr>
          <w:t>CCT/97</w:t>
        </w:r>
      </w:hyperlink>
      <w:r w:rsidRPr="00803037">
        <w:rPr>
          <w:lang w:val="fr-FR"/>
        </w:rPr>
        <w:t xml:space="preserve"> (10 décembre 2024), </w:t>
      </w:r>
      <w:hyperlink r:id="rId103" w:history="1">
        <w:r w:rsidRPr="00803037">
          <w:rPr>
            <w:rStyle w:val="Hyperlink"/>
            <w:lang w:val="fr-FR"/>
          </w:rPr>
          <w:t>CCT/110</w:t>
        </w:r>
      </w:hyperlink>
      <w:r w:rsidRPr="00803037">
        <w:rPr>
          <w:lang w:val="fr-FR"/>
        </w:rPr>
        <w:t xml:space="preserve"> (30 janvier 2025), </w:t>
      </w:r>
      <w:hyperlink r:id="rId104" w:history="1">
        <w:r w:rsidRPr="00803037">
          <w:rPr>
            <w:rStyle w:val="Hyperlink"/>
            <w:lang w:val="fr-FR"/>
          </w:rPr>
          <w:t>CCT/137</w:t>
        </w:r>
      </w:hyperlink>
      <w:r w:rsidRPr="00803037">
        <w:rPr>
          <w:lang w:val="fr-FR"/>
        </w:rPr>
        <w:t xml:space="preserve"> (11 mars 2025).</w:t>
      </w:r>
    </w:p>
    <w:p w14:paraId="6F72D778" w14:textId="77777777" w:rsidR="000B3E0D" w:rsidRPr="00803037" w:rsidRDefault="000B3E0D" w:rsidP="000B3E0D">
      <w:pPr>
        <w:pStyle w:val="enumlev1"/>
        <w:rPr>
          <w:lang w:val="fr-FR"/>
        </w:rPr>
      </w:pPr>
      <w:r w:rsidRPr="00803037">
        <w:rPr>
          <w:lang w:val="fr-FR"/>
        </w:rPr>
        <w:t>–</w:t>
      </w:r>
      <w:r w:rsidRPr="00803037">
        <w:rPr>
          <w:lang w:val="fr-FR"/>
        </w:rPr>
        <w:tab/>
        <w:t xml:space="preserve">Rapports du Coordonnateur: </w:t>
      </w:r>
      <w:hyperlink r:id="rId105" w:history="1">
        <w:r w:rsidRPr="00803037">
          <w:rPr>
            <w:rStyle w:val="Hyperlink"/>
            <w:lang w:val="fr-FR"/>
          </w:rPr>
          <w:t>2/159</w:t>
        </w:r>
      </w:hyperlink>
      <w:r w:rsidRPr="00803037">
        <w:rPr>
          <w:lang w:val="fr-FR"/>
        </w:rPr>
        <w:t xml:space="preserve"> (2023), </w:t>
      </w:r>
      <w:hyperlink r:id="rId106" w:history="1">
        <w:r w:rsidRPr="00803037">
          <w:rPr>
            <w:rStyle w:val="Hyperlink"/>
            <w:lang w:val="fr-FR"/>
          </w:rPr>
          <w:t>2/286</w:t>
        </w:r>
      </w:hyperlink>
      <w:r w:rsidRPr="00803037">
        <w:rPr>
          <w:lang w:val="fr-FR"/>
        </w:rPr>
        <w:t xml:space="preserve"> (2024), </w:t>
      </w:r>
      <w:hyperlink r:id="rId107" w:history="1">
        <w:r w:rsidRPr="00803037">
          <w:rPr>
            <w:rStyle w:val="Hyperlink"/>
            <w:lang w:val="fr-FR"/>
          </w:rPr>
          <w:t>2/372</w:t>
        </w:r>
      </w:hyperlink>
      <w:r w:rsidRPr="00803037">
        <w:rPr>
          <w:lang w:val="fr-FR"/>
        </w:rPr>
        <w:t xml:space="preserve"> (2025).</w:t>
      </w:r>
    </w:p>
    <w:p w14:paraId="23C10DBB" w14:textId="455BC28F" w:rsidR="000B3E0D" w:rsidRPr="00803037" w:rsidRDefault="000B3E0D" w:rsidP="009330BA">
      <w:pPr>
        <w:pStyle w:val="Headingb"/>
        <w:rPr>
          <w:lang w:val="fr-FR"/>
        </w:rPr>
      </w:pPr>
      <w:r w:rsidRPr="00803037">
        <w:rPr>
          <w:lang w:val="fr-FR"/>
        </w:rPr>
        <w:lastRenderedPageBreak/>
        <w:t xml:space="preserve">Groupe </w:t>
      </w:r>
      <w:r w:rsidR="0089542D" w:rsidRPr="00803037">
        <w:rPr>
          <w:lang w:val="fr-FR"/>
        </w:rPr>
        <w:t>d'</w:t>
      </w:r>
      <w:r w:rsidRPr="00803037">
        <w:rPr>
          <w:lang w:val="fr-FR"/>
        </w:rPr>
        <w:t xml:space="preserve">experts sur les indicateurs relatifs à </w:t>
      </w:r>
      <w:r w:rsidR="0089542D" w:rsidRPr="00803037">
        <w:rPr>
          <w:lang w:val="fr-FR"/>
        </w:rPr>
        <w:t>l'</w:t>
      </w:r>
      <w:r w:rsidRPr="00803037">
        <w:rPr>
          <w:lang w:val="fr-FR"/>
        </w:rPr>
        <w:t xml:space="preserve">utilisation des TIC par les ménages et Groupe </w:t>
      </w:r>
      <w:r w:rsidR="0089542D" w:rsidRPr="00803037">
        <w:rPr>
          <w:lang w:val="fr-FR"/>
        </w:rPr>
        <w:t>d'</w:t>
      </w:r>
      <w:r w:rsidRPr="00803037">
        <w:rPr>
          <w:lang w:val="fr-FR"/>
        </w:rPr>
        <w:t>experts sur les indicateurs des télécommunications/TIC</w:t>
      </w:r>
    </w:p>
    <w:p w14:paraId="40389194" w14:textId="254C3EF6" w:rsidR="000B3E0D" w:rsidRPr="00803037" w:rsidRDefault="000B3E0D" w:rsidP="009330BA">
      <w:pPr>
        <w:rPr>
          <w:lang w:val="fr-FR"/>
        </w:rPr>
      </w:pPr>
      <w:r w:rsidRPr="00803037">
        <w:rPr>
          <w:lang w:val="fr-FR"/>
        </w:rPr>
        <w:t xml:space="preserve">En application de la Résolution 131 (Rév. Bucarest, 2018) de la Conférence de plénipotentiaires (PP) intitulée "Mesurer les technologies de </w:t>
      </w:r>
      <w:r w:rsidR="0089542D" w:rsidRPr="00803037">
        <w:rPr>
          <w:lang w:val="fr-FR"/>
        </w:rPr>
        <w:t>l'</w:t>
      </w:r>
      <w:r w:rsidRPr="00803037">
        <w:rPr>
          <w:lang w:val="fr-FR"/>
        </w:rPr>
        <w:t xml:space="preserve">information et de la communication pour édifier une société de </w:t>
      </w:r>
      <w:r w:rsidR="0089542D" w:rsidRPr="00803037">
        <w:rPr>
          <w:lang w:val="fr-FR"/>
        </w:rPr>
        <w:t>l'</w:t>
      </w:r>
      <w:r w:rsidRPr="00803037">
        <w:rPr>
          <w:lang w:val="fr-FR"/>
        </w:rPr>
        <w:t xml:space="preserve">information inclusive et qui facilite </w:t>
      </w:r>
      <w:r w:rsidR="0089542D" w:rsidRPr="00803037">
        <w:rPr>
          <w:lang w:val="fr-FR"/>
        </w:rPr>
        <w:t>l'</w:t>
      </w:r>
      <w:r w:rsidRPr="00803037">
        <w:rPr>
          <w:lang w:val="fr-FR"/>
        </w:rPr>
        <w:t xml:space="preserve">intégration", ainsi que de la Résolution 8 (Rév. Kigali, 2022) de la CMDT intitulée "Collecte et diffusion </w:t>
      </w:r>
      <w:r w:rsidR="0089542D" w:rsidRPr="00803037">
        <w:rPr>
          <w:lang w:val="fr-FR"/>
        </w:rPr>
        <w:t>d'</w:t>
      </w:r>
      <w:r w:rsidRPr="00803037">
        <w:rPr>
          <w:lang w:val="fr-FR"/>
        </w:rPr>
        <w:t xml:space="preserve">informations et de statistiques", la CE 2 a nommé Mme Mina Seonmin Jun (République de Corée), Vice-Présidente, comme Coordonnatrice chargée de trouver des synergies possibles avec les travaux statistiques de </w:t>
      </w:r>
      <w:r w:rsidR="0089542D" w:rsidRPr="00803037">
        <w:rPr>
          <w:lang w:val="fr-FR"/>
        </w:rPr>
        <w:t>l'</w:t>
      </w:r>
      <w:r w:rsidRPr="00803037">
        <w:rPr>
          <w:lang w:val="fr-FR"/>
        </w:rPr>
        <w:t xml:space="preserve">UIT-D, notamment ceux du Groupe </w:t>
      </w:r>
      <w:r w:rsidR="0089542D" w:rsidRPr="00803037">
        <w:rPr>
          <w:lang w:val="fr-FR"/>
        </w:rPr>
        <w:t>d'</w:t>
      </w:r>
      <w:r w:rsidRPr="00803037">
        <w:rPr>
          <w:lang w:val="fr-FR"/>
        </w:rPr>
        <w:t xml:space="preserve">experts sur les indicateurs relatifs à </w:t>
      </w:r>
      <w:r w:rsidR="0089542D" w:rsidRPr="00803037">
        <w:rPr>
          <w:lang w:val="fr-FR"/>
        </w:rPr>
        <w:t>l'</w:t>
      </w:r>
      <w:r w:rsidRPr="00803037">
        <w:rPr>
          <w:lang w:val="fr-FR"/>
        </w:rPr>
        <w:t xml:space="preserve">utilisation des TIC par les ménages (EGH) et du Groupe </w:t>
      </w:r>
      <w:r w:rsidR="0089542D" w:rsidRPr="00803037">
        <w:rPr>
          <w:lang w:val="fr-FR"/>
        </w:rPr>
        <w:t>d'</w:t>
      </w:r>
      <w:r w:rsidRPr="00803037">
        <w:rPr>
          <w:lang w:val="fr-FR"/>
        </w:rPr>
        <w:t>experts sur les indicateurs des télécommunications/TIC (EGTI).</w:t>
      </w:r>
    </w:p>
    <w:p w14:paraId="5535C204" w14:textId="290D39E9" w:rsidR="000B3E0D" w:rsidRPr="00803037" w:rsidRDefault="000B3E0D" w:rsidP="000B3E0D">
      <w:pPr>
        <w:rPr>
          <w:lang w:val="fr-FR"/>
        </w:rPr>
      </w:pPr>
      <w:r w:rsidRPr="00803037">
        <w:rPr>
          <w:lang w:val="fr-FR"/>
        </w:rPr>
        <w:t xml:space="preserve">La </w:t>
      </w:r>
      <w:r w:rsidR="00556E24" w:rsidRPr="00803037">
        <w:rPr>
          <w:lang w:val="fr-FR"/>
        </w:rPr>
        <w:t>c</w:t>
      </w:r>
      <w:r w:rsidRPr="00803037">
        <w:rPr>
          <w:lang w:val="fr-FR"/>
        </w:rPr>
        <w:t xml:space="preserve">oordonnatrice a informé régulièrement la CE 2 sur </w:t>
      </w:r>
      <w:r w:rsidR="0089542D" w:rsidRPr="00803037">
        <w:rPr>
          <w:lang w:val="fr-FR"/>
        </w:rPr>
        <w:t>l'</w:t>
      </w:r>
      <w:r w:rsidRPr="00803037">
        <w:rPr>
          <w:lang w:val="fr-FR"/>
        </w:rPr>
        <w:t xml:space="preserve">état </w:t>
      </w:r>
      <w:r w:rsidR="0089542D" w:rsidRPr="00803037">
        <w:rPr>
          <w:lang w:val="fr-FR"/>
        </w:rPr>
        <w:t>d'</w:t>
      </w:r>
      <w:r w:rsidRPr="00803037">
        <w:rPr>
          <w:lang w:val="fr-FR"/>
        </w:rPr>
        <w:t xml:space="preserve">avancement des travaux et sur les activités connexes. La Commission </w:t>
      </w:r>
      <w:r w:rsidR="0089542D" w:rsidRPr="00803037">
        <w:rPr>
          <w:lang w:val="fr-FR"/>
        </w:rPr>
        <w:t>d'</w:t>
      </w:r>
      <w:r w:rsidRPr="00803037">
        <w:rPr>
          <w:lang w:val="fr-FR"/>
        </w:rPr>
        <w:t xml:space="preserve">études a relevé plusieurs sujets </w:t>
      </w:r>
      <w:r w:rsidR="0089542D" w:rsidRPr="00803037">
        <w:rPr>
          <w:lang w:val="fr-FR"/>
        </w:rPr>
        <w:t>d'</w:t>
      </w:r>
      <w:r w:rsidRPr="00803037">
        <w:rPr>
          <w:lang w:val="fr-FR"/>
        </w:rPr>
        <w:t xml:space="preserve">intérêt pour ses Questions à </w:t>
      </w:r>
      <w:r w:rsidR="0089542D" w:rsidRPr="00803037">
        <w:rPr>
          <w:lang w:val="fr-FR"/>
        </w:rPr>
        <w:t>l'</w:t>
      </w:r>
      <w:r w:rsidRPr="00803037">
        <w:rPr>
          <w:lang w:val="fr-FR"/>
        </w:rPr>
        <w:t xml:space="preserve">étude, tels que la mesure des compétences dans le domaine des TIC, les OTT et les déchets </w:t>
      </w:r>
      <w:r w:rsidR="0089542D" w:rsidRPr="00803037">
        <w:rPr>
          <w:lang w:val="fr-FR"/>
        </w:rPr>
        <w:t>d'</w:t>
      </w:r>
      <w:r w:rsidRPr="00803037">
        <w:rPr>
          <w:lang w:val="fr-FR"/>
        </w:rPr>
        <w:t xml:space="preserve">équipements électriques et électroniques, ainsi que la création </w:t>
      </w:r>
      <w:r w:rsidR="0089542D" w:rsidRPr="00803037">
        <w:rPr>
          <w:lang w:val="fr-FR"/>
        </w:rPr>
        <w:t>d'</w:t>
      </w:r>
      <w:r w:rsidRPr="00803037">
        <w:rPr>
          <w:lang w:val="fr-FR"/>
        </w:rPr>
        <w:t xml:space="preserve">un nouveau sous-groupe sur la mesure de </w:t>
      </w:r>
      <w:r w:rsidR="0089542D" w:rsidRPr="00803037">
        <w:rPr>
          <w:lang w:val="fr-FR"/>
        </w:rPr>
        <w:t>l'</w:t>
      </w:r>
      <w:r w:rsidRPr="00803037">
        <w:rPr>
          <w:lang w:val="fr-FR"/>
        </w:rPr>
        <w:t xml:space="preserve">utilisation de </w:t>
      </w:r>
      <w:r w:rsidR="0089542D" w:rsidRPr="00803037">
        <w:rPr>
          <w:lang w:val="fr-FR"/>
        </w:rPr>
        <w:t>l'</w:t>
      </w:r>
      <w:r w:rsidRPr="00803037">
        <w:rPr>
          <w:lang w:val="fr-FR"/>
        </w:rPr>
        <w:t xml:space="preserve">IA au moyen </w:t>
      </w:r>
      <w:r w:rsidR="0089542D" w:rsidRPr="00803037">
        <w:rPr>
          <w:lang w:val="fr-FR"/>
        </w:rPr>
        <w:t>d'</w:t>
      </w:r>
      <w:r w:rsidRPr="00803037">
        <w:rPr>
          <w:lang w:val="fr-FR"/>
        </w:rPr>
        <w:t>enquêtes auprès des ménages. Par ailleurs, la CE 2 a régulièrement reçu des informations du BDT sur ses projets en cours et ses publications. Celles-ci ont été prises en compte et, au besoin, ont été intégrées aux études en cours.</w:t>
      </w:r>
    </w:p>
    <w:p w14:paraId="0A60F8D6" w14:textId="77777777" w:rsidR="000B3E0D" w:rsidRPr="00803037" w:rsidRDefault="000B3E0D" w:rsidP="000B3E0D">
      <w:pPr>
        <w:rPr>
          <w:lang w:val="fr-FR"/>
        </w:rPr>
      </w:pPr>
      <w:r w:rsidRPr="00803037">
        <w:rPr>
          <w:lang w:val="fr-FR"/>
        </w:rPr>
        <w:t>Pour de plus amples informations:</w:t>
      </w:r>
    </w:p>
    <w:p w14:paraId="4536D400" w14:textId="7AA91748" w:rsidR="000B3E0D" w:rsidRPr="00803037" w:rsidRDefault="000B3E0D" w:rsidP="000B3E0D">
      <w:pPr>
        <w:pStyle w:val="enumlev1"/>
        <w:rPr>
          <w:lang w:val="fr-FR"/>
        </w:rPr>
      </w:pPr>
      <w:r w:rsidRPr="00803037">
        <w:rPr>
          <w:lang w:val="fr-FR"/>
        </w:rPr>
        <w:t>–</w:t>
      </w:r>
      <w:r w:rsidRPr="00803037">
        <w:rPr>
          <w:lang w:val="fr-FR"/>
        </w:rPr>
        <w:tab/>
        <w:t xml:space="preserve">Rapports du </w:t>
      </w:r>
      <w:r w:rsidR="00E23CDB" w:rsidRPr="00803037">
        <w:rPr>
          <w:lang w:val="fr-FR"/>
        </w:rPr>
        <w:t>C</w:t>
      </w:r>
      <w:r w:rsidRPr="00803037">
        <w:rPr>
          <w:lang w:val="fr-FR"/>
        </w:rPr>
        <w:t xml:space="preserve">oordonnateur: </w:t>
      </w:r>
      <w:hyperlink r:id="rId108" w:history="1">
        <w:r w:rsidRPr="00803037">
          <w:rPr>
            <w:rStyle w:val="Hyperlink"/>
            <w:lang w:val="fr-FR"/>
          </w:rPr>
          <w:t>2/174</w:t>
        </w:r>
      </w:hyperlink>
      <w:r w:rsidRPr="00803037">
        <w:rPr>
          <w:lang w:val="fr-FR"/>
        </w:rPr>
        <w:t xml:space="preserve"> (2023), </w:t>
      </w:r>
      <w:hyperlink r:id="rId109" w:history="1">
        <w:r w:rsidRPr="00803037">
          <w:rPr>
            <w:rStyle w:val="Hyperlink"/>
            <w:lang w:val="fr-FR"/>
          </w:rPr>
          <w:t>2/323</w:t>
        </w:r>
      </w:hyperlink>
      <w:r w:rsidRPr="00803037">
        <w:rPr>
          <w:lang w:val="fr-FR"/>
        </w:rPr>
        <w:t xml:space="preserve"> (2024).</w:t>
      </w:r>
    </w:p>
    <w:p w14:paraId="636FEEEC" w14:textId="77777777" w:rsidR="000B3E0D" w:rsidRPr="00803037" w:rsidRDefault="000B3E0D" w:rsidP="000B3E0D">
      <w:pPr>
        <w:pStyle w:val="enumlev1"/>
        <w:rPr>
          <w:lang w:val="fr-FR"/>
        </w:rPr>
      </w:pPr>
      <w:r w:rsidRPr="00803037">
        <w:rPr>
          <w:lang w:val="fr-FR"/>
        </w:rPr>
        <w:t>–</w:t>
      </w:r>
      <w:r w:rsidRPr="00803037">
        <w:rPr>
          <w:lang w:val="fr-FR"/>
        </w:rPr>
        <w:tab/>
        <w:t xml:space="preserve">Contributions du BDT: </w:t>
      </w:r>
      <w:hyperlink r:id="rId110" w:history="1">
        <w:r w:rsidRPr="00803037">
          <w:rPr>
            <w:rStyle w:val="Hyperlink"/>
            <w:lang w:val="fr-FR"/>
          </w:rPr>
          <w:t>2/57</w:t>
        </w:r>
      </w:hyperlink>
      <w:r w:rsidRPr="00803037">
        <w:rPr>
          <w:lang w:val="fr-FR"/>
        </w:rPr>
        <w:t xml:space="preserve"> (2022), </w:t>
      </w:r>
      <w:hyperlink r:id="rId111" w:history="1">
        <w:r w:rsidRPr="00803037">
          <w:rPr>
            <w:rStyle w:val="Hyperlink"/>
            <w:lang w:val="fr-FR"/>
          </w:rPr>
          <w:t>2/168</w:t>
        </w:r>
      </w:hyperlink>
      <w:r w:rsidRPr="00803037">
        <w:rPr>
          <w:lang w:val="fr-FR"/>
        </w:rPr>
        <w:t xml:space="preserve"> (2023), </w:t>
      </w:r>
      <w:hyperlink r:id="rId112" w:history="1">
        <w:r w:rsidRPr="00803037">
          <w:rPr>
            <w:rStyle w:val="Hyperlink"/>
            <w:lang w:val="fr-FR"/>
          </w:rPr>
          <w:t>2/292</w:t>
        </w:r>
      </w:hyperlink>
      <w:r w:rsidRPr="00803037">
        <w:rPr>
          <w:lang w:val="fr-FR"/>
        </w:rPr>
        <w:t xml:space="preserve"> (2024).</w:t>
      </w:r>
    </w:p>
    <w:p w14:paraId="582DB54A" w14:textId="77777777" w:rsidR="000B3E0D" w:rsidRPr="00803037" w:rsidRDefault="000B3E0D" w:rsidP="000B3E0D">
      <w:pPr>
        <w:pStyle w:val="Headingb"/>
        <w:rPr>
          <w:lang w:val="fr-FR"/>
        </w:rPr>
      </w:pPr>
      <w:r w:rsidRPr="00803037">
        <w:rPr>
          <w:lang w:val="fr-FR"/>
        </w:rPr>
        <w:t>Synergies avec les projets du BDT</w:t>
      </w:r>
    </w:p>
    <w:p w14:paraId="6C90C4C0" w14:textId="7AEF74A1" w:rsidR="000B3E0D" w:rsidRPr="00803037" w:rsidRDefault="000B3E0D" w:rsidP="000B3E0D">
      <w:pPr>
        <w:rPr>
          <w:lang w:val="fr-FR"/>
        </w:rPr>
      </w:pPr>
      <w:r w:rsidRPr="00803037">
        <w:rPr>
          <w:lang w:val="fr-FR"/>
        </w:rPr>
        <w:t xml:space="preserve">Afin de renforcer les synergies entre les commissions </w:t>
      </w:r>
      <w:r w:rsidR="0089542D" w:rsidRPr="00803037">
        <w:rPr>
          <w:lang w:val="fr-FR"/>
        </w:rPr>
        <w:t>d'</w:t>
      </w:r>
      <w:r w:rsidRPr="00803037">
        <w:rPr>
          <w:lang w:val="fr-FR"/>
        </w:rPr>
        <w:t xml:space="preserve">études et les initiatives du BDT, la CE 2 a désigné Mme Zainab Ardo (Nigéria) et M. Mushfig Guluyev (Azerbaïdjan), Vice-Présidents, comme Coordonnateurs pour les synergies entre les Questions à </w:t>
      </w:r>
      <w:r w:rsidR="0089542D" w:rsidRPr="00803037">
        <w:rPr>
          <w:lang w:val="fr-FR"/>
        </w:rPr>
        <w:t>l'</w:t>
      </w:r>
      <w:r w:rsidRPr="00803037">
        <w:rPr>
          <w:lang w:val="fr-FR"/>
        </w:rPr>
        <w:t xml:space="preserve">étude et les activités de </w:t>
      </w:r>
      <w:r w:rsidR="0089542D" w:rsidRPr="00803037">
        <w:rPr>
          <w:lang w:val="fr-FR"/>
        </w:rPr>
        <w:t>l'</w:t>
      </w:r>
      <w:r w:rsidRPr="00803037">
        <w:rPr>
          <w:lang w:val="fr-FR"/>
        </w:rPr>
        <w:t>UIT, notamment les projets du BDT.</w:t>
      </w:r>
    </w:p>
    <w:p w14:paraId="08D8F709" w14:textId="77777777" w:rsidR="000B3E0D" w:rsidRPr="00803037" w:rsidRDefault="000B3E0D" w:rsidP="000B3E0D">
      <w:pPr>
        <w:rPr>
          <w:lang w:val="fr-FR"/>
        </w:rPr>
      </w:pPr>
      <w:r w:rsidRPr="00803037">
        <w:rPr>
          <w:lang w:val="fr-FR"/>
        </w:rPr>
        <w:t>Les activités suivantes ont été menées dans cette optique:</w:t>
      </w:r>
    </w:p>
    <w:p w14:paraId="0689BC5C" w14:textId="6DDB70A2" w:rsidR="000B3E0D" w:rsidRPr="00803037" w:rsidRDefault="000B3E0D" w:rsidP="000B3E0D">
      <w:pPr>
        <w:pStyle w:val="enumlev1"/>
        <w:rPr>
          <w:lang w:val="fr-FR"/>
        </w:rPr>
      </w:pPr>
      <w:r w:rsidRPr="00803037">
        <w:rPr>
          <w:lang w:val="fr-FR"/>
        </w:rPr>
        <w:t>–</w:t>
      </w:r>
      <w:r w:rsidRPr="00803037">
        <w:rPr>
          <w:lang w:val="fr-FR"/>
        </w:rPr>
        <w:tab/>
        <w:t xml:space="preserve">Le BDT a fréquemment tenu la CE 2 informée de </w:t>
      </w:r>
      <w:r w:rsidR="0089542D" w:rsidRPr="00803037">
        <w:rPr>
          <w:lang w:val="fr-FR"/>
        </w:rPr>
        <w:t>l'</w:t>
      </w:r>
      <w:r w:rsidRPr="00803037">
        <w:rPr>
          <w:lang w:val="fr-FR"/>
        </w:rPr>
        <w:t xml:space="preserve">état </w:t>
      </w:r>
      <w:r w:rsidR="0089542D" w:rsidRPr="00803037">
        <w:rPr>
          <w:lang w:val="fr-FR"/>
        </w:rPr>
        <w:t>d'</w:t>
      </w:r>
      <w:r w:rsidRPr="00803037">
        <w:rPr>
          <w:lang w:val="fr-FR"/>
        </w:rPr>
        <w:t xml:space="preserve">avancement de ses projets et de la mise en place </w:t>
      </w:r>
      <w:r w:rsidR="0089542D" w:rsidRPr="00803037">
        <w:rPr>
          <w:lang w:val="fr-FR"/>
        </w:rPr>
        <w:t>d'</w:t>
      </w:r>
      <w:r w:rsidRPr="00803037">
        <w:rPr>
          <w:lang w:val="fr-FR"/>
        </w:rPr>
        <w:t xml:space="preserve">un tableau de bord de suivi des projets. Les contributions comprenaient également une correspondance entre ces projets et les Questions à </w:t>
      </w:r>
      <w:r w:rsidR="0089542D" w:rsidRPr="00803037">
        <w:rPr>
          <w:lang w:val="fr-FR"/>
        </w:rPr>
        <w:t>l'</w:t>
      </w:r>
      <w:r w:rsidRPr="00803037">
        <w:rPr>
          <w:lang w:val="fr-FR"/>
        </w:rPr>
        <w:t>étude, ce qui a simplifié la sélection des projets pertinents pour les études en cours.</w:t>
      </w:r>
    </w:p>
    <w:p w14:paraId="6D0BCFB7" w14:textId="4F3EF286" w:rsidR="000B3E0D" w:rsidRPr="00803037" w:rsidRDefault="000B3E0D" w:rsidP="000B3E0D">
      <w:pPr>
        <w:pStyle w:val="enumlev1"/>
        <w:rPr>
          <w:lang w:val="fr-FR"/>
        </w:rPr>
      </w:pPr>
      <w:r w:rsidRPr="00803037">
        <w:rPr>
          <w:lang w:val="fr-FR"/>
        </w:rPr>
        <w:t>–</w:t>
      </w:r>
      <w:r w:rsidRPr="00803037">
        <w:rPr>
          <w:lang w:val="fr-FR"/>
        </w:rPr>
        <w:tab/>
        <w:t xml:space="preserve">La CE 2 a organisé une séance </w:t>
      </w:r>
      <w:r w:rsidR="0089542D" w:rsidRPr="00803037">
        <w:rPr>
          <w:lang w:val="fr-FR"/>
        </w:rPr>
        <w:t>d'</w:t>
      </w:r>
      <w:r w:rsidRPr="00803037">
        <w:rPr>
          <w:lang w:val="fr-FR"/>
        </w:rPr>
        <w:t xml:space="preserve">information sur les projets du BDT en faveur de la transformation numérique, présidée par les deux Coordonnateurs de la CE 2, qui a permis de présenter de manière plus détaillée certains projets de </w:t>
      </w:r>
      <w:r w:rsidR="0089542D" w:rsidRPr="00803037">
        <w:rPr>
          <w:lang w:val="fr-FR"/>
        </w:rPr>
        <w:t>l'</w:t>
      </w:r>
      <w:r w:rsidRPr="00803037">
        <w:rPr>
          <w:lang w:val="fr-FR"/>
        </w:rPr>
        <w:t>UIT relatifs à la transformation numérique et leurs incidences sur le terrain.</w:t>
      </w:r>
    </w:p>
    <w:p w14:paraId="792C8574" w14:textId="05B8A7A2" w:rsidR="000B3E0D" w:rsidRPr="00803037" w:rsidRDefault="000B3E0D" w:rsidP="000B3E0D">
      <w:pPr>
        <w:rPr>
          <w:lang w:val="fr-FR"/>
        </w:rPr>
      </w:pPr>
      <w:r w:rsidRPr="00803037">
        <w:rPr>
          <w:lang w:val="fr-FR"/>
        </w:rPr>
        <w:t xml:space="preserve">Ces initiatives ont été largement appréciées par les membres, et les équipes de direction des Groupes du Rapporteur ont tenu compte de ces projets et de leurs liens avec les Questions à </w:t>
      </w:r>
      <w:r w:rsidR="0089542D" w:rsidRPr="00803037">
        <w:rPr>
          <w:lang w:val="fr-FR"/>
        </w:rPr>
        <w:t>l'</w:t>
      </w:r>
      <w:r w:rsidRPr="00803037">
        <w:rPr>
          <w:lang w:val="fr-FR"/>
        </w:rPr>
        <w:t>étude pour les inclure dans leurs études.</w:t>
      </w:r>
    </w:p>
    <w:p w14:paraId="3C08BB96" w14:textId="77777777" w:rsidR="000B3E0D" w:rsidRPr="00803037" w:rsidRDefault="000B3E0D" w:rsidP="000B3E0D">
      <w:pPr>
        <w:rPr>
          <w:lang w:val="fr-FR"/>
        </w:rPr>
      </w:pPr>
      <w:r w:rsidRPr="00803037">
        <w:rPr>
          <w:lang w:val="fr-FR"/>
        </w:rPr>
        <w:t>Pour de plus amples informations:</w:t>
      </w:r>
    </w:p>
    <w:p w14:paraId="36113A7E" w14:textId="77777777" w:rsidR="000B3E0D" w:rsidRPr="00803037" w:rsidRDefault="000B3E0D" w:rsidP="000B3E0D">
      <w:pPr>
        <w:pStyle w:val="enumlev1"/>
        <w:rPr>
          <w:lang w:val="fr-FR"/>
        </w:rPr>
      </w:pPr>
      <w:r w:rsidRPr="00803037">
        <w:rPr>
          <w:lang w:val="fr-FR"/>
        </w:rPr>
        <w:t>–</w:t>
      </w:r>
      <w:r w:rsidRPr="00803037">
        <w:rPr>
          <w:lang w:val="fr-FR"/>
        </w:rPr>
        <w:tab/>
        <w:t xml:space="preserve">Contributions du BDT: </w:t>
      </w:r>
      <w:hyperlink r:id="rId113" w:history="1">
        <w:r w:rsidRPr="00803037">
          <w:rPr>
            <w:rStyle w:val="Hyperlink"/>
            <w:lang w:val="fr-FR"/>
          </w:rPr>
          <w:t>2/61</w:t>
        </w:r>
      </w:hyperlink>
      <w:r w:rsidRPr="00803037">
        <w:rPr>
          <w:lang w:val="fr-FR"/>
        </w:rPr>
        <w:t xml:space="preserve"> (2022), </w:t>
      </w:r>
      <w:hyperlink r:id="rId114" w:history="1">
        <w:r w:rsidRPr="00803037">
          <w:rPr>
            <w:rStyle w:val="Hyperlink"/>
            <w:lang w:val="fr-FR"/>
          </w:rPr>
          <w:t>2/170</w:t>
        </w:r>
      </w:hyperlink>
      <w:r w:rsidRPr="00803037">
        <w:rPr>
          <w:lang w:val="fr-FR"/>
        </w:rPr>
        <w:t xml:space="preserve"> (2023), </w:t>
      </w:r>
      <w:hyperlink r:id="rId115" w:history="1">
        <w:r w:rsidRPr="00803037">
          <w:rPr>
            <w:rStyle w:val="Hyperlink"/>
            <w:lang w:val="fr-FR"/>
          </w:rPr>
          <w:t>2/305</w:t>
        </w:r>
      </w:hyperlink>
      <w:r w:rsidRPr="00803037">
        <w:rPr>
          <w:lang w:val="fr-FR"/>
        </w:rPr>
        <w:t xml:space="preserve"> (2024).</w:t>
      </w:r>
    </w:p>
    <w:p w14:paraId="4DFDB4D0" w14:textId="1ADFBCB4" w:rsidR="000B3E0D" w:rsidRPr="00803037" w:rsidRDefault="000B3E0D" w:rsidP="000B3E0D">
      <w:pPr>
        <w:pStyle w:val="enumlev1"/>
        <w:rPr>
          <w:lang w:val="fr-FR"/>
        </w:rPr>
      </w:pPr>
      <w:r w:rsidRPr="00803037">
        <w:rPr>
          <w:lang w:val="fr-FR"/>
        </w:rPr>
        <w:t>–</w:t>
      </w:r>
      <w:r w:rsidRPr="00803037">
        <w:rPr>
          <w:lang w:val="fr-FR"/>
        </w:rPr>
        <w:tab/>
        <w:t xml:space="preserve">Séance </w:t>
      </w:r>
      <w:r w:rsidR="0089542D" w:rsidRPr="00803037">
        <w:rPr>
          <w:lang w:val="fr-FR"/>
        </w:rPr>
        <w:t>d'</w:t>
      </w:r>
      <w:r w:rsidRPr="00803037">
        <w:rPr>
          <w:lang w:val="fr-FR"/>
        </w:rPr>
        <w:t xml:space="preserve">information sur les projets du BDT en faveur de la transformation numérique: </w:t>
      </w:r>
      <w:hyperlink r:id="rId116" w:history="1">
        <w:r w:rsidRPr="00803037">
          <w:rPr>
            <w:rStyle w:val="Hyperlink"/>
            <w:lang w:val="fr-FR"/>
          </w:rPr>
          <w:t>programme</w:t>
        </w:r>
      </w:hyperlink>
      <w:r w:rsidRPr="00803037">
        <w:rPr>
          <w:lang w:val="fr-FR"/>
        </w:rPr>
        <w:t xml:space="preserve">, </w:t>
      </w:r>
      <w:hyperlink r:id="rId117" w:history="1">
        <w:r w:rsidRPr="00803037">
          <w:rPr>
            <w:rStyle w:val="Hyperlink"/>
            <w:lang w:val="fr-FR"/>
          </w:rPr>
          <w:t>rapport</w:t>
        </w:r>
      </w:hyperlink>
      <w:r w:rsidRPr="00803037">
        <w:rPr>
          <w:lang w:val="fr-FR"/>
        </w:rPr>
        <w:t xml:space="preserve"> (Annexe 6).</w:t>
      </w:r>
    </w:p>
    <w:p w14:paraId="190E5C84" w14:textId="697078FB" w:rsidR="000B3E0D" w:rsidRPr="00803037" w:rsidRDefault="000B3E0D" w:rsidP="007B7854">
      <w:pPr>
        <w:pStyle w:val="Headingb"/>
        <w:rPr>
          <w:lang w:val="fr-FR"/>
        </w:rPr>
      </w:pPr>
      <w:r w:rsidRPr="00803037">
        <w:rPr>
          <w:lang w:val="fr-FR"/>
        </w:rPr>
        <w:lastRenderedPageBreak/>
        <w:t xml:space="preserve">Participation des jeunes et des femmes aux travaux des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UIT-D</w:t>
      </w:r>
    </w:p>
    <w:p w14:paraId="56FFFC55" w14:textId="3F708217" w:rsidR="000B3E0D" w:rsidRPr="00803037" w:rsidRDefault="000B3E0D" w:rsidP="007B7854">
      <w:pPr>
        <w:rPr>
          <w:lang w:val="fr-FR"/>
        </w:rPr>
      </w:pPr>
      <w:r w:rsidRPr="00803037">
        <w:rPr>
          <w:lang w:val="fr-FR"/>
        </w:rPr>
        <w:t xml:space="preserve">Conformément aux Résolutions 55 et 76 (Rév. Kigali, 2022) de la CMDT, et en vue </w:t>
      </w:r>
      <w:r w:rsidR="0089542D" w:rsidRPr="00803037">
        <w:rPr>
          <w:lang w:val="fr-FR"/>
        </w:rPr>
        <w:t>d'</w:t>
      </w:r>
      <w:r w:rsidRPr="00803037">
        <w:rPr>
          <w:lang w:val="fr-FR"/>
        </w:rPr>
        <w:t xml:space="preserve">organiser des réunions de la commission </w:t>
      </w:r>
      <w:r w:rsidR="0089542D" w:rsidRPr="00803037">
        <w:rPr>
          <w:lang w:val="fr-FR"/>
        </w:rPr>
        <w:t>d'</w:t>
      </w:r>
      <w:r w:rsidRPr="00803037">
        <w:rPr>
          <w:lang w:val="fr-FR"/>
        </w:rPr>
        <w:t>étude qui soient inclusives et qui tiennent compte des questions de genre, les membres étaient régulièrement invités à appuyer et à encourager la participation des femmes et des jeunes à leur délégation.</w:t>
      </w:r>
    </w:p>
    <w:p w14:paraId="3580348D" w14:textId="77777777" w:rsidR="000B3E0D" w:rsidRPr="00803037" w:rsidRDefault="000B3E0D" w:rsidP="007B7854">
      <w:pPr>
        <w:rPr>
          <w:lang w:val="fr-FR"/>
        </w:rPr>
      </w:pPr>
      <w:r w:rsidRPr="00803037">
        <w:rPr>
          <w:lang w:val="fr-FR"/>
        </w:rPr>
        <w:t>Pour faciliter leur coopération, la CE 2 a désigné Mme Alina Modan (Roumanie), Vice-Présidente, à laquelle a succédé Mme Madaline Clapon (Roumanie), Vice-Présidente, à partir de 2023, en tant que Coordonnatrice. Les actions suivantes ont notamment été réalisées:</w:t>
      </w:r>
    </w:p>
    <w:p w14:paraId="126CDFBD" w14:textId="39F98DEE" w:rsidR="000B3E0D" w:rsidRPr="00803037" w:rsidRDefault="000B3E0D" w:rsidP="000B3E0D">
      <w:pPr>
        <w:pStyle w:val="enumlev1"/>
        <w:keepNext/>
        <w:keepLines/>
        <w:rPr>
          <w:lang w:val="fr-FR"/>
        </w:rPr>
      </w:pPr>
      <w:r w:rsidRPr="00803037">
        <w:rPr>
          <w:lang w:val="fr-FR"/>
        </w:rPr>
        <w:t>–</w:t>
      </w:r>
      <w:r w:rsidRPr="00803037">
        <w:rPr>
          <w:lang w:val="fr-FR"/>
        </w:rPr>
        <w:tab/>
        <w:t xml:space="preserve">Plusieurs représentants pour la jeunesse de </w:t>
      </w:r>
      <w:r w:rsidR="0089542D" w:rsidRPr="00803037">
        <w:rPr>
          <w:lang w:val="fr-FR"/>
        </w:rPr>
        <w:t>l'</w:t>
      </w:r>
      <w:r w:rsidRPr="00803037">
        <w:rPr>
          <w:lang w:val="fr-FR"/>
        </w:rPr>
        <w:t xml:space="preserve">Initiative Generation Connect ont assisté à la première réunion annuelle de la CE 2 en 2022 en tant que membres des délégations de leurs pays respectifs. Ils ont suivi les discussions et se sont intéressés aux questions </w:t>
      </w:r>
      <w:r w:rsidR="0089542D" w:rsidRPr="00803037">
        <w:rPr>
          <w:lang w:val="fr-FR"/>
        </w:rPr>
        <w:t>d'</w:t>
      </w:r>
      <w:r w:rsidRPr="00803037">
        <w:rPr>
          <w:lang w:val="fr-FR"/>
        </w:rPr>
        <w:t xml:space="preserve">actualité. Ils ont également organisé une manifestation parallèle (discussion intergénérationnelle) pendant la semaine des réunions, au cours de laquelle ils ont eu </w:t>
      </w:r>
      <w:r w:rsidR="0089542D" w:rsidRPr="00803037">
        <w:rPr>
          <w:lang w:val="fr-FR"/>
        </w:rPr>
        <w:t>l'</w:t>
      </w:r>
      <w:r w:rsidRPr="00803037">
        <w:rPr>
          <w:lang w:val="fr-FR"/>
        </w:rPr>
        <w:t xml:space="preserve">occasion de faire part de leurs impressions générales, ainsi que de quelques idées à </w:t>
      </w:r>
      <w:r w:rsidR="0089542D" w:rsidRPr="00803037">
        <w:rPr>
          <w:lang w:val="fr-FR"/>
        </w:rPr>
        <w:t>l'</w:t>
      </w:r>
      <w:r w:rsidRPr="00803037">
        <w:rPr>
          <w:lang w:val="fr-FR"/>
        </w:rPr>
        <w:t>intention des Groupes du Rapporteur.</w:t>
      </w:r>
    </w:p>
    <w:p w14:paraId="75D01951" w14:textId="6786CD9D" w:rsidR="000B3E0D" w:rsidRPr="00803037" w:rsidRDefault="000B3E0D" w:rsidP="000B3E0D">
      <w:pPr>
        <w:pStyle w:val="enumlev1"/>
        <w:rPr>
          <w:lang w:val="fr-FR"/>
        </w:rPr>
      </w:pPr>
      <w:r w:rsidRPr="00803037">
        <w:rPr>
          <w:lang w:val="fr-FR"/>
        </w:rPr>
        <w:t>–</w:t>
      </w:r>
      <w:r w:rsidRPr="00803037">
        <w:rPr>
          <w:lang w:val="fr-FR"/>
        </w:rPr>
        <w:tab/>
        <w:t xml:space="preserve">Un débat informel sur la participation des jeunes et animé par la coordonnatrice a été organisé lors de la deuxième réunion annuelle de la CE 2 en 2023 entre certains jeunes membres et les équipes de direction de la CE 2, afin </w:t>
      </w:r>
      <w:r w:rsidR="0089542D" w:rsidRPr="00803037">
        <w:rPr>
          <w:lang w:val="fr-FR"/>
        </w:rPr>
        <w:t>d'</w:t>
      </w:r>
      <w:r w:rsidRPr="00803037">
        <w:rPr>
          <w:lang w:val="fr-FR"/>
        </w:rPr>
        <w:t xml:space="preserve">étudier comment les jeunes participants pourraient </w:t>
      </w:r>
      <w:r w:rsidR="0089542D" w:rsidRPr="00803037">
        <w:rPr>
          <w:lang w:val="fr-FR"/>
        </w:rPr>
        <w:t>s'</w:t>
      </w:r>
      <w:r w:rsidRPr="00803037">
        <w:rPr>
          <w:lang w:val="fr-FR"/>
        </w:rPr>
        <w:t xml:space="preserve">investir davantage dans les travaux des commissions </w:t>
      </w:r>
      <w:r w:rsidR="0089542D" w:rsidRPr="00803037">
        <w:rPr>
          <w:lang w:val="fr-FR"/>
        </w:rPr>
        <w:t>d'</w:t>
      </w:r>
      <w:r w:rsidRPr="00803037">
        <w:rPr>
          <w:lang w:val="fr-FR"/>
        </w:rPr>
        <w:t xml:space="preserve">études tout en respectant les règles et procédures existantes. Plusieurs idées pratiques ont été étudiées, puis les équipes de direction ont envisagé de les soumettre à un complément </w:t>
      </w:r>
      <w:r w:rsidR="0089542D" w:rsidRPr="00803037">
        <w:rPr>
          <w:lang w:val="fr-FR"/>
        </w:rPr>
        <w:t>d'</w:t>
      </w:r>
      <w:r w:rsidRPr="00803037">
        <w:rPr>
          <w:lang w:val="fr-FR"/>
        </w:rPr>
        <w:t>étude.</w:t>
      </w:r>
    </w:p>
    <w:p w14:paraId="4B683974" w14:textId="5E6A19C4" w:rsidR="000B3E0D" w:rsidRPr="00803037" w:rsidRDefault="000B3E0D" w:rsidP="000B3E0D">
      <w:pPr>
        <w:pStyle w:val="enumlev1"/>
        <w:rPr>
          <w:lang w:val="fr-FR"/>
        </w:rPr>
      </w:pPr>
      <w:r w:rsidRPr="00803037">
        <w:rPr>
          <w:lang w:val="fr-FR"/>
        </w:rPr>
        <w:t>–</w:t>
      </w:r>
      <w:r w:rsidRPr="00803037">
        <w:rPr>
          <w:lang w:val="fr-FR"/>
        </w:rPr>
        <w:tab/>
        <w:t xml:space="preserve">Dans le prolongement de cette discussion informelle, la coordonnatrice a travaillé avec la Division de </w:t>
      </w:r>
      <w:r w:rsidR="0089542D" w:rsidRPr="00803037">
        <w:rPr>
          <w:lang w:val="fr-FR"/>
        </w:rPr>
        <w:t>l'</w:t>
      </w:r>
      <w:r w:rsidRPr="00803037">
        <w:rPr>
          <w:lang w:val="fr-FR"/>
        </w:rPr>
        <w:t xml:space="preserve">inclusion numérique du BDT et les équipes de direction des Groupes du Rapporteur intéressés pour associer trois jeunes à la fonction de modérateur ou </w:t>
      </w:r>
      <w:r w:rsidR="0089542D" w:rsidRPr="00803037">
        <w:rPr>
          <w:lang w:val="fr-FR"/>
        </w:rPr>
        <w:t>d'</w:t>
      </w:r>
      <w:r w:rsidRPr="00803037">
        <w:rPr>
          <w:lang w:val="fr-FR"/>
        </w:rPr>
        <w:t>intervenant lors des ateliers organisés en parallèle des réunions des Groupes du Rapporteur en avril-mai 2024.</w:t>
      </w:r>
    </w:p>
    <w:p w14:paraId="7870E8E2" w14:textId="75D5207A" w:rsidR="000B3E0D" w:rsidRPr="00803037" w:rsidRDefault="000B3E0D" w:rsidP="000B3E0D">
      <w:pPr>
        <w:pStyle w:val="enumlev1"/>
        <w:rPr>
          <w:lang w:val="fr-FR"/>
        </w:rPr>
      </w:pPr>
      <w:r w:rsidRPr="00803037">
        <w:rPr>
          <w:lang w:val="fr-FR"/>
        </w:rPr>
        <w:t>–</w:t>
      </w:r>
      <w:r w:rsidRPr="00803037">
        <w:rPr>
          <w:lang w:val="fr-FR"/>
        </w:rPr>
        <w:tab/>
        <w:t xml:space="preserve">Le BDT et les membres ont régulièrement présenté des contributions contenant des mesures et des propositions visant à promouvoir la participation des jeunes et des femmes, contributions qui ont reçu </w:t>
      </w:r>
      <w:r w:rsidR="0089542D" w:rsidRPr="00803037">
        <w:rPr>
          <w:lang w:val="fr-FR"/>
        </w:rPr>
        <w:t>l'</w:t>
      </w:r>
      <w:r w:rsidRPr="00803037">
        <w:rPr>
          <w:lang w:val="fr-FR"/>
        </w:rPr>
        <w:t>appui des participants à la réunion.</w:t>
      </w:r>
    </w:p>
    <w:p w14:paraId="1EA32CD3" w14:textId="5366F991" w:rsidR="000B3E0D" w:rsidRPr="00803037" w:rsidRDefault="000B3E0D" w:rsidP="000B3E0D">
      <w:pPr>
        <w:rPr>
          <w:lang w:val="fr-FR"/>
        </w:rPr>
      </w:pPr>
      <w:r w:rsidRPr="00803037">
        <w:rPr>
          <w:lang w:val="fr-FR"/>
        </w:rPr>
        <w:t xml:space="preserve">Chacune des activités susmentionnées a ouvert de nouvelles perspectives qui ont facilité les travaux des équipes de direction chargée des Questions à </w:t>
      </w:r>
      <w:r w:rsidR="0089542D" w:rsidRPr="00803037">
        <w:rPr>
          <w:lang w:val="fr-FR"/>
        </w:rPr>
        <w:t>l'</w:t>
      </w:r>
      <w:r w:rsidRPr="00803037">
        <w:rPr>
          <w:lang w:val="fr-FR"/>
        </w:rPr>
        <w:t>étude.</w:t>
      </w:r>
    </w:p>
    <w:p w14:paraId="74FB64E7" w14:textId="77777777" w:rsidR="000B3E0D" w:rsidRPr="00803037" w:rsidRDefault="000B3E0D" w:rsidP="000B3E0D">
      <w:pPr>
        <w:rPr>
          <w:lang w:val="fr-FR"/>
        </w:rPr>
      </w:pPr>
      <w:r w:rsidRPr="00803037">
        <w:rPr>
          <w:lang w:val="fr-FR"/>
        </w:rPr>
        <w:t>Pour de plus amples informations:</w:t>
      </w:r>
    </w:p>
    <w:p w14:paraId="6B5AF258" w14:textId="44CD1662" w:rsidR="000B3E0D" w:rsidRPr="00803037" w:rsidRDefault="000B3E0D" w:rsidP="000B3E0D">
      <w:pPr>
        <w:pStyle w:val="enumlev1"/>
        <w:rPr>
          <w:lang w:val="fr-FR"/>
        </w:rPr>
      </w:pPr>
      <w:r w:rsidRPr="00803037">
        <w:rPr>
          <w:lang w:val="fr-FR"/>
        </w:rPr>
        <w:t>–</w:t>
      </w:r>
      <w:r w:rsidRPr="00803037">
        <w:rPr>
          <w:lang w:val="fr-FR"/>
        </w:rPr>
        <w:tab/>
        <w:t xml:space="preserve">Rapport du </w:t>
      </w:r>
      <w:r w:rsidR="00E23CDB" w:rsidRPr="00803037">
        <w:rPr>
          <w:lang w:val="fr-FR"/>
        </w:rPr>
        <w:t>C</w:t>
      </w:r>
      <w:r w:rsidRPr="00803037">
        <w:rPr>
          <w:lang w:val="fr-FR"/>
        </w:rPr>
        <w:t xml:space="preserve">oordonnateur: </w:t>
      </w:r>
      <w:hyperlink r:id="rId118" w:history="1">
        <w:r w:rsidRPr="00803037">
          <w:rPr>
            <w:rStyle w:val="Hyperlink"/>
            <w:lang w:val="fr-FR"/>
          </w:rPr>
          <w:t>2/288</w:t>
        </w:r>
      </w:hyperlink>
      <w:r w:rsidRPr="00803037">
        <w:rPr>
          <w:lang w:val="fr-FR"/>
        </w:rPr>
        <w:t>.</w:t>
      </w:r>
    </w:p>
    <w:p w14:paraId="1B1000B3" w14:textId="77777777" w:rsidR="000B3E0D" w:rsidRPr="00803037" w:rsidRDefault="000B3E0D" w:rsidP="000B3E0D">
      <w:pPr>
        <w:pStyle w:val="enumlev1"/>
        <w:rPr>
          <w:lang w:val="fr-FR"/>
        </w:rPr>
      </w:pPr>
      <w:r w:rsidRPr="00803037">
        <w:rPr>
          <w:lang w:val="fr-FR"/>
        </w:rPr>
        <w:t>–</w:t>
      </w:r>
      <w:r w:rsidRPr="00803037">
        <w:rPr>
          <w:lang w:val="fr-FR"/>
        </w:rPr>
        <w:tab/>
        <w:t xml:space="preserve">Contributions du BDT: </w:t>
      </w:r>
      <w:hyperlink r:id="rId119" w:history="1">
        <w:r w:rsidRPr="00803037">
          <w:rPr>
            <w:rStyle w:val="Hyperlink"/>
            <w:lang w:val="fr-FR"/>
          </w:rPr>
          <w:t>2/60</w:t>
        </w:r>
      </w:hyperlink>
      <w:r w:rsidRPr="00803037">
        <w:rPr>
          <w:lang w:val="fr-FR"/>
        </w:rPr>
        <w:t xml:space="preserve"> (2022), </w:t>
      </w:r>
      <w:hyperlink r:id="rId120" w:history="1">
        <w:r w:rsidRPr="00803037">
          <w:rPr>
            <w:rStyle w:val="Hyperlink"/>
            <w:lang w:val="fr-FR"/>
          </w:rPr>
          <w:t>2/160</w:t>
        </w:r>
      </w:hyperlink>
      <w:r w:rsidRPr="00803037">
        <w:rPr>
          <w:lang w:val="fr-FR"/>
        </w:rPr>
        <w:t xml:space="preserve"> (2023), </w:t>
      </w:r>
      <w:hyperlink r:id="rId121" w:history="1">
        <w:r w:rsidRPr="00803037">
          <w:rPr>
            <w:rStyle w:val="Hyperlink"/>
            <w:lang w:val="fr-FR"/>
          </w:rPr>
          <w:t>2/178</w:t>
        </w:r>
      </w:hyperlink>
      <w:r w:rsidRPr="00803037">
        <w:rPr>
          <w:lang w:val="fr-FR"/>
        </w:rPr>
        <w:t xml:space="preserve"> (2023).</w:t>
      </w:r>
    </w:p>
    <w:p w14:paraId="4FF787B4" w14:textId="77777777" w:rsidR="000B3E0D" w:rsidRPr="00803037" w:rsidRDefault="000B3E0D" w:rsidP="000B3E0D">
      <w:pPr>
        <w:pStyle w:val="enumlev1"/>
        <w:rPr>
          <w:lang w:val="fr-FR"/>
        </w:rPr>
      </w:pPr>
      <w:r w:rsidRPr="00803037">
        <w:rPr>
          <w:lang w:val="fr-FR"/>
        </w:rPr>
        <w:t>–</w:t>
      </w:r>
      <w:r w:rsidRPr="00803037">
        <w:rPr>
          <w:lang w:val="fr-FR"/>
        </w:rPr>
        <w:tab/>
        <w:t>Contributions des membres aux séances plénières de la CE 2</w:t>
      </w:r>
      <w:r w:rsidRPr="00803037">
        <w:rPr>
          <w:rStyle w:val="FootnoteReference"/>
          <w:lang w:val="fr-FR"/>
        </w:rPr>
        <w:footnoteReference w:id="13"/>
      </w:r>
      <w:r w:rsidRPr="00803037">
        <w:rPr>
          <w:lang w:val="fr-FR"/>
        </w:rPr>
        <w:t xml:space="preserve">: </w:t>
      </w:r>
      <w:hyperlink r:id="rId122" w:history="1">
        <w:r w:rsidRPr="00803037">
          <w:rPr>
            <w:rStyle w:val="Hyperlink"/>
            <w:lang w:val="fr-FR"/>
          </w:rPr>
          <w:t>2/250</w:t>
        </w:r>
      </w:hyperlink>
      <w:r w:rsidRPr="00803037">
        <w:rPr>
          <w:lang w:val="fr-FR"/>
        </w:rPr>
        <w:t xml:space="preserve"> (2024), </w:t>
      </w:r>
      <w:hyperlink r:id="rId123" w:history="1">
        <w:r w:rsidRPr="00803037">
          <w:rPr>
            <w:rStyle w:val="Hyperlink"/>
            <w:lang w:val="fr-FR"/>
          </w:rPr>
          <w:t>2/256</w:t>
        </w:r>
      </w:hyperlink>
      <w:r w:rsidRPr="00803037">
        <w:rPr>
          <w:lang w:val="fr-FR"/>
        </w:rPr>
        <w:t> (2024).</w:t>
      </w:r>
    </w:p>
    <w:p w14:paraId="661DD277" w14:textId="620BF67A" w:rsidR="000B3E0D" w:rsidRPr="00803037" w:rsidRDefault="000B3E0D" w:rsidP="007B7854">
      <w:pPr>
        <w:pStyle w:val="Headingb"/>
        <w:rPr>
          <w:lang w:val="fr-FR"/>
        </w:rPr>
      </w:pPr>
      <w:r w:rsidRPr="00803037">
        <w:rPr>
          <w:lang w:val="fr-FR"/>
        </w:rPr>
        <w:lastRenderedPageBreak/>
        <w:t xml:space="preserve">Collaboration avec le Sommet mondial sur la société de </w:t>
      </w:r>
      <w:r w:rsidR="0089542D" w:rsidRPr="00803037">
        <w:rPr>
          <w:lang w:val="fr-FR"/>
        </w:rPr>
        <w:t>l'</w:t>
      </w:r>
      <w:r w:rsidRPr="00803037">
        <w:rPr>
          <w:lang w:val="fr-FR"/>
        </w:rPr>
        <w:t>information</w:t>
      </w:r>
    </w:p>
    <w:p w14:paraId="21200369" w14:textId="6C6668DF" w:rsidR="000B3E0D" w:rsidRPr="00803037" w:rsidRDefault="000B3E0D" w:rsidP="000B3E0D">
      <w:pPr>
        <w:rPr>
          <w:lang w:val="fr-FR"/>
        </w:rPr>
      </w:pPr>
      <w:r w:rsidRPr="00803037">
        <w:rPr>
          <w:lang w:val="fr-FR"/>
        </w:rPr>
        <w:t xml:space="preserve">Pour garantir une parfaite adéquation entre le processus du Sommet mondial sur la société de </w:t>
      </w:r>
      <w:r w:rsidR="0089542D" w:rsidRPr="00803037">
        <w:rPr>
          <w:lang w:val="fr-FR"/>
        </w:rPr>
        <w:t>l'</w:t>
      </w:r>
      <w:r w:rsidRPr="00803037">
        <w:rPr>
          <w:lang w:val="fr-FR"/>
        </w:rPr>
        <w:t xml:space="preserve">information (SMSI) et le Programme de développement durable à </w:t>
      </w:r>
      <w:r w:rsidR="0089542D" w:rsidRPr="00803037">
        <w:rPr>
          <w:lang w:val="fr-FR"/>
        </w:rPr>
        <w:t>l'</w:t>
      </w:r>
      <w:r w:rsidRPr="00803037">
        <w:rPr>
          <w:lang w:val="fr-FR"/>
        </w:rPr>
        <w:t xml:space="preserve">horizon 2030, tel </w:t>
      </w:r>
      <w:r w:rsidR="0089542D" w:rsidRPr="00803037">
        <w:rPr>
          <w:lang w:val="fr-FR"/>
        </w:rPr>
        <w:t>qu'</w:t>
      </w:r>
      <w:r w:rsidRPr="00803037">
        <w:rPr>
          <w:lang w:val="fr-FR"/>
        </w:rPr>
        <w:t xml:space="preserve">exigé par </w:t>
      </w:r>
      <w:r w:rsidR="0089542D" w:rsidRPr="00803037">
        <w:rPr>
          <w:lang w:val="fr-FR"/>
        </w:rPr>
        <w:t>l'</w:t>
      </w:r>
      <w:r w:rsidRPr="00803037">
        <w:rPr>
          <w:lang w:val="fr-FR"/>
        </w:rPr>
        <w:t>Assemblée générale des Nations Unies lors de sa révision globale du SMSI</w:t>
      </w:r>
      <w:r w:rsidRPr="00803037">
        <w:rPr>
          <w:rStyle w:val="FootnoteReference"/>
          <w:lang w:val="fr-FR"/>
        </w:rPr>
        <w:footnoteReference w:id="14"/>
      </w:r>
      <w:r w:rsidRPr="00803037">
        <w:rPr>
          <w:lang w:val="fr-FR"/>
        </w:rPr>
        <w:t xml:space="preserve">, ainsi que pour donner suite aux suggestions formulées par le Groupe de travail du Conseil sur le SMSI et les Objectifs de développement durable (ODD) (GTC-SMSI&amp;ODD), incitant les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 et le secrétariat du SMSI à collaborer afin </w:t>
      </w:r>
      <w:r w:rsidR="0089542D" w:rsidRPr="00803037">
        <w:rPr>
          <w:lang w:val="fr-FR"/>
        </w:rPr>
        <w:t>d'</w:t>
      </w:r>
      <w:r w:rsidRPr="00803037">
        <w:rPr>
          <w:lang w:val="fr-FR"/>
        </w:rPr>
        <w:t xml:space="preserve">apporter leur contribution respective au SMSI et de favoriser </w:t>
      </w:r>
      <w:r w:rsidR="0089542D" w:rsidRPr="00803037">
        <w:rPr>
          <w:lang w:val="fr-FR"/>
        </w:rPr>
        <w:t>l'</w:t>
      </w:r>
      <w:r w:rsidRPr="00803037">
        <w:rPr>
          <w:lang w:val="fr-FR"/>
        </w:rPr>
        <w:t xml:space="preserve">atteinte des ODD, le secrétariat du SMSI a été régulièrement invité à faire le point sur les manifestations du SMSI et </w:t>
      </w:r>
      <w:r w:rsidR="0089542D" w:rsidRPr="00803037">
        <w:rPr>
          <w:lang w:val="fr-FR"/>
        </w:rPr>
        <w:t>d'</w:t>
      </w:r>
      <w:r w:rsidRPr="00803037">
        <w:rPr>
          <w:lang w:val="fr-FR"/>
        </w:rPr>
        <w:t xml:space="preserve">autres activités, notamment le processus, le Forum, </w:t>
      </w:r>
      <w:r w:rsidR="0089542D" w:rsidRPr="00803037">
        <w:rPr>
          <w:lang w:val="fr-FR"/>
        </w:rPr>
        <w:t>l'</w:t>
      </w:r>
      <w:r w:rsidRPr="00803037">
        <w:rPr>
          <w:lang w:val="fr-FR"/>
        </w:rPr>
        <w:t xml:space="preserve">inventaire et les Prix du SMSI, en se concentrant sur </w:t>
      </w:r>
      <w:r w:rsidR="0089542D" w:rsidRPr="00803037">
        <w:rPr>
          <w:lang w:val="fr-FR"/>
        </w:rPr>
        <w:t>l'</w:t>
      </w:r>
      <w:r w:rsidRPr="00803037">
        <w:rPr>
          <w:lang w:val="fr-FR"/>
        </w:rPr>
        <w:t xml:space="preserve">engagement des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UIT-D et les possibilités de collaboration future. Le secrétariat a mis </w:t>
      </w:r>
      <w:r w:rsidR="0089542D" w:rsidRPr="00803037">
        <w:rPr>
          <w:lang w:val="fr-FR"/>
        </w:rPr>
        <w:t>l'</w:t>
      </w:r>
      <w:r w:rsidRPr="00803037">
        <w:rPr>
          <w:lang w:val="fr-FR"/>
        </w:rPr>
        <w:t xml:space="preserve">accent sur la coordination du processus du SMSI avec les entités des Nations Unies pour mettre en œuvre les grandes orientations et promouvoir les ODD. Il a également fait ressortir les résultats des forums du SMSI, en particulier en ce qui concerne le processus </w:t>
      </w:r>
      <w:r w:rsidR="0089542D" w:rsidRPr="00803037">
        <w:rPr>
          <w:lang w:val="fr-FR"/>
        </w:rPr>
        <w:t>d'</w:t>
      </w:r>
      <w:r w:rsidRPr="00803037">
        <w:rPr>
          <w:lang w:val="fr-FR"/>
        </w:rPr>
        <w:t>examen du SMSI+20.</w:t>
      </w:r>
    </w:p>
    <w:p w14:paraId="642FA75D" w14:textId="3355DD4F" w:rsidR="000B3E0D" w:rsidRPr="00803037" w:rsidRDefault="000B3E0D" w:rsidP="000B3E0D">
      <w:pPr>
        <w:rPr>
          <w:lang w:val="fr-FR"/>
        </w:rPr>
      </w:pPr>
      <w:r w:rsidRPr="00803037">
        <w:rPr>
          <w:lang w:val="fr-FR"/>
        </w:rPr>
        <w:t xml:space="preserve">Étant donné que toutes les Questions à </w:t>
      </w:r>
      <w:r w:rsidR="0089542D" w:rsidRPr="00803037">
        <w:rPr>
          <w:lang w:val="fr-FR"/>
        </w:rPr>
        <w:t>l'</w:t>
      </w:r>
      <w:r w:rsidRPr="00803037">
        <w:rPr>
          <w:lang w:val="fr-FR"/>
        </w:rPr>
        <w:t xml:space="preserve">étude sont liées aux grandes orientations du SMSI, la CE 2 continuera de rechercher des possibilités de synergie avec le SMSI en tirant parti des collaborations qui ont été envisagées et mises en œuvre pendant la période </w:t>
      </w:r>
      <w:r w:rsidR="0089542D" w:rsidRPr="00803037">
        <w:rPr>
          <w:lang w:val="fr-FR"/>
        </w:rPr>
        <w:t>d'</w:t>
      </w:r>
      <w:r w:rsidRPr="00803037">
        <w:rPr>
          <w:lang w:val="fr-FR"/>
        </w:rPr>
        <w:t>études.</w:t>
      </w:r>
    </w:p>
    <w:p w14:paraId="13347AEC" w14:textId="77777777" w:rsidR="000B3E0D" w:rsidRPr="00803037" w:rsidRDefault="000B3E0D" w:rsidP="000B3E0D">
      <w:pPr>
        <w:rPr>
          <w:lang w:val="fr-FR"/>
        </w:rPr>
      </w:pPr>
      <w:r w:rsidRPr="00803037">
        <w:rPr>
          <w:lang w:val="fr-FR"/>
        </w:rPr>
        <w:t>Pour de plus amples informations:</w:t>
      </w:r>
    </w:p>
    <w:p w14:paraId="5F5C64EF" w14:textId="77777777" w:rsidR="000B3E0D" w:rsidRPr="00803037" w:rsidRDefault="000B3E0D" w:rsidP="000B3E0D">
      <w:pPr>
        <w:pStyle w:val="enumlev1"/>
        <w:rPr>
          <w:lang w:val="fr-FR"/>
        </w:rPr>
      </w:pPr>
      <w:r w:rsidRPr="00803037">
        <w:rPr>
          <w:lang w:val="fr-FR"/>
        </w:rPr>
        <w:t>–</w:t>
      </w:r>
      <w:r w:rsidRPr="00803037">
        <w:rPr>
          <w:lang w:val="fr-FR"/>
        </w:rPr>
        <w:tab/>
        <w:t xml:space="preserve">Contributions du secrétariat du SMSI: </w:t>
      </w:r>
      <w:hyperlink r:id="rId124" w:history="1">
        <w:r w:rsidRPr="00803037">
          <w:rPr>
            <w:rStyle w:val="Hyperlink"/>
            <w:lang w:val="fr-FR"/>
          </w:rPr>
          <w:t>2/62</w:t>
        </w:r>
      </w:hyperlink>
      <w:r w:rsidRPr="00803037">
        <w:rPr>
          <w:lang w:val="fr-FR"/>
        </w:rPr>
        <w:t xml:space="preserve"> (2022), </w:t>
      </w:r>
      <w:hyperlink r:id="rId125" w:history="1">
        <w:r w:rsidRPr="00803037">
          <w:rPr>
            <w:rStyle w:val="Hyperlink"/>
            <w:lang w:val="fr-FR"/>
          </w:rPr>
          <w:t>2/63</w:t>
        </w:r>
      </w:hyperlink>
      <w:r w:rsidRPr="00803037">
        <w:rPr>
          <w:lang w:val="fr-FR"/>
        </w:rPr>
        <w:t xml:space="preserve"> (2022), </w:t>
      </w:r>
      <w:hyperlink r:id="rId126" w:history="1">
        <w:r w:rsidRPr="00803037">
          <w:rPr>
            <w:rStyle w:val="Hyperlink"/>
            <w:lang w:val="fr-FR"/>
          </w:rPr>
          <w:t>2/64</w:t>
        </w:r>
      </w:hyperlink>
      <w:r w:rsidRPr="00803037">
        <w:rPr>
          <w:lang w:val="fr-FR"/>
        </w:rPr>
        <w:t xml:space="preserve"> (2022), </w:t>
      </w:r>
      <w:hyperlink r:id="rId127" w:history="1">
        <w:r w:rsidRPr="00803037">
          <w:rPr>
            <w:rStyle w:val="Hyperlink"/>
            <w:lang w:val="fr-FR"/>
          </w:rPr>
          <w:t>2/65</w:t>
        </w:r>
      </w:hyperlink>
      <w:r w:rsidRPr="00803037">
        <w:rPr>
          <w:lang w:val="fr-FR"/>
        </w:rPr>
        <w:t xml:space="preserve"> (2022), </w:t>
      </w:r>
      <w:hyperlink r:id="rId128" w:history="1">
        <w:r w:rsidRPr="00803037">
          <w:rPr>
            <w:rStyle w:val="Hyperlink"/>
            <w:lang w:val="fr-FR"/>
          </w:rPr>
          <w:t>2/66</w:t>
        </w:r>
      </w:hyperlink>
      <w:r w:rsidRPr="00803037">
        <w:rPr>
          <w:lang w:val="fr-FR"/>
        </w:rPr>
        <w:t xml:space="preserve"> (2022), </w:t>
      </w:r>
      <w:hyperlink r:id="rId129" w:history="1">
        <w:r w:rsidRPr="00803037">
          <w:rPr>
            <w:rStyle w:val="Hyperlink"/>
            <w:lang w:val="fr-FR"/>
          </w:rPr>
          <w:t>2/176</w:t>
        </w:r>
      </w:hyperlink>
      <w:r w:rsidRPr="00803037">
        <w:rPr>
          <w:lang w:val="fr-FR"/>
        </w:rPr>
        <w:t xml:space="preserve"> (2023), </w:t>
      </w:r>
      <w:hyperlink r:id="rId130" w:history="1">
        <w:r w:rsidRPr="00803037">
          <w:rPr>
            <w:rStyle w:val="Hyperlink"/>
            <w:lang w:val="fr-FR"/>
          </w:rPr>
          <w:t>2/308</w:t>
        </w:r>
      </w:hyperlink>
      <w:r w:rsidRPr="00803037">
        <w:rPr>
          <w:lang w:val="fr-FR"/>
        </w:rPr>
        <w:t xml:space="preserve"> (2024), </w:t>
      </w:r>
      <w:hyperlink r:id="rId131" w:history="1">
        <w:r w:rsidRPr="00803037">
          <w:rPr>
            <w:rStyle w:val="Hyperlink"/>
            <w:lang w:val="fr-FR"/>
          </w:rPr>
          <w:t>2/412</w:t>
        </w:r>
      </w:hyperlink>
      <w:r w:rsidRPr="00803037">
        <w:rPr>
          <w:lang w:val="fr-FR"/>
        </w:rPr>
        <w:t xml:space="preserve"> (2025).</w:t>
      </w:r>
    </w:p>
    <w:p w14:paraId="7698FD50" w14:textId="77777777" w:rsidR="000B3E0D" w:rsidRPr="00803037" w:rsidRDefault="000B3E0D" w:rsidP="000B3E0D">
      <w:pPr>
        <w:pStyle w:val="Headingb"/>
        <w:rPr>
          <w:sz w:val="28"/>
          <w:szCs w:val="28"/>
          <w:lang w:val="fr-FR"/>
        </w:rPr>
      </w:pPr>
      <w:r w:rsidRPr="00803037">
        <w:rPr>
          <w:sz w:val="28"/>
          <w:szCs w:val="28"/>
          <w:lang w:val="fr-FR"/>
        </w:rPr>
        <w:t>Outils de collaboration</w:t>
      </w:r>
    </w:p>
    <w:p w14:paraId="663AD3C1" w14:textId="2EAE0445" w:rsidR="000B3E0D" w:rsidRPr="00803037" w:rsidRDefault="000B3E0D" w:rsidP="000B3E0D">
      <w:pPr>
        <w:rPr>
          <w:lang w:val="fr-FR"/>
        </w:rPr>
      </w:pPr>
      <w:r w:rsidRPr="00803037">
        <w:rPr>
          <w:lang w:val="fr-FR"/>
        </w:rPr>
        <w:t xml:space="preserve">Les </w:t>
      </w:r>
      <w:hyperlink r:id="rId132" w:history="1">
        <w:r w:rsidRPr="00803037">
          <w:rPr>
            <w:rStyle w:val="Hyperlink"/>
            <w:lang w:val="fr-FR"/>
          </w:rPr>
          <w:t>outils de collaboration</w:t>
        </w:r>
      </w:hyperlink>
      <w:r w:rsidRPr="00803037">
        <w:rPr>
          <w:lang w:val="fr-FR"/>
        </w:rPr>
        <w:t xml:space="preserve"> visant à faciliter la participation électronique aux travaux des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UIT-D évoluent. Outre les services de participation à distance et de diffusion sur le web dans les langues dans lesquelles se déroule la réunion considérée, des listes de diffusion sont mises à la disposition des participants et des membres de </w:t>
      </w:r>
      <w:r w:rsidR="0089542D" w:rsidRPr="00803037">
        <w:rPr>
          <w:lang w:val="fr-FR"/>
        </w:rPr>
        <w:t>l'</w:t>
      </w:r>
      <w:r w:rsidRPr="00803037">
        <w:rPr>
          <w:lang w:val="fr-FR"/>
        </w:rPr>
        <w:t>équipe de direction.</w:t>
      </w:r>
    </w:p>
    <w:p w14:paraId="79DA9051" w14:textId="2A8B5EC4" w:rsidR="000B3E0D" w:rsidRPr="00803037" w:rsidRDefault="000B3E0D" w:rsidP="000B3E0D">
      <w:pPr>
        <w:rPr>
          <w:lang w:val="fr-FR"/>
        </w:rPr>
      </w:pPr>
      <w:r w:rsidRPr="00803037">
        <w:rPr>
          <w:lang w:val="fr-FR"/>
        </w:rPr>
        <w:t xml:space="preserve">Des canaux ont été créés sur Microsoft Teams pour toutes les équipes de direction chargées de </w:t>
      </w:r>
      <w:r w:rsidR="0089542D" w:rsidRPr="00803037">
        <w:rPr>
          <w:lang w:val="fr-FR"/>
        </w:rPr>
        <w:t>l'</w:t>
      </w:r>
      <w:r w:rsidRPr="00803037">
        <w:rPr>
          <w:lang w:val="fr-FR"/>
        </w:rPr>
        <w:t xml:space="preserve">étude des Questions, afin </w:t>
      </w:r>
      <w:r w:rsidR="0089542D" w:rsidRPr="00803037">
        <w:rPr>
          <w:lang w:val="fr-FR"/>
        </w:rPr>
        <w:t>qu'</w:t>
      </w:r>
      <w:r w:rsidRPr="00803037">
        <w:rPr>
          <w:lang w:val="fr-FR"/>
        </w:rPr>
        <w:t xml:space="preserve">elles les utilisent selon leurs besoins. Le sous-titrage et la traduction automatiques en plusieurs langues ont été très appréciés par les membres des équipes de direction chargées des Questions, étant donné que certains participants ne parlaient pas couramment </w:t>
      </w:r>
      <w:r w:rsidR="0089542D" w:rsidRPr="00803037">
        <w:rPr>
          <w:lang w:val="fr-FR"/>
        </w:rPr>
        <w:t>l'</w:t>
      </w:r>
      <w:r w:rsidRPr="00803037">
        <w:rPr>
          <w:lang w:val="fr-FR"/>
        </w:rPr>
        <w:t>anglais.</w:t>
      </w:r>
    </w:p>
    <w:p w14:paraId="50DF6145" w14:textId="185645E3" w:rsidR="000B3E0D" w:rsidRPr="00803037" w:rsidRDefault="000B3E0D" w:rsidP="000B3E0D">
      <w:pPr>
        <w:rPr>
          <w:lang w:val="fr-FR"/>
        </w:rPr>
      </w:pPr>
      <w:r w:rsidRPr="00803037">
        <w:rPr>
          <w:lang w:val="fr-FR"/>
        </w:rPr>
        <w:t>Un répertoire et un tableau de bord des contributions</w:t>
      </w:r>
      <w:r w:rsidRPr="00803037">
        <w:rPr>
          <w:rStyle w:val="FootnoteReference"/>
          <w:lang w:val="fr-FR"/>
        </w:rPr>
        <w:footnoteReference w:id="15"/>
      </w:r>
      <w:r w:rsidRPr="00803037">
        <w:rPr>
          <w:lang w:val="fr-FR"/>
        </w:rPr>
        <w:t xml:space="preserve">, visant à faciliter la recherche des contributions précédentes et des résumés de ces dernières, ont été mis en place et sont mis à jour régulièrement. </w:t>
      </w:r>
      <w:r w:rsidR="0089542D" w:rsidRPr="00803037">
        <w:rPr>
          <w:lang w:val="fr-FR"/>
        </w:rPr>
        <w:t>L'</w:t>
      </w:r>
      <w:r w:rsidRPr="00803037">
        <w:rPr>
          <w:lang w:val="fr-FR"/>
        </w:rPr>
        <w:t>outil de traduction automatique de documents, intitulé "ITUTranslate"</w:t>
      </w:r>
      <w:r w:rsidRPr="00803037">
        <w:rPr>
          <w:rStyle w:val="FootnoteReference"/>
          <w:lang w:val="fr-FR"/>
        </w:rPr>
        <w:footnoteReference w:id="16"/>
      </w:r>
      <w:r w:rsidRPr="00803037">
        <w:rPr>
          <w:lang w:val="fr-FR"/>
        </w:rPr>
        <w:t xml:space="preserve">, est disponible sur le répertoire de gestion des documents accessible uniquement aux titulaires </w:t>
      </w:r>
      <w:r w:rsidR="0089542D" w:rsidRPr="00803037">
        <w:rPr>
          <w:lang w:val="fr-FR"/>
        </w:rPr>
        <w:t>d'</w:t>
      </w:r>
      <w:r w:rsidRPr="00803037">
        <w:rPr>
          <w:lang w:val="fr-FR"/>
        </w:rPr>
        <w:t xml:space="preserve">un compte TIES. Cet outil permet de traduire des contributions, des rapports et </w:t>
      </w:r>
      <w:r w:rsidR="0089542D" w:rsidRPr="00803037">
        <w:rPr>
          <w:lang w:val="fr-FR"/>
        </w:rPr>
        <w:t>d'</w:t>
      </w:r>
      <w:r w:rsidRPr="00803037">
        <w:rPr>
          <w:lang w:val="fr-FR"/>
        </w:rPr>
        <w:t xml:space="preserve">autres documents dans les langues officielles de </w:t>
      </w:r>
      <w:r w:rsidR="0089542D" w:rsidRPr="00803037">
        <w:rPr>
          <w:lang w:val="fr-FR"/>
        </w:rPr>
        <w:t>l'</w:t>
      </w:r>
      <w:r w:rsidRPr="00803037">
        <w:rPr>
          <w:lang w:val="fr-FR"/>
        </w:rPr>
        <w:t xml:space="preserve">ONU. Toutes les pages web des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UIT-D </w:t>
      </w:r>
      <w:r w:rsidRPr="00803037">
        <w:rPr>
          <w:lang w:val="fr-FR"/>
        </w:rPr>
        <w:lastRenderedPageBreak/>
        <w:t xml:space="preserve">peuvent également être traduites dans toutes les langues officielles de </w:t>
      </w:r>
      <w:r w:rsidR="0089542D" w:rsidRPr="00803037">
        <w:rPr>
          <w:lang w:val="fr-FR"/>
        </w:rPr>
        <w:t>l'</w:t>
      </w:r>
      <w:r w:rsidRPr="00803037">
        <w:rPr>
          <w:lang w:val="fr-FR"/>
        </w:rPr>
        <w:t xml:space="preserve">ONU grâce à </w:t>
      </w:r>
      <w:r w:rsidR="0089542D" w:rsidRPr="00803037">
        <w:rPr>
          <w:lang w:val="fr-FR"/>
        </w:rPr>
        <w:t>l'</w:t>
      </w:r>
      <w:r w:rsidRPr="00803037">
        <w:rPr>
          <w:lang w:val="fr-FR"/>
        </w:rPr>
        <w:t>objet fenêtre ITUTranslate.</w:t>
      </w:r>
      <w:r w:rsidRPr="00803037">
        <w:rPr>
          <w:color w:val="333333"/>
          <w:sz w:val="26"/>
          <w:szCs w:val="26"/>
          <w:shd w:val="clear" w:color="auto" w:fill="FFFFFF"/>
          <w:lang w:val="fr-FR"/>
        </w:rPr>
        <w:t xml:space="preserve"> </w:t>
      </w:r>
      <w:r w:rsidR="0089542D" w:rsidRPr="00803037">
        <w:rPr>
          <w:lang w:val="fr-FR"/>
        </w:rPr>
        <w:t>L'</w:t>
      </w:r>
      <w:r w:rsidRPr="00803037">
        <w:rPr>
          <w:lang w:val="fr-FR"/>
        </w:rPr>
        <w:t xml:space="preserve">interprétation fondée sur </w:t>
      </w:r>
      <w:r w:rsidR="0089542D" w:rsidRPr="00803037">
        <w:rPr>
          <w:lang w:val="fr-FR"/>
        </w:rPr>
        <w:t>l'</w:t>
      </w:r>
      <w:r w:rsidRPr="00803037">
        <w:rPr>
          <w:lang w:val="fr-FR"/>
        </w:rPr>
        <w:t xml:space="preserve">IA a également été testée lors des dernières réunions conjointes des CE 1 et 2 et de </w:t>
      </w:r>
      <w:r w:rsidR="0089542D" w:rsidRPr="00803037">
        <w:rPr>
          <w:lang w:val="fr-FR"/>
        </w:rPr>
        <w:t>l'</w:t>
      </w:r>
      <w:r w:rsidRPr="00803037">
        <w:rPr>
          <w:lang w:val="fr-FR"/>
        </w:rPr>
        <w:t>équipe de direction de la CE 2, et les réactions des participants ont été positives.</w:t>
      </w:r>
    </w:p>
    <w:p w14:paraId="24A378FF" w14:textId="3653456F" w:rsidR="000B3E0D" w:rsidRPr="00803037" w:rsidRDefault="000B3E0D" w:rsidP="000B3E0D">
      <w:pPr>
        <w:rPr>
          <w:lang w:val="fr-FR"/>
        </w:rPr>
      </w:pPr>
      <w:r w:rsidRPr="00803037">
        <w:rPr>
          <w:lang w:val="fr-FR"/>
        </w:rPr>
        <w:t xml:space="preserve">Les participants aux travaux des commissions </w:t>
      </w:r>
      <w:r w:rsidR="0089542D" w:rsidRPr="00803037">
        <w:rPr>
          <w:lang w:val="fr-FR"/>
        </w:rPr>
        <w:t>d'</w:t>
      </w:r>
      <w:r w:rsidRPr="00803037">
        <w:rPr>
          <w:lang w:val="fr-FR"/>
        </w:rPr>
        <w:t>études sont encouragés à utiliser ces outils et à transmettre leurs observations éventuelles au secrétariat, afin de contribuer à leur amélioration.</w:t>
      </w:r>
    </w:p>
    <w:p w14:paraId="2E659BD0" w14:textId="40C69719" w:rsidR="000B3E0D" w:rsidRPr="00803037" w:rsidRDefault="000B3E0D" w:rsidP="000B3E0D">
      <w:pPr>
        <w:pStyle w:val="Headingb"/>
        <w:rPr>
          <w:sz w:val="28"/>
          <w:szCs w:val="28"/>
          <w:lang w:val="fr-FR"/>
        </w:rPr>
      </w:pPr>
      <w:r w:rsidRPr="00803037">
        <w:rPr>
          <w:sz w:val="28"/>
          <w:szCs w:val="28"/>
          <w:lang w:val="fr-FR"/>
        </w:rPr>
        <w:t xml:space="preserve">Résultats de </w:t>
      </w:r>
      <w:r w:rsidR="0089542D" w:rsidRPr="00803037">
        <w:rPr>
          <w:sz w:val="28"/>
          <w:szCs w:val="28"/>
          <w:lang w:val="fr-FR"/>
        </w:rPr>
        <w:t>l'</w:t>
      </w:r>
      <w:r w:rsidRPr="00803037">
        <w:rPr>
          <w:sz w:val="28"/>
          <w:szCs w:val="28"/>
          <w:lang w:val="fr-FR"/>
        </w:rPr>
        <w:t xml:space="preserve">enquête sur les travaux des commissions </w:t>
      </w:r>
      <w:r w:rsidR="0089542D" w:rsidRPr="00803037">
        <w:rPr>
          <w:sz w:val="28"/>
          <w:szCs w:val="28"/>
          <w:lang w:val="fr-FR"/>
        </w:rPr>
        <w:t>d'</w:t>
      </w:r>
      <w:r w:rsidRPr="00803037">
        <w:rPr>
          <w:sz w:val="28"/>
          <w:szCs w:val="28"/>
          <w:lang w:val="fr-FR"/>
        </w:rPr>
        <w:t xml:space="preserve">études de </w:t>
      </w:r>
      <w:r w:rsidR="0089542D" w:rsidRPr="00803037">
        <w:rPr>
          <w:sz w:val="28"/>
          <w:szCs w:val="28"/>
          <w:lang w:val="fr-FR"/>
        </w:rPr>
        <w:t>l'</w:t>
      </w:r>
      <w:r w:rsidRPr="00803037">
        <w:rPr>
          <w:sz w:val="28"/>
          <w:szCs w:val="28"/>
          <w:lang w:val="fr-FR"/>
        </w:rPr>
        <w:t xml:space="preserve">UIT-D (huitième période </w:t>
      </w:r>
      <w:r w:rsidR="0089542D" w:rsidRPr="00803037">
        <w:rPr>
          <w:sz w:val="28"/>
          <w:szCs w:val="28"/>
          <w:lang w:val="fr-FR"/>
        </w:rPr>
        <w:t>d'</w:t>
      </w:r>
      <w:r w:rsidRPr="00803037">
        <w:rPr>
          <w:sz w:val="28"/>
          <w:szCs w:val="28"/>
          <w:lang w:val="fr-FR"/>
        </w:rPr>
        <w:t>études, 2022-2025)</w:t>
      </w:r>
    </w:p>
    <w:p w14:paraId="0B1757DA" w14:textId="7DFC5D95" w:rsidR="000B3E0D" w:rsidRPr="00803037" w:rsidRDefault="000B3E0D" w:rsidP="000B3E0D">
      <w:pPr>
        <w:keepNext/>
        <w:keepLines/>
        <w:rPr>
          <w:lang w:val="fr-FR"/>
        </w:rPr>
      </w:pPr>
      <w:r w:rsidRPr="00803037">
        <w:rPr>
          <w:lang w:val="fr-FR"/>
        </w:rPr>
        <w:t xml:space="preserve">Conformément au § 3.10.5.4 de la Résolution 1 (Rév. Kigali, 2022), les commissions </w:t>
      </w:r>
      <w:r w:rsidR="0089542D" w:rsidRPr="00803037">
        <w:rPr>
          <w:lang w:val="fr-FR"/>
        </w:rPr>
        <w:t>d'</w:t>
      </w:r>
      <w:r w:rsidRPr="00803037">
        <w:rPr>
          <w:lang w:val="fr-FR"/>
        </w:rPr>
        <w:t xml:space="preserve">études de </w:t>
      </w:r>
      <w:r w:rsidR="0089542D" w:rsidRPr="00803037">
        <w:rPr>
          <w:lang w:val="fr-FR"/>
        </w:rPr>
        <w:t>l'</w:t>
      </w:r>
      <w:r w:rsidRPr="00803037">
        <w:rPr>
          <w:lang w:val="fr-FR"/>
        </w:rPr>
        <w:t xml:space="preserve">UIT-D ont lancé une enquête commune afin </w:t>
      </w:r>
      <w:r w:rsidR="0089542D" w:rsidRPr="00803037">
        <w:rPr>
          <w:lang w:val="fr-FR"/>
        </w:rPr>
        <w:t>d'</w:t>
      </w:r>
      <w:r w:rsidRPr="00803037">
        <w:rPr>
          <w:lang w:val="fr-FR"/>
        </w:rPr>
        <w:t xml:space="preserve">établir plus facilement dans quelle mesure les résultats des études sont utiles aux membres de </w:t>
      </w:r>
      <w:r w:rsidR="0089542D" w:rsidRPr="00803037">
        <w:rPr>
          <w:lang w:val="fr-FR"/>
        </w:rPr>
        <w:t>l'</w:t>
      </w:r>
      <w:r w:rsidRPr="00803037">
        <w:rPr>
          <w:lang w:val="fr-FR"/>
        </w:rPr>
        <w:t>UIT-D, et en particulier aux pays en développement.</w:t>
      </w:r>
    </w:p>
    <w:p w14:paraId="1991FF25" w14:textId="21C69D9F" w:rsidR="000B3E0D" w:rsidRPr="00803037" w:rsidRDefault="000B3E0D" w:rsidP="000B3E0D">
      <w:pPr>
        <w:rPr>
          <w:lang w:val="fr-FR"/>
        </w:rPr>
      </w:pPr>
      <w:r w:rsidRPr="00803037">
        <w:rPr>
          <w:lang w:val="fr-FR"/>
        </w:rPr>
        <w:t xml:space="preserve">Un projet de questionnaire a été soumis pour observations aux réunions des Commissions </w:t>
      </w:r>
      <w:r w:rsidR="0089542D" w:rsidRPr="00803037">
        <w:rPr>
          <w:lang w:val="fr-FR"/>
        </w:rPr>
        <w:t>d'</w:t>
      </w:r>
      <w:r w:rsidRPr="00803037">
        <w:rPr>
          <w:lang w:val="fr-FR"/>
        </w:rPr>
        <w:t xml:space="preserve">études 1 et 2 de </w:t>
      </w:r>
      <w:r w:rsidR="0089542D" w:rsidRPr="00803037">
        <w:rPr>
          <w:lang w:val="fr-FR"/>
        </w:rPr>
        <w:t>l'</w:t>
      </w:r>
      <w:r w:rsidRPr="00803037">
        <w:rPr>
          <w:lang w:val="fr-FR"/>
        </w:rPr>
        <w:t xml:space="preserve">UIT-D qui se sont tenues en novembre 2024. La version définitive a été mise en ligne et un lien a été envoyé aux membres de </w:t>
      </w:r>
      <w:r w:rsidR="0089542D" w:rsidRPr="00803037">
        <w:rPr>
          <w:lang w:val="fr-FR"/>
        </w:rPr>
        <w:t>l'</w:t>
      </w:r>
      <w:r w:rsidRPr="00803037">
        <w:rPr>
          <w:lang w:val="fr-FR"/>
        </w:rPr>
        <w:t xml:space="preserve">UIT-D (voir le </w:t>
      </w:r>
      <w:r w:rsidR="00556E24" w:rsidRPr="00803037">
        <w:rPr>
          <w:lang w:val="fr-FR"/>
        </w:rPr>
        <w:t xml:space="preserve">Document </w:t>
      </w:r>
      <w:hyperlink r:id="rId133" w:history="1">
        <w:r w:rsidR="00556E24" w:rsidRPr="00803037">
          <w:rPr>
            <w:rStyle w:val="Hyperlink"/>
            <w:lang w:val="fr-FR"/>
          </w:rPr>
          <w:t>BDT/PPS/CSTG-7</w:t>
        </w:r>
      </w:hyperlink>
      <w:r w:rsidRPr="00803037">
        <w:rPr>
          <w:lang w:val="fr-FR"/>
        </w:rPr>
        <w:t>) le 8 janvier 2025. La période de réponse était prévue jus</w:t>
      </w:r>
      <w:r w:rsidR="0089542D" w:rsidRPr="00803037">
        <w:rPr>
          <w:lang w:val="fr-FR"/>
        </w:rPr>
        <w:t>qu'</w:t>
      </w:r>
      <w:r w:rsidRPr="00803037">
        <w:rPr>
          <w:lang w:val="fr-FR"/>
        </w:rPr>
        <w:t>au 7 février</w:t>
      </w:r>
      <w:r w:rsidR="007B7854" w:rsidRPr="00803037">
        <w:rPr>
          <w:lang w:val="fr-FR"/>
        </w:rPr>
        <w:t xml:space="preserve"> 2025</w:t>
      </w:r>
      <w:r w:rsidRPr="00803037">
        <w:rPr>
          <w:lang w:val="fr-FR"/>
        </w:rPr>
        <w:t>.</w:t>
      </w:r>
    </w:p>
    <w:p w14:paraId="10F5E3B8" w14:textId="54938645" w:rsidR="000B3E0D" w:rsidRPr="00803037" w:rsidRDefault="000B3E0D" w:rsidP="000B3E0D">
      <w:pPr>
        <w:spacing w:after="120"/>
        <w:rPr>
          <w:rFonts w:eastAsia="Malgun Gothic"/>
          <w:szCs w:val="24"/>
          <w:lang w:val="fr-FR"/>
        </w:rPr>
      </w:pPr>
      <w:r w:rsidRPr="00803037">
        <w:rPr>
          <w:lang w:val="fr-FR"/>
        </w:rPr>
        <w:t xml:space="preserve">Les résultats reçus pendant </w:t>
      </w:r>
      <w:r w:rsidR="0089542D" w:rsidRPr="00803037">
        <w:rPr>
          <w:lang w:val="fr-FR"/>
        </w:rPr>
        <w:t>l'</w:t>
      </w:r>
      <w:r w:rsidRPr="00803037">
        <w:rPr>
          <w:lang w:val="fr-FR"/>
        </w:rPr>
        <w:t xml:space="preserve">enquête commune ont été analysés et un rapport a été présenté lors de la quatrième et dernière réunion des commissions </w:t>
      </w:r>
      <w:r w:rsidR="0089542D" w:rsidRPr="00803037">
        <w:rPr>
          <w:lang w:val="fr-FR"/>
        </w:rPr>
        <w:t>d'</w:t>
      </w:r>
      <w:r w:rsidRPr="00803037">
        <w:rPr>
          <w:lang w:val="fr-FR"/>
        </w:rPr>
        <w:t>études. Ce rapport est constitué comme suit:</w:t>
      </w:r>
    </w:p>
    <w:p w14:paraId="442DC2F0" w14:textId="4A975557"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 xml:space="preserve">Partie 1 – Statistiques relatives à la participation à </w:t>
      </w:r>
      <w:r w:rsidR="0089542D" w:rsidRPr="00803037">
        <w:rPr>
          <w:lang w:val="fr-FR"/>
        </w:rPr>
        <w:t>l'</w:t>
      </w:r>
      <w:r w:rsidR="000B3E0D" w:rsidRPr="00803037">
        <w:rPr>
          <w:lang w:val="fr-FR"/>
        </w:rPr>
        <w:t>enquête: 74 réponses provenant de tous les types de membres et des six régions.</w:t>
      </w:r>
    </w:p>
    <w:p w14:paraId="2A9C5AC3" w14:textId="2AB1D395"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 xml:space="preserve">Partie 2 – Aspects généraux, y compris la participation aux travaux des commissions </w:t>
      </w:r>
      <w:r w:rsidR="0089542D" w:rsidRPr="00803037">
        <w:rPr>
          <w:lang w:val="fr-FR"/>
        </w:rPr>
        <w:t>d'</w:t>
      </w:r>
      <w:r w:rsidR="000B3E0D" w:rsidRPr="00803037">
        <w:rPr>
          <w:lang w:val="fr-FR"/>
        </w:rPr>
        <w:t xml:space="preserve">études de </w:t>
      </w:r>
      <w:r w:rsidR="0089542D" w:rsidRPr="00803037">
        <w:rPr>
          <w:lang w:val="fr-FR"/>
        </w:rPr>
        <w:t>l'</w:t>
      </w:r>
      <w:r w:rsidR="000B3E0D" w:rsidRPr="00803037">
        <w:rPr>
          <w:lang w:val="fr-FR"/>
        </w:rPr>
        <w:t xml:space="preserve">UIT-D, la collaboration intersectorielle et les ateliers, ainsi que </w:t>
      </w:r>
      <w:r w:rsidR="0089542D" w:rsidRPr="00803037">
        <w:rPr>
          <w:lang w:val="fr-FR"/>
        </w:rPr>
        <w:t>l'</w:t>
      </w:r>
      <w:r w:rsidR="000B3E0D" w:rsidRPr="00803037">
        <w:rPr>
          <w:lang w:val="fr-FR"/>
        </w:rPr>
        <w:t xml:space="preserve">utilisation et </w:t>
      </w:r>
      <w:r w:rsidR="0089542D" w:rsidRPr="00803037">
        <w:rPr>
          <w:lang w:val="fr-FR"/>
        </w:rPr>
        <w:t>l'</w:t>
      </w:r>
      <w:r w:rsidR="000B3E0D" w:rsidRPr="00803037">
        <w:rPr>
          <w:lang w:val="fr-FR"/>
        </w:rPr>
        <w:t xml:space="preserve">efficacité des ressources et outils de </w:t>
      </w:r>
      <w:r w:rsidR="0089542D" w:rsidRPr="00803037">
        <w:rPr>
          <w:lang w:val="fr-FR"/>
        </w:rPr>
        <w:t>l'</w:t>
      </w:r>
      <w:r w:rsidR="000B3E0D" w:rsidRPr="00803037">
        <w:rPr>
          <w:lang w:val="fr-FR"/>
        </w:rPr>
        <w:t>UIT-D.</w:t>
      </w:r>
    </w:p>
    <w:p w14:paraId="4B52C20E" w14:textId="33A9954F"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 xml:space="preserve">Partie 3 – Structure et sujets </w:t>
      </w:r>
      <w:r w:rsidR="0089542D" w:rsidRPr="00803037">
        <w:rPr>
          <w:lang w:val="fr-FR"/>
        </w:rPr>
        <w:t>d'</w:t>
      </w:r>
      <w:r w:rsidR="000B3E0D" w:rsidRPr="00803037">
        <w:rPr>
          <w:lang w:val="fr-FR"/>
        </w:rPr>
        <w:t xml:space="preserve">étude des commissions </w:t>
      </w:r>
      <w:r w:rsidR="0089542D" w:rsidRPr="00803037">
        <w:rPr>
          <w:lang w:val="fr-FR"/>
        </w:rPr>
        <w:t>d'</w:t>
      </w:r>
      <w:r w:rsidR="000B3E0D" w:rsidRPr="00803037">
        <w:rPr>
          <w:lang w:val="fr-FR"/>
        </w:rPr>
        <w:t xml:space="preserve">études de </w:t>
      </w:r>
      <w:r w:rsidR="0089542D" w:rsidRPr="00803037">
        <w:rPr>
          <w:lang w:val="fr-FR"/>
        </w:rPr>
        <w:t>l'</w:t>
      </w:r>
      <w:r w:rsidR="000B3E0D" w:rsidRPr="00803037">
        <w:rPr>
          <w:lang w:val="fr-FR"/>
        </w:rPr>
        <w:t xml:space="preserve">UIT-D, y compris la sensibilisation aux activités des commissions </w:t>
      </w:r>
      <w:r w:rsidR="0089542D" w:rsidRPr="00803037">
        <w:rPr>
          <w:lang w:val="fr-FR"/>
        </w:rPr>
        <w:t>d'</w:t>
      </w:r>
      <w:r w:rsidR="000B3E0D" w:rsidRPr="00803037">
        <w:rPr>
          <w:lang w:val="fr-FR"/>
        </w:rPr>
        <w:t xml:space="preserve">études de </w:t>
      </w:r>
      <w:r w:rsidR="0089542D" w:rsidRPr="00803037">
        <w:rPr>
          <w:lang w:val="fr-FR"/>
        </w:rPr>
        <w:t>l'</w:t>
      </w:r>
      <w:r w:rsidR="000B3E0D" w:rsidRPr="00803037">
        <w:rPr>
          <w:lang w:val="fr-FR"/>
        </w:rPr>
        <w:t xml:space="preserve">UIT-D et leur pertinence, </w:t>
      </w:r>
      <w:r w:rsidR="0089542D" w:rsidRPr="00803037">
        <w:rPr>
          <w:lang w:val="fr-FR"/>
        </w:rPr>
        <w:t>l'</w:t>
      </w:r>
      <w:r w:rsidR="000B3E0D" w:rsidRPr="00803037">
        <w:rPr>
          <w:lang w:val="fr-FR"/>
        </w:rPr>
        <w:t xml:space="preserve">évaluation des sujets </w:t>
      </w:r>
      <w:r w:rsidR="0089542D" w:rsidRPr="00803037">
        <w:rPr>
          <w:lang w:val="fr-FR"/>
        </w:rPr>
        <w:t>d'</w:t>
      </w:r>
      <w:r w:rsidR="000B3E0D" w:rsidRPr="00803037">
        <w:rPr>
          <w:lang w:val="fr-FR"/>
        </w:rPr>
        <w:t>étude ainsi que les observations relatives à leur structure (par</w:t>
      </w:r>
      <w:r w:rsidRPr="00803037">
        <w:rPr>
          <w:lang w:val="fr-FR"/>
        </w:rPr>
        <w:t> </w:t>
      </w:r>
      <w:r w:rsidR="000B3E0D" w:rsidRPr="00803037">
        <w:rPr>
          <w:lang w:val="fr-FR"/>
        </w:rPr>
        <w:t>exemple, leur organisation, leur équipe de direction, les Questions qui leur sont confiées).</w:t>
      </w:r>
    </w:p>
    <w:p w14:paraId="40EB7D69" w14:textId="680D824B" w:rsidR="000B3E0D" w:rsidRPr="00803037" w:rsidRDefault="001404B9" w:rsidP="001404B9">
      <w:pPr>
        <w:pStyle w:val="enumlev1"/>
        <w:rPr>
          <w:rFonts w:eastAsia="Malgun Gothic"/>
          <w:lang w:val="fr-FR"/>
        </w:rPr>
      </w:pPr>
      <w:r w:rsidRPr="00803037">
        <w:rPr>
          <w:lang w:val="fr-FR"/>
        </w:rPr>
        <w:t>–</w:t>
      </w:r>
      <w:r w:rsidRPr="00803037">
        <w:rPr>
          <w:lang w:val="fr-FR"/>
        </w:rPr>
        <w:tab/>
      </w:r>
      <w:r w:rsidR="000B3E0D" w:rsidRPr="00803037">
        <w:rPr>
          <w:lang w:val="fr-FR"/>
        </w:rPr>
        <w:t xml:space="preserve">Partie 4 – Travaux et produits des commissions </w:t>
      </w:r>
      <w:r w:rsidR="0089542D" w:rsidRPr="00803037">
        <w:rPr>
          <w:lang w:val="fr-FR"/>
        </w:rPr>
        <w:t>d'</w:t>
      </w:r>
      <w:r w:rsidR="000B3E0D" w:rsidRPr="00803037">
        <w:rPr>
          <w:lang w:val="fr-FR"/>
        </w:rPr>
        <w:t xml:space="preserve">études de </w:t>
      </w:r>
      <w:r w:rsidR="0089542D" w:rsidRPr="00803037">
        <w:rPr>
          <w:lang w:val="fr-FR"/>
        </w:rPr>
        <w:t>l'</w:t>
      </w:r>
      <w:r w:rsidR="000B3E0D" w:rsidRPr="00803037">
        <w:rPr>
          <w:lang w:val="fr-FR"/>
        </w:rPr>
        <w:t xml:space="preserve">UIT-D, y compris les niveaux de satisfaction et </w:t>
      </w:r>
      <w:r w:rsidR="0089542D" w:rsidRPr="00803037">
        <w:rPr>
          <w:lang w:val="fr-FR"/>
        </w:rPr>
        <w:t>d'</w:t>
      </w:r>
      <w:r w:rsidR="000B3E0D" w:rsidRPr="00803037">
        <w:rPr>
          <w:lang w:val="fr-FR"/>
        </w:rPr>
        <w:t xml:space="preserve">importance des Questions actuellement à </w:t>
      </w:r>
      <w:r w:rsidR="0089542D" w:rsidRPr="00803037">
        <w:rPr>
          <w:lang w:val="fr-FR"/>
        </w:rPr>
        <w:t>l'</w:t>
      </w:r>
      <w:r w:rsidR="000B3E0D" w:rsidRPr="00803037">
        <w:rPr>
          <w:lang w:val="fr-FR"/>
        </w:rPr>
        <w:t xml:space="preserve">étude, </w:t>
      </w:r>
      <w:r w:rsidR="0089542D" w:rsidRPr="00803037">
        <w:rPr>
          <w:lang w:val="fr-FR"/>
        </w:rPr>
        <w:t>l'</w:t>
      </w:r>
      <w:r w:rsidR="000B3E0D" w:rsidRPr="00803037">
        <w:rPr>
          <w:lang w:val="fr-FR"/>
        </w:rPr>
        <w:t xml:space="preserve">utilisation des résultats des commissions </w:t>
      </w:r>
      <w:r w:rsidR="0089542D" w:rsidRPr="00803037">
        <w:rPr>
          <w:lang w:val="fr-FR"/>
        </w:rPr>
        <w:t>d'</w:t>
      </w:r>
      <w:r w:rsidR="000B3E0D" w:rsidRPr="00803037">
        <w:rPr>
          <w:lang w:val="fr-FR"/>
        </w:rPr>
        <w:t xml:space="preserve">études, </w:t>
      </w:r>
      <w:r w:rsidR="0089542D" w:rsidRPr="00803037">
        <w:rPr>
          <w:lang w:val="fr-FR"/>
        </w:rPr>
        <w:t>l'</w:t>
      </w:r>
      <w:r w:rsidR="000B3E0D" w:rsidRPr="00803037">
        <w:rPr>
          <w:lang w:val="fr-FR"/>
        </w:rPr>
        <w:t xml:space="preserve">alignement sur les objectifs stratégiques et les initiatives régionales et les propositions </w:t>
      </w:r>
      <w:r w:rsidR="0089542D" w:rsidRPr="00803037">
        <w:rPr>
          <w:lang w:val="fr-FR"/>
        </w:rPr>
        <w:t>d'</w:t>
      </w:r>
      <w:r w:rsidR="000B3E0D" w:rsidRPr="00803037">
        <w:rPr>
          <w:lang w:val="fr-FR"/>
        </w:rPr>
        <w:t>amélioration.</w:t>
      </w:r>
    </w:p>
    <w:p w14:paraId="2536F552" w14:textId="7F2F2391" w:rsidR="000B3E0D" w:rsidRPr="00803037" w:rsidRDefault="000B3E0D" w:rsidP="000B3E0D">
      <w:pPr>
        <w:rPr>
          <w:lang w:val="fr-FR"/>
        </w:rPr>
      </w:pPr>
      <w:r w:rsidRPr="00803037">
        <w:rPr>
          <w:lang w:val="fr-FR"/>
        </w:rPr>
        <w:t xml:space="preserve">Les points essentiels et la version complète du rapport figurent dans le </w:t>
      </w:r>
      <w:r w:rsidR="00556E24" w:rsidRPr="00803037">
        <w:rPr>
          <w:lang w:val="fr-FR"/>
        </w:rPr>
        <w:t xml:space="preserve">Document </w:t>
      </w:r>
      <w:hyperlink r:id="rId134" w:history="1">
        <w:r w:rsidR="00556E24" w:rsidRPr="00803037">
          <w:rPr>
            <w:rStyle w:val="Hyperlink"/>
            <w:lang w:val="fr-FR"/>
          </w:rPr>
          <w:t>2/385</w:t>
        </w:r>
      </w:hyperlink>
      <w:r w:rsidRPr="00803037">
        <w:rPr>
          <w:lang w:val="fr-FR"/>
        </w:rPr>
        <w:t xml:space="preserve">. Les conclusions de </w:t>
      </w:r>
      <w:r w:rsidR="0089542D" w:rsidRPr="00803037">
        <w:rPr>
          <w:lang w:val="fr-FR"/>
        </w:rPr>
        <w:t>l'</w:t>
      </w:r>
      <w:r w:rsidRPr="00803037">
        <w:rPr>
          <w:lang w:val="fr-FR"/>
        </w:rPr>
        <w:t xml:space="preserve">enquête peuvent être utiles aux membres de </w:t>
      </w:r>
      <w:r w:rsidR="0089542D" w:rsidRPr="00803037">
        <w:rPr>
          <w:lang w:val="fr-FR"/>
        </w:rPr>
        <w:t>l'</w:t>
      </w:r>
      <w:r w:rsidRPr="00803037">
        <w:rPr>
          <w:lang w:val="fr-FR"/>
        </w:rPr>
        <w:t xml:space="preserve">UIT dans le cadre des travaux préparatoires en vue de la CMDT-25, en particulier en ce qui concerne les parties consacrées à </w:t>
      </w:r>
      <w:r w:rsidR="0089542D" w:rsidRPr="00803037">
        <w:rPr>
          <w:lang w:val="fr-FR"/>
        </w:rPr>
        <w:t>l'</w:t>
      </w:r>
      <w:r w:rsidRPr="00803037">
        <w:rPr>
          <w:lang w:val="fr-FR"/>
        </w:rPr>
        <w:t xml:space="preserve">avenir des Questions et aux méthodes de travail des commissions </w:t>
      </w:r>
      <w:r w:rsidR="0089542D" w:rsidRPr="00803037">
        <w:rPr>
          <w:lang w:val="fr-FR"/>
        </w:rPr>
        <w:t>d'</w:t>
      </w:r>
      <w:r w:rsidRPr="00803037">
        <w:rPr>
          <w:lang w:val="fr-FR"/>
        </w:rPr>
        <w:t>études.</w:t>
      </w:r>
    </w:p>
    <w:p w14:paraId="486E0BE7" w14:textId="77777777" w:rsidR="000B3E0D" w:rsidRPr="00803037" w:rsidRDefault="000B3E0D" w:rsidP="001404B9">
      <w:pPr>
        <w:pStyle w:val="Headingb"/>
        <w:keepNext/>
        <w:rPr>
          <w:lang w:val="fr-FR"/>
        </w:rPr>
      </w:pPr>
      <w:r w:rsidRPr="00803037">
        <w:rPr>
          <w:sz w:val="28"/>
          <w:szCs w:val="28"/>
          <w:lang w:val="fr-FR"/>
        </w:rPr>
        <w:lastRenderedPageBreak/>
        <w:t>Conclusion</w:t>
      </w:r>
    </w:p>
    <w:p w14:paraId="0105BAFD" w14:textId="01E5E0CE" w:rsidR="000B3E0D" w:rsidRDefault="000B3E0D" w:rsidP="00446D4B">
      <w:pPr>
        <w:keepNext/>
        <w:keepLines/>
        <w:rPr>
          <w:lang w:val="fr-FR"/>
        </w:rPr>
      </w:pPr>
      <w:r w:rsidRPr="00803037">
        <w:rPr>
          <w:lang w:val="fr-FR"/>
        </w:rPr>
        <w:t xml:space="preserve">Si la CE 2 a mené à bien son mandat, </w:t>
      </w:r>
      <w:r w:rsidR="0089542D" w:rsidRPr="00803037">
        <w:rPr>
          <w:lang w:val="fr-FR"/>
        </w:rPr>
        <w:t>c'</w:t>
      </w:r>
      <w:r w:rsidRPr="00803037">
        <w:rPr>
          <w:lang w:val="fr-FR"/>
        </w:rPr>
        <w:t xml:space="preserve">est grâce au travail acharné, au dévouement, à la persévérance, à </w:t>
      </w:r>
      <w:r w:rsidR="0089542D" w:rsidRPr="00803037">
        <w:rPr>
          <w:lang w:val="fr-FR"/>
        </w:rPr>
        <w:t>l'</w:t>
      </w:r>
      <w:r w:rsidRPr="00803037">
        <w:rPr>
          <w:lang w:val="fr-FR"/>
        </w:rPr>
        <w:t xml:space="preserve">adaptabilité et au savoir-faire de toutes les parties concernées: </w:t>
      </w:r>
      <w:r w:rsidR="0089542D" w:rsidRPr="00803037">
        <w:rPr>
          <w:lang w:val="fr-FR"/>
        </w:rPr>
        <w:t>l'</w:t>
      </w:r>
      <w:r w:rsidRPr="00803037">
        <w:rPr>
          <w:lang w:val="fr-FR"/>
        </w:rPr>
        <w:t xml:space="preserve">équipe de direction de la CE 2, les </w:t>
      </w:r>
      <w:r w:rsidR="00556E24" w:rsidRPr="00803037">
        <w:rPr>
          <w:lang w:val="fr-FR"/>
        </w:rPr>
        <w:t>V</w:t>
      </w:r>
      <w:r w:rsidRPr="00803037">
        <w:rPr>
          <w:lang w:val="fr-FR"/>
        </w:rPr>
        <w:t>ice-</w:t>
      </w:r>
      <w:r w:rsidR="00556E24" w:rsidRPr="00803037">
        <w:rPr>
          <w:lang w:val="fr-FR"/>
        </w:rPr>
        <w:t>P</w:t>
      </w:r>
      <w:r w:rsidRPr="00803037">
        <w:rPr>
          <w:lang w:val="fr-FR"/>
        </w:rPr>
        <w:t xml:space="preserve">résidents, les Rapporteurs et Corapporteurs, les Vice-Rapporteurs, les </w:t>
      </w:r>
      <w:r w:rsidR="00556E24" w:rsidRPr="00803037">
        <w:rPr>
          <w:lang w:val="fr-FR"/>
        </w:rPr>
        <w:t>C</w:t>
      </w:r>
      <w:r w:rsidRPr="00803037">
        <w:rPr>
          <w:lang w:val="fr-FR"/>
        </w:rPr>
        <w:t xml:space="preserve">oordonnateurs, le Secrétariat, les contributeurs actifs, les participants aux réunions, les interprètes, les traducteurs et toutes les autres personnes travaillant dans les coulisses. Grâce à </w:t>
      </w:r>
      <w:r w:rsidR="0089542D" w:rsidRPr="00803037">
        <w:rPr>
          <w:lang w:val="fr-FR"/>
        </w:rPr>
        <w:t>l'</w:t>
      </w:r>
      <w:r w:rsidRPr="00803037">
        <w:rPr>
          <w:lang w:val="fr-FR"/>
        </w:rPr>
        <w:t>appui sans faille du Directeur du BDT et de son personnel, le Groupe a rempli sa mission avec succès.</w:t>
      </w:r>
    </w:p>
    <w:p w14:paraId="4BB0C0D1" w14:textId="77777777" w:rsidR="00446D4B" w:rsidRDefault="00446D4B" w:rsidP="000B3E0D">
      <w:pPr>
        <w:rPr>
          <w:lang w:val="fr-FR"/>
        </w:rPr>
      </w:pPr>
    </w:p>
    <w:p w14:paraId="40CB70D7" w14:textId="7C6710C4" w:rsidR="00446D4B" w:rsidRPr="007921C1" w:rsidRDefault="00446D4B" w:rsidP="000B3E0D">
      <w:pPr>
        <w:rPr>
          <w:lang w:val="fr-FR"/>
        </w:rPr>
        <w:sectPr w:rsidR="00446D4B" w:rsidRPr="007921C1" w:rsidSect="000B3E0D">
          <w:headerReference w:type="default" r:id="rId135"/>
          <w:footerReference w:type="first" r:id="rId136"/>
          <w:pgSz w:w="11907" w:h="16834" w:code="9"/>
          <w:pgMar w:top="1418" w:right="1134" w:bottom="1418" w:left="1134" w:header="720" w:footer="720" w:gutter="0"/>
          <w:paperSrc w:first="7" w:other="7"/>
          <w:cols w:space="720"/>
          <w:titlePg/>
          <w:docGrid w:linePitch="326"/>
        </w:sectPr>
      </w:pPr>
    </w:p>
    <w:p w14:paraId="57B4AC5D" w14:textId="77777777" w:rsidR="000B3E0D" w:rsidRPr="00FA4573" w:rsidRDefault="000B3E0D" w:rsidP="000B3E0D">
      <w:pPr>
        <w:spacing w:after="120"/>
        <w:jc w:val="center"/>
        <w:rPr>
          <w:b/>
          <w:bCs/>
        </w:rPr>
      </w:pPr>
      <w:r w:rsidRPr="00FA4573">
        <w:rPr>
          <w:b/>
          <w:bCs/>
        </w:rPr>
        <w:lastRenderedPageBreak/>
        <w:t>Annexes</w:t>
      </w:r>
    </w:p>
    <w:p w14:paraId="494557D5" w14:textId="77777777" w:rsidR="000B3E0D" w:rsidRPr="00FA4573" w:rsidRDefault="000B3E0D" w:rsidP="000B3E0D">
      <w:pPr>
        <w:pStyle w:val="Heading5"/>
        <w:ind w:left="0" w:firstLine="0"/>
      </w:pPr>
      <w:r w:rsidRPr="00FA4573">
        <w:t>Annex 1: Appointed chair, vice-chairs, rapporteurs and vice-rapporteurs of ITU-D Study Group 2 Questions for the 2022-2025 study period</w:t>
      </w:r>
    </w:p>
    <w:p w14:paraId="04475D60" w14:textId="77777777" w:rsidR="000B3E0D" w:rsidRPr="00FA4573" w:rsidRDefault="000B3E0D" w:rsidP="000B3E0D">
      <w:pPr>
        <w:spacing w:after="120"/>
        <w:rPr>
          <w:bCs/>
          <w:szCs w:val="24"/>
        </w:rPr>
      </w:pPr>
      <w:r w:rsidRPr="00FA4573">
        <w:rPr>
          <w:b/>
          <w:szCs w:val="24"/>
        </w:rPr>
        <w:t>Table 1A: List of chair and vice-chairs</w:t>
      </w:r>
      <w:r w:rsidRPr="00FA4573">
        <w:rPr>
          <w:bCs/>
          <w:szCs w:val="24"/>
        </w:rPr>
        <w:t xml:space="preserve"> (also available at this </w:t>
      </w:r>
      <w:hyperlink r:id="rId137"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3984" w:type="dxa"/>
        <w:jc w:val="center"/>
        <w:tblCellMar>
          <w:left w:w="0" w:type="dxa"/>
          <w:right w:w="0" w:type="dxa"/>
        </w:tblCellMar>
        <w:tblLook w:val="04A0" w:firstRow="1" w:lastRow="0" w:firstColumn="1" w:lastColumn="0" w:noHBand="0" w:noVBand="1"/>
      </w:tblPr>
      <w:tblGrid>
        <w:gridCol w:w="1124"/>
        <w:gridCol w:w="5771"/>
        <w:gridCol w:w="1182"/>
        <w:gridCol w:w="1183"/>
        <w:gridCol w:w="1182"/>
        <w:gridCol w:w="1183"/>
        <w:gridCol w:w="1186"/>
        <w:gridCol w:w="1173"/>
      </w:tblGrid>
      <w:tr w:rsidR="000B3E0D" w:rsidRPr="00FA4573" w14:paraId="3D706C65" w14:textId="77777777" w:rsidTr="00B76C4C">
        <w:trPr>
          <w:trHeight w:val="293"/>
          <w:jc w:val="center"/>
        </w:trPr>
        <w:tc>
          <w:tcPr>
            <w:tcW w:w="1124"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40D5DAEE" w14:textId="77777777" w:rsidR="000B3E0D" w:rsidRPr="00FA4573" w:rsidRDefault="000B3E0D" w:rsidP="00B76C4C">
            <w:pPr>
              <w:spacing w:before="0"/>
              <w:rPr>
                <w:bCs/>
                <w:sz w:val="22"/>
                <w:szCs w:val="22"/>
              </w:rPr>
            </w:pPr>
          </w:p>
        </w:tc>
        <w:tc>
          <w:tcPr>
            <w:tcW w:w="5771"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673CB8FF" w14:textId="77777777" w:rsidR="000B3E0D" w:rsidRPr="00FA4573" w:rsidRDefault="000B3E0D" w:rsidP="00B76C4C">
            <w:pPr>
              <w:spacing w:before="0"/>
              <w:rPr>
                <w:bCs/>
                <w:sz w:val="22"/>
                <w:szCs w:val="22"/>
              </w:rPr>
            </w:pPr>
            <w:r w:rsidRPr="00FA4573">
              <w:rPr>
                <w:bCs/>
                <w:sz w:val="22"/>
                <w:szCs w:val="22"/>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1F91F4FE" w14:textId="77777777" w:rsidR="000B3E0D" w:rsidRPr="00FA4573" w:rsidRDefault="000B3E0D" w:rsidP="00B76C4C">
            <w:pPr>
              <w:spacing w:before="0"/>
              <w:jc w:val="center"/>
              <w:rPr>
                <w:bCs/>
                <w:sz w:val="22"/>
                <w:szCs w:val="22"/>
              </w:rPr>
            </w:pPr>
            <w:r w:rsidRPr="00FA4573">
              <w:rPr>
                <w:bCs/>
                <w:sz w:val="22"/>
                <w:szCs w:val="22"/>
              </w:rPr>
              <w:t>Attendance</w:t>
            </w:r>
          </w:p>
        </w:tc>
      </w:tr>
      <w:tr w:rsidR="000B3E0D" w:rsidRPr="00FA4573" w14:paraId="377BA91F" w14:textId="77777777" w:rsidTr="00B76C4C">
        <w:trPr>
          <w:trHeight w:val="288"/>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CFB3A68" w14:textId="77777777" w:rsidR="000B3E0D" w:rsidRPr="00FA4573" w:rsidRDefault="000B3E0D" w:rsidP="00B76C4C">
            <w:pPr>
              <w:spacing w:before="0"/>
              <w:rPr>
                <w:bCs/>
                <w:sz w:val="22"/>
                <w:szCs w:val="22"/>
              </w:rPr>
            </w:pPr>
          </w:p>
        </w:tc>
        <w:tc>
          <w:tcPr>
            <w:tcW w:w="5771"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CFC67D8" w14:textId="77777777" w:rsidR="000B3E0D" w:rsidRPr="00FA4573" w:rsidRDefault="000B3E0D" w:rsidP="00B76C4C">
            <w:pPr>
              <w:spacing w:before="0"/>
              <w:rPr>
                <w:bCs/>
                <w:sz w:val="22"/>
                <w:szCs w:val="22"/>
              </w:rPr>
            </w:pPr>
          </w:p>
        </w:tc>
        <w:tc>
          <w:tcPr>
            <w:tcW w:w="1182" w:type="dxa"/>
            <w:tcBorders>
              <w:left w:val="single" w:sz="8" w:space="0" w:color="000000"/>
              <w:bottom w:val="single" w:sz="8" w:space="0" w:color="000000"/>
              <w:right w:val="single" w:sz="8" w:space="0" w:color="000000"/>
            </w:tcBorders>
            <w:shd w:val="clear" w:color="auto" w:fill="C6D9F1"/>
          </w:tcPr>
          <w:p w14:paraId="2A28AEEC" w14:textId="77777777" w:rsidR="000B3E0D" w:rsidRPr="00FA4573" w:rsidRDefault="000B3E0D" w:rsidP="00B76C4C">
            <w:pPr>
              <w:spacing w:before="0"/>
              <w:jc w:val="center"/>
              <w:rPr>
                <w:bCs/>
                <w:sz w:val="22"/>
                <w:szCs w:val="22"/>
              </w:rPr>
            </w:pPr>
            <w:r w:rsidRPr="00FA4573">
              <w:rPr>
                <w:bCs/>
                <w:sz w:val="18"/>
                <w:szCs w:val="18"/>
              </w:rPr>
              <w:t>2022 SG2</w:t>
            </w:r>
          </w:p>
        </w:tc>
        <w:tc>
          <w:tcPr>
            <w:tcW w:w="1183" w:type="dxa"/>
            <w:tcBorders>
              <w:left w:val="single" w:sz="8" w:space="0" w:color="000000"/>
              <w:bottom w:val="single" w:sz="8" w:space="0" w:color="000000"/>
              <w:right w:val="single" w:sz="8" w:space="0" w:color="000000"/>
            </w:tcBorders>
            <w:shd w:val="clear" w:color="auto" w:fill="C6D9F1"/>
          </w:tcPr>
          <w:p w14:paraId="75CB6B79" w14:textId="77777777" w:rsidR="000B3E0D" w:rsidRPr="00FA4573" w:rsidRDefault="000B3E0D" w:rsidP="00B76C4C">
            <w:pPr>
              <w:spacing w:before="0"/>
              <w:jc w:val="center"/>
              <w:rPr>
                <w:bCs/>
                <w:sz w:val="18"/>
                <w:szCs w:val="18"/>
              </w:rPr>
            </w:pPr>
            <w:r w:rsidRPr="00FA4573">
              <w:rPr>
                <w:bCs/>
                <w:sz w:val="18"/>
                <w:szCs w:val="18"/>
              </w:rPr>
              <w:t>2023 RGQ2</w:t>
            </w:r>
          </w:p>
        </w:tc>
        <w:tc>
          <w:tcPr>
            <w:tcW w:w="1182" w:type="dxa"/>
            <w:tcBorders>
              <w:left w:val="single" w:sz="8" w:space="0" w:color="000000"/>
              <w:bottom w:val="single" w:sz="8" w:space="0" w:color="000000"/>
              <w:right w:val="single" w:sz="8" w:space="0" w:color="000000"/>
            </w:tcBorders>
            <w:shd w:val="clear" w:color="auto" w:fill="C6D9F1"/>
          </w:tcPr>
          <w:p w14:paraId="17E6F5B3" w14:textId="77777777" w:rsidR="000B3E0D" w:rsidRPr="00FA4573" w:rsidRDefault="000B3E0D" w:rsidP="00B76C4C">
            <w:pPr>
              <w:spacing w:before="0"/>
              <w:jc w:val="center"/>
              <w:rPr>
                <w:bCs/>
                <w:sz w:val="18"/>
                <w:szCs w:val="18"/>
              </w:rPr>
            </w:pPr>
            <w:r w:rsidRPr="00FA4573">
              <w:rPr>
                <w:bCs/>
                <w:sz w:val="18"/>
                <w:szCs w:val="18"/>
              </w:rPr>
              <w:t>2023 SG2</w:t>
            </w:r>
          </w:p>
        </w:tc>
        <w:tc>
          <w:tcPr>
            <w:tcW w:w="1183" w:type="dxa"/>
            <w:tcBorders>
              <w:left w:val="single" w:sz="8" w:space="0" w:color="000000"/>
              <w:bottom w:val="single" w:sz="8" w:space="0" w:color="000000"/>
              <w:right w:val="single" w:sz="8" w:space="0" w:color="000000"/>
            </w:tcBorders>
            <w:shd w:val="clear" w:color="auto" w:fill="C6D9F1"/>
          </w:tcPr>
          <w:p w14:paraId="126C8782" w14:textId="77777777" w:rsidR="000B3E0D" w:rsidRPr="00FA4573" w:rsidRDefault="000B3E0D" w:rsidP="00B76C4C">
            <w:pPr>
              <w:spacing w:before="0"/>
              <w:jc w:val="center"/>
              <w:rPr>
                <w:bCs/>
                <w:sz w:val="18"/>
                <w:szCs w:val="18"/>
              </w:rPr>
            </w:pPr>
            <w:r w:rsidRPr="00FA4573">
              <w:rPr>
                <w:bCs/>
                <w:sz w:val="18"/>
                <w:szCs w:val="18"/>
              </w:rPr>
              <w:t>202</w:t>
            </w:r>
            <w:r w:rsidRPr="00FA4573">
              <w:rPr>
                <w:bCs/>
                <w:sz w:val="18"/>
                <w:szCs w:val="18"/>
                <w:lang w:eastAsia="ko-KR"/>
              </w:rPr>
              <w:t>4</w:t>
            </w:r>
            <w:r w:rsidRPr="00FA4573">
              <w:rPr>
                <w:bCs/>
                <w:sz w:val="18"/>
                <w:szCs w:val="18"/>
              </w:rPr>
              <w:t xml:space="preserve"> </w:t>
            </w:r>
            <w:r w:rsidRPr="00FA4573">
              <w:rPr>
                <w:bCs/>
                <w:sz w:val="18"/>
                <w:szCs w:val="18"/>
                <w:lang w:eastAsia="ko-KR"/>
              </w:rPr>
              <w:t>RGQ</w:t>
            </w:r>
            <w:r w:rsidRPr="00FA4573">
              <w:rPr>
                <w:bCs/>
                <w:sz w:val="18"/>
                <w:szCs w:val="18"/>
              </w:rPr>
              <w:t>2</w:t>
            </w:r>
          </w:p>
        </w:tc>
        <w:tc>
          <w:tcPr>
            <w:tcW w:w="1186" w:type="dxa"/>
            <w:tcBorders>
              <w:left w:val="single" w:sz="8" w:space="0" w:color="000000"/>
              <w:bottom w:val="single" w:sz="8" w:space="0" w:color="000000"/>
              <w:right w:val="single" w:sz="8" w:space="0" w:color="000000"/>
            </w:tcBorders>
            <w:shd w:val="clear" w:color="auto" w:fill="C6D9F1"/>
          </w:tcPr>
          <w:p w14:paraId="68973188" w14:textId="77777777" w:rsidR="000B3E0D" w:rsidRPr="00FA4573" w:rsidRDefault="000B3E0D" w:rsidP="00B76C4C">
            <w:pPr>
              <w:spacing w:before="0"/>
              <w:jc w:val="center"/>
              <w:rPr>
                <w:bCs/>
                <w:sz w:val="18"/>
                <w:szCs w:val="18"/>
                <w:lang w:eastAsia="ko-KR"/>
              </w:rPr>
            </w:pPr>
            <w:r w:rsidRPr="00FA4573">
              <w:rPr>
                <w:bCs/>
                <w:sz w:val="18"/>
                <w:szCs w:val="18"/>
                <w:lang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0B542E2A" w14:textId="77777777" w:rsidR="000B3E0D" w:rsidRPr="00FA4573" w:rsidRDefault="000B3E0D" w:rsidP="00B76C4C">
            <w:pPr>
              <w:spacing w:before="0"/>
              <w:jc w:val="center"/>
              <w:rPr>
                <w:bCs/>
                <w:sz w:val="18"/>
                <w:szCs w:val="18"/>
                <w:lang w:eastAsia="ko-KR"/>
              </w:rPr>
            </w:pPr>
            <w:r w:rsidRPr="00FA4573">
              <w:rPr>
                <w:bCs/>
                <w:sz w:val="18"/>
                <w:szCs w:val="18"/>
                <w:lang w:eastAsia="ko-KR"/>
              </w:rPr>
              <w:t>202</w:t>
            </w:r>
            <w:r w:rsidRPr="00FA4573">
              <w:rPr>
                <w:rFonts w:eastAsia="Malgun Gothic" w:hint="eastAsia"/>
                <w:bCs/>
                <w:sz w:val="18"/>
                <w:szCs w:val="18"/>
                <w:lang w:eastAsia="ko-KR"/>
              </w:rPr>
              <w:t>5</w:t>
            </w:r>
            <w:r w:rsidRPr="00FA4573">
              <w:rPr>
                <w:bCs/>
                <w:sz w:val="18"/>
                <w:szCs w:val="18"/>
                <w:lang w:eastAsia="ko-KR"/>
              </w:rPr>
              <w:t xml:space="preserve"> SG2</w:t>
            </w:r>
          </w:p>
        </w:tc>
      </w:tr>
      <w:tr w:rsidR="000B3E0D" w:rsidRPr="00FA4573" w14:paraId="783AA9B0" w14:textId="77777777" w:rsidTr="00B76C4C">
        <w:trPr>
          <w:trHeight w:val="16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E13D604" w14:textId="77777777" w:rsidR="000B3E0D" w:rsidRPr="00FA4573" w:rsidRDefault="000B3E0D" w:rsidP="00B76C4C">
            <w:pPr>
              <w:spacing w:before="0"/>
              <w:rPr>
                <w:bCs/>
                <w:sz w:val="22"/>
                <w:szCs w:val="22"/>
              </w:rPr>
            </w:pPr>
            <w:r w:rsidRPr="00FA4573">
              <w:rPr>
                <w:bCs/>
                <w:sz w:val="22"/>
                <w:szCs w:val="22"/>
              </w:rPr>
              <w:t>Chair</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06236D" w14:textId="77777777" w:rsidR="000B3E0D" w:rsidRPr="00FA4573" w:rsidRDefault="000B3E0D" w:rsidP="00B76C4C">
            <w:pPr>
              <w:spacing w:before="0"/>
              <w:rPr>
                <w:bCs/>
                <w:sz w:val="22"/>
                <w:szCs w:val="22"/>
              </w:rPr>
            </w:pPr>
            <w:r w:rsidRPr="00FA4573">
              <w:rPr>
                <w:bCs/>
                <w:sz w:val="22"/>
                <w:szCs w:val="22"/>
              </w:rPr>
              <w:t>Mr Fadel Digham (Egypt)</w:t>
            </w:r>
          </w:p>
        </w:tc>
        <w:tc>
          <w:tcPr>
            <w:tcW w:w="1182" w:type="dxa"/>
            <w:tcBorders>
              <w:top w:val="single" w:sz="8" w:space="0" w:color="000000"/>
              <w:left w:val="single" w:sz="8" w:space="0" w:color="000000"/>
              <w:bottom w:val="single" w:sz="8" w:space="0" w:color="000000"/>
              <w:right w:val="single" w:sz="8" w:space="0" w:color="000000"/>
            </w:tcBorders>
          </w:tcPr>
          <w:p w14:paraId="588A13D8"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44281A10" w14:textId="77777777" w:rsidR="000B3E0D" w:rsidRPr="00FA4573" w:rsidRDefault="000B3E0D" w:rsidP="00B76C4C">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517CB46C"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822808E" w14:textId="77777777" w:rsidR="000B3E0D" w:rsidRPr="00FA4573" w:rsidRDefault="000B3E0D" w:rsidP="00B76C4C">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1EAAA1F4" w14:textId="77777777" w:rsidR="000B3E0D" w:rsidRPr="00FA4573" w:rsidRDefault="000B3E0D" w:rsidP="00B76C4C">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313C35E" w14:textId="77777777" w:rsidR="000B3E0D" w:rsidRPr="00FA4573" w:rsidRDefault="000B3E0D" w:rsidP="00B76C4C">
            <w:pPr>
              <w:spacing w:before="0"/>
              <w:jc w:val="center"/>
              <w:rPr>
                <w:bCs/>
                <w:sz w:val="22"/>
                <w:szCs w:val="22"/>
              </w:rPr>
            </w:pPr>
            <w:r w:rsidRPr="00FA4573">
              <w:rPr>
                <w:bCs/>
                <w:sz w:val="22"/>
                <w:szCs w:val="22"/>
              </w:rPr>
              <w:t>O</w:t>
            </w:r>
          </w:p>
        </w:tc>
      </w:tr>
      <w:tr w:rsidR="000B3E0D" w:rsidRPr="00FA4573" w14:paraId="77478423" w14:textId="77777777" w:rsidTr="00B76C4C">
        <w:trPr>
          <w:trHeight w:val="169"/>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D8CBC25" w14:textId="77777777" w:rsidR="000B3E0D" w:rsidRPr="00FA4573" w:rsidRDefault="000B3E0D" w:rsidP="00B76C4C">
            <w:pPr>
              <w:spacing w:before="0"/>
              <w:rPr>
                <w:bCs/>
                <w:sz w:val="22"/>
                <w:szCs w:val="22"/>
              </w:rPr>
            </w:pPr>
            <w:r w:rsidRPr="00FA4573">
              <w:rPr>
                <w:bCs/>
                <w:sz w:val="22"/>
                <w:szCs w:val="22"/>
              </w:rPr>
              <w:t>Vice-chairs</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1AD759" w14:textId="77777777" w:rsidR="000B3E0D" w:rsidRPr="00FA4573" w:rsidRDefault="000B3E0D" w:rsidP="00B76C4C">
            <w:pPr>
              <w:spacing w:before="0"/>
              <w:contextualSpacing/>
              <w:rPr>
                <w:rFonts w:cstheme="minorHAnsi"/>
                <w:bCs/>
                <w:szCs w:val="24"/>
              </w:rPr>
            </w:pPr>
            <w:r w:rsidRPr="00FA4573">
              <w:rPr>
                <w:rFonts w:eastAsiaTheme="minorEastAsia" w:cstheme="minorHAnsi"/>
                <w:color w:val="000000" w:themeColor="text1"/>
                <w:kern w:val="24"/>
                <w:szCs w:val="24"/>
              </w:rPr>
              <w:t>Mr Hideo Imanaka (Japan)</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6FC42734" w14:textId="77777777" w:rsidR="000B3E0D" w:rsidRPr="00FA4573" w:rsidRDefault="000B3E0D" w:rsidP="00B76C4C">
            <w:pPr>
              <w:spacing w:before="0"/>
              <w:contextualSpacing/>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320E6BB" w14:textId="77777777" w:rsidR="000B3E0D" w:rsidRPr="00FA4573" w:rsidRDefault="000B3E0D" w:rsidP="00B76C4C">
            <w:pPr>
              <w:spacing w:before="0"/>
              <w:contextualSpacing/>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3040830E" w14:textId="77777777" w:rsidR="000B3E0D" w:rsidRPr="00FA4573" w:rsidRDefault="000B3E0D" w:rsidP="00B76C4C">
            <w:pPr>
              <w:spacing w:before="0"/>
              <w:contextualSpacing/>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5F071E0" w14:textId="77777777" w:rsidR="000B3E0D" w:rsidRPr="00FA4573" w:rsidRDefault="000B3E0D" w:rsidP="00B76C4C">
            <w:pPr>
              <w:spacing w:before="0"/>
              <w:contextualSpacing/>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44D6448" w14:textId="77777777" w:rsidR="000B3E0D" w:rsidRPr="00FA4573" w:rsidRDefault="000B3E0D" w:rsidP="00B76C4C">
            <w:pPr>
              <w:spacing w:before="0"/>
              <w:contextualSpacing/>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080D0A0F" w14:textId="77777777" w:rsidR="000B3E0D" w:rsidRPr="00FA4573" w:rsidRDefault="000B3E0D" w:rsidP="00B76C4C">
            <w:pPr>
              <w:spacing w:before="0"/>
              <w:contextualSpacing/>
              <w:jc w:val="center"/>
              <w:rPr>
                <w:bCs/>
                <w:sz w:val="22"/>
                <w:szCs w:val="22"/>
              </w:rPr>
            </w:pPr>
            <w:r w:rsidRPr="00FA4573">
              <w:rPr>
                <w:bCs/>
                <w:sz w:val="22"/>
                <w:szCs w:val="22"/>
              </w:rPr>
              <w:t>O</w:t>
            </w:r>
          </w:p>
        </w:tc>
      </w:tr>
      <w:tr w:rsidR="000B3E0D" w:rsidRPr="00FA4573" w14:paraId="6D809DA4"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DA536BE"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31CC9A"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 xml:space="preserve">Ms Mina Seonmin Jun (Republic of Korea)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F82DE8E"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AA0A050" w14:textId="77777777" w:rsidR="000B3E0D" w:rsidRPr="00FA4573" w:rsidRDefault="000B3E0D" w:rsidP="00B76C4C">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6F32F5C6"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10BAF88" w14:textId="77777777" w:rsidR="000B3E0D" w:rsidRPr="00FA4573" w:rsidRDefault="000B3E0D" w:rsidP="00B76C4C">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0859BEF7"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75FFB2F0" w14:textId="77777777" w:rsidR="000B3E0D" w:rsidRPr="00FA4573" w:rsidRDefault="000B3E0D" w:rsidP="00B76C4C">
            <w:pPr>
              <w:spacing w:before="0"/>
              <w:jc w:val="center"/>
              <w:rPr>
                <w:bCs/>
                <w:sz w:val="22"/>
                <w:szCs w:val="22"/>
              </w:rPr>
            </w:pPr>
            <w:r w:rsidRPr="00FA4573">
              <w:rPr>
                <w:bCs/>
                <w:sz w:val="22"/>
                <w:szCs w:val="22"/>
              </w:rPr>
              <w:t>O</w:t>
            </w:r>
          </w:p>
        </w:tc>
      </w:tr>
      <w:tr w:rsidR="000B3E0D" w:rsidRPr="00FA4573" w14:paraId="219FE59C"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A2C918A"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849CE"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 xml:space="preserve">Mr Tongning Wu (China)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76942240"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2BF2D6DB"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E294EBA"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1BDEDC5" w14:textId="77777777" w:rsidR="000B3E0D" w:rsidRPr="00FA4573" w:rsidRDefault="000B3E0D" w:rsidP="00B76C4C">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5E575AE2" w14:textId="77777777" w:rsidR="000B3E0D" w:rsidRPr="00FA4573" w:rsidRDefault="000B3E0D" w:rsidP="00B76C4C">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58467268" w14:textId="77777777" w:rsidR="000B3E0D" w:rsidRPr="00FA4573" w:rsidRDefault="000B3E0D" w:rsidP="00B76C4C">
            <w:pPr>
              <w:spacing w:before="0"/>
              <w:jc w:val="center"/>
              <w:rPr>
                <w:bCs/>
                <w:sz w:val="22"/>
                <w:szCs w:val="22"/>
              </w:rPr>
            </w:pPr>
            <w:r w:rsidRPr="00FA4573">
              <w:rPr>
                <w:bCs/>
                <w:sz w:val="22"/>
                <w:szCs w:val="22"/>
              </w:rPr>
              <w:t>O</w:t>
            </w:r>
          </w:p>
        </w:tc>
      </w:tr>
      <w:tr w:rsidR="000B3E0D" w:rsidRPr="00FA4573" w14:paraId="58B5D5AC"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E3865BF"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A3FC39" w14:textId="77777777" w:rsidR="000B3E0D" w:rsidRPr="00FA4573" w:rsidRDefault="000B3E0D" w:rsidP="00B76C4C">
            <w:pPr>
              <w:spacing w:before="0"/>
              <w:rPr>
                <w:rFonts w:cstheme="minorHAnsi"/>
                <w:bCs/>
                <w:color w:val="A6A6A6" w:themeColor="background1" w:themeShade="A6"/>
                <w:szCs w:val="24"/>
              </w:rPr>
            </w:pPr>
            <w:r w:rsidRPr="00FA4573">
              <w:rPr>
                <w:rFonts w:eastAsiaTheme="minorEastAsia" w:cstheme="minorHAnsi"/>
                <w:color w:val="000000" w:themeColor="text1"/>
                <w:kern w:val="24"/>
                <w:szCs w:val="24"/>
              </w:rPr>
              <w:t xml:space="preserve">Ms Zainab Ardo (Nigeria)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20FD426"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44A8D8B" w14:textId="77777777" w:rsidR="000B3E0D" w:rsidRPr="00FA4573" w:rsidRDefault="000B3E0D" w:rsidP="00B76C4C">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6B25023B"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5D391A4" w14:textId="77777777" w:rsidR="000B3E0D" w:rsidRPr="00FA4573" w:rsidRDefault="000B3E0D" w:rsidP="00B76C4C">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086EBF7"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73171CB9"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r>
      <w:tr w:rsidR="000B3E0D" w:rsidRPr="00FA4573" w14:paraId="7877DAE7"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2D31A0D"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9B3427"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 xml:space="preserve">Mr Mohamed Lamine Minthe (Guinea)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682C5DF5"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91D7D23" w14:textId="77777777" w:rsidR="000B3E0D" w:rsidRPr="00FA4573" w:rsidRDefault="000B3E0D" w:rsidP="00B76C4C">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4B56683A"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4CE961F8" w14:textId="77777777" w:rsidR="000B3E0D" w:rsidRPr="00FA4573" w:rsidRDefault="000B3E0D" w:rsidP="00B76C4C">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30604C53" w14:textId="77777777" w:rsidR="000B3E0D" w:rsidRPr="00FA4573" w:rsidRDefault="000B3E0D" w:rsidP="00B76C4C">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795CCED6"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r>
      <w:tr w:rsidR="000B3E0D" w:rsidRPr="00FA4573" w14:paraId="054FDDD8"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915D72A"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EC3ADA"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 xml:space="preserve">Mr Víctor Antonio Martínez Sánchez (Paraguay)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129A99CF"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500B6128"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5F9B15E5"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BA3CE47" w14:textId="77777777" w:rsidR="000B3E0D" w:rsidRPr="00FA4573" w:rsidRDefault="000B3E0D" w:rsidP="00B76C4C">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362D5CB3" w14:textId="77777777" w:rsidR="000B3E0D" w:rsidRPr="00FA4573" w:rsidRDefault="000B3E0D" w:rsidP="00B76C4C">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054A0FE1" w14:textId="77777777" w:rsidR="000B3E0D" w:rsidRPr="00FA4573" w:rsidRDefault="000B3E0D" w:rsidP="00B76C4C">
            <w:pPr>
              <w:spacing w:before="0"/>
              <w:jc w:val="center"/>
              <w:rPr>
                <w:bCs/>
                <w:sz w:val="22"/>
                <w:szCs w:val="22"/>
              </w:rPr>
            </w:pPr>
            <w:r w:rsidRPr="00FA4573">
              <w:rPr>
                <w:bCs/>
                <w:sz w:val="22"/>
                <w:szCs w:val="22"/>
              </w:rPr>
              <w:t>O</w:t>
            </w:r>
          </w:p>
        </w:tc>
      </w:tr>
      <w:tr w:rsidR="000B3E0D" w:rsidRPr="00FA4573" w14:paraId="7CFCEAF7"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3FE564C"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418F9B" w14:textId="77777777" w:rsidR="000B3E0D" w:rsidRPr="00FA4573" w:rsidRDefault="000B3E0D" w:rsidP="00B76C4C">
            <w:pPr>
              <w:spacing w:before="0"/>
              <w:rPr>
                <w:rFonts w:cstheme="minorHAnsi"/>
                <w:bCs/>
                <w:i/>
                <w:iCs/>
                <w:szCs w:val="24"/>
              </w:rPr>
            </w:pPr>
            <w:r w:rsidRPr="00FA4573">
              <w:rPr>
                <w:rFonts w:eastAsiaTheme="minorEastAsia" w:cstheme="minorHAnsi"/>
                <w:color w:val="000000" w:themeColor="text1"/>
                <w:kern w:val="24"/>
                <w:szCs w:val="24"/>
              </w:rPr>
              <w:t xml:space="preserve">Mr Dominique Würges (France)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12EF9AA"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22CA5C2" w14:textId="77777777" w:rsidR="000B3E0D" w:rsidRPr="00FA4573" w:rsidRDefault="000B3E0D" w:rsidP="00B76C4C">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05DFC365" w14:textId="77777777" w:rsidR="000B3E0D" w:rsidRPr="00FA4573" w:rsidRDefault="000B3E0D" w:rsidP="00B76C4C">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457B657" w14:textId="77777777" w:rsidR="000B3E0D" w:rsidRPr="00FA4573" w:rsidRDefault="000B3E0D" w:rsidP="00B76C4C">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63FB2574"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34D8D1FF"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r>
      <w:tr w:rsidR="000B3E0D" w:rsidRPr="00FA4573" w14:paraId="1C785A61"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DCF02F0"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078BE" w14:textId="77777777" w:rsidR="000B3E0D" w:rsidRPr="00FA4573" w:rsidRDefault="000B3E0D" w:rsidP="00B76C4C">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Ms Alina Modan (Romania)</w:t>
            </w:r>
          </w:p>
        </w:tc>
        <w:tc>
          <w:tcPr>
            <w:tcW w:w="1182" w:type="dxa"/>
            <w:tcBorders>
              <w:top w:val="single" w:sz="8" w:space="0" w:color="000000"/>
              <w:left w:val="single" w:sz="8" w:space="0" w:color="000000"/>
              <w:bottom w:val="single" w:sz="8" w:space="0" w:color="000000"/>
              <w:right w:val="single" w:sz="8" w:space="0" w:color="000000"/>
            </w:tcBorders>
          </w:tcPr>
          <w:p w14:paraId="6214FCC5" w14:textId="77777777" w:rsidR="000B3E0D" w:rsidRPr="00FA4573" w:rsidRDefault="000B3E0D" w:rsidP="00B76C4C">
            <w:pPr>
              <w:spacing w:before="0"/>
              <w:jc w:val="center"/>
              <w:rPr>
                <w:rFonts w:eastAsiaTheme="minorEastAsia" w:cstheme="minorHAnsi"/>
                <w:color w:val="A6A6A6" w:themeColor="background1" w:themeShade="A6"/>
                <w:kern w:val="24"/>
                <w:szCs w:val="24"/>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5A31F30C" w14:textId="77777777" w:rsidR="000B3E0D" w:rsidRPr="00FA4573" w:rsidRDefault="000B3E0D" w:rsidP="00B76C4C">
            <w:pPr>
              <w:spacing w:before="0"/>
              <w:jc w:val="center"/>
              <w:rPr>
                <w:rFonts w:ascii="Calibri" w:hAnsi="Calibri"/>
                <w:color w:val="A6A6A6" w:themeColor="background1" w:themeShade="A6"/>
                <w:sz w:val="12"/>
                <w:szCs w:val="12"/>
              </w:rPr>
            </w:pPr>
          </w:p>
        </w:tc>
        <w:tc>
          <w:tcPr>
            <w:tcW w:w="4724" w:type="dxa"/>
            <w:gridSpan w:val="4"/>
            <w:tcBorders>
              <w:top w:val="single" w:sz="8" w:space="0" w:color="000000"/>
              <w:left w:val="single" w:sz="8" w:space="0" w:color="000000"/>
              <w:bottom w:val="single" w:sz="8" w:space="0" w:color="000000"/>
              <w:right w:val="single" w:sz="8" w:space="0" w:color="000000"/>
            </w:tcBorders>
          </w:tcPr>
          <w:p w14:paraId="4945F943" w14:textId="77777777" w:rsidR="000B3E0D" w:rsidRPr="00FA4573" w:rsidRDefault="000B3E0D" w:rsidP="00B76C4C">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w:t>
            </w:r>
            <w:r w:rsidRPr="00FA4573">
              <w:rPr>
                <w:rFonts w:ascii="Calibri" w:hAnsi="Calibri"/>
                <w:color w:val="A6A6A6" w:themeColor="background1" w:themeShade="A6"/>
                <w:sz w:val="12"/>
                <w:szCs w:val="12"/>
              </w:rPr>
              <w:br/>
              <w:t>June 2023)</w:t>
            </w:r>
          </w:p>
        </w:tc>
      </w:tr>
      <w:tr w:rsidR="000B3E0D" w:rsidRPr="00FA4573" w14:paraId="79C8E6FD"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0300950"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2263D" w14:textId="77777777" w:rsidR="000B3E0D" w:rsidRPr="00FA4573" w:rsidRDefault="000B3E0D" w:rsidP="00B76C4C">
            <w:pPr>
              <w:spacing w:before="0"/>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47E1ECBE" w14:textId="77777777" w:rsidR="000B3E0D" w:rsidRPr="00FA4573" w:rsidRDefault="000B3E0D" w:rsidP="00B76C4C">
            <w:pPr>
              <w:spacing w:before="0"/>
              <w:jc w:val="center"/>
              <w:rPr>
                <w:rFonts w:ascii="Calibri" w:hAnsi="Calibri"/>
                <w:color w:val="000000"/>
                <w:sz w:val="12"/>
                <w:szCs w:val="12"/>
              </w:rPr>
            </w:pPr>
            <w:r w:rsidRPr="00FA4573">
              <w:rPr>
                <w:rFonts w:ascii="Calibri" w:hAnsi="Calibri"/>
                <w:color w:val="000000"/>
                <w:sz w:val="12"/>
                <w:szCs w:val="12"/>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41441528" w14:textId="77777777" w:rsidR="000B3E0D" w:rsidRPr="00FA4573" w:rsidRDefault="000B3E0D" w:rsidP="00B76C4C">
            <w:pPr>
              <w:spacing w:before="0"/>
              <w:jc w:val="center"/>
              <w:rPr>
                <w:rFonts w:ascii="Calibri" w:hAnsi="Calibri"/>
                <w:color w:val="000000"/>
                <w:sz w:val="12"/>
                <w:szCs w:val="1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BEC7B17" w14:textId="77777777" w:rsidR="000B3E0D" w:rsidRPr="00FA4573" w:rsidRDefault="000B3E0D" w:rsidP="00B76C4C">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A3B2035" w14:textId="77777777" w:rsidR="000B3E0D" w:rsidRPr="00FA4573" w:rsidRDefault="000B3E0D" w:rsidP="00B76C4C">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794F7F05" w14:textId="77777777" w:rsidR="000B3E0D" w:rsidRPr="00FA4573" w:rsidRDefault="000B3E0D" w:rsidP="00B76C4C">
            <w:pPr>
              <w:spacing w:before="0"/>
              <w:jc w:val="center"/>
              <w:rPr>
                <w:bCs/>
                <w:sz w:val="22"/>
                <w:szCs w:val="22"/>
              </w:rPr>
            </w:pPr>
            <w:r w:rsidRPr="00FA4573">
              <w:rPr>
                <w:bCs/>
                <w:sz w:val="22"/>
                <w:szCs w:val="22"/>
              </w:rPr>
              <w:t>O</w:t>
            </w:r>
          </w:p>
        </w:tc>
      </w:tr>
      <w:tr w:rsidR="000B3E0D" w:rsidRPr="00FA4573" w14:paraId="386AE34A" w14:textId="77777777" w:rsidTr="00B76C4C">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B5261A3"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786915" w14:textId="77777777" w:rsidR="000B3E0D" w:rsidRPr="00FA4573" w:rsidRDefault="000B3E0D" w:rsidP="00B76C4C">
            <w:pPr>
              <w:spacing w:before="0"/>
              <w:rPr>
                <w:rFonts w:eastAsia="Malgun Gothic" w:cstheme="minorHAnsi"/>
                <w:color w:val="000000" w:themeColor="text1"/>
                <w:kern w:val="24"/>
                <w:szCs w:val="24"/>
                <w:lang w:eastAsia="ko-KR"/>
              </w:rPr>
            </w:pPr>
            <w:r w:rsidRPr="00FA4573">
              <w:rPr>
                <w:rFonts w:eastAsiaTheme="minorEastAsia" w:cstheme="minorHAnsi"/>
                <w:color w:val="000000" w:themeColor="text1"/>
                <w:kern w:val="24"/>
                <w:szCs w:val="24"/>
              </w:rPr>
              <w:t>Mr Javokhir Aripov</w:t>
            </w:r>
            <w:r w:rsidRPr="00FA4573">
              <w:rPr>
                <w:rFonts w:eastAsia="Malgun Gothic" w:cstheme="minorHAnsi"/>
                <w:color w:val="000000" w:themeColor="text1"/>
                <w:kern w:val="24"/>
                <w:szCs w:val="24"/>
                <w:lang w:eastAsia="ko-KR"/>
              </w:rPr>
              <w:t xml:space="preserve"> </w:t>
            </w:r>
            <w:r w:rsidRPr="00FA4573">
              <w:rPr>
                <w:rFonts w:eastAsiaTheme="minorEastAsia" w:cstheme="minorHAnsi"/>
                <w:color w:val="000000" w:themeColor="text1"/>
                <w:kern w:val="24"/>
                <w:szCs w:val="24"/>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30640D51" w14:textId="77777777" w:rsidR="000B3E0D" w:rsidRPr="00FA4573" w:rsidRDefault="000B3E0D" w:rsidP="00B76C4C">
            <w:pPr>
              <w:spacing w:before="0"/>
              <w:jc w:val="center"/>
              <w:rPr>
                <w:bCs/>
                <w:sz w:val="22"/>
                <w:szCs w:val="22"/>
              </w:rPr>
            </w:pPr>
            <w:r w:rsidRPr="00FA4573">
              <w:rPr>
                <w:rFonts w:ascii="Calibri" w:hAnsi="Calibri"/>
                <w:color w:val="000000"/>
                <w:sz w:val="12"/>
                <w:szCs w:val="12"/>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095FA93B" w14:textId="77777777" w:rsidR="000B3E0D" w:rsidRPr="00FA4573" w:rsidRDefault="000B3E0D" w:rsidP="00B76C4C">
            <w:pPr>
              <w:spacing w:before="0"/>
              <w:jc w:val="center"/>
              <w:rPr>
                <w:bCs/>
                <w:sz w:val="22"/>
                <w:szCs w:val="22"/>
              </w:rPr>
            </w:pPr>
          </w:p>
        </w:tc>
        <w:tc>
          <w:tcPr>
            <w:tcW w:w="1173" w:type="dxa"/>
            <w:tcBorders>
              <w:top w:val="single" w:sz="8" w:space="0" w:color="000000"/>
              <w:left w:val="single" w:sz="8" w:space="0" w:color="000000"/>
              <w:bottom w:val="single" w:sz="8" w:space="0" w:color="000000"/>
              <w:right w:val="single" w:sz="8" w:space="0" w:color="000000"/>
            </w:tcBorders>
          </w:tcPr>
          <w:p w14:paraId="35EBF6E1" w14:textId="77777777" w:rsidR="000B3E0D" w:rsidRPr="00FA4573" w:rsidRDefault="000B3E0D" w:rsidP="00B76C4C">
            <w:pPr>
              <w:spacing w:before="0"/>
              <w:jc w:val="center"/>
              <w:rPr>
                <w:bCs/>
                <w:sz w:val="22"/>
                <w:szCs w:val="22"/>
              </w:rPr>
            </w:pPr>
          </w:p>
        </w:tc>
      </w:tr>
      <w:tr w:rsidR="000B3E0D" w:rsidRPr="00FA4573" w14:paraId="06C75C92" w14:textId="77777777" w:rsidTr="00B76C4C">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79E67A5"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B1603" w14:textId="77777777" w:rsidR="000B3E0D" w:rsidRPr="00FA4573" w:rsidRDefault="000B3E0D" w:rsidP="00B76C4C">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 xml:space="preserve">Mr Diyor Rajabov (Uzbekistan) </w:t>
            </w:r>
            <w:r w:rsidRPr="00FA4573">
              <w:rPr>
                <w:rFonts w:eastAsiaTheme="minorEastAsia" w:cstheme="minorHAnsi"/>
                <w:color w:val="A6A6A6" w:themeColor="background1" w:themeShade="A6"/>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5882850" w14:textId="77777777" w:rsidR="000B3E0D" w:rsidRPr="00FA4573" w:rsidRDefault="000B3E0D" w:rsidP="00B76C4C">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37F59E2" w14:textId="77777777" w:rsidR="000B3E0D" w:rsidRPr="00FA4573" w:rsidRDefault="000B3E0D" w:rsidP="00B76C4C">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17A7FE42" w14:textId="77777777" w:rsidR="000B3E0D" w:rsidRPr="00FA4573" w:rsidRDefault="000B3E0D" w:rsidP="00B76C4C">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2D1E493" w14:textId="77777777" w:rsidR="000B3E0D" w:rsidRPr="00FA4573" w:rsidRDefault="000B3E0D" w:rsidP="00B76C4C">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693A9086" w14:textId="77777777" w:rsidR="000B3E0D" w:rsidRPr="00FA4573" w:rsidRDefault="000B3E0D" w:rsidP="00B76C4C">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September</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264BFE21" w14:textId="77777777" w:rsidTr="00B76C4C">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936F221"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F3B275"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 xml:space="preserve">Mr Mushfig Guluyev (Azerbaijan)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F11FD83"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4037373F"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214F4F9E"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7AAE312B"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07A1377C" w14:textId="77777777" w:rsidR="000B3E0D" w:rsidRPr="00FA4573" w:rsidRDefault="000B3E0D" w:rsidP="00B76C4C">
            <w:pPr>
              <w:spacing w:before="0"/>
              <w:jc w:val="center"/>
              <w:rPr>
                <w:rFonts w:eastAsiaTheme="minorEastAsia" w:cstheme="minorHAnsi"/>
                <w:color w:val="000000" w:themeColor="text1"/>
                <w:kern w:val="24"/>
                <w:szCs w:val="24"/>
              </w:rPr>
            </w:pPr>
          </w:p>
        </w:tc>
        <w:tc>
          <w:tcPr>
            <w:tcW w:w="1173" w:type="dxa"/>
            <w:tcBorders>
              <w:top w:val="single" w:sz="8" w:space="0" w:color="000000"/>
              <w:left w:val="single" w:sz="8" w:space="0" w:color="000000"/>
              <w:bottom w:val="single" w:sz="8" w:space="0" w:color="000000"/>
              <w:right w:val="single" w:sz="8" w:space="0" w:color="000000"/>
            </w:tcBorders>
          </w:tcPr>
          <w:p w14:paraId="4EDA4313" w14:textId="77777777" w:rsidR="000B3E0D" w:rsidRPr="00FA4573" w:rsidRDefault="000B3E0D" w:rsidP="00B76C4C">
            <w:pPr>
              <w:spacing w:before="0"/>
              <w:jc w:val="center"/>
              <w:rPr>
                <w:rFonts w:eastAsiaTheme="minorEastAsia" w:cstheme="minorHAnsi"/>
                <w:color w:val="000000" w:themeColor="text1"/>
                <w:kern w:val="24"/>
                <w:szCs w:val="24"/>
              </w:rPr>
            </w:pPr>
          </w:p>
        </w:tc>
      </w:tr>
      <w:tr w:rsidR="000B3E0D" w:rsidRPr="00FA4573" w14:paraId="589D18C2" w14:textId="77777777" w:rsidTr="00B76C4C">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C6103BE" w14:textId="77777777" w:rsidR="000B3E0D" w:rsidRPr="00FA4573" w:rsidRDefault="000B3E0D" w:rsidP="00B76C4C">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95C00" w14:textId="77777777" w:rsidR="000B3E0D" w:rsidRPr="00FA4573" w:rsidRDefault="000B3E0D" w:rsidP="00B76C4C">
            <w:pPr>
              <w:spacing w:before="0"/>
              <w:rPr>
                <w:rFonts w:cstheme="minorHAnsi"/>
                <w:bCs/>
                <w:szCs w:val="24"/>
              </w:rPr>
            </w:pPr>
            <w:r w:rsidRPr="00FA4573">
              <w:rPr>
                <w:rFonts w:eastAsiaTheme="minorEastAsia" w:cstheme="minorHAnsi"/>
                <w:color w:val="000000" w:themeColor="text1"/>
                <w:kern w:val="24"/>
                <w:szCs w:val="24"/>
              </w:rPr>
              <w:t>Mr Abdelaziz Alzarooni (United Arab Emirates)</w:t>
            </w:r>
          </w:p>
        </w:tc>
        <w:tc>
          <w:tcPr>
            <w:tcW w:w="1182" w:type="dxa"/>
            <w:tcBorders>
              <w:top w:val="single" w:sz="8" w:space="0" w:color="000000"/>
              <w:left w:val="single" w:sz="8" w:space="0" w:color="000000"/>
              <w:bottom w:val="single" w:sz="8" w:space="0" w:color="000000"/>
              <w:right w:val="single" w:sz="8" w:space="0" w:color="000000"/>
            </w:tcBorders>
          </w:tcPr>
          <w:p w14:paraId="6DAB4CE1" w14:textId="77777777" w:rsidR="000B3E0D" w:rsidRPr="00FA4573" w:rsidRDefault="000B3E0D" w:rsidP="00B76C4C">
            <w:pPr>
              <w:spacing w:before="0"/>
              <w:jc w:val="center"/>
              <w:rPr>
                <w:rFonts w:eastAsiaTheme="minorEastAsia" w:cstheme="minorHAnsi"/>
                <w:color w:val="000000" w:themeColor="text1"/>
                <w:kern w:val="24"/>
                <w:szCs w:val="24"/>
              </w:rPr>
            </w:pPr>
          </w:p>
        </w:tc>
        <w:tc>
          <w:tcPr>
            <w:tcW w:w="1183" w:type="dxa"/>
            <w:tcBorders>
              <w:top w:val="single" w:sz="8" w:space="0" w:color="000000"/>
              <w:left w:val="single" w:sz="8" w:space="0" w:color="000000"/>
              <w:bottom w:val="single" w:sz="8" w:space="0" w:color="000000"/>
              <w:right w:val="single" w:sz="8" w:space="0" w:color="000000"/>
            </w:tcBorders>
          </w:tcPr>
          <w:p w14:paraId="5FB14E9E" w14:textId="77777777" w:rsidR="000B3E0D" w:rsidRPr="00FA4573" w:rsidRDefault="000B3E0D" w:rsidP="00B76C4C">
            <w:pPr>
              <w:spacing w:before="0"/>
              <w:jc w:val="center"/>
              <w:rPr>
                <w:rFonts w:eastAsiaTheme="minorEastAsia" w:cstheme="minorHAnsi"/>
                <w:color w:val="000000" w:themeColor="text1"/>
                <w:kern w:val="24"/>
                <w:szCs w:val="24"/>
              </w:rPr>
            </w:pPr>
          </w:p>
        </w:tc>
        <w:tc>
          <w:tcPr>
            <w:tcW w:w="1182" w:type="dxa"/>
            <w:tcBorders>
              <w:top w:val="single" w:sz="8" w:space="0" w:color="000000"/>
              <w:left w:val="single" w:sz="8" w:space="0" w:color="000000"/>
              <w:bottom w:val="single" w:sz="8" w:space="0" w:color="000000"/>
              <w:right w:val="single" w:sz="8" w:space="0" w:color="000000"/>
            </w:tcBorders>
          </w:tcPr>
          <w:p w14:paraId="3021FF68"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35003DD" w14:textId="77777777" w:rsidR="000B3E0D" w:rsidRPr="00FA4573" w:rsidRDefault="000B3E0D" w:rsidP="00B76C4C">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4FB0E8E9" w14:textId="77777777" w:rsidR="000B3E0D" w:rsidRPr="00FA4573" w:rsidRDefault="000B3E0D" w:rsidP="00B76C4C">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50E41241" w14:textId="77777777" w:rsidR="000B3E0D" w:rsidRPr="00474F78" w:rsidRDefault="000B3E0D" w:rsidP="00B76C4C">
            <w:pPr>
              <w:spacing w:before="0"/>
              <w:jc w:val="center"/>
              <w:rPr>
                <w:bCs/>
                <w:sz w:val="22"/>
                <w:szCs w:val="22"/>
                <w:lang w:val="fr-CH"/>
              </w:rPr>
            </w:pPr>
          </w:p>
        </w:tc>
      </w:tr>
    </w:tbl>
    <w:p w14:paraId="1DCBBFD1" w14:textId="77777777" w:rsidR="000B3E0D" w:rsidRPr="00FA4573" w:rsidRDefault="000B3E0D" w:rsidP="000B3E0D">
      <w:pPr>
        <w:spacing w:before="240" w:after="120"/>
        <w:rPr>
          <w:bCs/>
          <w:szCs w:val="24"/>
        </w:rPr>
      </w:pPr>
      <w:r w:rsidRPr="00FA4573">
        <w:rPr>
          <w:b/>
          <w:szCs w:val="24"/>
        </w:rPr>
        <w:t>Table 2A: List of (co-)rapporteurs and vice-rapporteurs</w:t>
      </w:r>
      <w:r w:rsidRPr="00FA4573">
        <w:rPr>
          <w:bCs/>
          <w:szCs w:val="24"/>
        </w:rPr>
        <w:t xml:space="preserve"> (also available at this </w:t>
      </w:r>
      <w:hyperlink r:id="rId138"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5025" w:type="dxa"/>
        <w:jc w:val="center"/>
        <w:tblLayout w:type="fixed"/>
        <w:tblLook w:val="04A0" w:firstRow="1" w:lastRow="0" w:firstColumn="1" w:lastColumn="0" w:noHBand="0" w:noVBand="1"/>
      </w:tblPr>
      <w:tblGrid>
        <w:gridCol w:w="1408"/>
        <w:gridCol w:w="1850"/>
        <w:gridCol w:w="2554"/>
        <w:gridCol w:w="1789"/>
        <w:gridCol w:w="1843"/>
        <w:gridCol w:w="1335"/>
        <w:gridCol w:w="697"/>
        <w:gridCol w:w="713"/>
        <w:gridCol w:w="711"/>
        <w:gridCol w:w="708"/>
        <w:gridCol w:w="708"/>
        <w:gridCol w:w="709"/>
      </w:tblGrid>
      <w:tr w:rsidR="000B3E0D" w:rsidRPr="00FA4573" w14:paraId="60B08393" w14:textId="77777777" w:rsidTr="00B76C4C">
        <w:trPr>
          <w:trHeight w:val="372"/>
          <w:tblHeader/>
          <w:jc w:val="center"/>
        </w:trPr>
        <w:tc>
          <w:tcPr>
            <w:tcW w:w="1408" w:type="dxa"/>
            <w:vMerge w:val="restart"/>
            <w:tcBorders>
              <w:top w:val="single" w:sz="4" w:space="0" w:color="9BC2E6"/>
              <w:left w:val="nil"/>
              <w:right w:val="nil"/>
            </w:tcBorders>
            <w:shd w:val="clear" w:color="5B9BD5" w:fill="5B9BD5"/>
            <w:hideMark/>
          </w:tcPr>
          <w:p w14:paraId="2C8A79A3"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Question </w:t>
            </w:r>
          </w:p>
        </w:tc>
        <w:tc>
          <w:tcPr>
            <w:tcW w:w="1850" w:type="dxa"/>
            <w:vMerge w:val="restart"/>
            <w:tcBorders>
              <w:top w:val="single" w:sz="4" w:space="0" w:color="9BC2E6"/>
              <w:left w:val="nil"/>
              <w:right w:val="nil"/>
            </w:tcBorders>
            <w:shd w:val="clear" w:color="5B9BD5" w:fill="5B9BD5"/>
            <w:hideMark/>
          </w:tcPr>
          <w:p w14:paraId="57692B58"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Role </w:t>
            </w:r>
          </w:p>
        </w:tc>
        <w:tc>
          <w:tcPr>
            <w:tcW w:w="2554" w:type="dxa"/>
            <w:vMerge w:val="restart"/>
            <w:tcBorders>
              <w:top w:val="single" w:sz="4" w:space="0" w:color="9BC2E6"/>
              <w:left w:val="nil"/>
              <w:right w:val="nil"/>
            </w:tcBorders>
            <w:shd w:val="clear" w:color="5B9BD5" w:fill="5B9BD5"/>
            <w:hideMark/>
          </w:tcPr>
          <w:p w14:paraId="78B0B398"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Name of candidate</w:t>
            </w:r>
          </w:p>
        </w:tc>
        <w:tc>
          <w:tcPr>
            <w:tcW w:w="1789" w:type="dxa"/>
            <w:vMerge w:val="restart"/>
            <w:tcBorders>
              <w:top w:val="single" w:sz="4" w:space="0" w:color="9BC2E6"/>
              <w:left w:val="nil"/>
              <w:right w:val="nil"/>
            </w:tcBorders>
            <w:shd w:val="clear" w:color="5B9BD5" w:fill="5B9BD5"/>
            <w:hideMark/>
          </w:tcPr>
          <w:p w14:paraId="2DE6CC40" w14:textId="77777777" w:rsidR="000B3E0D" w:rsidRPr="00FA4573" w:rsidRDefault="000B3E0D" w:rsidP="00B76C4C">
            <w:pPr>
              <w:overflowPunct/>
              <w:autoSpaceDE/>
              <w:autoSpaceDN/>
              <w:snapToGrid w:val="0"/>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Organisation </w:t>
            </w:r>
          </w:p>
        </w:tc>
        <w:tc>
          <w:tcPr>
            <w:tcW w:w="1843" w:type="dxa"/>
            <w:vMerge w:val="restart"/>
            <w:tcBorders>
              <w:top w:val="single" w:sz="4" w:space="0" w:color="9BC2E6"/>
              <w:left w:val="nil"/>
              <w:right w:val="nil"/>
            </w:tcBorders>
            <w:shd w:val="clear" w:color="5B9BD5" w:fill="5B9BD5"/>
            <w:hideMark/>
          </w:tcPr>
          <w:p w14:paraId="0A367ACF"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Country</w:t>
            </w:r>
          </w:p>
        </w:tc>
        <w:tc>
          <w:tcPr>
            <w:tcW w:w="1335" w:type="dxa"/>
            <w:vMerge w:val="restart"/>
            <w:tcBorders>
              <w:top w:val="single" w:sz="4" w:space="0" w:color="9BC2E6"/>
              <w:left w:val="nil"/>
              <w:right w:val="single" w:sz="4" w:space="0" w:color="9BC2E6"/>
            </w:tcBorders>
            <w:shd w:val="clear" w:color="5B9BD5" w:fill="5B9BD5"/>
            <w:hideMark/>
          </w:tcPr>
          <w:p w14:paraId="67121C95" w14:textId="77777777" w:rsidR="000B3E0D" w:rsidRPr="00FA4573" w:rsidRDefault="000B3E0D" w:rsidP="00B76C4C">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Region</w:t>
            </w:r>
          </w:p>
        </w:tc>
        <w:tc>
          <w:tcPr>
            <w:tcW w:w="4246" w:type="dxa"/>
            <w:gridSpan w:val="6"/>
            <w:tcBorders>
              <w:top w:val="single" w:sz="4" w:space="0" w:color="9BC2E6"/>
              <w:left w:val="nil"/>
              <w:bottom w:val="single" w:sz="4" w:space="0" w:color="9BC2E6"/>
              <w:right w:val="single" w:sz="4" w:space="0" w:color="9BC2E6"/>
            </w:tcBorders>
            <w:shd w:val="clear" w:color="5B9BD5" w:fill="5B9BD5"/>
          </w:tcPr>
          <w:p w14:paraId="3CDF619C" w14:textId="77777777" w:rsidR="000B3E0D" w:rsidRPr="00FA4573" w:rsidRDefault="000B3E0D" w:rsidP="00B76C4C">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Attendance</w:t>
            </w:r>
          </w:p>
        </w:tc>
      </w:tr>
      <w:tr w:rsidR="000B3E0D" w:rsidRPr="00FA4573" w14:paraId="4CB7D4C8" w14:textId="77777777" w:rsidTr="00B76C4C">
        <w:trPr>
          <w:trHeight w:val="372"/>
          <w:tblHeader/>
          <w:jc w:val="center"/>
        </w:trPr>
        <w:tc>
          <w:tcPr>
            <w:tcW w:w="1408" w:type="dxa"/>
            <w:vMerge/>
            <w:tcBorders>
              <w:left w:val="nil"/>
              <w:bottom w:val="single" w:sz="4" w:space="0" w:color="9BC2E6"/>
              <w:right w:val="nil"/>
            </w:tcBorders>
            <w:shd w:val="clear" w:color="5B9BD5" w:fill="5B9BD5"/>
          </w:tcPr>
          <w:p w14:paraId="6EB47970"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p>
        </w:tc>
        <w:tc>
          <w:tcPr>
            <w:tcW w:w="1850" w:type="dxa"/>
            <w:vMerge/>
            <w:tcBorders>
              <w:left w:val="nil"/>
              <w:right w:val="nil"/>
            </w:tcBorders>
            <w:shd w:val="clear" w:color="5B9BD5" w:fill="5B9BD5"/>
          </w:tcPr>
          <w:p w14:paraId="1CA3B221"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p>
        </w:tc>
        <w:tc>
          <w:tcPr>
            <w:tcW w:w="2554" w:type="dxa"/>
            <w:vMerge/>
            <w:tcBorders>
              <w:left w:val="nil"/>
              <w:bottom w:val="single" w:sz="4" w:space="0" w:color="9BC2E6"/>
              <w:right w:val="nil"/>
            </w:tcBorders>
            <w:shd w:val="clear" w:color="5B9BD5" w:fill="5B9BD5"/>
          </w:tcPr>
          <w:p w14:paraId="4EF559F4"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p>
        </w:tc>
        <w:tc>
          <w:tcPr>
            <w:tcW w:w="1789" w:type="dxa"/>
            <w:vMerge/>
            <w:tcBorders>
              <w:left w:val="nil"/>
              <w:bottom w:val="single" w:sz="4" w:space="0" w:color="9BC2E6"/>
              <w:right w:val="nil"/>
            </w:tcBorders>
            <w:shd w:val="clear" w:color="5B9BD5" w:fill="5B9BD5"/>
          </w:tcPr>
          <w:p w14:paraId="3588C7CC" w14:textId="77777777" w:rsidR="000B3E0D" w:rsidRPr="00FA4573" w:rsidRDefault="000B3E0D" w:rsidP="00B76C4C">
            <w:pPr>
              <w:overflowPunct/>
              <w:autoSpaceDE/>
              <w:autoSpaceDN/>
              <w:snapToGrid w:val="0"/>
              <w:spacing w:before="40" w:after="40"/>
              <w:textAlignment w:val="auto"/>
              <w:rPr>
                <w:rFonts w:ascii="Calibri" w:hAnsi="Calibri"/>
                <w:b/>
                <w:bCs/>
                <w:color w:val="FFFFFF"/>
                <w:sz w:val="20"/>
                <w:lang w:eastAsia="zh-CN"/>
              </w:rPr>
            </w:pPr>
          </w:p>
        </w:tc>
        <w:tc>
          <w:tcPr>
            <w:tcW w:w="1843" w:type="dxa"/>
            <w:vMerge/>
            <w:tcBorders>
              <w:left w:val="nil"/>
              <w:bottom w:val="single" w:sz="4" w:space="0" w:color="9BC2E6"/>
              <w:right w:val="nil"/>
            </w:tcBorders>
            <w:shd w:val="clear" w:color="5B9BD5" w:fill="5B9BD5"/>
          </w:tcPr>
          <w:p w14:paraId="5B65B500" w14:textId="77777777" w:rsidR="000B3E0D" w:rsidRPr="00FA4573" w:rsidRDefault="000B3E0D" w:rsidP="00B76C4C">
            <w:pPr>
              <w:overflowPunct/>
              <w:autoSpaceDE/>
              <w:autoSpaceDN/>
              <w:adjustRightInd/>
              <w:spacing w:before="40" w:after="40"/>
              <w:textAlignment w:val="auto"/>
              <w:rPr>
                <w:rFonts w:ascii="Calibri" w:hAnsi="Calibri"/>
                <w:b/>
                <w:bCs/>
                <w:color w:val="FFFFFF"/>
                <w:sz w:val="20"/>
                <w:lang w:eastAsia="zh-CN"/>
              </w:rPr>
            </w:pPr>
          </w:p>
        </w:tc>
        <w:tc>
          <w:tcPr>
            <w:tcW w:w="1335" w:type="dxa"/>
            <w:vMerge/>
            <w:tcBorders>
              <w:left w:val="nil"/>
              <w:bottom w:val="single" w:sz="4" w:space="0" w:color="9BC2E6"/>
              <w:right w:val="single" w:sz="4" w:space="0" w:color="9BC2E6"/>
            </w:tcBorders>
            <w:shd w:val="clear" w:color="5B9BD5" w:fill="5B9BD5"/>
          </w:tcPr>
          <w:p w14:paraId="67DD9D4F" w14:textId="77777777" w:rsidR="000B3E0D" w:rsidRPr="00FA4573" w:rsidRDefault="000B3E0D" w:rsidP="00B76C4C">
            <w:pPr>
              <w:overflowPunct/>
              <w:autoSpaceDE/>
              <w:autoSpaceDN/>
              <w:adjustRightInd/>
              <w:spacing w:before="40" w:after="40"/>
              <w:jc w:val="center"/>
              <w:textAlignment w:val="auto"/>
              <w:rPr>
                <w:rFonts w:ascii="Calibri" w:hAnsi="Calibri"/>
                <w:b/>
                <w:bCs/>
                <w:color w:val="FFFFFF"/>
                <w:sz w:val="20"/>
                <w:lang w:eastAsia="zh-CN"/>
              </w:rPr>
            </w:pPr>
          </w:p>
        </w:tc>
        <w:tc>
          <w:tcPr>
            <w:tcW w:w="697" w:type="dxa"/>
            <w:tcBorders>
              <w:top w:val="single" w:sz="4" w:space="0" w:color="9BC2E6"/>
              <w:left w:val="nil"/>
              <w:bottom w:val="single" w:sz="4" w:space="0" w:color="9BC2E6"/>
              <w:right w:val="single" w:sz="4" w:space="0" w:color="9BC2E6"/>
            </w:tcBorders>
            <w:shd w:val="clear" w:color="auto" w:fill="5B9BD5"/>
          </w:tcPr>
          <w:p w14:paraId="3BE8D783" w14:textId="77777777" w:rsidR="000B3E0D" w:rsidRPr="00FA4573" w:rsidRDefault="000B3E0D" w:rsidP="00B76C4C">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2022</w:t>
            </w:r>
            <w:r w:rsidRPr="00FA4573">
              <w:rPr>
                <w:bCs/>
                <w:color w:val="FFFFFF" w:themeColor="background1"/>
                <w:sz w:val="20"/>
              </w:rPr>
              <w:br/>
              <w:t>SG2</w:t>
            </w:r>
          </w:p>
        </w:tc>
        <w:tc>
          <w:tcPr>
            <w:tcW w:w="713" w:type="dxa"/>
            <w:tcBorders>
              <w:top w:val="single" w:sz="4" w:space="0" w:color="9BC2E6"/>
              <w:left w:val="nil"/>
              <w:bottom w:val="single" w:sz="4" w:space="0" w:color="9BC2E6"/>
              <w:right w:val="single" w:sz="4" w:space="0" w:color="9BC2E6"/>
            </w:tcBorders>
            <w:shd w:val="clear" w:color="auto" w:fill="5B9BD5"/>
          </w:tcPr>
          <w:p w14:paraId="6EA08112" w14:textId="77777777" w:rsidR="000B3E0D" w:rsidRPr="00FA4573" w:rsidRDefault="000B3E0D" w:rsidP="00B76C4C">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2023</w:t>
            </w:r>
            <w:r w:rsidRPr="00FA4573">
              <w:rPr>
                <w:bCs/>
                <w:color w:val="FFFFFF" w:themeColor="background1"/>
                <w:sz w:val="20"/>
              </w:rPr>
              <w:br/>
              <w:t>RGQ2</w:t>
            </w:r>
          </w:p>
        </w:tc>
        <w:tc>
          <w:tcPr>
            <w:tcW w:w="711" w:type="dxa"/>
            <w:tcBorders>
              <w:top w:val="single" w:sz="4" w:space="0" w:color="9BC2E6"/>
              <w:left w:val="nil"/>
              <w:bottom w:val="single" w:sz="4" w:space="0" w:color="9BC2E6"/>
              <w:right w:val="single" w:sz="4" w:space="0" w:color="9BC2E6"/>
            </w:tcBorders>
            <w:shd w:val="clear" w:color="auto" w:fill="5B9BD5"/>
          </w:tcPr>
          <w:p w14:paraId="1E84907E" w14:textId="77777777" w:rsidR="000B3E0D" w:rsidRPr="00FA4573" w:rsidRDefault="000B3E0D" w:rsidP="00B76C4C">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2023 SG2</w:t>
            </w:r>
          </w:p>
        </w:tc>
        <w:tc>
          <w:tcPr>
            <w:tcW w:w="708" w:type="dxa"/>
            <w:tcBorders>
              <w:top w:val="single" w:sz="4" w:space="0" w:color="9BC2E6"/>
              <w:left w:val="nil"/>
              <w:bottom w:val="single" w:sz="4" w:space="0" w:color="9BC2E6"/>
              <w:right w:val="single" w:sz="4" w:space="0" w:color="9BC2E6"/>
            </w:tcBorders>
            <w:shd w:val="clear" w:color="auto" w:fill="5B9BD5"/>
          </w:tcPr>
          <w:p w14:paraId="5EA7FC7A" w14:textId="77777777" w:rsidR="000B3E0D" w:rsidRPr="00FA4573" w:rsidRDefault="000B3E0D" w:rsidP="00B76C4C">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w:t>
            </w:r>
            <w:r w:rsidRPr="00FA4573">
              <w:rPr>
                <w:bCs/>
                <w:color w:val="FFFFFF" w:themeColor="background1"/>
                <w:sz w:val="20"/>
                <w:lang w:eastAsia="ko-KR"/>
              </w:rPr>
              <w:t>4</w:t>
            </w:r>
            <w:r w:rsidRPr="00FA4573">
              <w:rPr>
                <w:bCs/>
                <w:color w:val="FFFFFF" w:themeColor="background1"/>
                <w:sz w:val="20"/>
              </w:rPr>
              <w:t xml:space="preserve"> </w:t>
            </w:r>
            <w:r w:rsidRPr="00FA4573">
              <w:rPr>
                <w:bCs/>
                <w:color w:val="FFFFFF" w:themeColor="background1"/>
                <w:sz w:val="20"/>
                <w:lang w:eastAsia="ko-KR"/>
              </w:rPr>
              <w:t>RGQ</w:t>
            </w:r>
            <w:r w:rsidRPr="00FA4573">
              <w:rPr>
                <w:bCs/>
                <w:color w:val="FFFFFF" w:themeColor="background1"/>
                <w:sz w:val="20"/>
              </w:rPr>
              <w:t>2</w:t>
            </w:r>
          </w:p>
        </w:tc>
        <w:tc>
          <w:tcPr>
            <w:tcW w:w="708" w:type="dxa"/>
            <w:tcBorders>
              <w:top w:val="single" w:sz="4" w:space="0" w:color="9BC2E6"/>
              <w:left w:val="nil"/>
              <w:bottom w:val="single" w:sz="4" w:space="0" w:color="9BC2E6"/>
              <w:right w:val="single" w:sz="4" w:space="0" w:color="9BC2E6"/>
            </w:tcBorders>
            <w:shd w:val="clear" w:color="auto" w:fill="5B9BD5"/>
          </w:tcPr>
          <w:p w14:paraId="6D8DB1D4" w14:textId="77777777" w:rsidR="000B3E0D" w:rsidRPr="00FA4573" w:rsidRDefault="000B3E0D" w:rsidP="00B76C4C">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2024SG2</w:t>
            </w:r>
          </w:p>
        </w:tc>
        <w:tc>
          <w:tcPr>
            <w:tcW w:w="709" w:type="dxa"/>
            <w:tcBorders>
              <w:top w:val="single" w:sz="4" w:space="0" w:color="9BC2E6"/>
              <w:left w:val="nil"/>
              <w:bottom w:val="single" w:sz="4" w:space="0" w:color="9BC2E6"/>
              <w:right w:val="single" w:sz="4" w:space="0" w:color="9BC2E6"/>
            </w:tcBorders>
            <w:shd w:val="clear" w:color="auto" w:fill="5B9BD5"/>
          </w:tcPr>
          <w:p w14:paraId="6FEC063A" w14:textId="77777777" w:rsidR="000B3E0D" w:rsidRPr="00FA4573" w:rsidRDefault="000B3E0D" w:rsidP="00B76C4C">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w:t>
            </w:r>
            <w:r w:rsidRPr="00FA4573">
              <w:rPr>
                <w:rFonts w:eastAsia="Malgun Gothic" w:hint="eastAsia"/>
                <w:bCs/>
                <w:color w:val="FFFFFF" w:themeColor="background1"/>
                <w:sz w:val="20"/>
                <w:lang w:eastAsia="ko-KR"/>
              </w:rPr>
              <w:t>5</w:t>
            </w:r>
            <w:r w:rsidRPr="00FA4573">
              <w:rPr>
                <w:bCs/>
                <w:color w:val="FFFFFF" w:themeColor="background1"/>
                <w:sz w:val="20"/>
                <w:lang w:eastAsia="ko-KR"/>
              </w:rPr>
              <w:t>SG2</w:t>
            </w:r>
          </w:p>
        </w:tc>
      </w:tr>
      <w:tr w:rsidR="000B3E0D" w:rsidRPr="00FA4573" w14:paraId="4DB0BFB2" w14:textId="77777777" w:rsidTr="00B76C4C">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36AE44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6C48002"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6FD57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Mr Yétondji HOUEYETONGNON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C5D497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D8313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E52D20"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000000"/>
                <w:sz w:val="20"/>
              </w:rPr>
              <w:t>Africa</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01012A" w14:textId="77777777" w:rsidR="000B3E0D" w:rsidRPr="00FA4573" w:rsidRDefault="000B3E0D" w:rsidP="00B76C4C">
            <w:pPr>
              <w:spacing w:before="40" w:after="40"/>
              <w:jc w:val="center"/>
              <w:rPr>
                <w:rFonts w:ascii="Calibri" w:hAnsi="Calibri"/>
                <w:sz w:val="20"/>
              </w:rPr>
            </w:pPr>
            <w:r w:rsidRPr="00FA4573">
              <w:rPr>
                <w:rFonts w:ascii="Calibri" w:hAnsi="Calibri"/>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96683E" w14:textId="77777777" w:rsidR="000B3E0D" w:rsidRPr="00FA4573" w:rsidRDefault="000B3E0D" w:rsidP="00B76C4C">
            <w:pPr>
              <w:spacing w:before="40" w:after="40"/>
              <w:jc w:val="center"/>
              <w:rPr>
                <w:rFonts w:ascii="Calibri" w:hAnsi="Calibri"/>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E2A175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FCF734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871802" w14:textId="77777777" w:rsidR="000B3E0D" w:rsidRPr="00474F78" w:rsidRDefault="000B3E0D" w:rsidP="00B76C4C">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r>
      <w:tr w:rsidR="000B3E0D" w:rsidRPr="00FA4573" w14:paraId="1C4D3BB0" w14:textId="77777777" w:rsidTr="00B76C4C">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B6E7A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3E0EEC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34C8E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Javokhir ARIPOV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0BBE0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86CFD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E134A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AD4BDF" w14:textId="77777777" w:rsidR="000B3E0D" w:rsidRPr="00FA4573" w:rsidRDefault="000B3E0D" w:rsidP="00B76C4C">
            <w:pPr>
              <w:spacing w:before="40" w:after="40"/>
              <w:jc w:val="center"/>
              <w:rPr>
                <w:rFonts w:ascii="Calibri" w:hAnsi="Calibri"/>
                <w:sz w:val="14"/>
                <w:szCs w:val="14"/>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344911D"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87FDCFA"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40C5B1F6" w14:textId="77777777" w:rsidTr="00B76C4C">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F792BF"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9C591F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7E6043"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Diyor RAJABOV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A3FE3E0"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15D3D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6C427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43F5A0C" w14:textId="77777777" w:rsidR="000B3E0D" w:rsidRPr="00FA4573" w:rsidRDefault="000B3E0D" w:rsidP="00B76C4C">
            <w:pPr>
              <w:spacing w:before="40" w:after="40"/>
              <w:jc w:val="center"/>
              <w:rPr>
                <w:rFonts w:ascii="Calibri" w:hAnsi="Calibri"/>
                <w:color w:val="A6A6A6" w:themeColor="background1" w:themeShade="A6"/>
                <w:sz w:val="14"/>
                <w:szCs w:val="14"/>
              </w:rPr>
            </w:pPr>
            <w:r w:rsidRPr="00FA4573">
              <w:rPr>
                <w:rFonts w:ascii="Calibri" w:hAnsi="Calibri"/>
                <w:color w:val="A6A6A6" w:themeColor="background1" w:themeShade="A6"/>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6E77BE"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F497C1"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6E97E3"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46382548" w14:textId="77777777" w:rsidTr="00B76C4C">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4903A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B1F17D5"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2E21654" w14:textId="77777777" w:rsidR="000B3E0D" w:rsidRPr="00FA4573" w:rsidRDefault="000B3E0D" w:rsidP="00B76C4C">
            <w:pPr>
              <w:spacing w:before="40" w:after="40"/>
              <w:rPr>
                <w:rFonts w:ascii="Calibri" w:hAnsi="Calibri"/>
                <w:color w:val="A6A6A6" w:themeColor="background1" w:themeShade="A6"/>
                <w:sz w:val="20"/>
                <w:lang w:val="fr-FR"/>
              </w:rPr>
            </w:pPr>
            <w:r w:rsidRPr="00FA4573">
              <w:rPr>
                <w:rFonts w:ascii="Calibri" w:hAnsi="Calibri"/>
                <w:color w:val="A6A6A6" w:themeColor="background1" w:themeShade="A6"/>
                <w:sz w:val="20"/>
                <w:lang w:val="fr-FR"/>
              </w:rPr>
              <w:t>Ms Fifatin Carrelle Lucrèce TOHO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7F671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A2974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89241ED"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F817B6" w14:textId="77777777" w:rsidR="000B3E0D" w:rsidRPr="00FA4573" w:rsidRDefault="000B3E0D" w:rsidP="00B76C4C">
            <w:pPr>
              <w:spacing w:before="40" w:after="40"/>
              <w:jc w:val="center"/>
              <w:rPr>
                <w:rFonts w:ascii="Calibri" w:hAnsi="Calibri"/>
                <w:color w:val="A6A6A6" w:themeColor="background1" w:themeShade="A6"/>
                <w:sz w:val="20"/>
              </w:rPr>
            </w:pPr>
          </w:p>
        </w:tc>
        <w:tc>
          <w:tcPr>
            <w:tcW w:w="3549"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B274D0"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April 2023)</w:t>
            </w:r>
          </w:p>
        </w:tc>
      </w:tr>
      <w:tr w:rsidR="000B3E0D" w:rsidRPr="00FA4573" w14:paraId="20FD2C94" w14:textId="77777777" w:rsidTr="00B76C4C">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FB0D3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3659C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1E479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Mory KOUROUMA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AE073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58614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991B3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B5E3D3"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F1DD23"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BD4621"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384597"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D29762"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066929" w14:textId="77777777" w:rsidR="000B3E0D" w:rsidRPr="00FA4573" w:rsidRDefault="000B3E0D" w:rsidP="00B76C4C">
            <w:pPr>
              <w:spacing w:before="40" w:after="40"/>
              <w:jc w:val="center"/>
              <w:rPr>
                <w:rFonts w:ascii="Calibri" w:hAnsi="Calibri"/>
                <w:color w:val="000000"/>
                <w:sz w:val="20"/>
              </w:rPr>
            </w:pPr>
          </w:p>
        </w:tc>
      </w:tr>
      <w:tr w:rsidR="000B3E0D" w:rsidRPr="00FA4573" w14:paraId="6E9B9614" w14:textId="77777777" w:rsidTr="00B76C4C">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A3E5B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B0369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2AC63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Seydou DIARRA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0264B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DEF10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D0D7D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4D4C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92C9C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54A79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AD6DAB"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552CF6"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AAAC2A"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71AFB85B"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D980C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2DB0A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DEBB2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Mariéme Thiam NDOUR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EA1E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5619D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Senegal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2A682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E9B31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87A7C2"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3B9EBC"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45634C"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FF1BA6"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D47C42" w14:textId="77777777" w:rsidR="000B3E0D" w:rsidRPr="00FA4573" w:rsidRDefault="000B3E0D" w:rsidP="00B76C4C">
            <w:pPr>
              <w:spacing w:before="40" w:after="40"/>
              <w:jc w:val="center"/>
              <w:rPr>
                <w:rFonts w:ascii="Calibri" w:hAnsi="Calibri"/>
                <w:color w:val="000000"/>
                <w:sz w:val="20"/>
              </w:rPr>
            </w:pPr>
          </w:p>
        </w:tc>
      </w:tr>
      <w:tr w:rsidR="000B3E0D" w:rsidRPr="00FA4573" w14:paraId="36AC0975"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D4066B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AB1EE8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18556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Paulette HERNANDEZ</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906E1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DD1C6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396D13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E5F1E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7DA4C6"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271DD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AFA54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638FA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A8F66"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97E2CB7"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0F39956"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C4E24D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E78F69"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Cai CHEN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A75B5E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D03FC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02C6FFF"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D138EB" w14:textId="77777777" w:rsidR="000B3E0D" w:rsidRPr="00FA4573" w:rsidRDefault="000B3E0D" w:rsidP="00B76C4C">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815A73" w14:textId="77777777" w:rsidR="000B3E0D" w:rsidRPr="00FA4573" w:rsidRDefault="000B3E0D" w:rsidP="00B76C4C">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77D628" w14:textId="77777777" w:rsidR="000B3E0D" w:rsidRPr="00FA4573" w:rsidRDefault="000B3E0D" w:rsidP="00B76C4C">
            <w:pPr>
              <w:spacing w:before="40" w:after="40"/>
              <w:jc w:val="center"/>
              <w:rPr>
                <w:rFonts w:ascii="Calibri" w:hAnsi="Calibri"/>
                <w:color w:val="A6A6A6" w:themeColor="background1" w:themeShade="A6"/>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5F70FC"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March</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6AF236FA"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86590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120E4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BA7E2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w:t>
            </w:r>
            <w:r w:rsidRPr="00FA4573">
              <w:rPr>
                <w:rFonts w:ascii="Calibri" w:hAnsi="Calibri"/>
                <w:color w:val="000000"/>
                <w:sz w:val="20"/>
                <w:lang w:eastAsia="ko-KR"/>
              </w:rPr>
              <w:t>s</w:t>
            </w:r>
            <w:r w:rsidRPr="00FA4573">
              <w:rPr>
                <w:rFonts w:ascii="Calibri" w:hAnsi="Calibri"/>
                <w:color w:val="000000"/>
                <w:sz w:val="20"/>
              </w:rPr>
              <w:t xml:space="preserve"> Ying CUI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8584A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3E5A7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20C39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FB910D"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F897D6" w14:textId="77777777" w:rsidR="000B3E0D" w:rsidRPr="00FA4573" w:rsidRDefault="000B3E0D" w:rsidP="00B76C4C">
            <w:pPr>
              <w:spacing w:before="40" w:after="40"/>
              <w:jc w:val="center"/>
              <w:rPr>
                <w:rFonts w:ascii="Calibri" w:hAnsi="Calibri"/>
                <w:color w:val="A6A6A6" w:themeColor="background1" w:themeShade="A6"/>
                <w:sz w:val="12"/>
                <w:szCs w:val="12"/>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E5B234"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eastAsiaTheme="minorEastAsia" w:cstheme="minorHAnsi"/>
                <w:color w:val="000000" w:themeColor="text1"/>
                <w:kern w:val="24"/>
                <w:sz w:val="20"/>
              </w:rPr>
              <w:t>O</w:t>
            </w:r>
          </w:p>
        </w:tc>
      </w:tr>
      <w:tr w:rsidR="000B3E0D" w:rsidRPr="00FA4573" w14:paraId="42763FC9"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933F69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9884D7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0F6CD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Zhen ZHANG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3CF8C4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45A2F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68A8EE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997A08"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EB4245"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5A483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90C58A"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F7000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C8A533"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6B4B647B" w14:textId="77777777" w:rsidTr="00B76C4C">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79ECF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83BB1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ADE7A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Hemendra K SHARMA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9DD52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06217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3DA65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2363F2"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BE1CE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6853B0"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5F6B7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AB917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F89A7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4412FC8D" w14:textId="77777777" w:rsidTr="00B76C4C">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5AAF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1C110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C541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Yoshihiro NAKAYAMA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6EF28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5A872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F848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8B68E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448BE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B743C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AF171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16586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4A28F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4956CCA2" w14:textId="77777777" w:rsidTr="00B76C4C">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6F7F4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724F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7163C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Álvaro NEIRA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0EC9E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Axon Partners Group</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64645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69DA6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EBC2B4"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99832E"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4A4511"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48705A"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0AD1A3"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1922BE" w14:textId="77777777" w:rsidR="000B3E0D" w:rsidRPr="00FA4573" w:rsidRDefault="000B3E0D" w:rsidP="00B76C4C">
            <w:pPr>
              <w:spacing w:before="40" w:after="40"/>
              <w:jc w:val="center"/>
              <w:rPr>
                <w:rFonts w:ascii="Calibri" w:hAnsi="Calibri"/>
                <w:color w:val="000000"/>
                <w:sz w:val="20"/>
              </w:rPr>
            </w:pPr>
          </w:p>
        </w:tc>
      </w:tr>
      <w:tr w:rsidR="000B3E0D" w:rsidRPr="00FA4573" w14:paraId="1E3067E3" w14:textId="77777777" w:rsidTr="00B76C4C">
        <w:trPr>
          <w:trHeight w:val="417"/>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1F5353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706B0E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6BD83C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Isao NAKAJIMA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F755EC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4C1F14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F52FE3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EFB63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02EFA5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4757B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FDCFF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201C8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F46E1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3807583E" w14:textId="77777777" w:rsidTr="00B76C4C">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0E28C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3F7F2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2FD2C9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Done-Sik YOO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A3A21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8F6B3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611C3D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2924620"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99169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05487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1BA0FB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9F9BD7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E56958"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399FD2CC" w14:textId="77777777" w:rsidTr="00B76C4C">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CD1255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E92DDF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591DC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Osther Rock BADOU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D809C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6FAD5E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FECDFE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556FD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B142C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5CCAA6"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D73F23"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9DECDE"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94E19C"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21BC7E79" w14:textId="77777777" w:rsidTr="00B76C4C">
        <w:trPr>
          <w:trHeight w:val="18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66ADA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51FEB4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92E5C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Allomo Francine Tania LOGBO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286DAD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863D21" w14:textId="61D4276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 xml:space="preserve">Côte </w:t>
            </w:r>
            <w:r w:rsidR="0089542D">
              <w:rPr>
                <w:rFonts w:ascii="Calibri" w:hAnsi="Calibri"/>
                <w:color w:val="000000"/>
                <w:sz w:val="20"/>
              </w:rPr>
              <w:t>d'</w:t>
            </w:r>
            <w:r w:rsidRPr="00FA4573">
              <w:rPr>
                <w:rFonts w:ascii="Calibri" w:hAnsi="Calibri"/>
                <w:color w:val="000000"/>
                <w:sz w:val="20"/>
              </w:rPr>
              <w:t>Ivoire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AE3D85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EFEBD6"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371CD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5B96B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B0E2A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F354F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105C95"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D158847" w14:textId="77777777" w:rsidTr="00B76C4C">
        <w:trPr>
          <w:trHeight w:val="78"/>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4CA03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1ABBAB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27030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7AC09C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DFEB4E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F7018C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73701E"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A12954"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BB741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60E0B5"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9577E"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BE7184"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0D16F37"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19F5E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FB0D7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4035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Robert Kwambai CHIRCHIR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4B43C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73850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C33AA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AEF6A8"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3975E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6C135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2E482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9289F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C45A84"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175C1D8C"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A4751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2C9A3D"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2620C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C44DA2"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E3036F"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07B362"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798C52" w14:textId="77777777" w:rsidR="000B3E0D" w:rsidRPr="00FA4573" w:rsidRDefault="000B3E0D" w:rsidP="00B76C4C">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08F7D5"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18A29C"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231ACF"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C82C67"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7138EB50"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E64B3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DF6DA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7E1A6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Alicia TAMBE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C8862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CFC66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FC6D9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05D8F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61F0D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6087B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4493F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ED1B96"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480D75"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35CF5200"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A8438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33D92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1D923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Geraldo NETO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7F2FE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Telecommunications Management Group, Inc</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5DAEA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01E83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35DAD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18928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B99ED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0F12F2"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567EE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4FCF4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14C44244"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898BD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C76A2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408ED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Shan XU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B3E5A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E2F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01856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67410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3791A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DB65CC"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DD0A70"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E667E4"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2C83AD"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2B3287C7"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2EE9F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D1A81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29E5D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Sandeep Kumar GUPTA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62B25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60493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E475E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8BF2F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F5A61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F23D9E"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6BAD84A5"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8FABA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B998D0"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28274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Mayank MRINAL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78703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76C81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E65AA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311CD4" w14:textId="77777777" w:rsidR="000B3E0D" w:rsidRPr="00FA4573" w:rsidRDefault="000B3E0D" w:rsidP="00B76C4C">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2BA82A" w14:textId="77777777" w:rsidR="000B3E0D" w:rsidRPr="00FA4573" w:rsidRDefault="000B3E0D" w:rsidP="00B76C4C">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DF211C" w14:textId="77777777" w:rsidR="000B3E0D" w:rsidRPr="00FA4573" w:rsidRDefault="000B3E0D" w:rsidP="00B76C4C">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05FE73" w14:textId="77777777" w:rsidR="000B3E0D" w:rsidRPr="00FA4573" w:rsidRDefault="000B3E0D" w:rsidP="00B76C4C">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FF3BFF"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 xml:space="preserve">May </w:t>
            </w:r>
            <w:r w:rsidRPr="00FA4573">
              <w:rPr>
                <w:rFonts w:ascii="Calibri" w:hAnsi="Calibri"/>
                <w:color w:val="A6A6A6" w:themeColor="background1" w:themeShade="A6"/>
                <w:sz w:val="12"/>
                <w:szCs w:val="12"/>
              </w:rPr>
              <w:t>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19F40AF1"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C6941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2B403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4A86E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Arseny PLOSSKY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26CD8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A7539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3E8D6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C2FE6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A5D34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A68D20"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80F21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D46B1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1D5288"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34CBDF7D"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5489B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349E0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9F5D3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Kübra DIRI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C8E02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4CF13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CEC72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A62B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6A71AE"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980092"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5AAB24"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647691"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25877F" w14:textId="77777777" w:rsidR="000B3E0D" w:rsidRPr="00FA4573" w:rsidRDefault="000B3E0D" w:rsidP="00B76C4C">
            <w:pPr>
              <w:spacing w:before="40" w:after="40"/>
              <w:jc w:val="center"/>
              <w:rPr>
                <w:rFonts w:ascii="Calibri" w:hAnsi="Calibri"/>
                <w:color w:val="000000"/>
                <w:sz w:val="20"/>
              </w:rPr>
            </w:pPr>
          </w:p>
        </w:tc>
      </w:tr>
      <w:tr w:rsidR="000B3E0D" w:rsidRPr="00FA4573" w14:paraId="00487B0D" w14:textId="77777777" w:rsidTr="00B76C4C">
        <w:trPr>
          <w:trHeight w:val="300"/>
          <w:jc w:val="center"/>
        </w:trPr>
        <w:tc>
          <w:tcPr>
            <w:tcW w:w="14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C499BC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E9BAD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 Rapporteur</w:t>
            </w:r>
          </w:p>
        </w:tc>
        <w:tc>
          <w:tcPr>
            <w:tcW w:w="255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7B1C7F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Vanessa Copetti CRAVO</w:t>
            </w:r>
          </w:p>
        </w:tc>
        <w:tc>
          <w:tcPr>
            <w:tcW w:w="178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A51EE6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432E54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Brazil (Federative Republic of)</w:t>
            </w:r>
          </w:p>
        </w:tc>
        <w:tc>
          <w:tcPr>
            <w:tcW w:w="133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F9330D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C62DC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D62A0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817B52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8E364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AC4D46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C14428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31B59246" w14:textId="77777777" w:rsidTr="00B76C4C">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A564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F1DFC0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5B045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Nicole DARABIAN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C26F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3678D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C652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57F18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53D8FDDD"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(as Vice-Rapporteur)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8FE7D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19BF0EA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(as Vice-Rapporteur)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A22928" w14:textId="77777777" w:rsidR="000B3E0D" w:rsidRPr="00FA4573" w:rsidRDefault="000B3E0D" w:rsidP="00B76C4C">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511D37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EAB10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96653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5258AEF9" w14:textId="77777777" w:rsidTr="00B76C4C">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B95030"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9460339"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F68DF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Jabin VAHORA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B19BB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AFAAE6"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3C173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5374C5"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B37099"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2F37EEB"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Oct</w:t>
            </w:r>
            <w:r w:rsidRPr="00FA4573">
              <w:rPr>
                <w:rFonts w:eastAsia="Malgun Gothic" w:cstheme="minorHAnsi"/>
                <w:color w:val="A6A6A6" w:themeColor="background1" w:themeShade="A6"/>
                <w:kern w:val="24"/>
                <w:sz w:val="12"/>
                <w:szCs w:val="12"/>
                <w:lang w:eastAsia="ko-KR"/>
              </w:rPr>
              <w:t>ober</w:t>
            </w:r>
            <w:r w:rsidRPr="00FA4573">
              <w:rPr>
                <w:rFonts w:eastAsiaTheme="minorEastAsia" w:cstheme="minorHAnsi"/>
                <w:color w:val="A6A6A6" w:themeColor="background1" w:themeShade="A6"/>
                <w:kern w:val="24"/>
                <w:sz w:val="12"/>
                <w:szCs w:val="12"/>
              </w:rPr>
              <w:t xml:space="preserve"> 2023)</w:t>
            </w:r>
          </w:p>
        </w:tc>
      </w:tr>
      <w:tr w:rsidR="000B3E0D" w:rsidRPr="00FA4573" w14:paraId="26DCF0E2" w14:textId="77777777" w:rsidTr="00B76C4C">
        <w:trPr>
          <w:trHeight w:val="5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3D69B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0E5BF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EBDB1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Idrissa DIALLO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3FF31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5CAF7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C51FD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64166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BC8BAC"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46F613"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5B1C05"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4EB731"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D6C8AB" w14:textId="77777777" w:rsidR="000B3E0D" w:rsidRPr="00FA4573" w:rsidRDefault="000B3E0D" w:rsidP="00B76C4C">
            <w:pPr>
              <w:spacing w:before="40" w:after="40"/>
              <w:jc w:val="center"/>
              <w:rPr>
                <w:rFonts w:ascii="Calibri" w:hAnsi="Calibri"/>
                <w:color w:val="000000"/>
                <w:sz w:val="20"/>
              </w:rPr>
            </w:pPr>
          </w:p>
        </w:tc>
      </w:tr>
      <w:tr w:rsidR="000B3E0D" w:rsidRPr="00FA4573" w14:paraId="0ACC6266" w14:textId="77777777" w:rsidTr="00B76C4C">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511E0C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E7E6A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87E09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Rodgers MUMELO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7BFF7D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A93DE0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B9941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736FF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9ABA8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3CE6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41FFB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FBCF1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44ADC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02091C70" w14:textId="77777777" w:rsidTr="00B76C4C">
        <w:trPr>
          <w:trHeight w:val="22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E79D1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83A5B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788C0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Sidy Mouhamed FALL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A0FE1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440F43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E530A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89491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C6EFC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EA2E2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F9DEE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E9B928"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7120EF"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3D2BFEE6"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2949D3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A6077D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E14AD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Damnam K. BAGOLIBE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B000F1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50A78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Togolese Republic</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D3881C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D8441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88C8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F3179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DCD6D2"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29FD8B"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F0B3BB"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5BF9A9B"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DEA1F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F81D2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824EC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Kacie YEAROUT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14452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AE2A4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98033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BF20C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59520D"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AD9BC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3F1AEE"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F90847"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06A14E8"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9B0E3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7E238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251AE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Xinxin WAN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85E03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F8850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14944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89DBE8"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C64B6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471BB1"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FDF90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47E720"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7A7F15"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7C6BF617"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B0DEA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5B56E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20F33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Prachish KHANNA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2074F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338FE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2473E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7F1673"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8CEFB9"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D58404"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36784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B1FC8F"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32EAF1"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59ED18C2"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CCC8B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3BFD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73315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Jaesuk YUN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39F4E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74671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A44AF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DC4BC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54FD8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8EAF6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ED002D"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2CA9DE"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7D9C9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50FEF07F" w14:textId="77777777" w:rsidTr="00B76C4C">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7DBA46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3E68F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4DC77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Teng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3E8E94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International Telecommunication Construction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494D1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C1F231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27BAE"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9F96E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6C195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1421A0"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5AD1DD"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31E3D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2C021D95" w14:textId="77777777" w:rsidTr="00B76C4C">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5D0AE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7941A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D85A71"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Maria BOLSHAKOVA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12726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BC7D1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18A03F"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C85B23"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5D4E24"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8BA1CF"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CB36CD"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58D15920" w14:textId="77777777" w:rsidTr="00B76C4C">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35B611" w14:textId="77777777" w:rsidR="000B3E0D" w:rsidRPr="00FA4573" w:rsidRDefault="000B3E0D" w:rsidP="00B76C4C">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969B51" w14:textId="77777777" w:rsidR="000B3E0D" w:rsidRPr="00FA4573" w:rsidRDefault="000B3E0D" w:rsidP="00B76C4C">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D156E7" w14:textId="77777777" w:rsidR="000B3E0D" w:rsidRPr="00FA4573" w:rsidRDefault="000B3E0D" w:rsidP="00B76C4C">
            <w:pPr>
              <w:spacing w:before="40" w:after="40"/>
              <w:rPr>
                <w:rFonts w:ascii="Calibri" w:hAnsi="Calibri"/>
                <w:sz w:val="20"/>
              </w:rPr>
            </w:pPr>
            <w:r w:rsidRPr="00FA4573">
              <w:rPr>
                <w:rFonts w:ascii="Calibri" w:hAnsi="Calibri"/>
                <w:sz w:val="20"/>
              </w:rPr>
              <w:t>Ms Uliana STOLIAROVA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FFCC17" w14:textId="77777777" w:rsidR="000B3E0D" w:rsidRPr="00FA4573" w:rsidRDefault="000B3E0D" w:rsidP="00B76C4C">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453EB0" w14:textId="77777777" w:rsidR="000B3E0D" w:rsidRPr="00FA4573" w:rsidRDefault="000B3E0D" w:rsidP="00B76C4C">
            <w:pPr>
              <w:spacing w:before="40" w:after="40"/>
              <w:rPr>
                <w:rFonts w:ascii="Calibri" w:hAnsi="Calibri"/>
                <w:sz w:val="20"/>
              </w:rPr>
            </w:pPr>
            <w:r w:rsidRPr="00FA4573">
              <w:rPr>
                <w:rFonts w:ascii="Calibri" w:hAnsi="Calibri"/>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829F7C" w14:textId="77777777" w:rsidR="000B3E0D" w:rsidRPr="00FA4573" w:rsidRDefault="000B3E0D" w:rsidP="00B76C4C">
            <w:pPr>
              <w:spacing w:before="40" w:after="40"/>
              <w:rPr>
                <w:rFonts w:ascii="Calibri" w:hAnsi="Calibri"/>
                <w:sz w:val="20"/>
              </w:rPr>
            </w:pPr>
            <w:r w:rsidRPr="00FA4573">
              <w:rPr>
                <w:rFonts w:ascii="Calibri" w:hAnsi="Calibri"/>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2D1EB4" w14:textId="77777777" w:rsidR="000B3E0D" w:rsidRPr="00FA4573" w:rsidRDefault="000B3E0D" w:rsidP="00B76C4C">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FFC43F" w14:textId="77777777" w:rsidR="000B3E0D" w:rsidRPr="00FA4573" w:rsidRDefault="000B3E0D" w:rsidP="00B76C4C">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186B19"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67772015" w14:textId="77777777" w:rsidTr="00B76C4C">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254FF8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1DCF01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430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Doğukan Ömer GÜR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9E3257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 xml:space="preserve">Administration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A20B3B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39B9F3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37E71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9E6C0"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063BD3"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31F2F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426AA8"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029E1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141D8A51" w14:textId="77777777" w:rsidTr="00B76C4C">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16B6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51C95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A5DB2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Alvaro GARCIA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D665FA" w14:textId="77777777" w:rsidR="000B3E0D" w:rsidRPr="00FA4573" w:rsidRDefault="000B3E0D" w:rsidP="00B76C4C">
            <w:pPr>
              <w:spacing w:before="40" w:after="40"/>
              <w:rPr>
                <w:rFonts w:ascii="Calibri" w:hAnsi="Calibri"/>
                <w:sz w:val="20"/>
              </w:rPr>
            </w:pPr>
            <w:r w:rsidRPr="00FA4573">
              <w:rPr>
                <w:rFonts w:ascii="Calibri" w:hAnsi="Calibri"/>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1301CF" w14:textId="77777777" w:rsidR="000B3E0D" w:rsidRPr="00FA4573" w:rsidRDefault="000B3E0D" w:rsidP="00B76C4C">
            <w:pPr>
              <w:spacing w:before="40" w:after="40"/>
              <w:rPr>
                <w:rFonts w:ascii="Calibri" w:hAnsi="Calibri"/>
                <w:sz w:val="20"/>
              </w:rPr>
            </w:pPr>
            <w:r w:rsidRPr="00FA4573">
              <w:rPr>
                <w:rFonts w:ascii="Calibri" w:hAnsi="Calibri"/>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3941CE" w14:textId="77777777" w:rsidR="000B3E0D" w:rsidRPr="00FA4573" w:rsidRDefault="000B3E0D" w:rsidP="00B76C4C">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9E735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BBEC61"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68374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4FB0D6E1"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C501201"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6CF7C4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DF169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Samuel TEW</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73840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F9D48E6"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002948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087AA0"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550A76"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7F55DE"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0DE903"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1608B24E"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E3057D2"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FA5E43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30CC0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Daniel BATTY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D10DFC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B665D1D"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10F10B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019EB1"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31AE16"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F079BA"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7AB89B"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082BCFAF"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AD2350" w14:textId="77777777" w:rsidR="000B3E0D" w:rsidRPr="00FA4573" w:rsidRDefault="000B3E0D" w:rsidP="00B76C4C">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30B11F" w14:textId="77777777" w:rsidR="000B3E0D" w:rsidRPr="00FA4573" w:rsidRDefault="000B3E0D" w:rsidP="00B76C4C">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07ABCF" w14:textId="77777777" w:rsidR="000B3E0D" w:rsidRPr="00FA4573" w:rsidRDefault="000B3E0D" w:rsidP="00B76C4C">
            <w:pPr>
              <w:spacing w:before="40" w:after="40"/>
              <w:rPr>
                <w:rFonts w:ascii="Calibri" w:hAnsi="Calibri"/>
                <w:sz w:val="20"/>
              </w:rPr>
            </w:pPr>
            <w:r w:rsidRPr="00FA4573">
              <w:rPr>
                <w:rFonts w:ascii="Calibri" w:hAnsi="Calibri"/>
                <w:sz w:val="20"/>
              </w:rPr>
              <w:t>Mr Tommaso DE ZAN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56EADB" w14:textId="77777777" w:rsidR="000B3E0D" w:rsidRPr="00FA4573" w:rsidRDefault="000B3E0D" w:rsidP="00B76C4C">
            <w:pPr>
              <w:spacing w:before="40" w:after="40"/>
              <w:rPr>
                <w:rFonts w:ascii="Calibri" w:hAnsi="Calibri"/>
                <w:sz w:val="20"/>
              </w:rPr>
            </w:pPr>
            <w:r w:rsidRPr="00FA4573">
              <w:rPr>
                <w:rFonts w:ascii="Calibri" w:hAnsi="Calibri"/>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7CB86A" w14:textId="77777777" w:rsidR="000B3E0D" w:rsidRPr="00FA4573" w:rsidRDefault="000B3E0D" w:rsidP="00B76C4C">
            <w:pPr>
              <w:spacing w:before="40" w:after="40"/>
              <w:rPr>
                <w:rFonts w:ascii="Calibri" w:hAnsi="Calibri"/>
                <w:sz w:val="20"/>
              </w:rPr>
            </w:pPr>
            <w:r w:rsidRPr="00FA4573">
              <w:rPr>
                <w:rFonts w:ascii="Calibri" w:hAnsi="Calibri"/>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BB80B7" w14:textId="77777777" w:rsidR="000B3E0D" w:rsidRPr="00FA4573" w:rsidRDefault="000B3E0D" w:rsidP="00B76C4C">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45CDE3" w14:textId="77777777" w:rsidR="000B3E0D" w:rsidRPr="00FA4573" w:rsidRDefault="000B3E0D" w:rsidP="00B76C4C">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F85C67" w14:textId="77777777" w:rsidR="000B3E0D" w:rsidRPr="00FA4573" w:rsidRDefault="000B3E0D" w:rsidP="00B76C4C">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FD9436"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20E1AAAE" w14:textId="77777777" w:rsidTr="00B76C4C">
        <w:trPr>
          <w:trHeight w:val="380"/>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3CB2DE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4AD2C7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28FD5D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30BF98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D70175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03B5A8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0C367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9376FD"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487B03"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A3F74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52732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186B8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20650D85" w14:textId="77777777" w:rsidTr="00B76C4C">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5D952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2ECFA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E0B51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Awa Koko Valéry Nadège TRAORE Epouse GOUE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8EE70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41C492" w14:textId="34E9479A"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 xml:space="preserve">Côte </w:t>
            </w:r>
            <w:r w:rsidR="0089542D">
              <w:rPr>
                <w:rFonts w:ascii="Calibri" w:hAnsi="Calibri"/>
                <w:color w:val="000000"/>
                <w:sz w:val="20"/>
              </w:rPr>
              <w:t>d'</w:t>
            </w:r>
            <w:r w:rsidRPr="00FA4573">
              <w:rPr>
                <w:rFonts w:ascii="Calibri" w:hAnsi="Calibri"/>
                <w:color w:val="000000"/>
                <w:sz w:val="20"/>
              </w:rPr>
              <w:t>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1EE46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2C918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D74FD7"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1ED19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5C13B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6DC07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7DF67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51B96D13" w14:textId="77777777" w:rsidTr="00B76C4C">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FC47C6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E6955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FC6E2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1B449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723D81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5266FE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0DB6B"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0E8FAE"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AAF10F"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EEA709"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8AF543"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EFE1E3" w14:textId="77777777" w:rsidR="000B3E0D" w:rsidRPr="00FA4573" w:rsidRDefault="000B3E0D" w:rsidP="00B76C4C">
            <w:pPr>
              <w:spacing w:before="40" w:after="40"/>
              <w:jc w:val="center"/>
              <w:rPr>
                <w:rFonts w:ascii="Calibri" w:hAnsi="Calibri"/>
                <w:color w:val="000000"/>
                <w:sz w:val="20"/>
              </w:rPr>
            </w:pPr>
          </w:p>
        </w:tc>
      </w:tr>
      <w:tr w:rsidR="000B3E0D" w:rsidRPr="00FA4573" w14:paraId="2A569A4E" w14:textId="77777777" w:rsidTr="00B76C4C">
        <w:trPr>
          <w:trHeight w:val="2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9A40C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B4DC9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7EE7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Serigne Abdou Lahatt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7168B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CAC2F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A573A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521720"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4DD11D"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5BF8A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5E5A6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BF35C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7EDFA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39400CC9" w14:textId="77777777" w:rsidTr="00B76C4C">
        <w:trPr>
          <w:trHeight w:val="25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6A795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ABD60E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3C8D5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Junzhi YAN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07E8C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E79D26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28A083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6A32C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2A9506"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A3B868"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E65495"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47BA0F"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B9BAC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2C860895" w14:textId="77777777" w:rsidTr="00B76C4C">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374B5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523E0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22117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Jiawei ZANG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05FA2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5A427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B3E39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2DBE1D"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E33E37"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D6C275"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EEF3B8"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08C54B"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8593DA"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2A612855" w14:textId="77777777" w:rsidTr="00B76C4C">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0415A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0C01D49"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303D0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Kishik PARK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6A228A3"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FDA8B0"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F3D5FF9"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97ACDA"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CECF0E" w14:textId="77777777" w:rsidR="000B3E0D" w:rsidRPr="00FA4573" w:rsidRDefault="000B3E0D" w:rsidP="00B76C4C">
            <w:pPr>
              <w:spacing w:before="40" w:after="40"/>
              <w:jc w:val="center"/>
              <w:rPr>
                <w:rFonts w:ascii="Calibri" w:hAnsi="Calibri"/>
                <w:color w:val="A6A6A6" w:themeColor="background1" w:themeShade="A6"/>
                <w:sz w:val="20"/>
              </w:rPr>
            </w:pP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EA3E33"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 xml:space="preserve">October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1F267B5D"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551DD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65CC1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528CC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Tharalika LIVERA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F092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31264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Sri Lanka (Democratic Socialist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9602E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F9351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76E53C"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4510E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558A9"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472BD4"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69351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202F20D5"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57679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2EE12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807D5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Sergei MELNIK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5478B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International Telecommunication Academy</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7308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FECD5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196CD0"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701CFD"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14DCF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6CEAE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7BB81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51477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1AA267C3"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0B503D"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120B3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458C75"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Helen KYEYUNE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2A3CE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6FEA19"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49C0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933F77"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F6A089" w14:textId="77777777" w:rsidR="000B3E0D" w:rsidRPr="00FA4573" w:rsidRDefault="000B3E0D" w:rsidP="00B76C4C">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95541" w14:textId="77777777" w:rsidR="000B3E0D" w:rsidRPr="00FA4573" w:rsidRDefault="000B3E0D" w:rsidP="00B76C4C">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C85BE9" w14:textId="77777777" w:rsidR="000B3E0D" w:rsidRPr="00FA4573" w:rsidRDefault="000B3E0D" w:rsidP="00B76C4C">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7AA897"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 xml:space="preserve">Sep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6C88D358" w14:textId="77777777" w:rsidTr="00B76C4C">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37356C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D5710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95D033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Abdulkarim OLOYEDE</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05206C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5DA4B3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Nigeria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28572A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8C1E1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E6A9B97"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DFBDC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8077E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F848F0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6F6BD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2D72AF0B"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20D8A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25022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D0201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Sha WEI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6C7D8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1990F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DA5E0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C55B20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E9B393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3EFC7AD"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CC34F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1941B3"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FA329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5E2A37A1"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B20A5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432C1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FF624F" w14:textId="77777777" w:rsidR="000B3E0D" w:rsidRPr="00FA4573" w:rsidRDefault="000B3E0D" w:rsidP="00B76C4C">
            <w:pPr>
              <w:spacing w:before="40" w:after="40"/>
              <w:rPr>
                <w:rFonts w:ascii="Calibri" w:hAnsi="Calibri"/>
                <w:color w:val="000000"/>
                <w:sz w:val="20"/>
                <w:lang w:val="fr-FR"/>
              </w:rPr>
            </w:pPr>
            <w:r w:rsidRPr="00FA4573">
              <w:rPr>
                <w:rFonts w:ascii="Calibri" w:hAnsi="Calibri"/>
                <w:color w:val="000000"/>
                <w:sz w:val="20"/>
                <w:lang w:val="fr-FR"/>
              </w:rPr>
              <w:t>Mr Ahmadou Dit Adi CISSE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6B3AC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BA5B6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51CA7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D0688E"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47F41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AF9E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0208E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1D6F8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4C321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1AF93C7C"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A4F9D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10E16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A5014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Babou SARR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2E726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E7DE6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4C722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C446B7"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D9C0A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C1CA1F"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73EB37"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1382A8"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885387"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678CDD28"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921DB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8BBA7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7C78A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Armelle MANKO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2CDB28" w14:textId="77777777" w:rsidR="000B3E0D" w:rsidRPr="00FA4573" w:rsidRDefault="000B3E0D" w:rsidP="00B76C4C">
            <w:pPr>
              <w:spacing w:before="40" w:after="40"/>
              <w:rPr>
                <w:rFonts w:ascii="Calibri" w:hAnsi="Calibri"/>
                <w:color w:val="000000"/>
                <w:sz w:val="20"/>
                <w:lang w:eastAsia="ko-KR"/>
              </w:rPr>
            </w:pPr>
            <w:r w:rsidRPr="00FA4573">
              <w:rPr>
                <w:rFonts w:ascii="Calibri" w:hAnsi="Calibri"/>
                <w:color w:val="000000"/>
                <w:sz w:val="20"/>
                <w:lang w:eastAsia="ko-KR"/>
              </w:rPr>
              <w:t>RIFEN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E0747C" w14:textId="77777777" w:rsidR="000B3E0D" w:rsidRPr="00FA4573" w:rsidRDefault="000B3E0D" w:rsidP="00B76C4C">
            <w:pPr>
              <w:spacing w:before="40" w:after="40"/>
              <w:rPr>
                <w:rFonts w:ascii="Calibri" w:hAnsi="Calibri"/>
                <w:color w:val="000000"/>
                <w:sz w:val="20"/>
              </w:rPr>
            </w:pP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E1828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5A3C5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C94BF1"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7325E8"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82087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8B157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C27EF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63E67415"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20D402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63760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B3E48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Turhan MULUK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352DDC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Intel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D138AE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1C5088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E4110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6D52E5"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11D48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127DB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6D539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2D4CC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576C2E26"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0040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3A4B2F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3967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Guoqing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5F0A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21CD30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6D7523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7A9A3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7B3FB1" w14:textId="77777777" w:rsidR="000B3E0D" w:rsidRPr="00FA4573" w:rsidRDefault="000B3E0D" w:rsidP="00B76C4C">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4751FA"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20B42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ABBE7E"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B7B37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678BEEB0" w14:textId="77777777" w:rsidTr="00B76C4C">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C334CC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71675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A08A3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Labh SINGH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E2F9E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9A0D4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6FC28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982FBE"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6C6364"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2DC53A"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F40A00"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308A3A"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339FF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2984DCB8" w14:textId="77777777" w:rsidTr="00B76C4C">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50C5B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BE711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04AD2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N Kishor NARANG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73CDD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CAA0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0421E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5F781"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45067A"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163E67"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64C537"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EEB9FB"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619459" w14:textId="77777777" w:rsidR="000B3E0D" w:rsidRPr="00FA4573" w:rsidRDefault="000B3E0D" w:rsidP="00B76C4C">
            <w:pPr>
              <w:spacing w:before="40" w:after="40"/>
              <w:jc w:val="center"/>
              <w:rPr>
                <w:rFonts w:ascii="Calibri" w:hAnsi="Calibri"/>
                <w:color w:val="000000"/>
                <w:sz w:val="20"/>
              </w:rPr>
            </w:pPr>
          </w:p>
        </w:tc>
      </w:tr>
      <w:tr w:rsidR="000B3E0D" w:rsidRPr="00FA4573" w14:paraId="424809BD" w14:textId="77777777" w:rsidTr="00B76C4C">
        <w:trPr>
          <w:trHeight w:val="81"/>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914562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C3947A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7E50F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Niver Bengü KARABACAK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4F6082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DA2840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EAFB03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075C16"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647D6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AAD5B"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4961F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3FF56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B664D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29C2B45C" w14:textId="77777777" w:rsidTr="00B76C4C">
        <w:trPr>
          <w:trHeight w:val="111"/>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AA6BF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FC56B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F988E7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Aprajita SHARRMA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A9E441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A736E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DF1B1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33722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B06A7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6F2092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E565C3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21D4AD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CC897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1D0830EC" w14:textId="77777777" w:rsidTr="00B76C4C">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8DF94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9FDF3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425DE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Apollinaire BIGIRIMANA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1A21F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96DF6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Burundi</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05028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3ED0F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E40226"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336B42"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69BC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B2916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812F80"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4D33BF6D" w14:textId="77777777" w:rsidTr="00B76C4C">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49850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815FB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40F6B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Gnakri Isabelle Sonia GNABRO Epouse KAKOU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44EBF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1E6D9A" w14:textId="069E4F5D"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 xml:space="preserve">Côte </w:t>
            </w:r>
            <w:r w:rsidR="0089542D">
              <w:rPr>
                <w:rFonts w:ascii="Calibri" w:hAnsi="Calibri"/>
                <w:color w:val="000000"/>
                <w:sz w:val="20"/>
              </w:rPr>
              <w:t>d'</w:t>
            </w:r>
            <w:r w:rsidRPr="00FA4573">
              <w:rPr>
                <w:rFonts w:ascii="Calibri" w:hAnsi="Calibri"/>
                <w:color w:val="000000"/>
                <w:sz w:val="20"/>
              </w:rPr>
              <w:t>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5F903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2CCE65"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F6E3E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925F14"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56386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C0070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DAE94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37C26713" w14:textId="77777777" w:rsidTr="00B76C4C">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439DC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07B0D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17AC4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Thomas Wambua LUTI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39E66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48F4D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E63D9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D4AC81"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EABFF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D3E855"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84F127"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242AB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87047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10D06F29" w14:textId="77777777" w:rsidTr="00B76C4C">
        <w:trPr>
          <w:trHeight w:val="20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F91FB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41905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4AEE3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Issa CAMARA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A165A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C5C84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13B5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6F240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C5A75D" w14:textId="77777777" w:rsidR="000B3E0D" w:rsidRPr="00FA4573" w:rsidRDefault="000B3E0D" w:rsidP="00B76C4C">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B26290"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7C2EF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228EED" w14:textId="77777777" w:rsidR="000B3E0D" w:rsidRPr="00FA4573" w:rsidRDefault="000B3E0D" w:rsidP="00B76C4C">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D1E1CD"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2684822D"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452AC6"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86AE3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D66E5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53CAD5"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99354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9ED42A"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3E3F81"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16EF15"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DEF3D0"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3C3DB7"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187670"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404D10F1"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82C9D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873B7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011AB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Shang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6A100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F5D5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1CC8D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513DCA"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BC40E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11D10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8DCD5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0B78D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27C21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3BA2103C"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8FD6A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2B7E9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A5501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Yasumitsu TOMIOKA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FE29EB"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9AF29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5A4D7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5BE084"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C130FF"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818905"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724B3F"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BDA632"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9DC52D" w14:textId="77777777" w:rsidR="000B3E0D" w:rsidRPr="00FA4573" w:rsidRDefault="000B3E0D" w:rsidP="00B76C4C">
            <w:pPr>
              <w:spacing w:before="40" w:after="40"/>
              <w:jc w:val="center"/>
              <w:rPr>
                <w:rFonts w:ascii="Calibri" w:hAnsi="Calibri"/>
                <w:color w:val="000000"/>
                <w:sz w:val="20"/>
              </w:rPr>
            </w:pPr>
          </w:p>
        </w:tc>
      </w:tr>
      <w:tr w:rsidR="000B3E0D" w:rsidRPr="00FA4573" w14:paraId="4E5F4200"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55B32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C795F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D136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Sang-hun LEE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12190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564E9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121A8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8F6EF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A040F0"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E7F6F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F9B83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1D246B" w14:textId="77777777" w:rsidR="000B3E0D" w:rsidRPr="00FA4573" w:rsidRDefault="000B3E0D" w:rsidP="00B76C4C">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0B022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6D4346BB"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73E91F" w14:textId="77777777" w:rsidR="000B3E0D" w:rsidRPr="00FA4573" w:rsidRDefault="000B3E0D" w:rsidP="00B76C4C">
            <w:pPr>
              <w:spacing w:before="40" w:after="40"/>
              <w:rPr>
                <w:rFonts w:ascii="Calibri" w:hAnsi="Calibri"/>
                <w:sz w:val="20"/>
              </w:rPr>
            </w:pPr>
            <w:r w:rsidRPr="00FA4573">
              <w:rPr>
                <w:rFonts w:ascii="Calibri" w:hAnsi="Calibri"/>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C30C0C" w14:textId="77777777" w:rsidR="000B3E0D" w:rsidRPr="00FA4573" w:rsidRDefault="000B3E0D" w:rsidP="00B76C4C">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B214A1" w14:textId="77777777" w:rsidR="000B3E0D" w:rsidRPr="00FA4573" w:rsidRDefault="000B3E0D" w:rsidP="00B76C4C">
            <w:pPr>
              <w:spacing w:before="40" w:after="40"/>
              <w:rPr>
                <w:rFonts w:ascii="Calibri" w:hAnsi="Calibri"/>
                <w:sz w:val="20"/>
              </w:rPr>
            </w:pPr>
            <w:r w:rsidRPr="00FA4573">
              <w:rPr>
                <w:rFonts w:ascii="Calibri" w:hAnsi="Calibri"/>
                <w:color w:val="000000"/>
                <w:sz w:val="20"/>
              </w:rPr>
              <w:t>Mr Jean-Manuel CANET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CE5076" w14:textId="77777777" w:rsidR="000B3E0D" w:rsidRPr="00FA4573" w:rsidRDefault="000B3E0D" w:rsidP="00B76C4C">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18EF7" w14:textId="77777777" w:rsidR="000B3E0D" w:rsidRPr="00FA4573" w:rsidRDefault="000B3E0D" w:rsidP="00B76C4C">
            <w:pPr>
              <w:spacing w:before="40" w:after="40"/>
              <w:rPr>
                <w:rFonts w:ascii="Calibri" w:hAnsi="Calibri"/>
                <w:sz w:val="20"/>
              </w:rPr>
            </w:pPr>
            <w:r w:rsidRPr="00FA4573">
              <w:rPr>
                <w:rFonts w:ascii="Calibri" w:hAnsi="Calibri"/>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067A3E" w14:textId="77777777" w:rsidR="000B3E0D" w:rsidRPr="00FA4573" w:rsidRDefault="000B3E0D" w:rsidP="00B76C4C">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8C4E34" w14:textId="77777777" w:rsidR="000B3E0D" w:rsidRPr="00FA4573" w:rsidRDefault="000B3E0D" w:rsidP="00B76C4C">
            <w:pPr>
              <w:spacing w:before="40" w:after="40"/>
              <w:jc w:val="center"/>
              <w:rPr>
                <w:rFonts w:eastAsiaTheme="minorEastAsia" w:cstheme="minorHAnsi"/>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A0E4C6" w14:textId="77777777" w:rsidR="000B3E0D" w:rsidRPr="00FA4573" w:rsidRDefault="000B3E0D" w:rsidP="00B76C4C">
            <w:pPr>
              <w:spacing w:before="40" w:after="40"/>
              <w:jc w:val="center"/>
              <w:rPr>
                <w:rFonts w:eastAsiaTheme="minorEastAsia" w:cstheme="minorHAnsi"/>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756F80" w14:textId="77777777" w:rsidR="000B3E0D" w:rsidRPr="00FA4573" w:rsidRDefault="000B3E0D" w:rsidP="00B76C4C">
            <w:pPr>
              <w:spacing w:before="40" w:after="40"/>
              <w:jc w:val="center"/>
              <w:rPr>
                <w:rFonts w:eastAsiaTheme="minorEastAsia" w:cstheme="minorHAnsi"/>
                <w:kern w:val="24"/>
                <w:sz w:val="20"/>
              </w:rPr>
            </w:pPr>
            <w:r w:rsidRPr="00FA4573">
              <w:rPr>
                <w:rFonts w:eastAsiaTheme="minorEastAsia" w:cstheme="minorHAnsi"/>
                <w:color w:val="000000" w:themeColor="text1"/>
                <w:kern w:val="24"/>
                <w:sz w:val="20"/>
              </w:rPr>
              <w:t>O</w:t>
            </w:r>
          </w:p>
        </w:tc>
      </w:tr>
      <w:tr w:rsidR="000B3E0D" w:rsidRPr="00FA4573" w14:paraId="229FBE27"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FD6DD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6BBF53"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97B468"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Julia NIETSCH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F0F124"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5FD97A"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2710A3"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B60598"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0183E5"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2D9C58"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Mar>
              <w:left w:w="57" w:type="dxa"/>
              <w:right w:w="57" w:type="dxa"/>
            </w:tcMar>
            <w:vAlign w:val="center"/>
          </w:tcPr>
          <w:p w14:paraId="05D39FA2" w14:textId="77777777" w:rsidR="000B3E0D" w:rsidRPr="00FA4573" w:rsidRDefault="000B3E0D" w:rsidP="00B76C4C">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May</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3E0D" w:rsidRPr="00FA4573" w14:paraId="46D04E1C" w14:textId="77777777" w:rsidTr="00B76C4C">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4EAFC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B9C4A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B9007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Ethan MUDAVANHU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53ED5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C4CBE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CEC6E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B0E33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A3683"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D9FE87"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06710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2C3B7D"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F331F6" w14:textId="77777777" w:rsidR="000B3E0D" w:rsidRPr="00FA4573" w:rsidRDefault="000B3E0D" w:rsidP="00B76C4C">
            <w:pPr>
              <w:spacing w:before="40" w:after="40"/>
              <w:jc w:val="center"/>
              <w:rPr>
                <w:rFonts w:eastAsiaTheme="minorEastAsia" w:cstheme="minorHAnsi"/>
                <w:color w:val="000000" w:themeColor="text1"/>
                <w:kern w:val="24"/>
                <w:sz w:val="20"/>
              </w:rPr>
            </w:pPr>
          </w:p>
        </w:tc>
      </w:tr>
      <w:tr w:rsidR="000B3E0D" w:rsidRPr="00FA4573" w14:paraId="7CD40421" w14:textId="77777777" w:rsidTr="00B76C4C">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51544D" w14:textId="77777777" w:rsidR="000B3E0D" w:rsidRPr="00FA4573" w:rsidRDefault="000B3E0D" w:rsidP="00B76C4C">
            <w:pPr>
              <w:spacing w:before="40" w:after="40"/>
              <w:rPr>
                <w:rFonts w:ascii="Calibri" w:hAnsi="Calibri"/>
                <w:b/>
                <w:bCs/>
                <w:color w:val="000000"/>
                <w:sz w:val="20"/>
              </w:rPr>
            </w:pPr>
            <w:r w:rsidRPr="00FA4573">
              <w:rPr>
                <w:rFonts w:ascii="Calibri" w:hAnsi="Calibri"/>
                <w:color w:val="000000"/>
                <w:sz w:val="20"/>
              </w:rPr>
              <w:t>Question 7/2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1BED6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707E8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Tongning WU</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B324F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9EC1D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80584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C6CA6C"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A506109"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A75AE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7573871"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1D2FC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2BFA2C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7453F869"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AF586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DF4F5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AF3BA6A"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Haim MAZAR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343270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23C61E7" w14:textId="77777777" w:rsidR="000B3E0D" w:rsidRPr="00FA4573" w:rsidRDefault="000B3E0D" w:rsidP="00B76C4C">
            <w:pPr>
              <w:spacing w:before="40" w:after="40"/>
              <w:rPr>
                <w:rFonts w:ascii="Calibri" w:hAnsi="Calibri"/>
                <w:color w:val="000000"/>
                <w:sz w:val="20"/>
                <w:lang w:eastAsia="ko-KR"/>
              </w:rPr>
            </w:pPr>
            <w:r w:rsidRPr="00FA4573">
              <w:rPr>
                <w:rFonts w:ascii="Calibri" w:hAnsi="Calibri"/>
                <w:color w:val="000000"/>
                <w:sz w:val="20"/>
                <w:lang w:eastAsia="ko-KR"/>
              </w:rPr>
              <w:t>Israel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849D28" w14:textId="77777777" w:rsidR="000B3E0D" w:rsidRPr="00FA4573" w:rsidRDefault="000B3E0D" w:rsidP="00B76C4C">
            <w:pPr>
              <w:spacing w:before="40" w:after="40"/>
              <w:rPr>
                <w:rFonts w:ascii="Calibri" w:hAnsi="Calibri"/>
                <w:color w:val="000000"/>
                <w:sz w:val="20"/>
                <w:lang w:eastAsia="ko-KR"/>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78DD0E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9367A3"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FBA38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BCEDD8"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FD7114"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E7DE9C"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2AF461FC" w14:textId="77777777" w:rsidTr="00B76C4C">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6DCA0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EB7DE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AC6B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Keamogetswe MATOMELA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B6174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A6B1B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Botswana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FC8D8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CF2C6B"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E7E8AE"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D60C96"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ADCB3B"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5A7045"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91FF19" w14:textId="77777777" w:rsidR="000B3E0D" w:rsidRPr="00FA4573" w:rsidRDefault="000B3E0D" w:rsidP="00B76C4C">
            <w:pPr>
              <w:spacing w:before="40" w:after="40"/>
              <w:jc w:val="center"/>
              <w:rPr>
                <w:rFonts w:ascii="Calibri" w:hAnsi="Calibri"/>
                <w:color w:val="000000"/>
                <w:sz w:val="20"/>
              </w:rPr>
            </w:pPr>
          </w:p>
        </w:tc>
      </w:tr>
      <w:tr w:rsidR="000B3E0D" w:rsidRPr="00FA4573" w14:paraId="40E351A4" w14:textId="77777777" w:rsidTr="00B76C4C">
        <w:trPr>
          <w:trHeight w:val="13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5FDCC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A5D5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C584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Diarrassouba BAKARY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D29DC4"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FB2E1D" w14:textId="6C3612C4"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 xml:space="preserve">Côte </w:t>
            </w:r>
            <w:r w:rsidR="0089542D">
              <w:rPr>
                <w:rFonts w:ascii="Calibri" w:hAnsi="Calibri"/>
                <w:color w:val="000000"/>
                <w:sz w:val="20"/>
              </w:rPr>
              <w:t>d'</w:t>
            </w:r>
            <w:r w:rsidRPr="00FA4573">
              <w:rPr>
                <w:rFonts w:ascii="Calibri" w:hAnsi="Calibri"/>
                <w:color w:val="000000"/>
                <w:sz w:val="20"/>
              </w:rPr>
              <w:t>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24D41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E87F97"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73C7E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C7DEAC"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B667D2"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B9962A"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C2AFE9"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3E0D" w:rsidRPr="00FA4573" w14:paraId="4CAF79EA" w14:textId="77777777" w:rsidTr="00B76C4C">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BFCBC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FA85C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EA6149"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A2E00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7909FE"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81178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6FC5F3" w14:textId="77777777" w:rsidR="000B3E0D" w:rsidRPr="00FA4573" w:rsidRDefault="000B3E0D" w:rsidP="00B76C4C">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09A828" w14:textId="77777777" w:rsidR="000B3E0D" w:rsidRPr="00FA4573" w:rsidRDefault="000B3E0D" w:rsidP="00B76C4C">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84FF2A"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3DD908" w14:textId="77777777" w:rsidR="000B3E0D" w:rsidRPr="00FA4573" w:rsidRDefault="000B3E0D" w:rsidP="00B76C4C">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BBDB87" w14:textId="77777777" w:rsidR="000B3E0D" w:rsidRPr="00FA4573" w:rsidRDefault="000B3E0D" w:rsidP="00B76C4C">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E198CB" w14:textId="77777777" w:rsidR="000B3E0D" w:rsidRPr="00FA4573" w:rsidRDefault="000B3E0D" w:rsidP="00B76C4C">
            <w:pPr>
              <w:spacing w:before="40" w:after="40"/>
              <w:jc w:val="center"/>
              <w:rPr>
                <w:rFonts w:ascii="Calibri" w:hAnsi="Calibri"/>
                <w:color w:val="000000"/>
                <w:sz w:val="20"/>
              </w:rPr>
            </w:pPr>
          </w:p>
        </w:tc>
      </w:tr>
      <w:tr w:rsidR="000B3E0D" w:rsidRPr="00FA4573" w14:paraId="3D8A27E1" w14:textId="77777777" w:rsidTr="00B76C4C">
        <w:trPr>
          <w:trHeight w:val="2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E4DB8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C5A102"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BE8598"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Ms Aminata Niang DIAGNE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180E15"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E10AC1"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6660C3"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9AD9BB"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9F99F2"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E1CFE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F1957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004AE0" w14:textId="77777777" w:rsidR="000B3E0D" w:rsidRPr="00FA4573" w:rsidRDefault="000B3E0D" w:rsidP="00B76C4C">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45603E"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41667958" w14:textId="77777777" w:rsidTr="00B76C4C">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8B82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2DB311"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3B799A"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B4EE67"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2A96CC"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E7DE7D"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F14BC"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DB5A65"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27B653"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8A5BA1"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EA0249" w14:textId="77777777" w:rsidR="000B3E0D" w:rsidRPr="00FA4573" w:rsidRDefault="000B3E0D" w:rsidP="00B76C4C">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3E0D" w:rsidRPr="00FA4573" w14:paraId="025433CE" w14:textId="77777777" w:rsidTr="00B76C4C">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4A021C"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3F972F"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97A397"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Mr Wenhua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6BB690"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Institute of Communications</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47A2ED"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25E86" w14:textId="77777777" w:rsidR="000B3E0D" w:rsidRPr="00FA4573" w:rsidRDefault="000B3E0D" w:rsidP="00B76C4C">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312168"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DB6DBF" w14:textId="77777777" w:rsidR="000B3E0D" w:rsidRPr="00FA4573" w:rsidRDefault="000B3E0D" w:rsidP="00B76C4C">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0DFF7F"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0F6D12"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D845C0"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8940A"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32C848D5" w14:textId="77777777" w:rsidTr="00B76C4C">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541616" w14:textId="77777777" w:rsidR="000B3E0D" w:rsidRPr="00474F78" w:rsidRDefault="000B3E0D" w:rsidP="00B76C4C">
            <w:pPr>
              <w:spacing w:before="40" w:after="40"/>
              <w:rPr>
                <w:rFonts w:ascii="Calibri" w:hAnsi="Calibri"/>
                <w:sz w:val="20"/>
              </w:rPr>
            </w:pPr>
            <w:r w:rsidRPr="00474F78">
              <w:rPr>
                <w:rFonts w:ascii="Calibri" w:hAnsi="Calibri"/>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E0494B" w14:textId="77777777" w:rsidR="000B3E0D" w:rsidRPr="00474F78" w:rsidRDefault="000B3E0D" w:rsidP="00B76C4C">
            <w:pPr>
              <w:spacing w:before="40" w:after="40"/>
              <w:rPr>
                <w:rFonts w:ascii="Calibri" w:hAnsi="Calibri"/>
                <w:sz w:val="20"/>
              </w:rPr>
            </w:pPr>
            <w:r w:rsidRPr="00474F78">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68CA64" w14:textId="77777777" w:rsidR="000B3E0D" w:rsidRPr="00474F78" w:rsidRDefault="000B3E0D" w:rsidP="00B76C4C">
            <w:pPr>
              <w:spacing w:before="40" w:after="40"/>
              <w:rPr>
                <w:rFonts w:ascii="Calibri" w:hAnsi="Calibri"/>
                <w:sz w:val="20"/>
              </w:rPr>
            </w:pPr>
            <w:r w:rsidRPr="00FA4573">
              <w:rPr>
                <w:rFonts w:ascii="Calibri" w:hAnsi="Calibri"/>
                <w:sz w:val="20"/>
              </w:rPr>
              <w:t>Mehmet Akif ESIN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2939D0" w14:textId="77777777" w:rsidR="000B3E0D" w:rsidRPr="00474F78" w:rsidRDefault="000B3E0D" w:rsidP="00B76C4C">
            <w:pPr>
              <w:spacing w:before="40" w:after="40"/>
              <w:rPr>
                <w:rFonts w:ascii="Calibri" w:hAnsi="Calibri"/>
                <w:sz w:val="20"/>
              </w:rPr>
            </w:pPr>
            <w:r w:rsidRPr="00474F78">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9BD873" w14:textId="77777777" w:rsidR="000B3E0D" w:rsidRPr="00474F78" w:rsidRDefault="000B3E0D" w:rsidP="00B76C4C">
            <w:pPr>
              <w:spacing w:before="40" w:after="40"/>
              <w:rPr>
                <w:rFonts w:ascii="Calibri" w:hAnsi="Calibri"/>
                <w:sz w:val="20"/>
              </w:rPr>
            </w:pPr>
            <w:r w:rsidRPr="00474F78">
              <w:rPr>
                <w:rFonts w:ascii="Calibri" w:hAnsi="Calibri"/>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CB7F3B" w14:textId="77777777" w:rsidR="000B3E0D" w:rsidRPr="00474F78" w:rsidRDefault="000B3E0D" w:rsidP="00B76C4C">
            <w:pPr>
              <w:spacing w:before="40" w:after="40"/>
              <w:rPr>
                <w:rFonts w:ascii="Calibri" w:hAnsi="Calibri"/>
                <w:sz w:val="20"/>
              </w:rPr>
            </w:pPr>
            <w:r w:rsidRPr="00474F78">
              <w:rPr>
                <w:rFonts w:ascii="Calibri" w:hAnsi="Calibri"/>
                <w:sz w:val="20"/>
              </w:rPr>
              <w:t>Europe</w:t>
            </w:r>
          </w:p>
        </w:tc>
        <w:tc>
          <w:tcPr>
            <w:tcW w:w="3537"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DCD0E6"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46F8EB" w14:textId="77777777" w:rsidR="000B3E0D" w:rsidRPr="00FA4573" w:rsidRDefault="000B3E0D" w:rsidP="00B76C4C">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3E0D" w:rsidRPr="00FA4573" w14:paraId="5E0ACB41" w14:textId="77777777" w:rsidTr="00B76C4C">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9ED7CA"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C93402"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DCD91E"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Hüseyin Avni YAVUZARSLAN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8203B3"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D4E5E1"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83F29B" w14:textId="77777777" w:rsidR="000B3E0D" w:rsidRPr="00FA4573" w:rsidRDefault="000B3E0D" w:rsidP="00B76C4C">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FF068A"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AABAFF" w14:textId="77777777" w:rsidR="000B3E0D" w:rsidRPr="00FA4573" w:rsidRDefault="000B3E0D" w:rsidP="00B76C4C">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D47A77" w14:textId="77777777" w:rsidR="000B3E0D" w:rsidRPr="00FA4573" w:rsidRDefault="000B3E0D" w:rsidP="00B76C4C">
            <w:pPr>
              <w:spacing w:before="40" w:after="40"/>
              <w:jc w:val="center"/>
              <w:rPr>
                <w:rFonts w:eastAsia="Malgun Gothic" w:cstheme="minorHAnsi"/>
                <w:color w:val="A6A6A6" w:themeColor="background1" w:themeShade="A6"/>
                <w:kern w:val="24"/>
                <w:sz w:val="20"/>
                <w:lang w:eastAsia="ko-KR"/>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AF90E"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E14F0D"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A26BB4" w14:textId="77777777" w:rsidR="000B3E0D" w:rsidRPr="00FA4573" w:rsidRDefault="000B3E0D" w:rsidP="00B76C4C">
            <w:pPr>
              <w:spacing w:before="40" w:after="40"/>
              <w:jc w:val="center"/>
              <w:rPr>
                <w:rFonts w:eastAsiaTheme="minorEastAsia" w:cstheme="minorHAnsi"/>
                <w:color w:val="A6A6A6" w:themeColor="background1" w:themeShade="A6"/>
                <w:kern w:val="24"/>
                <w:sz w:val="20"/>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w:t>
            </w:r>
            <w:r w:rsidRPr="00FA4573">
              <w:rPr>
                <w:rFonts w:ascii="Calibri" w:eastAsia="Malgun Gothic" w:hAnsi="Calibri" w:hint="eastAsia"/>
                <w:color w:val="A6A6A6" w:themeColor="background1" w:themeShade="A6"/>
                <w:sz w:val="12"/>
                <w:szCs w:val="12"/>
                <w:lang w:eastAsia="ko-KR"/>
              </w:rPr>
              <w:t>an</w:t>
            </w:r>
            <w:r w:rsidRPr="00FA4573">
              <w:rPr>
                <w:rFonts w:ascii="Calibri" w:hAnsi="Calibri"/>
                <w:color w:val="A6A6A6" w:themeColor="background1" w:themeShade="A6"/>
                <w:sz w:val="12"/>
                <w:szCs w:val="12"/>
              </w:rPr>
              <w:t xml:space="preserve"> 202</w:t>
            </w:r>
            <w:r w:rsidRPr="00FA4573">
              <w:rPr>
                <w:rFonts w:ascii="Calibri" w:eastAsia="Malgun Gothic" w:hAnsi="Calibri" w:hint="eastAsia"/>
                <w:color w:val="A6A6A6" w:themeColor="background1" w:themeShade="A6"/>
                <w:sz w:val="12"/>
                <w:szCs w:val="12"/>
                <w:lang w:eastAsia="ko-KR"/>
              </w:rPr>
              <w:t>5</w:t>
            </w:r>
            <w:r w:rsidRPr="00FA4573">
              <w:rPr>
                <w:rFonts w:ascii="Calibri" w:hAnsi="Calibri"/>
                <w:color w:val="A6A6A6" w:themeColor="background1" w:themeShade="A6"/>
                <w:sz w:val="12"/>
                <w:szCs w:val="12"/>
              </w:rPr>
              <w:t>)</w:t>
            </w:r>
          </w:p>
        </w:tc>
      </w:tr>
    </w:tbl>
    <w:p w14:paraId="5F2467E9" w14:textId="77777777" w:rsidR="000B3E0D" w:rsidRPr="00FA4573" w:rsidRDefault="000B3E0D" w:rsidP="000B3E0D">
      <w:pPr>
        <w:overflowPunct/>
        <w:autoSpaceDE/>
        <w:autoSpaceDN/>
        <w:adjustRightInd/>
        <w:spacing w:before="0"/>
        <w:textAlignment w:val="auto"/>
        <w:sectPr w:rsidR="000B3E0D" w:rsidRPr="00FA4573" w:rsidSect="000B3E0D">
          <w:headerReference w:type="default" r:id="rId139"/>
          <w:footerReference w:type="default" r:id="rId140"/>
          <w:headerReference w:type="first" r:id="rId141"/>
          <w:pgSz w:w="16840" w:h="11907" w:orient="landscape" w:code="9"/>
          <w:pgMar w:top="1134" w:right="1418" w:bottom="1134" w:left="1418" w:header="720" w:footer="720" w:gutter="0"/>
          <w:cols w:space="720"/>
          <w:docGrid w:linePitch="326"/>
        </w:sectPr>
      </w:pPr>
    </w:p>
    <w:p w14:paraId="12B333AF" w14:textId="77777777" w:rsidR="000B3E0D" w:rsidRPr="00FA4573" w:rsidRDefault="000B3E0D" w:rsidP="000B3E0D">
      <w:pPr>
        <w:spacing w:after="120"/>
        <w:rPr>
          <w:b/>
          <w:bCs/>
        </w:rPr>
      </w:pPr>
      <w:r w:rsidRPr="00FA4573">
        <w:rPr>
          <w:b/>
          <w:bCs/>
        </w:rPr>
        <w:t>Annex 2: List of ITU-D Study Group coordinators on key topics of interest</w:t>
      </w:r>
    </w:p>
    <w:p w14:paraId="7FD27279" w14:textId="77777777" w:rsidR="000B3E0D" w:rsidRPr="00FA4573" w:rsidRDefault="000B3E0D" w:rsidP="000B3E0D">
      <w:pPr>
        <w:spacing w:after="120"/>
        <w:rPr>
          <w:b/>
          <w:bCs/>
        </w:rPr>
      </w:pPr>
      <w:r w:rsidRPr="00FA4573">
        <w:rPr>
          <w:b/>
          <w:szCs w:val="24"/>
        </w:rPr>
        <w:t>Table 3A: List of appointed coordinators</w:t>
      </w:r>
      <w:r w:rsidRPr="00FA4573">
        <w:rPr>
          <w:bCs/>
          <w:szCs w:val="24"/>
        </w:rPr>
        <w:t xml:space="preserve"> </w:t>
      </w:r>
    </w:p>
    <w:tbl>
      <w:tblPr>
        <w:tblStyle w:val="TableGrid"/>
        <w:tblW w:w="9062" w:type="dxa"/>
        <w:tblLayout w:type="fixed"/>
        <w:tblLook w:val="04A0" w:firstRow="1" w:lastRow="0" w:firstColumn="1" w:lastColumn="0" w:noHBand="0" w:noVBand="1"/>
      </w:tblPr>
      <w:tblGrid>
        <w:gridCol w:w="4243"/>
        <w:gridCol w:w="4819"/>
      </w:tblGrid>
      <w:tr w:rsidR="000B3E0D" w:rsidRPr="00FA4573" w14:paraId="3D6AF378" w14:textId="77777777" w:rsidTr="00B76C4C">
        <w:tc>
          <w:tcPr>
            <w:tcW w:w="4243" w:type="dxa"/>
            <w:shd w:val="clear" w:color="auto" w:fill="C6D9F1" w:themeFill="text2" w:themeFillTint="33"/>
            <w:hideMark/>
          </w:tcPr>
          <w:p w14:paraId="477E8B1C" w14:textId="77777777" w:rsidR="000B3E0D" w:rsidRPr="00FA4573" w:rsidRDefault="000B3E0D" w:rsidP="00B76C4C">
            <w:pPr>
              <w:spacing w:before="60" w:after="60"/>
              <w:rPr>
                <w:b/>
                <w:bCs/>
              </w:rPr>
            </w:pPr>
            <w:r w:rsidRPr="00FA4573">
              <w:rPr>
                <w:b/>
                <w:bCs/>
              </w:rPr>
              <w:t>Topic</w:t>
            </w:r>
          </w:p>
        </w:tc>
        <w:tc>
          <w:tcPr>
            <w:tcW w:w="4819" w:type="dxa"/>
            <w:shd w:val="clear" w:color="auto" w:fill="C6D9F1" w:themeFill="text2" w:themeFillTint="33"/>
            <w:hideMark/>
          </w:tcPr>
          <w:p w14:paraId="5CAB9473" w14:textId="77777777" w:rsidR="000B3E0D" w:rsidRPr="00FA4573" w:rsidRDefault="000B3E0D" w:rsidP="00B76C4C">
            <w:pPr>
              <w:tabs>
                <w:tab w:val="left" w:pos="6940"/>
              </w:tabs>
              <w:spacing w:before="60" w:after="60"/>
            </w:pPr>
            <w:r w:rsidRPr="00FA4573">
              <w:rPr>
                <w:b/>
                <w:bCs/>
              </w:rPr>
              <w:t>Responsible person(s)</w:t>
            </w:r>
          </w:p>
        </w:tc>
      </w:tr>
      <w:tr w:rsidR="000B3E0D" w:rsidRPr="00FA4573" w14:paraId="3A5901A4" w14:textId="77777777" w:rsidTr="00B76C4C">
        <w:trPr>
          <w:trHeight w:val="174"/>
        </w:trPr>
        <w:tc>
          <w:tcPr>
            <w:tcW w:w="4243" w:type="dxa"/>
            <w:hideMark/>
          </w:tcPr>
          <w:p w14:paraId="4B0B0774" w14:textId="77777777" w:rsidR="000B3E0D" w:rsidRPr="00FA4573" w:rsidRDefault="000B3E0D" w:rsidP="00B76C4C">
            <w:pPr>
              <w:spacing w:before="60" w:after="60"/>
            </w:pPr>
            <w:r w:rsidRPr="00FA4573">
              <w:t>1. Backup to the SG chair</w:t>
            </w:r>
          </w:p>
        </w:tc>
        <w:tc>
          <w:tcPr>
            <w:tcW w:w="4819" w:type="dxa"/>
            <w:hideMark/>
          </w:tcPr>
          <w:p w14:paraId="0129C436" w14:textId="77777777" w:rsidR="000B3E0D" w:rsidRPr="00FA4573" w:rsidRDefault="000B3E0D" w:rsidP="00B76C4C">
            <w:pPr>
              <w:spacing w:before="60" w:after="60"/>
            </w:pPr>
            <w:r w:rsidRPr="00FA4573">
              <w:t>Mr Dominique WÜRGES (France)</w:t>
            </w:r>
          </w:p>
        </w:tc>
      </w:tr>
      <w:tr w:rsidR="000B3E0D" w:rsidRPr="00FA4573" w14:paraId="53D76A2D" w14:textId="77777777" w:rsidTr="00B76C4C">
        <w:trPr>
          <w:trHeight w:val="339"/>
        </w:trPr>
        <w:tc>
          <w:tcPr>
            <w:tcW w:w="4243" w:type="dxa"/>
            <w:hideMark/>
          </w:tcPr>
          <w:p w14:paraId="03A0C900" w14:textId="77777777" w:rsidR="000B3E0D" w:rsidRPr="00FA4573" w:rsidRDefault="000B3E0D" w:rsidP="00B76C4C">
            <w:pPr>
              <w:spacing w:before="60" w:after="60"/>
            </w:pPr>
            <w:r w:rsidRPr="00FA4573">
              <w:t>2. Plenary liaison statements</w:t>
            </w:r>
          </w:p>
        </w:tc>
        <w:tc>
          <w:tcPr>
            <w:tcW w:w="4819" w:type="dxa"/>
          </w:tcPr>
          <w:p w14:paraId="4A4BAA77" w14:textId="77777777" w:rsidR="000B3E0D" w:rsidRPr="00FA4573" w:rsidRDefault="000B3E0D" w:rsidP="00B76C4C">
            <w:pPr>
              <w:spacing w:before="60" w:after="60"/>
            </w:pPr>
            <w:r w:rsidRPr="00FA4573">
              <w:t>Mr Mohamed Lamine MINTHE (Guinea)</w:t>
            </w:r>
          </w:p>
        </w:tc>
      </w:tr>
      <w:tr w:rsidR="000B3E0D" w:rsidRPr="00FA4573" w14:paraId="2421AE4D" w14:textId="77777777" w:rsidTr="00B76C4C">
        <w:trPr>
          <w:trHeight w:val="559"/>
        </w:trPr>
        <w:tc>
          <w:tcPr>
            <w:tcW w:w="4243" w:type="dxa"/>
            <w:hideMark/>
          </w:tcPr>
          <w:p w14:paraId="0A111D1D" w14:textId="77777777" w:rsidR="000B3E0D" w:rsidRPr="00FA4573" w:rsidRDefault="000B3E0D" w:rsidP="00B76C4C">
            <w:pPr>
              <w:spacing w:before="60" w:after="60"/>
            </w:pPr>
            <w:r w:rsidRPr="00FA4573">
              <w:t>3. Joint activities (annual deliverables, workshops, webinars)</w:t>
            </w:r>
          </w:p>
        </w:tc>
        <w:tc>
          <w:tcPr>
            <w:tcW w:w="4819" w:type="dxa"/>
          </w:tcPr>
          <w:p w14:paraId="4D969011" w14:textId="77777777" w:rsidR="000B3E0D" w:rsidRPr="00FA4573" w:rsidRDefault="000B3E0D" w:rsidP="00B76C4C">
            <w:pPr>
              <w:spacing w:before="60" w:after="60"/>
              <w:rPr>
                <w:rFonts w:eastAsia="Malgun Gothic"/>
                <w:color w:val="A6A6A6" w:themeColor="background1" w:themeShade="A6"/>
                <w:lang w:eastAsia="ko-KR"/>
              </w:rPr>
            </w:pPr>
            <w:r w:rsidRPr="00FA4573">
              <w:rPr>
                <w:color w:val="A6A6A6" w:themeColor="background1" w:themeShade="A6"/>
              </w:rPr>
              <w:t>Mr Diyor RAJABOV (Uzbekistan)</w:t>
            </w:r>
            <w:r w:rsidRPr="00FA4573">
              <w:rPr>
                <w:rFonts w:eastAsia="Malgun Gothic" w:hint="eastAsia"/>
                <w:color w:val="A6A6A6" w:themeColor="background1" w:themeShade="A6"/>
                <w:lang w:eastAsia="ko-KR"/>
              </w:rPr>
              <w:t xml:space="preserve"> (until September 2024)</w:t>
            </w:r>
          </w:p>
        </w:tc>
      </w:tr>
      <w:tr w:rsidR="000B3E0D" w:rsidRPr="00FA4573" w14:paraId="42A0A4CB" w14:textId="77777777" w:rsidTr="00B76C4C">
        <w:trPr>
          <w:trHeight w:val="316"/>
        </w:trPr>
        <w:tc>
          <w:tcPr>
            <w:tcW w:w="4243" w:type="dxa"/>
            <w:hideMark/>
          </w:tcPr>
          <w:p w14:paraId="3B287672" w14:textId="77777777" w:rsidR="000B3E0D" w:rsidRPr="00FA4573" w:rsidRDefault="000B3E0D" w:rsidP="00B76C4C">
            <w:pPr>
              <w:spacing w:before="60" w:after="60"/>
            </w:pPr>
            <w:r w:rsidRPr="00FA4573">
              <w:t>4. Council working groups</w:t>
            </w:r>
          </w:p>
        </w:tc>
        <w:tc>
          <w:tcPr>
            <w:tcW w:w="4819" w:type="dxa"/>
          </w:tcPr>
          <w:p w14:paraId="1A54CF47" w14:textId="77777777" w:rsidR="000B3E0D" w:rsidRPr="00FA4573" w:rsidRDefault="000B3E0D" w:rsidP="00B76C4C">
            <w:pPr>
              <w:spacing w:before="60" w:after="60"/>
            </w:pPr>
            <w:r w:rsidRPr="00FA4573">
              <w:t>Mr Abdelaziz ALZAROONI (UAE)</w:t>
            </w:r>
          </w:p>
        </w:tc>
      </w:tr>
      <w:tr w:rsidR="000B3E0D" w:rsidRPr="00FA4573" w14:paraId="2A90C4A8" w14:textId="77777777" w:rsidTr="00B76C4C">
        <w:trPr>
          <w:trHeight w:val="497"/>
        </w:trPr>
        <w:tc>
          <w:tcPr>
            <w:tcW w:w="4243" w:type="dxa"/>
            <w:hideMark/>
          </w:tcPr>
          <w:p w14:paraId="27DEDCF5" w14:textId="77777777" w:rsidR="000B3E0D" w:rsidRPr="00FA4573" w:rsidRDefault="000B3E0D" w:rsidP="00B76C4C">
            <w:pPr>
              <w:spacing w:before="60" w:after="60"/>
            </w:pPr>
            <w:r w:rsidRPr="00FA4573">
              <w:t>5. Youth and women engagement</w:t>
            </w:r>
          </w:p>
        </w:tc>
        <w:tc>
          <w:tcPr>
            <w:tcW w:w="4819" w:type="dxa"/>
          </w:tcPr>
          <w:p w14:paraId="2BCF7B59" w14:textId="77777777" w:rsidR="000B3E0D" w:rsidRPr="00FA4573" w:rsidRDefault="000B3E0D" w:rsidP="00B76C4C">
            <w:pPr>
              <w:spacing w:before="60" w:after="60"/>
              <w:rPr>
                <w:rFonts w:eastAsia="Malgun Gothic"/>
                <w:color w:val="A6A6A6" w:themeColor="background1" w:themeShade="A6"/>
                <w:lang w:eastAsia="ko-KR"/>
              </w:rPr>
            </w:pPr>
            <w:r w:rsidRPr="00FA4573">
              <w:rPr>
                <w:color w:val="A6A6A6" w:themeColor="background1" w:themeShade="A6"/>
              </w:rPr>
              <w:t>Ms Alina MODAN (Romania)</w:t>
            </w:r>
            <w:r w:rsidRPr="00FA4573">
              <w:rPr>
                <w:rFonts w:eastAsia="Malgun Gothic" w:hint="eastAsia"/>
                <w:color w:val="A6A6A6" w:themeColor="background1" w:themeShade="A6"/>
                <w:lang w:eastAsia="ko-KR"/>
              </w:rPr>
              <w:t xml:space="preserve"> (until June 2023)</w:t>
            </w:r>
          </w:p>
          <w:p w14:paraId="51BBBEBA" w14:textId="77777777" w:rsidR="000B3E0D" w:rsidRPr="00FA4573" w:rsidRDefault="000B3E0D" w:rsidP="00B76C4C">
            <w:pPr>
              <w:spacing w:before="60" w:after="60"/>
              <w:rPr>
                <w:rFonts w:eastAsia="Malgun Gothic"/>
                <w:lang w:eastAsia="ko-KR"/>
              </w:rPr>
            </w:pPr>
            <w:r w:rsidRPr="00FA4573">
              <w:rPr>
                <w:rFonts w:eastAsia="Malgun Gothic" w:hint="eastAsia"/>
                <w:lang w:eastAsia="ko-KR"/>
              </w:rPr>
              <w:t>Ms Madalina CLAPON (Romania) (from October 2023)</w:t>
            </w:r>
          </w:p>
        </w:tc>
      </w:tr>
      <w:tr w:rsidR="000B3E0D" w:rsidRPr="00FA4573" w14:paraId="56F3EED8" w14:textId="77777777" w:rsidTr="00B76C4C">
        <w:trPr>
          <w:trHeight w:val="407"/>
        </w:trPr>
        <w:tc>
          <w:tcPr>
            <w:tcW w:w="4243" w:type="dxa"/>
            <w:hideMark/>
          </w:tcPr>
          <w:p w14:paraId="0ED527C4" w14:textId="77777777" w:rsidR="000B3E0D" w:rsidRPr="00FA4573" w:rsidRDefault="000B3E0D" w:rsidP="00B76C4C">
            <w:pPr>
              <w:spacing w:before="60" w:after="60"/>
            </w:pPr>
            <w:r w:rsidRPr="00FA4573">
              <w:t>6. Delegate on-boarding (e.g. induction)</w:t>
            </w:r>
          </w:p>
        </w:tc>
        <w:tc>
          <w:tcPr>
            <w:tcW w:w="4819" w:type="dxa"/>
          </w:tcPr>
          <w:p w14:paraId="22634FAA" w14:textId="77777777" w:rsidR="000B3E0D" w:rsidRPr="00FA4573" w:rsidRDefault="000B3E0D" w:rsidP="00B76C4C">
            <w:pPr>
              <w:spacing w:before="60" w:after="60"/>
            </w:pPr>
            <w:r w:rsidRPr="00FA4573">
              <w:t>Mr Victor Antonio MARTÍNEZ SÁNCHEZ (Paraguay)</w:t>
            </w:r>
          </w:p>
        </w:tc>
      </w:tr>
      <w:tr w:rsidR="000B3E0D" w:rsidRPr="00FA4573" w14:paraId="0EAA90A4" w14:textId="77777777" w:rsidTr="00B76C4C">
        <w:trPr>
          <w:trHeight w:val="372"/>
        </w:trPr>
        <w:tc>
          <w:tcPr>
            <w:tcW w:w="4243" w:type="dxa"/>
            <w:hideMark/>
          </w:tcPr>
          <w:p w14:paraId="671EB640" w14:textId="77777777" w:rsidR="000B3E0D" w:rsidRPr="00FA4573" w:rsidRDefault="000B3E0D" w:rsidP="00B76C4C">
            <w:pPr>
              <w:spacing w:before="60" w:after="60"/>
            </w:pPr>
            <w:r w:rsidRPr="00FA4573">
              <w:t>7. WTDC Resolution 9</w:t>
            </w:r>
          </w:p>
        </w:tc>
        <w:tc>
          <w:tcPr>
            <w:tcW w:w="4819" w:type="dxa"/>
          </w:tcPr>
          <w:p w14:paraId="204290AA" w14:textId="77777777" w:rsidR="000B3E0D" w:rsidRPr="00FA4573" w:rsidRDefault="000B3E0D" w:rsidP="00B76C4C">
            <w:pPr>
              <w:spacing w:before="60" w:after="60"/>
            </w:pPr>
            <w:r w:rsidRPr="00FA4573">
              <w:t>Mr Hideo IMANAKA (Japan)</w:t>
            </w:r>
          </w:p>
          <w:p w14:paraId="34B49450" w14:textId="77777777" w:rsidR="000B3E0D" w:rsidRPr="00FA4573" w:rsidRDefault="000B3E0D" w:rsidP="00B76C4C">
            <w:pPr>
              <w:spacing w:before="60" w:after="60"/>
            </w:pPr>
            <w:r w:rsidRPr="00FA4573">
              <w:t>Mr Haim MAZAR (ATDI, France)</w:t>
            </w:r>
          </w:p>
        </w:tc>
      </w:tr>
      <w:tr w:rsidR="000B3E0D" w:rsidRPr="00FA4573" w14:paraId="2514CE56" w14:textId="77777777" w:rsidTr="00B76C4C">
        <w:trPr>
          <w:trHeight w:val="378"/>
        </w:trPr>
        <w:tc>
          <w:tcPr>
            <w:tcW w:w="4243" w:type="dxa"/>
            <w:hideMark/>
          </w:tcPr>
          <w:p w14:paraId="407B934F" w14:textId="77777777" w:rsidR="000B3E0D" w:rsidRPr="00FA4573" w:rsidRDefault="000B3E0D" w:rsidP="00B76C4C">
            <w:pPr>
              <w:spacing w:before="60" w:after="60"/>
            </w:pPr>
            <w:r w:rsidRPr="00FA4573">
              <w:t>8. Statistics (EGTI, EGH)</w:t>
            </w:r>
          </w:p>
        </w:tc>
        <w:tc>
          <w:tcPr>
            <w:tcW w:w="4819" w:type="dxa"/>
          </w:tcPr>
          <w:p w14:paraId="5FCF0C39" w14:textId="77777777" w:rsidR="000B3E0D" w:rsidRPr="00FA4573" w:rsidRDefault="000B3E0D" w:rsidP="00B76C4C">
            <w:pPr>
              <w:spacing w:before="60" w:after="60"/>
            </w:pPr>
            <w:r w:rsidRPr="00FA4573">
              <w:t>Ms Mina Seonmin JUN (Rep. of Korea)</w:t>
            </w:r>
          </w:p>
        </w:tc>
      </w:tr>
      <w:tr w:rsidR="000B3E0D" w:rsidRPr="00FA4573" w14:paraId="684003A4" w14:textId="77777777" w:rsidTr="00B76C4C">
        <w:trPr>
          <w:trHeight w:val="385"/>
        </w:trPr>
        <w:tc>
          <w:tcPr>
            <w:tcW w:w="4243" w:type="dxa"/>
            <w:hideMark/>
          </w:tcPr>
          <w:p w14:paraId="2A3C74BD" w14:textId="77777777" w:rsidR="000B3E0D" w:rsidRPr="00FA4573" w:rsidRDefault="000B3E0D" w:rsidP="00B76C4C">
            <w:pPr>
              <w:spacing w:before="60" w:after="60"/>
            </w:pPr>
            <w:r w:rsidRPr="00FA4573">
              <w:t>9. ITU-CCT (Vocabulary)</w:t>
            </w:r>
          </w:p>
        </w:tc>
        <w:tc>
          <w:tcPr>
            <w:tcW w:w="4819" w:type="dxa"/>
          </w:tcPr>
          <w:p w14:paraId="6C5732AD" w14:textId="77777777" w:rsidR="000B3E0D" w:rsidRPr="00FA4573" w:rsidRDefault="000B3E0D" w:rsidP="00B76C4C">
            <w:pPr>
              <w:spacing w:before="60" w:after="60"/>
            </w:pPr>
            <w:r w:rsidRPr="00FA4573">
              <w:t>Mr Tongning WU (China)</w:t>
            </w:r>
          </w:p>
        </w:tc>
      </w:tr>
      <w:tr w:rsidR="000B3E0D" w:rsidRPr="00FA4573" w14:paraId="7159367B" w14:textId="77777777" w:rsidTr="00B76C4C">
        <w:trPr>
          <w:trHeight w:val="377"/>
        </w:trPr>
        <w:tc>
          <w:tcPr>
            <w:tcW w:w="4243" w:type="dxa"/>
            <w:hideMark/>
          </w:tcPr>
          <w:p w14:paraId="7AD8A0E3" w14:textId="77777777" w:rsidR="000B3E0D" w:rsidRPr="00FA4573" w:rsidRDefault="000B3E0D" w:rsidP="00B76C4C">
            <w:pPr>
              <w:spacing w:before="60" w:after="60"/>
            </w:pPr>
            <w:r w:rsidRPr="00FA4573">
              <w:t>10. Inter-sectoral mappings</w:t>
            </w:r>
          </w:p>
        </w:tc>
        <w:tc>
          <w:tcPr>
            <w:tcW w:w="4819" w:type="dxa"/>
          </w:tcPr>
          <w:p w14:paraId="63A11D66" w14:textId="77777777" w:rsidR="000B3E0D" w:rsidRPr="00FA4573" w:rsidRDefault="000B3E0D" w:rsidP="00B76C4C">
            <w:pPr>
              <w:spacing w:before="60" w:after="60"/>
            </w:pPr>
            <w:r w:rsidRPr="00FA4573">
              <w:t>Mr Haim MAZAR (ATDI, France)</w:t>
            </w:r>
          </w:p>
          <w:p w14:paraId="36F1B27D" w14:textId="77777777" w:rsidR="000B3E0D" w:rsidRPr="00FA4573" w:rsidRDefault="000B3E0D" w:rsidP="00B76C4C">
            <w:pPr>
              <w:spacing w:before="60" w:after="60"/>
            </w:pPr>
            <w:r w:rsidRPr="00FA4573">
              <w:t>Mr Arseny PLOSSKY (Russian Federation)</w:t>
            </w:r>
          </w:p>
        </w:tc>
      </w:tr>
      <w:tr w:rsidR="000B3E0D" w:rsidRPr="00FA4573" w14:paraId="0167ADAC" w14:textId="77777777" w:rsidTr="00B76C4C">
        <w:trPr>
          <w:trHeight w:val="368"/>
        </w:trPr>
        <w:tc>
          <w:tcPr>
            <w:tcW w:w="4243" w:type="dxa"/>
            <w:hideMark/>
          </w:tcPr>
          <w:p w14:paraId="068BFB0F" w14:textId="77777777" w:rsidR="000B3E0D" w:rsidRPr="00FA4573" w:rsidRDefault="000B3E0D" w:rsidP="00B76C4C">
            <w:pPr>
              <w:spacing w:before="60" w:after="60"/>
            </w:pPr>
            <w:r w:rsidRPr="00FA4573">
              <w:t>11. Synergies of study Questions with ITU actions (e.g. projects)</w:t>
            </w:r>
          </w:p>
        </w:tc>
        <w:tc>
          <w:tcPr>
            <w:tcW w:w="4819" w:type="dxa"/>
          </w:tcPr>
          <w:p w14:paraId="432B10FE" w14:textId="77777777" w:rsidR="000B3E0D" w:rsidRPr="00FA4573" w:rsidRDefault="000B3E0D" w:rsidP="00B76C4C">
            <w:pPr>
              <w:spacing w:before="60" w:after="60"/>
            </w:pPr>
            <w:r w:rsidRPr="00FA4573">
              <w:t>Ms Zainab ARDO (Nigeria)</w:t>
            </w:r>
          </w:p>
          <w:p w14:paraId="6637AFFF" w14:textId="77777777" w:rsidR="000B3E0D" w:rsidRPr="00FA4573" w:rsidRDefault="000B3E0D" w:rsidP="00B76C4C">
            <w:pPr>
              <w:spacing w:before="60" w:after="60"/>
            </w:pPr>
            <w:r w:rsidRPr="00FA4573">
              <w:t>Mr Mushfig GULUYEV (Azerbaijan)</w:t>
            </w:r>
          </w:p>
        </w:tc>
      </w:tr>
      <w:tr w:rsidR="000B3E0D" w:rsidRPr="00FA4573" w14:paraId="6F62E614" w14:textId="77777777" w:rsidTr="00B76C4C">
        <w:trPr>
          <w:trHeight w:val="389"/>
        </w:trPr>
        <w:tc>
          <w:tcPr>
            <w:tcW w:w="4243" w:type="dxa"/>
            <w:hideMark/>
          </w:tcPr>
          <w:p w14:paraId="017E3F68" w14:textId="77777777" w:rsidR="000B3E0D" w:rsidRPr="00FA4573" w:rsidRDefault="000B3E0D" w:rsidP="00B76C4C">
            <w:pPr>
              <w:spacing w:before="60" w:after="60"/>
            </w:pPr>
            <w:r w:rsidRPr="00FA4573">
              <w:t>12. Dashboard for monitoring Question progress</w:t>
            </w:r>
          </w:p>
        </w:tc>
        <w:tc>
          <w:tcPr>
            <w:tcW w:w="4819" w:type="dxa"/>
          </w:tcPr>
          <w:p w14:paraId="63533ACB" w14:textId="77777777" w:rsidR="000B3E0D" w:rsidRPr="00FA4573" w:rsidRDefault="000B3E0D" w:rsidP="00B76C4C">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Q1/2, Q2/2: Mr Diyor RAJABOV (Uzbekistan)</w:t>
            </w:r>
            <w:r w:rsidRPr="00FA4573">
              <w:rPr>
                <w:rFonts w:eastAsia="Malgun Gothic"/>
                <w:color w:val="A6A6A6" w:themeColor="background1" w:themeShade="A6"/>
                <w:lang w:eastAsia="ko-KR"/>
              </w:rPr>
              <w:t xml:space="preserve"> (until </w:t>
            </w:r>
            <w:r w:rsidRPr="00FA4573">
              <w:rPr>
                <w:rFonts w:eastAsia="Malgun Gothic" w:hint="eastAsia"/>
                <w:color w:val="A6A6A6" w:themeColor="background1" w:themeShade="A6"/>
                <w:lang w:eastAsia="ko-KR"/>
              </w:rPr>
              <w:t xml:space="preserve">September </w:t>
            </w:r>
            <w:r w:rsidRPr="00FA4573">
              <w:rPr>
                <w:rFonts w:eastAsia="Malgun Gothic"/>
                <w:color w:val="A6A6A6" w:themeColor="background1" w:themeShade="A6"/>
                <w:lang w:eastAsia="ko-KR"/>
              </w:rPr>
              <w:t>2024)</w:t>
            </w:r>
          </w:p>
          <w:p w14:paraId="0B036410" w14:textId="77777777" w:rsidR="000B3E0D" w:rsidRPr="00FA4573" w:rsidRDefault="000B3E0D" w:rsidP="00B76C4C">
            <w:pPr>
              <w:overflowPunct/>
              <w:autoSpaceDE/>
              <w:autoSpaceDN/>
              <w:adjustRightInd/>
              <w:spacing w:before="40" w:afterLines="40" w:after="96"/>
              <w:textAlignment w:val="auto"/>
              <w:rPr>
                <w:lang w:val="fr-FR"/>
              </w:rPr>
            </w:pPr>
            <w:r w:rsidRPr="00FA4573">
              <w:rPr>
                <w:lang w:val="fr-FR"/>
              </w:rPr>
              <w:t>Q3/2, Q5/2, Q6/2: Mr Dominique WÜRGES (France)</w:t>
            </w:r>
          </w:p>
          <w:p w14:paraId="1C226AAB" w14:textId="77777777" w:rsidR="000B3E0D" w:rsidRPr="00FA4573" w:rsidRDefault="000B3E0D" w:rsidP="00B76C4C">
            <w:pPr>
              <w:overflowPunct/>
              <w:autoSpaceDE/>
              <w:autoSpaceDN/>
              <w:adjustRightInd/>
              <w:spacing w:before="40" w:afterLines="40" w:after="96"/>
              <w:textAlignment w:val="auto"/>
              <w:rPr>
                <w:lang w:val="en-US"/>
              </w:rPr>
            </w:pPr>
            <w:r w:rsidRPr="00FA4573">
              <w:rPr>
                <w:lang w:val="en-US"/>
              </w:rPr>
              <w:t xml:space="preserve">Q4/2, Q7/2: </w:t>
            </w:r>
            <w:r w:rsidRPr="00FA4573">
              <w:t>Mr Tongning WU (China)</w:t>
            </w:r>
          </w:p>
        </w:tc>
      </w:tr>
      <w:tr w:rsidR="000B3E0D" w:rsidRPr="00FA4573" w14:paraId="48B09BF0" w14:textId="77777777" w:rsidTr="00B76C4C">
        <w:trPr>
          <w:trHeight w:val="389"/>
        </w:trPr>
        <w:tc>
          <w:tcPr>
            <w:tcW w:w="4243" w:type="dxa"/>
          </w:tcPr>
          <w:p w14:paraId="402183CD" w14:textId="77777777" w:rsidR="000B3E0D" w:rsidRPr="00FA4573" w:rsidRDefault="000B3E0D" w:rsidP="00B76C4C">
            <w:pPr>
              <w:spacing w:before="60" w:after="60"/>
            </w:pPr>
            <w:r w:rsidRPr="00FA4573">
              <w:t>13. Coordination with TSAG Rapporteur Group on sustainable Digital Transformation (RG-DT)</w:t>
            </w:r>
          </w:p>
        </w:tc>
        <w:tc>
          <w:tcPr>
            <w:tcW w:w="4819" w:type="dxa"/>
          </w:tcPr>
          <w:p w14:paraId="60CA3719" w14:textId="77777777" w:rsidR="000B3E0D" w:rsidRPr="00FA4573" w:rsidRDefault="000B3E0D" w:rsidP="00B76C4C">
            <w:pPr>
              <w:overflowPunct/>
              <w:autoSpaceDE/>
              <w:autoSpaceDN/>
              <w:adjustRightInd/>
              <w:spacing w:before="40" w:afterLines="40" w:after="96"/>
              <w:textAlignment w:val="auto"/>
              <w:rPr>
                <w:lang w:val="en-US"/>
              </w:rPr>
            </w:pPr>
            <w:r w:rsidRPr="00FA4573">
              <w:t>Mr Mohamed Lamine MINTHE (Guinea)</w:t>
            </w:r>
          </w:p>
        </w:tc>
      </w:tr>
      <w:tr w:rsidR="000B3E0D" w:rsidRPr="00FA4573" w14:paraId="5CBB0ADA" w14:textId="77777777" w:rsidTr="00B76C4C">
        <w:trPr>
          <w:trHeight w:val="389"/>
        </w:trPr>
        <w:tc>
          <w:tcPr>
            <w:tcW w:w="4243" w:type="dxa"/>
          </w:tcPr>
          <w:p w14:paraId="3A5B2892" w14:textId="77777777" w:rsidR="000B3E0D" w:rsidRPr="00FA4573" w:rsidRDefault="000B3E0D" w:rsidP="00B76C4C">
            <w:pPr>
              <w:spacing w:before="60" w:after="60"/>
            </w:pPr>
            <w:r w:rsidRPr="00FA4573">
              <w:t>1</w:t>
            </w:r>
            <w:r w:rsidRPr="00FA4573">
              <w:rPr>
                <w:rFonts w:hint="eastAsia"/>
                <w:lang w:eastAsia="ko-KR"/>
              </w:rPr>
              <w:t>4</w:t>
            </w:r>
            <w:r w:rsidRPr="00FA4573">
              <w:t xml:space="preserve">. Future </w:t>
            </w:r>
            <w:r w:rsidRPr="00FA4573">
              <w:rPr>
                <w:rFonts w:hint="eastAsia"/>
                <w:lang w:eastAsia="ko-KR"/>
              </w:rPr>
              <w:t>s</w:t>
            </w:r>
            <w:r w:rsidRPr="00FA4573">
              <w:t>tudy Questions</w:t>
            </w:r>
          </w:p>
        </w:tc>
        <w:tc>
          <w:tcPr>
            <w:tcW w:w="4819" w:type="dxa"/>
          </w:tcPr>
          <w:p w14:paraId="56302F78" w14:textId="77777777" w:rsidR="000B3E0D" w:rsidRPr="00FA4573" w:rsidRDefault="000B3E0D" w:rsidP="00B76C4C">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Mr Abdelaziz ALZAROONI (UAE)</w:t>
            </w:r>
            <w:r w:rsidRPr="00FA4573">
              <w:rPr>
                <w:rFonts w:eastAsia="Malgun Gothic" w:hint="eastAsia"/>
                <w:color w:val="A6A6A6" w:themeColor="background1" w:themeShade="A6"/>
                <w:lang w:eastAsia="ko-KR"/>
              </w:rPr>
              <w:t xml:space="preserve"> (until December 2024)</w:t>
            </w:r>
          </w:p>
          <w:p w14:paraId="119A04E9" w14:textId="77777777" w:rsidR="000B3E0D" w:rsidRPr="00FA4573" w:rsidRDefault="000B3E0D" w:rsidP="00B76C4C">
            <w:pPr>
              <w:overflowPunct/>
              <w:autoSpaceDE/>
              <w:autoSpaceDN/>
              <w:adjustRightInd/>
              <w:spacing w:before="40" w:afterLines="40" w:after="96"/>
              <w:textAlignment w:val="auto"/>
              <w:rPr>
                <w:rFonts w:eastAsia="Malgun Gothic"/>
                <w:lang w:eastAsia="ko-KR"/>
              </w:rPr>
            </w:pPr>
            <w:r w:rsidRPr="00FA4573">
              <w:t>Mr Victor Antonio MARTÍNEZ SÁNCHEZ (Paraguay)</w:t>
            </w:r>
            <w:r w:rsidRPr="00FA4573">
              <w:rPr>
                <w:rFonts w:eastAsia="Malgun Gothic" w:hint="eastAsia"/>
                <w:lang w:eastAsia="ko-KR"/>
              </w:rPr>
              <w:t xml:space="preserve"> (from January 2025)</w:t>
            </w:r>
          </w:p>
        </w:tc>
      </w:tr>
    </w:tbl>
    <w:p w14:paraId="0E9C2D7B" w14:textId="77777777" w:rsidR="000B3E0D" w:rsidRPr="00FA4573" w:rsidRDefault="000B3E0D" w:rsidP="000B3E0D">
      <w:pPr>
        <w:overflowPunct/>
        <w:autoSpaceDE/>
        <w:autoSpaceDN/>
        <w:adjustRightInd/>
        <w:spacing w:before="0"/>
        <w:textAlignment w:val="auto"/>
        <w:rPr>
          <w:b/>
          <w:bCs/>
        </w:rPr>
      </w:pPr>
      <w:r w:rsidRPr="00FA4573">
        <w:rPr>
          <w:b/>
          <w:bCs/>
        </w:rPr>
        <w:br w:type="page"/>
      </w:r>
    </w:p>
    <w:p w14:paraId="18898AD2" w14:textId="77777777" w:rsidR="000B3E0D" w:rsidRPr="00FA4573" w:rsidRDefault="000B3E0D" w:rsidP="000B3E0D">
      <w:pPr>
        <w:overflowPunct/>
        <w:autoSpaceDE/>
        <w:autoSpaceDN/>
        <w:adjustRightInd/>
        <w:spacing w:after="120"/>
        <w:textAlignment w:val="auto"/>
        <w:rPr>
          <w:b/>
          <w:bCs/>
        </w:rPr>
      </w:pPr>
      <w:r w:rsidRPr="00FA4573">
        <w:rPr>
          <w:b/>
          <w:bCs/>
        </w:rPr>
        <w:t>Annex 3: ITU-D Study Group 2</w:t>
      </w:r>
      <w:r w:rsidRPr="00FA4573">
        <w:rPr>
          <w:rFonts w:eastAsia="Malgun Gothic" w:hint="eastAsia"/>
          <w:b/>
          <w:bCs/>
          <w:lang w:eastAsia="ko-KR"/>
        </w:rPr>
        <w:t xml:space="preserve"> meetings and </w:t>
      </w:r>
      <w:r w:rsidRPr="00FA4573">
        <w:rPr>
          <w:b/>
          <w:bCs/>
        </w:rPr>
        <w:t>Rapporteur Group meetings (20</w:t>
      </w:r>
      <w:r w:rsidRPr="00FA4573">
        <w:rPr>
          <w:rFonts w:eastAsia="Malgun Gothic" w:hint="eastAsia"/>
          <w:b/>
          <w:bCs/>
          <w:lang w:eastAsia="ko-KR"/>
        </w:rPr>
        <w:t>22</w:t>
      </w:r>
      <w:r w:rsidRPr="00FA4573">
        <w:rPr>
          <w:b/>
          <w:bCs/>
        </w:rPr>
        <w:t>-202</w:t>
      </w:r>
      <w:r w:rsidRPr="00FA4573">
        <w:rPr>
          <w:rFonts w:eastAsia="Malgun Gothic" w:hint="eastAsia"/>
          <w:b/>
          <w:bCs/>
          <w:lang w:eastAsia="ko-KR"/>
        </w:rPr>
        <w:t>5</w:t>
      </w:r>
      <w:r w:rsidRPr="00FA4573">
        <w:rPr>
          <w:b/>
          <w:bCs/>
        </w:rPr>
        <w:t>)</w:t>
      </w:r>
    </w:p>
    <w:p w14:paraId="6F9F6A89" w14:textId="77777777" w:rsidR="000B3E0D" w:rsidRPr="00FA4573" w:rsidRDefault="000B3E0D" w:rsidP="000B3E0D">
      <w:pPr>
        <w:spacing w:after="120"/>
        <w:rPr>
          <w:b/>
          <w:bCs/>
        </w:rPr>
      </w:pPr>
      <w:r w:rsidRPr="00FA4573">
        <w:rPr>
          <w:b/>
          <w:szCs w:val="24"/>
        </w:rPr>
        <w:t>Table 4A: List of ITU-D Study Group 2 and Rapporteur Group meetings</w:t>
      </w:r>
      <w:r w:rsidRPr="00FA4573">
        <w:rPr>
          <w:bCs/>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0B3E0D" w:rsidRPr="00FA4573" w14:paraId="3414EE08" w14:textId="77777777" w:rsidTr="00B76C4C">
        <w:trPr>
          <w:tblHeader/>
          <w:jc w:val="center"/>
        </w:trPr>
        <w:tc>
          <w:tcPr>
            <w:tcW w:w="2647" w:type="pct"/>
            <w:tcBorders>
              <w:bottom w:val="single" w:sz="4" w:space="0" w:color="auto"/>
            </w:tcBorders>
            <w:shd w:val="clear" w:color="auto" w:fill="5B9BD5"/>
          </w:tcPr>
          <w:p w14:paraId="51C6F837" w14:textId="77777777" w:rsidR="000B3E0D" w:rsidRPr="00FA4573" w:rsidRDefault="000B3E0D" w:rsidP="00B76C4C">
            <w:pPr>
              <w:spacing w:before="20" w:after="20"/>
              <w:rPr>
                <w:b/>
                <w:sz w:val="22"/>
                <w:szCs w:val="22"/>
              </w:rPr>
            </w:pPr>
            <w:r w:rsidRPr="00FA4573">
              <w:rPr>
                <w:b/>
                <w:bCs/>
                <w:sz w:val="22"/>
                <w:szCs w:val="22"/>
              </w:rPr>
              <w:t>Study Group / Rapporteur Group meeting</w:t>
            </w:r>
          </w:p>
        </w:tc>
        <w:tc>
          <w:tcPr>
            <w:tcW w:w="2353" w:type="pct"/>
            <w:tcBorders>
              <w:bottom w:val="single" w:sz="4" w:space="0" w:color="auto"/>
            </w:tcBorders>
            <w:shd w:val="clear" w:color="auto" w:fill="5B9BD5"/>
          </w:tcPr>
          <w:p w14:paraId="592D25EE" w14:textId="77777777" w:rsidR="000B3E0D" w:rsidRPr="00FA4573" w:rsidRDefault="000B3E0D" w:rsidP="00B76C4C">
            <w:pPr>
              <w:spacing w:before="20" w:after="20"/>
              <w:rPr>
                <w:b/>
                <w:sz w:val="22"/>
                <w:szCs w:val="22"/>
              </w:rPr>
            </w:pPr>
            <w:r w:rsidRPr="00FA4573">
              <w:rPr>
                <w:b/>
                <w:sz w:val="22"/>
                <w:szCs w:val="22"/>
              </w:rPr>
              <w:t>Date and location</w:t>
            </w:r>
          </w:p>
        </w:tc>
      </w:tr>
      <w:tr w:rsidR="000B3E0D" w:rsidRPr="00FA4573" w14:paraId="44C6CA70" w14:textId="77777777" w:rsidTr="00B76C4C">
        <w:trPr>
          <w:jc w:val="center"/>
        </w:trPr>
        <w:tc>
          <w:tcPr>
            <w:tcW w:w="2647" w:type="pct"/>
            <w:shd w:val="clear" w:color="auto" w:fill="D9D9D9" w:themeFill="background1" w:themeFillShade="D9"/>
          </w:tcPr>
          <w:p w14:paraId="21FC8931" w14:textId="77777777" w:rsidR="000B3E0D" w:rsidRPr="00FA4573" w:rsidRDefault="000B3E0D" w:rsidP="00B76C4C">
            <w:pPr>
              <w:spacing w:before="20" w:after="20"/>
              <w:rPr>
                <w:b/>
                <w:sz w:val="22"/>
                <w:szCs w:val="22"/>
              </w:rPr>
            </w:pPr>
            <w:r w:rsidRPr="00FA4573">
              <w:rPr>
                <w:b/>
                <w:sz w:val="22"/>
                <w:szCs w:val="22"/>
              </w:rPr>
              <w:t>Study Group 2 meetings</w:t>
            </w:r>
          </w:p>
        </w:tc>
        <w:tc>
          <w:tcPr>
            <w:tcW w:w="2353" w:type="pct"/>
            <w:shd w:val="clear" w:color="auto" w:fill="D9D9D9" w:themeFill="background1" w:themeFillShade="D9"/>
          </w:tcPr>
          <w:p w14:paraId="7027DFEF" w14:textId="77777777" w:rsidR="000B3E0D" w:rsidRPr="00FA4573" w:rsidRDefault="000B3E0D" w:rsidP="00B76C4C">
            <w:pPr>
              <w:spacing w:before="20" w:after="20"/>
              <w:rPr>
                <w:b/>
                <w:sz w:val="22"/>
                <w:szCs w:val="22"/>
              </w:rPr>
            </w:pPr>
          </w:p>
        </w:tc>
      </w:tr>
      <w:tr w:rsidR="000B3E0D" w:rsidRPr="00FA4573" w14:paraId="619827AC" w14:textId="77777777" w:rsidTr="00B76C4C">
        <w:trPr>
          <w:jc w:val="center"/>
        </w:trPr>
        <w:tc>
          <w:tcPr>
            <w:tcW w:w="2647" w:type="pct"/>
          </w:tcPr>
          <w:p w14:paraId="1950F2D9" w14:textId="77777777" w:rsidR="000B3E0D" w:rsidRPr="00FA4573" w:rsidRDefault="00803037" w:rsidP="00B76C4C">
            <w:pPr>
              <w:spacing w:before="20" w:after="20"/>
              <w:rPr>
                <w:sz w:val="22"/>
                <w:szCs w:val="22"/>
              </w:rPr>
            </w:pPr>
            <w:hyperlink r:id="rId142" w:history="1">
              <w:r w:rsidR="000B3E0D" w:rsidRPr="00FA4573">
                <w:rPr>
                  <w:rStyle w:val="Hyperlink"/>
                  <w:rFonts w:cs="Simplified Arabic"/>
                  <w:sz w:val="22"/>
                  <w:szCs w:val="22"/>
                </w:rPr>
                <w:t>Fourth meeting of ITU-D Study Group 2</w:t>
              </w:r>
            </w:hyperlink>
          </w:p>
        </w:tc>
        <w:tc>
          <w:tcPr>
            <w:tcW w:w="2353" w:type="pct"/>
          </w:tcPr>
          <w:p w14:paraId="51811F3C"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5-9 May 2025</w:t>
            </w:r>
            <w:r w:rsidRPr="00FA4573">
              <w:rPr>
                <w:sz w:val="22"/>
                <w:szCs w:val="22"/>
              </w:rPr>
              <w:t>, Switzerland [Geneva]</w:t>
            </w:r>
          </w:p>
        </w:tc>
      </w:tr>
      <w:tr w:rsidR="000B3E0D" w:rsidRPr="00FA4573" w14:paraId="692C9C10" w14:textId="77777777" w:rsidTr="00B76C4C">
        <w:trPr>
          <w:jc w:val="center"/>
        </w:trPr>
        <w:tc>
          <w:tcPr>
            <w:tcW w:w="2647" w:type="pct"/>
          </w:tcPr>
          <w:p w14:paraId="2536DA63" w14:textId="77777777" w:rsidR="000B3E0D" w:rsidRPr="00FA4573" w:rsidRDefault="00803037" w:rsidP="00B76C4C">
            <w:pPr>
              <w:spacing w:before="20" w:after="20"/>
              <w:rPr>
                <w:sz w:val="22"/>
                <w:szCs w:val="22"/>
              </w:rPr>
            </w:pPr>
            <w:hyperlink r:id="rId143" w:history="1">
              <w:r w:rsidR="000B3E0D" w:rsidRPr="00FA4573">
                <w:rPr>
                  <w:rStyle w:val="Hyperlink"/>
                  <w:rFonts w:cs="Simplified Arabic"/>
                  <w:sz w:val="22"/>
                  <w:szCs w:val="22"/>
                </w:rPr>
                <w:t>Third meeting of ITU-D Study Group 2</w:t>
              </w:r>
            </w:hyperlink>
          </w:p>
        </w:tc>
        <w:tc>
          <w:tcPr>
            <w:tcW w:w="2353" w:type="pct"/>
          </w:tcPr>
          <w:p w14:paraId="4464C6D4"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11-15 November 2024</w:t>
            </w:r>
            <w:r w:rsidRPr="00FA4573">
              <w:rPr>
                <w:sz w:val="22"/>
                <w:szCs w:val="22"/>
              </w:rPr>
              <w:t>, Switzerland [Geneva]</w:t>
            </w:r>
          </w:p>
        </w:tc>
      </w:tr>
      <w:tr w:rsidR="000B3E0D" w:rsidRPr="00FA4573" w14:paraId="2C1BAD0A" w14:textId="77777777" w:rsidTr="00B76C4C">
        <w:trPr>
          <w:jc w:val="center"/>
        </w:trPr>
        <w:tc>
          <w:tcPr>
            <w:tcW w:w="2647" w:type="pct"/>
          </w:tcPr>
          <w:p w14:paraId="6F6C04FA" w14:textId="77777777" w:rsidR="000B3E0D" w:rsidRPr="00FA4573" w:rsidRDefault="00803037" w:rsidP="00B76C4C">
            <w:pPr>
              <w:spacing w:before="20" w:after="20"/>
              <w:rPr>
                <w:sz w:val="22"/>
                <w:szCs w:val="22"/>
              </w:rPr>
            </w:pPr>
            <w:hyperlink r:id="rId144" w:history="1">
              <w:r w:rsidR="000B3E0D" w:rsidRPr="00FA4573">
                <w:rPr>
                  <w:rStyle w:val="Hyperlink"/>
                  <w:rFonts w:cs="Simplified Arabic"/>
                  <w:sz w:val="22"/>
                  <w:szCs w:val="22"/>
                </w:rPr>
                <w:t>Second meeting of ITU-D Study Group 2</w:t>
              </w:r>
            </w:hyperlink>
          </w:p>
        </w:tc>
        <w:tc>
          <w:tcPr>
            <w:tcW w:w="2353" w:type="pct"/>
          </w:tcPr>
          <w:p w14:paraId="1E07CBA1"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 xml:space="preserve">30 Oct </w:t>
            </w:r>
            <w:r w:rsidRPr="00FA4573">
              <w:rPr>
                <w:rFonts w:eastAsia="Malgun Gothic"/>
                <w:sz w:val="22"/>
                <w:szCs w:val="22"/>
                <w:lang w:eastAsia="ko-KR"/>
              </w:rPr>
              <w:t>–</w:t>
            </w:r>
            <w:r w:rsidRPr="00FA4573">
              <w:rPr>
                <w:rFonts w:eastAsia="Malgun Gothic" w:hint="eastAsia"/>
                <w:sz w:val="22"/>
                <w:szCs w:val="22"/>
                <w:lang w:eastAsia="ko-KR"/>
              </w:rPr>
              <w:t xml:space="preserve"> 3 Nov 2023</w:t>
            </w:r>
            <w:r w:rsidRPr="00FA4573">
              <w:rPr>
                <w:sz w:val="22"/>
                <w:szCs w:val="22"/>
              </w:rPr>
              <w:t>, Switzerland [Geneva]</w:t>
            </w:r>
          </w:p>
        </w:tc>
      </w:tr>
      <w:tr w:rsidR="000B3E0D" w:rsidRPr="00FA4573" w14:paraId="6EDA18FC" w14:textId="77777777" w:rsidTr="00B76C4C">
        <w:trPr>
          <w:jc w:val="center"/>
        </w:trPr>
        <w:tc>
          <w:tcPr>
            <w:tcW w:w="2647" w:type="pct"/>
            <w:tcBorders>
              <w:bottom w:val="single" w:sz="4" w:space="0" w:color="auto"/>
            </w:tcBorders>
          </w:tcPr>
          <w:p w14:paraId="3CCA3266" w14:textId="77777777" w:rsidR="000B3E0D" w:rsidRPr="00FA4573" w:rsidRDefault="00803037" w:rsidP="00B76C4C">
            <w:pPr>
              <w:spacing w:before="20" w:after="20"/>
              <w:rPr>
                <w:sz w:val="22"/>
                <w:szCs w:val="22"/>
              </w:rPr>
            </w:pPr>
            <w:hyperlink r:id="rId145" w:history="1">
              <w:r w:rsidR="000B3E0D" w:rsidRPr="00FA4573">
                <w:rPr>
                  <w:rStyle w:val="Hyperlink"/>
                  <w:rFonts w:cs="Simplified Arabic"/>
                  <w:sz w:val="22"/>
                  <w:szCs w:val="22"/>
                </w:rPr>
                <w:t>First meeting of ITU-D Study Group 2</w:t>
              </w:r>
            </w:hyperlink>
          </w:p>
        </w:tc>
        <w:tc>
          <w:tcPr>
            <w:tcW w:w="2353" w:type="pct"/>
            <w:tcBorders>
              <w:bottom w:val="single" w:sz="4" w:space="0" w:color="auto"/>
            </w:tcBorders>
          </w:tcPr>
          <w:p w14:paraId="33FC3DC2"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5-9 December 2022</w:t>
            </w:r>
            <w:r w:rsidRPr="00FA4573">
              <w:rPr>
                <w:sz w:val="22"/>
                <w:szCs w:val="22"/>
              </w:rPr>
              <w:t>, Switzerland [Geneva]</w:t>
            </w:r>
          </w:p>
        </w:tc>
      </w:tr>
      <w:tr w:rsidR="000B3E0D" w:rsidRPr="00FA4573" w14:paraId="607827FD" w14:textId="77777777" w:rsidTr="00B76C4C">
        <w:trPr>
          <w:jc w:val="center"/>
        </w:trPr>
        <w:tc>
          <w:tcPr>
            <w:tcW w:w="2647" w:type="pct"/>
            <w:shd w:val="clear" w:color="auto" w:fill="D9D9D9" w:themeFill="background1" w:themeFillShade="D9"/>
          </w:tcPr>
          <w:p w14:paraId="3FFD6FC3" w14:textId="77777777" w:rsidR="000B3E0D" w:rsidRPr="00FA4573" w:rsidRDefault="000B3E0D" w:rsidP="00B76C4C">
            <w:pPr>
              <w:spacing w:before="20" w:after="20"/>
              <w:rPr>
                <w:b/>
                <w:sz w:val="22"/>
                <w:szCs w:val="22"/>
              </w:rPr>
            </w:pPr>
            <w:r w:rsidRPr="00FA4573">
              <w:rPr>
                <w:b/>
                <w:sz w:val="22"/>
                <w:szCs w:val="22"/>
              </w:rPr>
              <w:t>Rapporteur Group meetings</w:t>
            </w:r>
          </w:p>
        </w:tc>
        <w:tc>
          <w:tcPr>
            <w:tcW w:w="2353" w:type="pct"/>
            <w:shd w:val="clear" w:color="auto" w:fill="D9D9D9" w:themeFill="background1" w:themeFillShade="D9"/>
          </w:tcPr>
          <w:p w14:paraId="78B55B30" w14:textId="77777777" w:rsidR="000B3E0D" w:rsidRPr="00FA4573" w:rsidRDefault="000B3E0D" w:rsidP="00B76C4C">
            <w:pPr>
              <w:spacing w:before="20" w:after="20"/>
              <w:rPr>
                <w:b/>
                <w:sz w:val="22"/>
                <w:szCs w:val="22"/>
              </w:rPr>
            </w:pPr>
          </w:p>
        </w:tc>
      </w:tr>
      <w:tr w:rsidR="000B3E0D" w:rsidRPr="00FA4573" w14:paraId="41AC6006" w14:textId="77777777" w:rsidTr="00B76C4C">
        <w:trPr>
          <w:jc w:val="center"/>
        </w:trPr>
        <w:tc>
          <w:tcPr>
            <w:tcW w:w="2647" w:type="pct"/>
          </w:tcPr>
          <w:p w14:paraId="7CA2EFF2" w14:textId="77777777" w:rsidR="000B3E0D" w:rsidRPr="00FA4573" w:rsidRDefault="00803037" w:rsidP="00B76C4C">
            <w:pPr>
              <w:spacing w:before="20" w:after="20"/>
              <w:rPr>
                <w:sz w:val="22"/>
                <w:szCs w:val="18"/>
              </w:rPr>
            </w:pPr>
            <w:hyperlink r:id="rId146" w:history="1">
              <w:r w:rsidR="000B3E0D" w:rsidRPr="00FA4573">
                <w:rPr>
                  <w:rStyle w:val="Hyperlink"/>
                  <w:rFonts w:ascii="Calibri" w:hAnsi="Calibri" w:cs="Calibri"/>
                  <w:sz w:val="22"/>
                  <w:szCs w:val="18"/>
                  <w:shd w:val="clear" w:color="auto" w:fill="FFFFFF"/>
                </w:rPr>
                <w:t>Rapporteur Group meetings</w:t>
              </w:r>
            </w:hyperlink>
          </w:p>
        </w:tc>
        <w:tc>
          <w:tcPr>
            <w:tcW w:w="2353" w:type="pct"/>
          </w:tcPr>
          <w:p w14:paraId="11DC0B5B"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 xml:space="preserve">29 April </w:t>
            </w:r>
            <w:r w:rsidRPr="00FA4573">
              <w:rPr>
                <w:rFonts w:eastAsia="Malgun Gothic"/>
                <w:sz w:val="22"/>
                <w:szCs w:val="22"/>
                <w:lang w:eastAsia="ko-KR"/>
              </w:rPr>
              <w:t>–</w:t>
            </w:r>
            <w:r w:rsidRPr="00FA4573">
              <w:rPr>
                <w:rFonts w:eastAsia="Malgun Gothic" w:hint="eastAsia"/>
                <w:sz w:val="22"/>
                <w:szCs w:val="22"/>
                <w:lang w:eastAsia="ko-KR"/>
              </w:rPr>
              <w:t xml:space="preserve"> 10 May 2024</w:t>
            </w:r>
            <w:r w:rsidRPr="00FA4573">
              <w:rPr>
                <w:sz w:val="22"/>
                <w:szCs w:val="22"/>
              </w:rPr>
              <w:t>, Switzerland [Geneva]</w:t>
            </w:r>
          </w:p>
        </w:tc>
      </w:tr>
      <w:tr w:rsidR="000B3E0D" w:rsidRPr="00FA4573" w14:paraId="7B04CBA9" w14:textId="77777777" w:rsidTr="00B76C4C">
        <w:trPr>
          <w:trHeight w:val="252"/>
          <w:jc w:val="center"/>
        </w:trPr>
        <w:tc>
          <w:tcPr>
            <w:tcW w:w="2647" w:type="pct"/>
          </w:tcPr>
          <w:p w14:paraId="0CECA857" w14:textId="77777777" w:rsidR="000B3E0D" w:rsidRPr="00FA4573" w:rsidRDefault="00803037" w:rsidP="00B76C4C">
            <w:pPr>
              <w:spacing w:before="20" w:after="20"/>
              <w:rPr>
                <w:sz w:val="22"/>
                <w:szCs w:val="18"/>
              </w:rPr>
            </w:pPr>
            <w:hyperlink r:id="rId147" w:history="1">
              <w:r w:rsidR="000B3E0D" w:rsidRPr="00FA4573">
                <w:rPr>
                  <w:rStyle w:val="Hyperlink"/>
                  <w:rFonts w:ascii="Calibri" w:hAnsi="Calibri" w:cs="Calibri"/>
                  <w:sz w:val="22"/>
                  <w:szCs w:val="18"/>
                  <w:shd w:val="clear" w:color="auto" w:fill="FFFFFF"/>
                </w:rPr>
                <w:t>Rapporteur Group meetings</w:t>
              </w:r>
            </w:hyperlink>
          </w:p>
        </w:tc>
        <w:tc>
          <w:tcPr>
            <w:tcW w:w="2353" w:type="pct"/>
          </w:tcPr>
          <w:p w14:paraId="6E02C321" w14:textId="77777777" w:rsidR="000B3E0D" w:rsidRPr="00FA4573" w:rsidRDefault="000B3E0D" w:rsidP="00B76C4C">
            <w:pPr>
              <w:spacing w:before="20" w:after="20"/>
              <w:rPr>
                <w:sz w:val="22"/>
                <w:szCs w:val="22"/>
              </w:rPr>
            </w:pPr>
            <w:r w:rsidRPr="00FA4573">
              <w:rPr>
                <w:rFonts w:eastAsia="Malgun Gothic" w:hint="eastAsia"/>
                <w:sz w:val="22"/>
                <w:szCs w:val="22"/>
                <w:lang w:eastAsia="ko-KR"/>
              </w:rPr>
              <w:t xml:space="preserve">22 May </w:t>
            </w:r>
            <w:r w:rsidRPr="00FA4573">
              <w:rPr>
                <w:rFonts w:eastAsia="Malgun Gothic"/>
                <w:sz w:val="22"/>
                <w:szCs w:val="22"/>
                <w:lang w:eastAsia="ko-KR"/>
              </w:rPr>
              <w:t>–</w:t>
            </w:r>
            <w:r w:rsidRPr="00FA4573">
              <w:rPr>
                <w:rFonts w:eastAsia="Malgun Gothic" w:hint="eastAsia"/>
                <w:sz w:val="22"/>
                <w:szCs w:val="22"/>
                <w:lang w:eastAsia="ko-KR"/>
              </w:rPr>
              <w:t xml:space="preserve"> 2 June 2023</w:t>
            </w:r>
            <w:r w:rsidRPr="00FA4573">
              <w:rPr>
                <w:sz w:val="22"/>
                <w:szCs w:val="22"/>
              </w:rPr>
              <w:t>, Switzerland [Geneva]</w:t>
            </w:r>
          </w:p>
        </w:tc>
      </w:tr>
    </w:tbl>
    <w:p w14:paraId="02060A35" w14:textId="77777777" w:rsidR="000B3E0D" w:rsidRPr="00FA4573" w:rsidRDefault="000B3E0D" w:rsidP="000B3E0D">
      <w:pPr>
        <w:spacing w:after="120"/>
        <w:rPr>
          <w:rStyle w:val="Hyperlink"/>
          <w:rFonts w:eastAsia="Malgun Gothic"/>
          <w:lang w:eastAsia="ko-KR"/>
        </w:rPr>
      </w:pPr>
      <w:r w:rsidRPr="00FA4573">
        <w:t xml:space="preserve">All associated workshops and webinars are detailed in the ITU-D study groups website on the page dedicated to workshops and other events (see </w:t>
      </w:r>
      <w:hyperlink r:id="rId148" w:history="1">
        <w:r w:rsidRPr="00FA4573">
          <w:rPr>
            <w:rStyle w:val="Hyperlink"/>
          </w:rPr>
          <w:t>https://www.itu.int/en/ITU-D/Study-Groups/2022-2025/Pages/events_workshops.aspx</w:t>
        </w:r>
      </w:hyperlink>
      <w:r w:rsidRPr="00FA4573">
        <w:rPr>
          <w:rStyle w:val="Hyperlink"/>
        </w:rPr>
        <w:t>).</w:t>
      </w:r>
    </w:p>
    <w:p w14:paraId="3CC257D0" w14:textId="77777777" w:rsidR="000B3E0D" w:rsidRPr="00FA4573" w:rsidRDefault="000B3E0D" w:rsidP="000B3E0D">
      <w:pPr>
        <w:overflowPunct/>
        <w:autoSpaceDE/>
        <w:autoSpaceDN/>
        <w:adjustRightInd/>
        <w:spacing w:before="0"/>
        <w:textAlignment w:val="auto"/>
      </w:pPr>
      <w:r w:rsidRPr="00FA4573">
        <w:br w:type="page"/>
      </w:r>
    </w:p>
    <w:p w14:paraId="06AFA820" w14:textId="77777777" w:rsidR="000B3E0D" w:rsidRPr="00FA4573" w:rsidRDefault="000B3E0D" w:rsidP="000B3E0D">
      <w:pPr>
        <w:overflowPunct/>
        <w:autoSpaceDE/>
        <w:autoSpaceDN/>
        <w:adjustRightInd/>
        <w:spacing w:after="120"/>
        <w:textAlignment w:val="auto"/>
        <w:rPr>
          <w:b/>
          <w:bCs/>
        </w:rPr>
      </w:pPr>
      <w:r w:rsidRPr="00FA4573">
        <w:rPr>
          <w:b/>
          <w:bCs/>
        </w:rPr>
        <w:t xml:space="preserve">Annex </w:t>
      </w:r>
      <w:r w:rsidRPr="00FA4573">
        <w:rPr>
          <w:rFonts w:eastAsia="Malgun Gothic" w:hint="eastAsia"/>
          <w:b/>
          <w:bCs/>
          <w:lang w:eastAsia="ko-KR"/>
        </w:rPr>
        <w:t>4</w:t>
      </w:r>
      <w:r w:rsidRPr="00FA4573">
        <w:rPr>
          <w:b/>
          <w:bCs/>
        </w:rPr>
        <w:t>: Draft guidelines for composing rapporteur teams</w:t>
      </w:r>
    </w:p>
    <w:p w14:paraId="1BD18AC6" w14:textId="77777777" w:rsidR="000B3E0D" w:rsidRPr="00FA4573" w:rsidRDefault="000B3E0D" w:rsidP="000B3E0D">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These guidelines were developed by </w:t>
      </w:r>
      <w:r w:rsidRPr="00FA4573">
        <w:rPr>
          <w:szCs w:val="18"/>
        </w:rPr>
        <w:t>Mr Teddy Woodhouse (U</w:t>
      </w:r>
      <w:r w:rsidRPr="00FA4573">
        <w:rPr>
          <w:rFonts w:eastAsia="Malgun Gothic" w:hint="eastAsia"/>
          <w:szCs w:val="18"/>
          <w:lang w:eastAsia="ko-KR"/>
        </w:rPr>
        <w:t>nited Kingdom</w:t>
      </w:r>
      <w:r w:rsidRPr="00FA4573">
        <w:rPr>
          <w:szCs w:val="18"/>
        </w:rPr>
        <w:t>)</w:t>
      </w:r>
      <w:r w:rsidRPr="00FA4573">
        <w:rPr>
          <w:rFonts w:eastAsia="Malgun Gothic" w:hint="eastAsia"/>
          <w:szCs w:val="18"/>
          <w:lang w:eastAsia="ko-KR"/>
        </w:rPr>
        <w:t>.</w:t>
      </w:r>
    </w:p>
    <w:p w14:paraId="50C59BC8" w14:textId="77777777" w:rsidR="000B3E0D" w:rsidRPr="00FA4573" w:rsidRDefault="000B3E0D" w:rsidP="000B3E0D">
      <w:r w:rsidRPr="00FA4573">
        <w:t>This document aims to provide a step-based summary of the process to compose rapporteur teams (collectively referring to rapporteurs, co-rapporteurs, and vice rapporteurs).</w:t>
      </w:r>
    </w:p>
    <w:p w14:paraId="47F616EE" w14:textId="77777777" w:rsidR="000B3E0D" w:rsidRPr="00FA4573" w:rsidRDefault="000B3E0D" w:rsidP="000B3E0D">
      <w:r w:rsidRPr="00FA4573">
        <w:t>This document is provided for information only and is not legally binding in any way. It provides guidance only insofar as it remains fully compliant with the ITU Convention and all resolutions of the Plenipotentiary and World Telecommunication Development Conferences, with particular regard to PP Resolution 208 and WTDC Resolution 1.</w:t>
      </w:r>
    </w:p>
    <w:p w14:paraId="46DA890B" w14:textId="77777777" w:rsidR="000B3E0D" w:rsidRPr="00FA4573" w:rsidRDefault="000B3E0D" w:rsidP="000B3E0D">
      <w:pPr>
        <w:pStyle w:val="Heading2"/>
        <w:ind w:left="0" w:firstLine="0"/>
        <w:rPr>
          <w:b w:val="0"/>
          <w:bCs/>
        </w:rPr>
      </w:pPr>
      <w:r w:rsidRPr="00FA4573">
        <w:rPr>
          <w:bCs/>
        </w:rPr>
        <w:t>Summary of Steps</w:t>
      </w:r>
    </w:p>
    <w:p w14:paraId="48C84A01" w14:textId="77777777" w:rsidR="000B3E0D" w:rsidRPr="00FA4573" w:rsidRDefault="000B3E0D" w:rsidP="000B3E0D">
      <w:r w:rsidRPr="00FA4573">
        <w:t>This document structures the process for composing rapporteur teams in seven steps and describes them in chronological order.</w:t>
      </w:r>
    </w:p>
    <w:p w14:paraId="46CBEE7E" w14:textId="77777777" w:rsidR="000B3E0D" w:rsidRPr="00FA4573" w:rsidRDefault="000B3E0D" w:rsidP="000B3E0D">
      <w:pPr>
        <w:ind w:firstLine="720"/>
        <w:rPr>
          <w:b/>
          <w:bCs/>
          <w:lang w:val="fr-FR"/>
        </w:rPr>
      </w:pPr>
      <w:r w:rsidRPr="00FA4573">
        <w:rPr>
          <w:b/>
          <w:bCs/>
          <w:lang w:val="fr-FR"/>
        </w:rPr>
        <w:t xml:space="preserve">Invitation </w:t>
      </w:r>
    </w:p>
    <w:p w14:paraId="1889215B" w14:textId="77777777" w:rsidR="000B3E0D" w:rsidRPr="00FA4573" w:rsidRDefault="000B3E0D" w:rsidP="000B3E0D">
      <w:pPr>
        <w:pStyle w:val="ListParagraph"/>
        <w:numPr>
          <w:ilvl w:val="1"/>
          <w:numId w:val="7"/>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some point following WTDC</w:t>
      </w:r>
      <w:r w:rsidRPr="00FA4573">
        <w:t>, the BDT sends a letter of invitation for nominations to ITU-D members.</w:t>
      </w:r>
    </w:p>
    <w:p w14:paraId="5FD161C5" w14:textId="77777777" w:rsidR="000B3E0D" w:rsidRPr="00FA4573" w:rsidRDefault="000B3E0D" w:rsidP="000B3E0D">
      <w:pPr>
        <w:ind w:firstLine="720"/>
        <w:rPr>
          <w:b/>
          <w:bCs/>
        </w:rPr>
      </w:pPr>
      <w:r w:rsidRPr="00FA4573">
        <w:rPr>
          <w:b/>
          <w:bCs/>
        </w:rPr>
        <w:t xml:space="preserve">Nomination Process </w:t>
      </w:r>
    </w:p>
    <w:p w14:paraId="7EA0A7DE" w14:textId="77777777" w:rsidR="000B3E0D" w:rsidRPr="00FA4573" w:rsidRDefault="000B3E0D" w:rsidP="000B3E0D">
      <w:pPr>
        <w:pStyle w:val="ListParagraph"/>
        <w:numPr>
          <w:ilvl w:val="0"/>
          <w:numId w:val="8"/>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 xml:space="preserve">For a recommended period of at least four weeks, </w:t>
      </w:r>
      <w:r w:rsidRPr="00FA4573">
        <w:t>ITU-D members submit nominations via online form.</w:t>
      </w:r>
    </w:p>
    <w:p w14:paraId="7454DFAA" w14:textId="77777777" w:rsidR="000B3E0D" w:rsidRPr="00FA4573" w:rsidRDefault="000B3E0D" w:rsidP="000B3E0D">
      <w:pPr>
        <w:pStyle w:val="ListParagraph"/>
        <w:numPr>
          <w:ilvl w:val="0"/>
          <w:numId w:val="8"/>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During this period</w:t>
      </w:r>
      <w:r w:rsidRPr="00FA4573">
        <w:t>, the BDT assures the validity of each nomination received.</w:t>
      </w:r>
    </w:p>
    <w:p w14:paraId="77156BE0" w14:textId="77777777" w:rsidR="000B3E0D" w:rsidRPr="00FA4573" w:rsidRDefault="000B3E0D" w:rsidP="000B3E0D">
      <w:pPr>
        <w:pStyle w:val="ListParagraph"/>
        <w:numPr>
          <w:ilvl w:val="0"/>
          <w:numId w:val="8"/>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Once the deadline has passed</w:t>
      </w:r>
      <w:r w:rsidRPr="00FA4573">
        <w:t>, the BDT identifies overfill for roles for each study Question.</w:t>
      </w:r>
    </w:p>
    <w:p w14:paraId="0BD8589B" w14:textId="77777777" w:rsidR="000B3E0D" w:rsidRPr="00FA4573" w:rsidRDefault="000B3E0D" w:rsidP="000B3E0D">
      <w:pPr>
        <w:ind w:firstLine="720"/>
        <w:rPr>
          <w:b/>
          <w:bCs/>
        </w:rPr>
      </w:pPr>
      <w:r w:rsidRPr="00FA4573">
        <w:rPr>
          <w:b/>
          <w:bCs/>
        </w:rPr>
        <w:t>Informal Consultations</w:t>
      </w:r>
    </w:p>
    <w:p w14:paraId="05CBD8E7" w14:textId="77777777" w:rsidR="000B3E0D" w:rsidRPr="00FA4573" w:rsidRDefault="000B3E0D" w:rsidP="000B3E0D">
      <w:pPr>
        <w:pStyle w:val="ListParagraph"/>
        <w:numPr>
          <w:ilvl w:val="0"/>
          <w:numId w:val="9"/>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Recommended at least one month before the first SG meeting</w:t>
      </w:r>
      <w:r w:rsidRPr="00FA4573">
        <w:t>, members affected by overfill are notified and invited to begin informal consultations.</w:t>
      </w:r>
    </w:p>
    <w:p w14:paraId="784CB7EF" w14:textId="77777777" w:rsidR="000B3E0D" w:rsidRPr="00FA4573" w:rsidRDefault="000B3E0D" w:rsidP="000B3E0D">
      <w:pPr>
        <w:ind w:firstLine="720"/>
        <w:rPr>
          <w:b/>
          <w:bCs/>
        </w:rPr>
      </w:pPr>
      <w:r w:rsidRPr="00FA4573">
        <w:rPr>
          <w:b/>
          <w:bCs/>
        </w:rPr>
        <w:t>Team Composition</w:t>
      </w:r>
    </w:p>
    <w:p w14:paraId="3239377F" w14:textId="77777777" w:rsidR="000B3E0D" w:rsidRPr="00FA4573" w:rsidRDefault="000B3E0D" w:rsidP="000B3E0D">
      <w:pPr>
        <w:pStyle w:val="ListParagraph"/>
        <w:numPr>
          <w:ilvl w:val="0"/>
          <w:numId w:val="10"/>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least 12 days before the first SG meeting (per WTDC Res 1 section 4.2.1.1)</w:t>
      </w:r>
      <w:r w:rsidRPr="00FA4573">
        <w:t>, the Study Group Chairs compose a draft proposal for the rapporteur teams, with consideration to overall team composition and evaluation of individual nominations.</w:t>
      </w:r>
    </w:p>
    <w:p w14:paraId="5812DDB9" w14:textId="77777777" w:rsidR="000B3E0D" w:rsidRPr="00FA4573" w:rsidRDefault="000B3E0D" w:rsidP="000B3E0D">
      <w:pPr>
        <w:pStyle w:val="ListParagraph"/>
        <w:numPr>
          <w:ilvl w:val="0"/>
          <w:numId w:val="10"/>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first Study Group meeting,</w:t>
      </w:r>
      <w:r w:rsidRPr="00FA4573">
        <w:t xml:space="preserve"> the Study Group approves the rapporteur teams in plenary.</w:t>
      </w:r>
    </w:p>
    <w:p w14:paraId="66D0F332" w14:textId="77777777" w:rsidR="000B3E0D" w:rsidRPr="00FA4573" w:rsidRDefault="000B3E0D" w:rsidP="000B3E0D">
      <w:pPr>
        <w:pBdr>
          <w:bottom w:val="single" w:sz="6" w:space="1" w:color="auto"/>
        </w:pBdr>
        <w:rPr>
          <w:rFonts w:cstheme="minorHAnsi"/>
        </w:rPr>
      </w:pPr>
    </w:p>
    <w:p w14:paraId="790EC211" w14:textId="77777777" w:rsidR="000B3E0D" w:rsidRPr="00FA4573" w:rsidRDefault="000B3E0D" w:rsidP="000B3E0D">
      <w:pPr>
        <w:pStyle w:val="Heading2"/>
        <w:ind w:left="0" w:firstLine="0"/>
        <w:rPr>
          <w:b w:val="0"/>
          <w:bCs/>
        </w:rPr>
      </w:pPr>
      <w:r w:rsidRPr="00FA4573">
        <w:rPr>
          <w:bCs/>
        </w:rPr>
        <w:t>Invitation</w:t>
      </w:r>
    </w:p>
    <w:p w14:paraId="4637FE83" w14:textId="77777777" w:rsidR="000B3E0D" w:rsidRPr="00FA4573" w:rsidRDefault="000B3E0D" w:rsidP="000B3E0D">
      <w:r w:rsidRPr="00FA4573">
        <w:t>The BDT should send a letter of invitation for nominations to ITU-D members, associates, and academia. In that letter, it should note:</w:t>
      </w:r>
    </w:p>
    <w:p w14:paraId="6D2BB6A3"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Eligibility criteria for valid nominations (in alignment with PP Resolution 208 &amp; WTDC Resolution 1, see below);</w:t>
      </w:r>
    </w:p>
    <w:p w14:paraId="410A7D42" w14:textId="63AFAB1A"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The critical nature of institutional support for individuals to successfully contribute over the years of the study cycle, including time allocations to prepare and attend meetings and to manage the Questio</w:t>
      </w:r>
      <w:r w:rsidR="0089542D">
        <w:t>n'</w:t>
      </w:r>
      <w:r w:rsidRPr="00FA4573">
        <w:t>s workload;</w:t>
      </w:r>
    </w:p>
    <w:p w14:paraId="4A741223"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 xml:space="preserve">The total number of vice rapporteurs proposed by any administration should be reasonable, so as to observe the principle of </w:t>
      </w:r>
      <w:r w:rsidRPr="00FA4573">
        <w:rPr>
          <w:b/>
          <w:bCs/>
        </w:rPr>
        <w:t>equitable distribution</w:t>
      </w:r>
      <w:r w:rsidRPr="00FA4573">
        <w:t xml:space="preserve"> of posts among the Member States concerned (in alignment with PP Resolution 208 Annex 3 </w:t>
      </w:r>
      <w:r w:rsidRPr="00FA4573">
        <w:rPr>
          <w:i/>
          <w:iCs/>
        </w:rPr>
        <w:t xml:space="preserve">recital </w:t>
      </w:r>
      <w:r w:rsidRPr="00FA4573">
        <w:t>4);</w:t>
      </w:r>
    </w:p>
    <w:p w14:paraId="61E8954A" w14:textId="78A9AB44"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 xml:space="preserve">The Plenipotentiary Conference’s encouragement to Member States and Sector Members to make efforts to ensure gender-balanced representation in candidatures for leadership roles (per PP Resolution 58 </w:t>
      </w:r>
      <w:r w:rsidRPr="00FA4573">
        <w:rPr>
          <w:i/>
          <w:iCs/>
        </w:rPr>
        <w:t>encourages Member States and Sector Members</w:t>
      </w:r>
      <w:r w:rsidRPr="00FA4573">
        <w:t xml:space="preserve"> 9) and WTD</w:t>
      </w:r>
      <w:r w:rsidR="0089542D">
        <w:t>C'</w:t>
      </w:r>
      <w:r w:rsidRPr="00FA4573">
        <w:t xml:space="preserve">s invitation to Member States to candidatures for rapporteur and vice rapporteur roles in order to support the active involvement of women as well as men (per WTDC Resolution 55 </w:t>
      </w:r>
      <w:r w:rsidRPr="00FA4573">
        <w:rPr>
          <w:i/>
          <w:iCs/>
        </w:rPr>
        <w:t xml:space="preserve">invites Member States and Sector Members </w:t>
      </w:r>
      <w:r w:rsidRPr="00FA4573">
        <w:t>1);</w:t>
      </w:r>
    </w:p>
    <w:p w14:paraId="32B42A26" w14:textId="1330E545"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The objective for each Study Group to compose dedicated, stable rapporteur teams with competent participants who reflect the diversity of ITU-</w:t>
      </w:r>
      <w:r w:rsidR="0089542D">
        <w:t>D'</w:t>
      </w:r>
      <w:r w:rsidRPr="00FA4573">
        <w:t>s membership;</w:t>
      </w:r>
    </w:p>
    <w:p w14:paraId="44C1CDB8"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Nominations will be evaluated based on each candidate’s experience and ability to participate and their member’s motivation; and</w:t>
      </w:r>
    </w:p>
    <w:p w14:paraId="59FDE47C"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These guidelines, informed by the ITU Convention, PP Resolution 208, and WTDC Resolution 1, will be used to evaluate nominations in the event of any overfills of each rapporteur team (and an indication on when an overfill occurs, see below).</w:t>
      </w:r>
    </w:p>
    <w:p w14:paraId="7C333E50" w14:textId="77777777" w:rsidR="000B3E0D" w:rsidRPr="00FA4573" w:rsidRDefault="000B3E0D" w:rsidP="000B3E0D">
      <w:r w:rsidRPr="00FA4573">
        <w:t>A copy of these guidelines should be made available on the ITU website.</w:t>
      </w:r>
    </w:p>
    <w:p w14:paraId="54EA7806" w14:textId="77777777" w:rsidR="000B3E0D" w:rsidRPr="00FA4573" w:rsidRDefault="000B3E0D" w:rsidP="000B3E0D">
      <w:pPr>
        <w:pStyle w:val="Heading2"/>
        <w:ind w:left="0" w:firstLine="0"/>
        <w:rPr>
          <w:b w:val="0"/>
          <w:bCs/>
        </w:rPr>
      </w:pPr>
      <w:r w:rsidRPr="00FA4573">
        <w:rPr>
          <w:bCs/>
        </w:rPr>
        <w:t>Nomination Process</w:t>
      </w:r>
    </w:p>
    <w:p w14:paraId="420B6CD9" w14:textId="77777777" w:rsidR="000B3E0D" w:rsidRPr="00FA4573" w:rsidRDefault="000B3E0D" w:rsidP="000B3E0D">
      <w:r w:rsidRPr="00FA4573">
        <w:t>ITU-D members shall be provided a clear process for the submission of nominations and a deadline by which nominations must be received.</w:t>
      </w:r>
    </w:p>
    <w:p w14:paraId="4B5BA589" w14:textId="77777777" w:rsidR="000B3E0D" w:rsidRPr="00FA4573" w:rsidRDefault="000B3E0D" w:rsidP="000B3E0D">
      <w:r w:rsidRPr="00FA4573">
        <w:t>Upon receipt of a nomination, the BDT should evaluate its eligibility. Namely, that the nomination:</w:t>
      </w:r>
    </w:p>
    <w:p w14:paraId="15EA5768" w14:textId="77777777" w:rsidR="000B3E0D" w:rsidRPr="00FA4573" w:rsidRDefault="000B3E0D" w:rsidP="000B3E0D">
      <w:pPr>
        <w:pStyle w:val="ListParagraph"/>
        <w:numPr>
          <w:ilvl w:val="0"/>
          <w:numId w:val="11"/>
        </w:numPr>
        <w:tabs>
          <w:tab w:val="clear" w:pos="1134"/>
          <w:tab w:val="clear" w:pos="1871"/>
          <w:tab w:val="clear" w:pos="2268"/>
        </w:tabs>
        <w:overflowPunct/>
        <w:autoSpaceDE/>
        <w:autoSpaceDN/>
        <w:adjustRightInd/>
        <w:spacing w:before="0" w:after="160" w:line="259" w:lineRule="auto"/>
        <w:textAlignment w:val="auto"/>
      </w:pPr>
      <w:r w:rsidRPr="00FA4573">
        <w:t>Is affiliated to a Member State, ITU-D Sector Member, Associate, or Academia (per WTDC Resolution 1, 3.3.1); and</w:t>
      </w:r>
    </w:p>
    <w:p w14:paraId="5A27F411" w14:textId="77777777" w:rsidR="000B3E0D" w:rsidRPr="00FA4573" w:rsidRDefault="000B3E0D" w:rsidP="000B3E0D">
      <w:pPr>
        <w:pStyle w:val="ListParagraph"/>
        <w:numPr>
          <w:ilvl w:val="0"/>
          <w:numId w:val="11"/>
        </w:numPr>
        <w:tabs>
          <w:tab w:val="clear" w:pos="1134"/>
          <w:tab w:val="clear" w:pos="1871"/>
          <w:tab w:val="clear" w:pos="2268"/>
        </w:tabs>
        <w:overflowPunct/>
        <w:autoSpaceDE/>
        <w:autoSpaceDN/>
        <w:adjustRightInd/>
        <w:spacing w:before="0" w:after="160" w:line="259" w:lineRule="auto"/>
        <w:textAlignment w:val="auto"/>
      </w:pPr>
      <w:r w:rsidRPr="00FA4573">
        <w:rPr>
          <w:i/>
          <w:iCs/>
        </w:rPr>
        <w:t>For rapporteurships,</w:t>
      </w:r>
      <w:r w:rsidRPr="00FA4573">
        <w:t xml:space="preserve"> includes information that enables the Study Group to assess the candidate’s expertise, ability to coordinate, and ability to actively participate in ITU-D activities (per WTDC Res 1, 3.3.3) including </w:t>
      </w:r>
      <w:r w:rsidRPr="00FA4573">
        <w:rPr>
          <w:b/>
          <w:bCs/>
        </w:rPr>
        <w:t>physical participation</w:t>
      </w:r>
      <w:r w:rsidRPr="00FA4573">
        <w:t xml:space="preserve"> in the Study Group meetings (twice per year); or</w:t>
      </w:r>
    </w:p>
    <w:p w14:paraId="49CB0E5C" w14:textId="77777777" w:rsidR="000B3E0D" w:rsidRPr="00FA4573" w:rsidRDefault="000B3E0D" w:rsidP="000B3E0D">
      <w:pPr>
        <w:pStyle w:val="ListParagraph"/>
        <w:numPr>
          <w:ilvl w:val="0"/>
          <w:numId w:val="11"/>
        </w:numPr>
        <w:tabs>
          <w:tab w:val="clear" w:pos="1134"/>
          <w:tab w:val="clear" w:pos="1871"/>
          <w:tab w:val="clear" w:pos="2268"/>
        </w:tabs>
        <w:overflowPunct/>
        <w:autoSpaceDE/>
        <w:autoSpaceDN/>
        <w:adjustRightInd/>
        <w:spacing w:before="0" w:after="160" w:line="259" w:lineRule="auto"/>
        <w:textAlignment w:val="auto"/>
      </w:pPr>
      <w:r w:rsidRPr="00FA4573">
        <w:rPr>
          <w:i/>
          <w:iCs/>
        </w:rPr>
        <w:t>For vice rapporteurships</w:t>
      </w:r>
      <w:r w:rsidRPr="00FA4573">
        <w:t>, includes information that enables the Study Group to assess the candidate’s expertise and experience related to the study Question (per WTDC Res 1, 3.3.5).</w:t>
      </w:r>
    </w:p>
    <w:p w14:paraId="0DF2C5A1" w14:textId="77777777" w:rsidR="000B3E0D" w:rsidRPr="00FA4573" w:rsidRDefault="000B3E0D" w:rsidP="000B3E0D">
      <w:r w:rsidRPr="00FA4573">
        <w:t>Should a revised, eligible nomination be received by the deadline, the Study Group can consider the nomination. The BDT should make every effort to support each nomination to be complete and eligible: revisions after the deadline to an initial nomination received before the deadline should be considered where at all possible.</w:t>
      </w:r>
    </w:p>
    <w:p w14:paraId="35945BAD" w14:textId="77777777" w:rsidR="000B3E0D" w:rsidRPr="00FA4573" w:rsidRDefault="000B3E0D" w:rsidP="000B3E0D">
      <w:r w:rsidRPr="00FA4573">
        <w:t xml:space="preserve">Based upon eligible nominations, the BDT should indicate to the Study Group Chairs which rapporteur positions have more than one nomination and which rapporteur teams have more than </w:t>
      </w:r>
      <w:r w:rsidRPr="00FA4573">
        <w:rPr>
          <w:b/>
          <w:bCs/>
        </w:rPr>
        <w:t>two nominations for a vice rapporteur position from any one region</w:t>
      </w:r>
      <w:r w:rsidRPr="00FA4573">
        <w:t>.</w:t>
      </w:r>
      <w:r w:rsidRPr="00FA4573">
        <w:rPr>
          <w:rStyle w:val="FootnoteReference"/>
        </w:rPr>
        <w:footnoteReference w:id="17"/>
      </w:r>
      <w:r w:rsidRPr="00FA4573">
        <w:t xml:space="preserve"> Any such instance should be treated as an </w:t>
      </w:r>
      <w:r w:rsidRPr="00FA4573">
        <w:rPr>
          <w:i/>
          <w:iCs/>
        </w:rPr>
        <w:t xml:space="preserve">overfill </w:t>
      </w:r>
      <w:r w:rsidRPr="00FA4573">
        <w:t>of the rapporteur team.</w:t>
      </w:r>
    </w:p>
    <w:p w14:paraId="178DB971" w14:textId="77777777" w:rsidR="000B3E0D" w:rsidRPr="00FA4573" w:rsidRDefault="000B3E0D" w:rsidP="000B3E0D">
      <w:pPr>
        <w:pStyle w:val="Heading2"/>
        <w:ind w:left="0" w:firstLine="0"/>
        <w:rPr>
          <w:b w:val="0"/>
          <w:bCs/>
        </w:rPr>
      </w:pPr>
      <w:r w:rsidRPr="00FA4573">
        <w:rPr>
          <w:bCs/>
        </w:rPr>
        <w:t>Informal Consultations</w:t>
      </w:r>
    </w:p>
    <w:p w14:paraId="330FE35E" w14:textId="77777777" w:rsidR="000B3E0D" w:rsidRPr="00FA4573" w:rsidRDefault="000B3E0D" w:rsidP="000B3E0D">
      <w:r w:rsidRPr="00FA4573">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03925349" w14:textId="77777777"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rapporteurships</w:t>
      </w:r>
      <w:r w:rsidRPr="00FA4573">
        <w:t>, a request for the member to reaffirm that they are prepared to allocate sufficient time (estimated at an average of four hours per working week) and budget (the cost of physical participation in two meetings per year, with supporting information from BDT on fellowships) for each affected candidate to participate in their study Question and notice that any candidate not so reaffirmed may be deferred for a vice rapporteurship;</w:t>
      </w:r>
    </w:p>
    <w:p w14:paraId="1F91CB99" w14:textId="77777777"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vice rapporteurships</w:t>
      </w:r>
      <w:r w:rsidRPr="00FA4573">
        <w:t>, a request for the member to reaffirm that they are prepared to allocate sufficient time (estimated at an average of two hours per working week) and budget (with supporting information from BDT on fellowships) for each affected candidate to participate in their study Question;</w:t>
      </w:r>
    </w:p>
    <w:p w14:paraId="373C6946" w14:textId="77777777"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t>A designated period of time for informal consultations that does not extend past one month before the first Study Group meeting of the cycle;</w:t>
      </w:r>
    </w:p>
    <w:p w14:paraId="239F8137" w14:textId="77777777"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t>Information on all of the candidacies that constitute the overfill (in line with the current Web portal of submitted candidacies);</w:t>
      </w:r>
    </w:p>
    <w:p w14:paraId="392CEC34" w14:textId="64EC8418"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t>The objective for the Study Group to compose dedicated, stable rapporteur teams with competent participants who reflect the diversity of ITU-</w:t>
      </w:r>
      <w:r w:rsidR="0089542D">
        <w:t>D'</w:t>
      </w:r>
      <w:r w:rsidRPr="00FA4573">
        <w:t>s membership, in line with the ITU Convention, PP Resolution 208, and WTDC Resolution 1;</w:t>
      </w:r>
    </w:p>
    <w:p w14:paraId="0B6E5CD6" w14:textId="77777777"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t>A reminder that in any persistent overfill after informal consultations will be resolved by the Study Group, using these guidelines and based on each candidate’s experience and ability to participate; and</w:t>
      </w:r>
    </w:p>
    <w:p w14:paraId="23EC3E55" w14:textId="7CE64C4F" w:rsidR="000B3E0D" w:rsidRPr="00FA4573" w:rsidRDefault="000B3E0D" w:rsidP="000B3E0D">
      <w:pPr>
        <w:pStyle w:val="ListParagraph"/>
        <w:numPr>
          <w:ilvl w:val="0"/>
          <w:numId w:val="12"/>
        </w:numPr>
        <w:tabs>
          <w:tab w:val="clear" w:pos="1134"/>
          <w:tab w:val="clear" w:pos="1871"/>
          <w:tab w:val="clear" w:pos="2268"/>
        </w:tabs>
        <w:overflowPunct/>
        <w:autoSpaceDE/>
        <w:autoSpaceDN/>
        <w:adjustRightInd/>
        <w:spacing w:before="0" w:after="160" w:line="259" w:lineRule="auto"/>
        <w:textAlignment w:val="auto"/>
      </w:pPr>
      <w:r w:rsidRPr="00FA4573">
        <w:t>A reminder that those not a part of a rapporteur team can and should remain active participants in all of the study Questio</w:t>
      </w:r>
      <w:r w:rsidR="0089542D">
        <w:t>n'</w:t>
      </w:r>
      <w:r w:rsidRPr="00FA4573">
        <w:t>s activities.</w:t>
      </w:r>
    </w:p>
    <w:p w14:paraId="39200C62" w14:textId="200BAA15" w:rsidR="000B3E0D" w:rsidRPr="00FA4573" w:rsidRDefault="000B3E0D" w:rsidP="000B3E0D">
      <w:r w:rsidRPr="00FA4573">
        <w:t>Based on this notification, members may conduct informal consultations among themselves to aide the process of resolving any overfill. This might include withdrawing or revising one or more nominations with the objective to help facilitate the Study Group</w:t>
      </w:r>
      <w:r w:rsidR="0089542D">
        <w:t>s'</w:t>
      </w:r>
      <w:r w:rsidRPr="00FA4573">
        <w:t xml:space="preserve"> composition of rapporteur teams </w:t>
      </w:r>
      <w:r w:rsidRPr="00FA4573">
        <w:rPr>
          <w:rFonts w:cstheme="minorHAnsi"/>
        </w:rPr>
        <w:t>—</w:t>
      </w:r>
      <w:r w:rsidRPr="00FA4573">
        <w:t xml:space="preserve"> but the option for any of these actions remains at the discretion of the member.</w:t>
      </w:r>
      <w:r w:rsidRPr="00FA4573">
        <w:rPr>
          <w:rStyle w:val="FootnoteReference"/>
        </w:rPr>
        <w:footnoteReference w:id="18"/>
      </w:r>
    </w:p>
    <w:p w14:paraId="1D87ECB6"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rapporteurship</w:t>
      </w:r>
      <w:r w:rsidRPr="00FA4573">
        <w:t>, efforts should focus on reducing the number of candidacies, identifying willing co-rapporteurs, and/or reaffirming each candidate’s institutional support (including time) to attend the Study Group meetings physically twice a year.</w:t>
      </w:r>
    </w:p>
    <w:p w14:paraId="0290C52F" w14:textId="77777777" w:rsidR="000B3E0D" w:rsidRPr="00FA4573" w:rsidRDefault="000B3E0D" w:rsidP="000B3E0D">
      <w:pPr>
        <w:pStyle w:val="ListParagraph"/>
        <w:numPr>
          <w:ilvl w:val="0"/>
          <w:numId w:val="6"/>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vice rapporteurship</w:t>
      </w:r>
      <w:r w:rsidRPr="00FA4573">
        <w:t>, efforts should focus on reducing the number of candidacies to no more than two per region per study Question.</w:t>
      </w:r>
    </w:p>
    <w:p w14:paraId="06E93EFF" w14:textId="77777777" w:rsidR="000B3E0D" w:rsidRPr="00FA4573" w:rsidRDefault="000B3E0D" w:rsidP="000B3E0D">
      <w:pPr>
        <w:pStyle w:val="Heading2"/>
        <w:ind w:left="0" w:firstLine="0"/>
        <w:rPr>
          <w:b w:val="0"/>
          <w:bCs/>
        </w:rPr>
      </w:pPr>
      <w:r w:rsidRPr="00FA4573">
        <w:rPr>
          <w:bCs/>
        </w:rPr>
        <w:t>Team Composition</w:t>
      </w:r>
    </w:p>
    <w:p w14:paraId="3D22627A" w14:textId="3CD55815" w:rsidR="000B3E0D" w:rsidRPr="00FA4573" w:rsidRDefault="000B3E0D" w:rsidP="000B3E0D">
      <w:r w:rsidRPr="00FA4573">
        <w:t>In the event that any overfill persists after the period of informal consultations, it remains the responsibility of each of the Study Groups to compose dedicated, stable rapporteur teams with competent participants who reflect the diversity of ITU-</w:t>
      </w:r>
      <w:r w:rsidR="0089542D">
        <w:t>D'</w:t>
      </w:r>
      <w:r w:rsidRPr="00FA4573">
        <w:t>s membership for each study Question.</w:t>
      </w:r>
    </w:p>
    <w:p w14:paraId="6B28C8BC" w14:textId="77777777" w:rsidR="000B3E0D" w:rsidRPr="00FA4573" w:rsidRDefault="000B3E0D" w:rsidP="000B3E0D">
      <w:r w:rsidRPr="00FA4573">
        <w:t>Several factors contribute to the composition of a rapporteur team. These include:</w:t>
      </w:r>
    </w:p>
    <w:p w14:paraId="16A9D0D5" w14:textId="77777777" w:rsidR="000B3E0D" w:rsidRPr="00FA4573" w:rsidRDefault="000B3E0D" w:rsidP="000B3E0D">
      <w:pPr>
        <w:pStyle w:val="ListParagraph"/>
        <w:numPr>
          <w:ilvl w:val="0"/>
          <w:numId w:val="14"/>
        </w:numPr>
        <w:tabs>
          <w:tab w:val="clear" w:pos="1134"/>
          <w:tab w:val="clear" w:pos="1871"/>
          <w:tab w:val="clear" w:pos="2268"/>
        </w:tabs>
        <w:overflowPunct/>
        <w:autoSpaceDE/>
        <w:autoSpaceDN/>
        <w:adjustRightInd/>
        <w:spacing w:before="0" w:after="160" w:line="259" w:lineRule="auto"/>
        <w:textAlignment w:val="auto"/>
      </w:pPr>
      <w:r w:rsidRPr="00FA4573">
        <w:t>Each candidate has the requisite experience and ability themself and institutional support (including time) from their member to participate actively;</w:t>
      </w:r>
    </w:p>
    <w:p w14:paraId="0BBD2AAA" w14:textId="77777777" w:rsidR="000B3E0D" w:rsidRPr="00FA4573" w:rsidRDefault="000B3E0D" w:rsidP="000B3E0D">
      <w:pPr>
        <w:pStyle w:val="ListParagraph"/>
        <w:numPr>
          <w:ilvl w:val="1"/>
          <w:numId w:val="14"/>
        </w:numPr>
        <w:tabs>
          <w:tab w:val="clear" w:pos="1134"/>
          <w:tab w:val="clear" w:pos="1871"/>
          <w:tab w:val="clear" w:pos="2268"/>
        </w:tabs>
        <w:overflowPunct/>
        <w:autoSpaceDE/>
        <w:autoSpaceDN/>
        <w:adjustRightInd/>
        <w:spacing w:before="0" w:after="160" w:line="259" w:lineRule="auto"/>
        <w:textAlignment w:val="auto"/>
      </w:pPr>
      <w:r w:rsidRPr="00FA4573">
        <w:t>In the case of a rapporteur or co-rapporteur candidate, this includes being physically present for both meetings each year;</w:t>
      </w:r>
    </w:p>
    <w:p w14:paraId="731A6078" w14:textId="1C4C6347" w:rsidR="000B3E0D" w:rsidRPr="00FA4573" w:rsidRDefault="000B3E0D" w:rsidP="000B3E0D">
      <w:pPr>
        <w:pStyle w:val="ListParagraph"/>
        <w:numPr>
          <w:ilvl w:val="0"/>
          <w:numId w:val="14"/>
        </w:numPr>
        <w:tabs>
          <w:tab w:val="clear" w:pos="1134"/>
          <w:tab w:val="clear" w:pos="1871"/>
          <w:tab w:val="clear" w:pos="2268"/>
        </w:tabs>
        <w:overflowPunct/>
        <w:autoSpaceDE/>
        <w:autoSpaceDN/>
        <w:adjustRightInd/>
        <w:spacing w:before="0" w:after="160" w:line="259" w:lineRule="auto"/>
        <w:textAlignment w:val="auto"/>
      </w:pPr>
      <w:r w:rsidRPr="00FA4573">
        <w:t>The team represents the diversity of the ITU-</w:t>
      </w:r>
      <w:r w:rsidR="0089542D">
        <w:t>D'</w:t>
      </w:r>
      <w:r w:rsidRPr="00FA4573">
        <w:t>s membership through the individual</w:t>
      </w:r>
      <w:r w:rsidR="0089542D">
        <w:t>s'</w:t>
      </w:r>
      <w:r w:rsidRPr="00FA4573">
        <w:t xml:space="preserve"> gender and ability and through member</w:t>
      </w:r>
      <w:r w:rsidR="0089542D">
        <w:t>s'</w:t>
      </w:r>
      <w:r w:rsidRPr="00FA4573">
        <w:t xml:space="preserve"> membership category and region; and</w:t>
      </w:r>
    </w:p>
    <w:p w14:paraId="55F3DBF2" w14:textId="77777777" w:rsidR="000B3E0D" w:rsidRPr="00FA4573" w:rsidRDefault="000B3E0D" w:rsidP="000B3E0D">
      <w:pPr>
        <w:pStyle w:val="ListParagraph"/>
        <w:numPr>
          <w:ilvl w:val="0"/>
          <w:numId w:val="14"/>
        </w:numPr>
        <w:tabs>
          <w:tab w:val="clear" w:pos="1134"/>
          <w:tab w:val="clear" w:pos="1871"/>
          <w:tab w:val="clear" w:pos="2268"/>
        </w:tabs>
        <w:overflowPunct/>
        <w:autoSpaceDE/>
        <w:autoSpaceDN/>
        <w:adjustRightInd/>
        <w:spacing w:before="0" w:after="160" w:line="259" w:lineRule="auto"/>
        <w:textAlignment w:val="auto"/>
      </w:pPr>
      <w:r w:rsidRPr="00FA4573">
        <w:t xml:space="preserve">The team is of an appropriate number that rapporteurs can effectively lead the work and vice rapporteurs have sufficient opportunity to contribute meaningfully and develop new skills in leadership (in alignment with PP Res 208 </w:t>
      </w:r>
      <w:r w:rsidRPr="00FA4573">
        <w:rPr>
          <w:i/>
          <w:iCs/>
        </w:rPr>
        <w:t>resolves</w:t>
      </w:r>
      <w:r w:rsidRPr="00FA4573">
        <w:t xml:space="preserve"> 2).</w:t>
      </w:r>
    </w:p>
    <w:p w14:paraId="0749B29A" w14:textId="77777777" w:rsidR="000B3E0D" w:rsidRPr="00FA4573" w:rsidRDefault="000B3E0D" w:rsidP="000B3E0D">
      <w:r w:rsidRPr="00FA4573">
        <w:t>Unless provided by the ITU Convention or a PP or WTDC Resolution, no single factor should disqualify or exclusively characterise any nomination. One example is known:</w:t>
      </w:r>
    </w:p>
    <w:p w14:paraId="31556FB3" w14:textId="77777777" w:rsidR="000B3E0D" w:rsidRPr="00FA4573" w:rsidRDefault="000B3E0D" w:rsidP="000B3E0D">
      <w:pPr>
        <w:pStyle w:val="ListParagraph"/>
        <w:numPr>
          <w:ilvl w:val="0"/>
          <w:numId w:val="17"/>
        </w:numPr>
        <w:tabs>
          <w:tab w:val="clear" w:pos="1134"/>
          <w:tab w:val="clear" w:pos="1871"/>
          <w:tab w:val="clear" w:pos="2268"/>
        </w:tabs>
        <w:overflowPunct/>
        <w:autoSpaceDE/>
        <w:autoSpaceDN/>
        <w:adjustRightInd/>
        <w:spacing w:before="0" w:after="160" w:line="259" w:lineRule="auto"/>
        <w:textAlignment w:val="auto"/>
      </w:pPr>
      <w:r w:rsidRPr="00FA4573">
        <w:t>WTDC Resolution 1, 3.3.1: An individual can only be a rapporteur or co-rapporteur to a single study Question.</w:t>
      </w:r>
    </w:p>
    <w:p w14:paraId="35AAF0E2" w14:textId="77777777" w:rsidR="000B3E0D" w:rsidRPr="00FA4573" w:rsidRDefault="000B3E0D" w:rsidP="000B3E0D">
      <w:r w:rsidRPr="00FA4573">
        <w:t xml:space="preserve">However, a number of factors can contribute to the holistic evaluation of nominations. </w:t>
      </w:r>
      <w:r w:rsidRPr="00FA4573">
        <w:rPr>
          <w:i/>
          <w:iCs/>
        </w:rPr>
        <w:t>Ceteris paribus</w:t>
      </w:r>
      <w:r w:rsidRPr="00FA4573">
        <w:t>, a nomination should be preferred when:</w:t>
      </w:r>
      <w:r w:rsidRPr="00FA4573">
        <w:rPr>
          <w:rStyle w:val="FootnoteReference"/>
        </w:rPr>
        <w:footnoteReference w:id="19"/>
      </w:r>
    </w:p>
    <w:p w14:paraId="79E7D32F"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a Chair or Vice Chair of the Study Group to the relevant study Question (per PP Resolution 208 </w:t>
      </w:r>
      <w:r w:rsidRPr="00FA4573">
        <w:rPr>
          <w:i/>
          <w:iCs/>
        </w:rPr>
        <w:t xml:space="preserve">resolves further </w:t>
      </w:r>
      <w:r w:rsidRPr="00FA4573">
        <w:t>1);</w:t>
      </w:r>
    </w:p>
    <w:p w14:paraId="4D9D9E0C"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from a country that does not otherwise hold any other rapporteur, co-rapporteur, or vice rapporteur position within the Study Group (in alignment with PP Resolution 208 </w:t>
      </w:r>
      <w:r w:rsidRPr="00FA4573">
        <w:rPr>
          <w:i/>
          <w:iCs/>
        </w:rPr>
        <w:t xml:space="preserve">resolves further </w:t>
      </w:r>
      <w:r w:rsidRPr="00FA4573">
        <w:t>3);</w:t>
      </w:r>
    </w:p>
    <w:p w14:paraId="32C50275"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demonstrated experience, within the ITU or elsewhere, concordant with their role’s responsibilities (see </w:t>
      </w:r>
      <w:r w:rsidRPr="00FA4573">
        <w:rPr>
          <w:i/>
          <w:iCs/>
        </w:rPr>
        <w:t>Rapporteur’s checklist</w:t>
      </w:r>
      <w:r w:rsidRPr="00FA4573">
        <w:t>, WTDC Resolution 1 Annex 5);</w:t>
      </w:r>
    </w:p>
    <w:p w14:paraId="4AFC2303"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has demonstrated experience in the ways of working within the ITU at any level and within any part of the Union;</w:t>
      </w:r>
    </w:p>
    <w:p w14:paraId="45D80221"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has participated in a previous study cycle;</w:t>
      </w:r>
    </w:p>
    <w:p w14:paraId="0AD6963D"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has actively participated in a rapporteur, co-rapporteur, or vice rapporteur position in the previous study cycle and is standing for renomination;</w:t>
      </w:r>
    </w:p>
    <w:p w14:paraId="654E6B5D"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been physically present in a previous meeting of the Study Group; </w:t>
      </w:r>
    </w:p>
    <w:p w14:paraId="0C79BA63"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Financial and time support for the candidate’s nomination has been reaffirmed by the member (where and as appropriate); or</w:t>
      </w:r>
    </w:p>
    <w:p w14:paraId="34F01526" w14:textId="043A9ACE"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contributes to a greater diversity of the rapporteur team, with regard to individual</w:t>
      </w:r>
      <w:r w:rsidR="0089542D">
        <w:t>s'</w:t>
      </w:r>
      <w:r w:rsidRPr="00FA4573">
        <w:t xml:space="preserve"> gender and ability and to member</w:t>
      </w:r>
      <w:r w:rsidR="0089542D">
        <w:t>s'</w:t>
      </w:r>
      <w:r w:rsidRPr="00FA4573">
        <w:t xml:space="preserve"> membership category and region.</w:t>
      </w:r>
    </w:p>
    <w:p w14:paraId="79681A95" w14:textId="77777777" w:rsidR="000B3E0D" w:rsidRPr="00FA4573" w:rsidRDefault="000B3E0D" w:rsidP="000B3E0D">
      <w:r w:rsidRPr="00FA4573">
        <w:t xml:space="preserve">Inversely, </w:t>
      </w:r>
      <w:r w:rsidRPr="00FA4573">
        <w:rPr>
          <w:i/>
          <w:iCs/>
        </w:rPr>
        <w:t>ceteris paribus</w:t>
      </w:r>
      <w:r w:rsidRPr="00FA4573">
        <w:t>, a nomination should be deprioritised when:</w:t>
      </w:r>
      <w:r w:rsidRPr="00FA4573">
        <w:rPr>
          <w:rStyle w:val="FootnoteReference"/>
        </w:rPr>
        <w:footnoteReference w:id="20"/>
      </w:r>
    </w:p>
    <w:p w14:paraId="29D0C6C8"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a vice rapporteur’s renomination</w:t>
      </w:r>
      <w:r w:rsidRPr="00FA4573">
        <w:t xml:space="preserve">, the candidate failed to participate (either physically or remotely) in at least half of all Study Group meetings during the previous study period (in alignment with PP Resolution 208 Annex 3 </w:t>
      </w:r>
      <w:r w:rsidRPr="00FA4573">
        <w:rPr>
          <w:i/>
          <w:iCs/>
        </w:rPr>
        <w:t xml:space="preserve">recital </w:t>
      </w:r>
      <w:r w:rsidRPr="00FA4573">
        <w:t>6);</w:t>
      </w:r>
    </w:p>
    <w:p w14:paraId="4966BBD9"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was a rapporteur or co-rapporteur in the previous study cycle and did not physically attend more than one meeting of the study Question;</w:t>
      </w:r>
    </w:p>
    <w:p w14:paraId="054161D5"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candidate was a rapporteur, co-rapporteur, or vice rapporteur in the previous study cycle and did not submit any written contribution to the study Question over the duration of the study cycle;</w:t>
      </w:r>
      <w:r w:rsidRPr="00FA4573">
        <w:rPr>
          <w:rStyle w:val="FootnoteReference"/>
        </w:rPr>
        <w:footnoteReference w:id="21"/>
      </w:r>
      <w:r w:rsidRPr="00FA4573">
        <w:t xml:space="preserve"> or</w:t>
      </w:r>
    </w:p>
    <w:p w14:paraId="3852CE5E" w14:textId="77777777" w:rsidR="000B3E0D" w:rsidRPr="00FA4573" w:rsidRDefault="000B3E0D" w:rsidP="000B3E0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Financial and time support for the candidate’s nomination has not been reaffirmed by the member (where and as appropriate).</w:t>
      </w:r>
    </w:p>
    <w:p w14:paraId="5BC3C982" w14:textId="77777777" w:rsidR="000B3E0D" w:rsidRPr="00FA4573" w:rsidRDefault="000B3E0D" w:rsidP="000B3E0D">
      <w:r w:rsidRPr="00FA4573">
        <w:t xml:space="preserve">This deprioritisation might include the deferral of a rapporteur or co-rapporteur candidate to a vice rapporteurship, given the critical nature of a (co-)rapporteur’s physical presence to adequately chair the study Question (in line with the </w:t>
      </w:r>
      <w:r w:rsidRPr="00FA4573">
        <w:rPr>
          <w:i/>
          <w:iCs/>
        </w:rPr>
        <w:t>Rapporteur’s checklist</w:t>
      </w:r>
      <w:r w:rsidRPr="00FA4573">
        <w:t>, WTDC Res 1 Annex 5).</w:t>
      </w:r>
    </w:p>
    <w:p w14:paraId="01166682" w14:textId="77777777" w:rsidR="000B3E0D" w:rsidRPr="00FA4573" w:rsidRDefault="000B3E0D" w:rsidP="000B3E0D">
      <w:r w:rsidRPr="00FA4573">
        <w:t>To aide this process of evaluation, the BDT should prepare a report, circulated in an unabridged version only to the Study Group Chairs and Vice Chairs and to members as relates only to their own candidates, that includes, for each candidate:</w:t>
      </w:r>
    </w:p>
    <w:p w14:paraId="53673A61" w14:textId="77777777" w:rsidR="000B3E0D" w:rsidRPr="00FA4573" w:rsidRDefault="000B3E0D" w:rsidP="000B3E0D">
      <w:pPr>
        <w:pStyle w:val="ListParagraph"/>
        <w:numPr>
          <w:ilvl w:val="0"/>
          <w:numId w:val="13"/>
        </w:numPr>
        <w:tabs>
          <w:tab w:val="clear" w:pos="1134"/>
          <w:tab w:val="clear" w:pos="1871"/>
          <w:tab w:val="clear" w:pos="2268"/>
        </w:tabs>
        <w:overflowPunct/>
        <w:autoSpaceDE/>
        <w:autoSpaceDN/>
        <w:adjustRightInd/>
        <w:spacing w:before="0" w:after="160" w:line="259" w:lineRule="auto"/>
        <w:textAlignment w:val="auto"/>
      </w:pPr>
      <w:r w:rsidRPr="00FA4573">
        <w:t>An indication if the member’s support for the candidate has been reaffirmed (where and as appropriate);</w:t>
      </w:r>
    </w:p>
    <w:p w14:paraId="3A377B13" w14:textId="77777777" w:rsidR="000B3E0D" w:rsidRPr="00FA4573" w:rsidRDefault="000B3E0D" w:rsidP="000B3E0D">
      <w:pPr>
        <w:pStyle w:val="ListParagraph"/>
        <w:numPr>
          <w:ilvl w:val="0"/>
          <w:numId w:val="13"/>
        </w:numPr>
        <w:tabs>
          <w:tab w:val="clear" w:pos="1134"/>
          <w:tab w:val="clear" w:pos="1871"/>
          <w:tab w:val="clear" w:pos="2268"/>
        </w:tabs>
        <w:overflowPunct/>
        <w:autoSpaceDE/>
        <w:autoSpaceDN/>
        <w:adjustRightInd/>
        <w:spacing w:before="0" w:after="160" w:line="259" w:lineRule="auto"/>
        <w:textAlignment w:val="auto"/>
      </w:pPr>
      <w:r w:rsidRPr="00FA4573">
        <w:t>The number of study group meetings that the candidate attended in the last cycle, if any; and</w:t>
      </w:r>
    </w:p>
    <w:p w14:paraId="7D79530D" w14:textId="77777777" w:rsidR="000B3E0D" w:rsidRPr="00FA4573" w:rsidRDefault="000B3E0D" w:rsidP="000B3E0D">
      <w:pPr>
        <w:pStyle w:val="ListParagraph"/>
        <w:numPr>
          <w:ilvl w:val="0"/>
          <w:numId w:val="13"/>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rapporteurships only,</w:t>
      </w:r>
      <w:r w:rsidRPr="00FA4573">
        <w:t xml:space="preserve"> the number of study group meetings that the candidate was recorded as physically present, if any.</w:t>
      </w:r>
    </w:p>
    <w:p w14:paraId="3274210B" w14:textId="77777777" w:rsidR="000B3E0D" w:rsidRPr="00FA4573" w:rsidRDefault="000B3E0D" w:rsidP="000B3E0D">
      <w:r w:rsidRPr="00FA4573">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2C247EA3" w14:textId="77777777" w:rsidR="000B3E0D" w:rsidRPr="00FA4573" w:rsidRDefault="000B3E0D" w:rsidP="000B3E0D">
      <w:pPr>
        <w:pStyle w:val="ListParagraph"/>
        <w:numPr>
          <w:ilvl w:val="0"/>
          <w:numId w:val="16"/>
        </w:numPr>
        <w:tabs>
          <w:tab w:val="clear" w:pos="1134"/>
          <w:tab w:val="clear" w:pos="1871"/>
          <w:tab w:val="clear" w:pos="2268"/>
        </w:tabs>
        <w:overflowPunct/>
        <w:autoSpaceDE/>
        <w:autoSpaceDN/>
        <w:adjustRightInd/>
        <w:spacing w:before="0" w:after="160" w:line="259" w:lineRule="auto"/>
        <w:textAlignment w:val="auto"/>
      </w:pPr>
      <w:r w:rsidRPr="00FA4573">
        <w:t xml:space="preserve">Give particular consideration to the requirements of </w:t>
      </w:r>
      <w:r w:rsidRPr="00FA4573">
        <w:rPr>
          <w:b/>
          <w:bCs/>
        </w:rPr>
        <w:t>competence</w:t>
      </w:r>
      <w:r w:rsidRPr="00FA4573">
        <w:t xml:space="preserve"> and </w:t>
      </w:r>
      <w:r w:rsidRPr="00FA4573">
        <w:rPr>
          <w:b/>
          <w:bCs/>
        </w:rPr>
        <w:t>equitable geographical distribution</w:t>
      </w:r>
      <w:r w:rsidRPr="00FA4573">
        <w:t xml:space="preserve"> as possible and to the need to promote more efficient participation by developing countries (per No. 242 of the ITU Convention, emphasis added);</w:t>
      </w:r>
    </w:p>
    <w:p w14:paraId="0F1AEC50" w14:textId="77777777" w:rsidR="000B3E0D" w:rsidRPr="00FA4573" w:rsidRDefault="000B3E0D" w:rsidP="000B3E0D">
      <w:pPr>
        <w:pStyle w:val="ListParagraph"/>
        <w:numPr>
          <w:ilvl w:val="1"/>
          <w:numId w:val="16"/>
        </w:numPr>
        <w:tabs>
          <w:tab w:val="clear" w:pos="1134"/>
          <w:tab w:val="clear" w:pos="1871"/>
          <w:tab w:val="clear" w:pos="2268"/>
        </w:tabs>
        <w:overflowPunct/>
        <w:autoSpaceDE/>
        <w:autoSpaceDN/>
        <w:adjustRightInd/>
        <w:spacing w:before="0" w:after="160" w:line="259" w:lineRule="auto"/>
        <w:textAlignment w:val="auto"/>
      </w:pPr>
      <w:r w:rsidRPr="00FA4573">
        <w:t>This competence of any candidate should be evaluated based on the information provided by the BDT and supporting information provided by the nominating member;</w:t>
      </w:r>
    </w:p>
    <w:p w14:paraId="16E87C47" w14:textId="77777777" w:rsidR="000B3E0D" w:rsidRPr="00FA4573" w:rsidRDefault="000B3E0D" w:rsidP="000B3E0D">
      <w:pPr>
        <w:pStyle w:val="ListParagraph"/>
        <w:numPr>
          <w:ilvl w:val="0"/>
          <w:numId w:val="16"/>
        </w:numPr>
        <w:tabs>
          <w:tab w:val="clear" w:pos="1134"/>
          <w:tab w:val="clear" w:pos="1871"/>
          <w:tab w:val="clear" w:pos="2268"/>
        </w:tabs>
        <w:overflowPunct/>
        <w:autoSpaceDE/>
        <w:autoSpaceDN/>
        <w:adjustRightInd/>
        <w:spacing w:before="0" w:after="160" w:line="259" w:lineRule="auto"/>
        <w:textAlignment w:val="auto"/>
      </w:pPr>
      <w:r w:rsidRPr="00FA4573">
        <w:t xml:space="preserve">Appoint </w:t>
      </w:r>
      <w:r w:rsidRPr="00FA4573">
        <w:rPr>
          <w:b/>
          <w:bCs/>
        </w:rPr>
        <w:t>only the number</w:t>
      </w:r>
      <w:r w:rsidRPr="00FA4573">
        <w:t xml:space="preserve"> </w:t>
      </w:r>
      <w:r w:rsidRPr="00FA4573">
        <w:rPr>
          <w:b/>
          <w:bCs/>
        </w:rPr>
        <w:t>of vice-rapporteurs deemed necessary</w:t>
      </w:r>
      <w:r w:rsidRPr="00FA4573">
        <w:t xml:space="preserve"> for the efficient and effective management and functioning of the Question (in alignment with PP Res 208 </w:t>
      </w:r>
      <w:r w:rsidRPr="00FA4573">
        <w:rPr>
          <w:i/>
          <w:iCs/>
        </w:rPr>
        <w:t xml:space="preserve">resolves </w:t>
      </w:r>
      <w:r w:rsidRPr="00FA4573">
        <w:t>2, emphasis added);</w:t>
      </w:r>
    </w:p>
    <w:p w14:paraId="6FF460A5" w14:textId="77777777" w:rsidR="000B3E0D" w:rsidRPr="00FA4573" w:rsidRDefault="000B3E0D" w:rsidP="000B3E0D">
      <w:pPr>
        <w:pStyle w:val="ListParagraph"/>
        <w:numPr>
          <w:ilvl w:val="0"/>
          <w:numId w:val="16"/>
        </w:numPr>
        <w:tabs>
          <w:tab w:val="clear" w:pos="1134"/>
          <w:tab w:val="clear" w:pos="1871"/>
          <w:tab w:val="clear" w:pos="2268"/>
        </w:tabs>
        <w:overflowPunct/>
        <w:autoSpaceDE/>
        <w:autoSpaceDN/>
        <w:adjustRightInd/>
        <w:spacing w:before="0" w:after="160" w:line="259" w:lineRule="auto"/>
        <w:textAlignment w:val="auto"/>
      </w:pPr>
      <w:r w:rsidRPr="00FA4573">
        <w:t xml:space="preserve">Ensure appropriate representation from </w:t>
      </w:r>
      <w:r w:rsidRPr="00FA4573">
        <w:rPr>
          <w:b/>
          <w:bCs/>
        </w:rPr>
        <w:t>developing countries</w:t>
      </w:r>
      <w:r w:rsidRPr="00FA4573">
        <w:t xml:space="preserve">, including the least developed countries, small island developing states, landlocked developing countries and countries with economies in transition (in alignment with PP Resolution 208 Annex 2 </w:t>
      </w:r>
      <w:r w:rsidRPr="00FA4573">
        <w:rPr>
          <w:i/>
          <w:iCs/>
        </w:rPr>
        <w:t>recital</w:t>
      </w:r>
      <w:r w:rsidRPr="00FA4573">
        <w:t xml:space="preserve"> 1, emphasis added); and</w:t>
      </w:r>
    </w:p>
    <w:p w14:paraId="0D2C8445" w14:textId="77777777" w:rsidR="000B3E0D" w:rsidRPr="00FA4573" w:rsidRDefault="000B3E0D" w:rsidP="000B3E0D">
      <w:pPr>
        <w:pStyle w:val="ListParagraph"/>
        <w:numPr>
          <w:ilvl w:val="0"/>
          <w:numId w:val="16"/>
        </w:numPr>
        <w:tabs>
          <w:tab w:val="clear" w:pos="1134"/>
          <w:tab w:val="clear" w:pos="1871"/>
          <w:tab w:val="clear" w:pos="2268"/>
        </w:tabs>
        <w:overflowPunct/>
        <w:autoSpaceDE/>
        <w:autoSpaceDN/>
        <w:adjustRightInd/>
        <w:spacing w:before="0" w:after="160" w:line="259" w:lineRule="auto"/>
        <w:textAlignment w:val="auto"/>
      </w:pPr>
      <w:r w:rsidRPr="00FA4573">
        <w:t xml:space="preserve">Utilise the human resources of as </w:t>
      </w:r>
      <w:r w:rsidRPr="00FA4573">
        <w:rPr>
          <w:b/>
          <w:bCs/>
        </w:rPr>
        <w:t>broad a range of Member States and Sector Members</w:t>
      </w:r>
      <w:r w:rsidRPr="00FA4573">
        <w:t xml:space="preserve"> as possible within the rapporteur team (per PP Resolution 208 Annex 3 </w:t>
      </w:r>
      <w:r w:rsidRPr="00FA4573">
        <w:rPr>
          <w:i/>
          <w:iCs/>
        </w:rPr>
        <w:t xml:space="preserve">recital </w:t>
      </w:r>
      <w:r w:rsidRPr="00FA4573">
        <w:t>2, emphasis added).</w:t>
      </w:r>
    </w:p>
    <w:p w14:paraId="7FDAF4F3" w14:textId="77777777" w:rsidR="000B3E0D" w:rsidRPr="00FA4573" w:rsidRDefault="000B3E0D" w:rsidP="000B3E0D">
      <w:r w:rsidRPr="00FA4573">
        <w:t>Before submission of the draft proposal to the Study Group, it should be shared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0DF3FCBA" w14:textId="77777777" w:rsidR="000B3E0D" w:rsidRPr="00FA4573" w:rsidRDefault="000B3E0D" w:rsidP="000B3E0D">
      <w:pPr>
        <w:rPr>
          <w:rFonts w:eastAsia="Malgun Gothic"/>
          <w:lang w:eastAsia="ko-KR"/>
        </w:rPr>
      </w:pPr>
      <w:r w:rsidRPr="00FA4573">
        <w:t>Ultimately, this draft proposal will then need to be adopted by the Study Group at its first meeting, with or without amendments, in accordance with WTDC Res 1 3.3.5. This remains the formal process of appointment for all rapporteurs, co-rapporteurs, and vice rapporteurs.</w:t>
      </w:r>
    </w:p>
    <w:p w14:paraId="64331527" w14:textId="77777777" w:rsidR="000B3E0D" w:rsidRPr="00FA4573" w:rsidRDefault="000B3E0D" w:rsidP="000B3E0D">
      <w:pPr>
        <w:overflowPunct/>
        <w:autoSpaceDE/>
        <w:autoSpaceDN/>
        <w:adjustRightInd/>
        <w:spacing w:before="0"/>
        <w:textAlignment w:val="auto"/>
        <w:rPr>
          <w:rFonts w:eastAsia="Malgun Gothic"/>
          <w:lang w:eastAsia="ko-KR"/>
        </w:rPr>
      </w:pPr>
    </w:p>
    <w:p w14:paraId="16BF721B" w14:textId="77777777" w:rsidR="000B3E0D" w:rsidRPr="00FA4573" w:rsidRDefault="000B3E0D" w:rsidP="000B3E0D">
      <w:pPr>
        <w:overflowPunct/>
        <w:autoSpaceDE/>
        <w:autoSpaceDN/>
        <w:adjustRightInd/>
        <w:spacing w:before="0"/>
        <w:textAlignment w:val="auto"/>
        <w:rPr>
          <w:rFonts w:eastAsia="Malgun Gothic"/>
          <w:lang w:eastAsia="ko-KR"/>
        </w:rPr>
        <w:sectPr w:rsidR="000B3E0D" w:rsidRPr="00FA4573" w:rsidSect="000B3E0D">
          <w:headerReference w:type="default" r:id="rId149"/>
          <w:pgSz w:w="11907" w:h="16840" w:code="9"/>
          <w:pgMar w:top="1418" w:right="1134" w:bottom="900" w:left="1134" w:header="720" w:footer="720" w:gutter="0"/>
          <w:cols w:space="720"/>
          <w:docGrid w:linePitch="326"/>
        </w:sectPr>
      </w:pPr>
    </w:p>
    <w:p w14:paraId="49892FBA" w14:textId="77777777" w:rsidR="000B3E0D" w:rsidRPr="00FA4573" w:rsidRDefault="000B3E0D" w:rsidP="000B3E0D">
      <w:pPr>
        <w:overflowPunct/>
        <w:autoSpaceDE/>
        <w:autoSpaceDN/>
        <w:adjustRightInd/>
        <w:spacing w:after="120"/>
        <w:textAlignment w:val="auto"/>
        <w:rPr>
          <w:rFonts w:eastAsia="Malgun Gothic"/>
          <w:b/>
          <w:bCs/>
          <w:lang w:eastAsia="ko-KR"/>
        </w:rPr>
      </w:pPr>
      <w:r w:rsidRPr="00FA4573">
        <w:rPr>
          <w:b/>
          <w:bCs/>
        </w:rPr>
        <w:t xml:space="preserve">Annex </w:t>
      </w:r>
      <w:r w:rsidRPr="00FA4573">
        <w:rPr>
          <w:rFonts w:eastAsia="Malgun Gothic" w:hint="eastAsia"/>
          <w:b/>
          <w:bCs/>
          <w:lang w:eastAsia="ko-KR"/>
        </w:rPr>
        <w:t>5</w:t>
      </w:r>
      <w:r w:rsidRPr="00FA4573">
        <w:rPr>
          <w:b/>
          <w:bCs/>
        </w:rPr>
        <w:t xml:space="preserve">: Draft guidelines </w:t>
      </w:r>
      <w:r w:rsidRPr="00FA4573">
        <w:rPr>
          <w:rFonts w:eastAsia="Malgun Gothic" w:hint="eastAsia"/>
          <w:b/>
          <w:bCs/>
          <w:lang w:eastAsia="ko-KR"/>
        </w:rPr>
        <w:t>on b</w:t>
      </w:r>
      <w:r w:rsidRPr="00FA4573">
        <w:rPr>
          <w:b/>
          <w:bCs/>
        </w:rPr>
        <w:t>etter use of ITU-D Study Group products</w:t>
      </w:r>
    </w:p>
    <w:p w14:paraId="2EF8DC12" w14:textId="77777777" w:rsidR="000B3E0D" w:rsidRPr="00474F78" w:rsidRDefault="000B3E0D" w:rsidP="000B3E0D">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These guidelines were developed by </w:t>
      </w:r>
      <w:r w:rsidRPr="00FA4573">
        <w:rPr>
          <w:szCs w:val="18"/>
        </w:rPr>
        <w:t>Ms Nicola Bennett (Australia) and Mr Hideo Imanaka (Japan)</w:t>
      </w:r>
      <w:r w:rsidRPr="00FA4573">
        <w:rPr>
          <w:rFonts w:eastAsia="Malgun Gothic" w:hint="eastAsia"/>
          <w:szCs w:val="18"/>
          <w:lang w:eastAsia="ko-KR"/>
        </w:rPr>
        <w:t>.</w:t>
      </w:r>
    </w:p>
    <w:p w14:paraId="1C1F6ECA" w14:textId="77777777" w:rsidR="000B3E0D" w:rsidRPr="00FA4573" w:rsidRDefault="000B3E0D" w:rsidP="000B3E0D">
      <w:pPr>
        <w:spacing w:before="160"/>
      </w:pPr>
      <w:r w:rsidRPr="00FA4573">
        <w:rPr>
          <w:b/>
          <w:bCs/>
          <w:u w:val="single"/>
        </w:rPr>
        <w:t>Purpose of document</w:t>
      </w:r>
      <w:r w:rsidRPr="00FA4573">
        <w:t xml:space="preserve">: </w:t>
      </w:r>
    </w:p>
    <w:p w14:paraId="7CEA0376" w14:textId="77777777" w:rsidR="000B3E0D" w:rsidRPr="00FA4573" w:rsidRDefault="000B3E0D" w:rsidP="000B3E0D">
      <w:pPr>
        <w:spacing w:before="160"/>
      </w:pPr>
      <w:r w:rsidRPr="00FA4573">
        <w:t>To identify challenges impacting the effective</w:t>
      </w:r>
      <w:r w:rsidRPr="00FA4573">
        <w:rPr>
          <w:rFonts w:hint="eastAsia"/>
        </w:rPr>
        <w:t xml:space="preserve"> use</w:t>
      </w:r>
      <w:r w:rsidRPr="00FA4573">
        <w:t xml:space="preserve"> of ITU-D Study Group products, and propose potential solutions to address these pressure points. </w:t>
      </w:r>
    </w:p>
    <w:p w14:paraId="3893BC08" w14:textId="77777777" w:rsidR="000B3E0D" w:rsidRPr="00FA4573" w:rsidRDefault="000B3E0D" w:rsidP="000B3E0D">
      <w:pPr>
        <w:spacing w:before="160"/>
      </w:pPr>
      <w:r w:rsidRPr="00FA4573">
        <w:rPr>
          <w:rFonts w:hint="eastAsia"/>
          <w:b/>
          <w:bCs/>
          <w:u w:val="single"/>
        </w:rPr>
        <w:t>Target ITU-D SG products</w:t>
      </w:r>
      <w:r w:rsidRPr="00FA4573">
        <w:t xml:space="preserve">: </w:t>
      </w:r>
    </w:p>
    <w:p w14:paraId="16A1439E" w14:textId="77777777" w:rsidR="000B3E0D" w:rsidRPr="00FA4573" w:rsidRDefault="000B3E0D" w:rsidP="000B3E0D">
      <w:pPr>
        <w:spacing w:before="160"/>
      </w:pPr>
      <w:r w:rsidRPr="00FA4573">
        <w:t>ITU-D Study Group products include:</w:t>
      </w:r>
    </w:p>
    <w:p w14:paraId="43ABCD87" w14:textId="77777777" w:rsidR="000B3E0D" w:rsidRPr="00FA4573" w:rsidRDefault="000B3E0D" w:rsidP="000B3E0D">
      <w:pPr>
        <w:pStyle w:val="ListParagraph"/>
        <w:numPr>
          <w:ilvl w:val="0"/>
          <w:numId w:val="19"/>
        </w:numPr>
        <w:tabs>
          <w:tab w:val="clear" w:pos="1134"/>
          <w:tab w:val="clear" w:pos="1871"/>
          <w:tab w:val="clear" w:pos="2268"/>
        </w:tabs>
        <w:overflowPunct/>
        <w:autoSpaceDE/>
        <w:autoSpaceDN/>
        <w:adjustRightInd/>
        <w:spacing w:before="160" w:after="160" w:line="259" w:lineRule="auto"/>
        <w:textAlignment w:val="auto"/>
      </w:pPr>
      <w:r w:rsidRPr="00FA4573">
        <w:t xml:space="preserve">Final Reports from each Study Group </w:t>
      </w:r>
      <w:r w:rsidRPr="00FA4573">
        <w:rPr>
          <w:rFonts w:hint="eastAsia"/>
        </w:rPr>
        <w:t xml:space="preserve">Question </w:t>
      </w:r>
      <w:r w:rsidRPr="00FA4573">
        <w:t>(quadrennial)</w:t>
      </w:r>
    </w:p>
    <w:p w14:paraId="30F898AC" w14:textId="77777777" w:rsidR="000B3E0D" w:rsidRPr="00FA4573" w:rsidRDefault="000B3E0D" w:rsidP="000B3E0D">
      <w:pPr>
        <w:pStyle w:val="ListParagraph"/>
        <w:numPr>
          <w:ilvl w:val="0"/>
          <w:numId w:val="19"/>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Interim reports from each Study Group Question (annually)</w:t>
      </w:r>
    </w:p>
    <w:p w14:paraId="4C05D626" w14:textId="77777777" w:rsidR="000B3E0D" w:rsidRPr="00FA4573" w:rsidRDefault="000B3E0D" w:rsidP="000B3E0D">
      <w:pPr>
        <w:pStyle w:val="ListParagraph"/>
        <w:numPr>
          <w:ilvl w:val="0"/>
          <w:numId w:val="19"/>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Workshop reports of each Study Group Question</w:t>
      </w:r>
    </w:p>
    <w:p w14:paraId="16F55D94" w14:textId="77777777" w:rsidR="000B3E0D" w:rsidRPr="00FA4573" w:rsidRDefault="000B3E0D" w:rsidP="000B3E0D">
      <w:pPr>
        <w:pStyle w:val="ListParagraph"/>
        <w:numPr>
          <w:ilvl w:val="0"/>
          <w:numId w:val="19"/>
        </w:numPr>
        <w:tabs>
          <w:tab w:val="clear" w:pos="1134"/>
          <w:tab w:val="clear" w:pos="1871"/>
          <w:tab w:val="clear" w:pos="2268"/>
        </w:tabs>
        <w:overflowPunct/>
        <w:autoSpaceDE/>
        <w:autoSpaceDN/>
        <w:adjustRightInd/>
        <w:spacing w:before="160" w:after="160" w:line="259" w:lineRule="auto"/>
        <w:textAlignment w:val="auto"/>
      </w:pPr>
      <w:r w:rsidRPr="00FA4573">
        <w:t xml:space="preserve">Best practice documents, guidelines, seminars, etc. </w:t>
      </w:r>
    </w:p>
    <w:tbl>
      <w:tblPr>
        <w:tblStyle w:val="GridTable1Light"/>
        <w:tblW w:w="5000" w:type="pct"/>
        <w:tblLook w:val="04A0" w:firstRow="1" w:lastRow="0" w:firstColumn="1" w:lastColumn="0" w:noHBand="0" w:noVBand="1"/>
      </w:tblPr>
      <w:tblGrid>
        <w:gridCol w:w="2061"/>
        <w:gridCol w:w="5160"/>
        <w:gridCol w:w="7291"/>
      </w:tblGrid>
      <w:tr w:rsidR="000B3E0D" w:rsidRPr="00FA4573" w14:paraId="7176998E" w14:textId="77777777" w:rsidTr="00B76C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pct"/>
            <w:shd w:val="clear" w:color="auto" w:fill="EEECE1" w:themeFill="background2"/>
          </w:tcPr>
          <w:p w14:paraId="5E13AE36" w14:textId="77777777" w:rsidR="000B3E0D" w:rsidRPr="00FA4573" w:rsidRDefault="000B3E0D" w:rsidP="00B76C4C">
            <w:pPr>
              <w:spacing w:before="160"/>
              <w:rPr>
                <w:sz w:val="22"/>
              </w:rPr>
            </w:pPr>
          </w:p>
        </w:tc>
        <w:tc>
          <w:tcPr>
            <w:tcW w:w="1778" w:type="pct"/>
            <w:shd w:val="clear" w:color="auto" w:fill="EEECE1" w:themeFill="background2"/>
          </w:tcPr>
          <w:p w14:paraId="340F3758" w14:textId="77777777" w:rsidR="000B3E0D" w:rsidRPr="00FA4573" w:rsidRDefault="000B3E0D" w:rsidP="00B76C4C">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Challenge</w:t>
            </w:r>
          </w:p>
        </w:tc>
        <w:tc>
          <w:tcPr>
            <w:tcW w:w="2512" w:type="pct"/>
            <w:shd w:val="clear" w:color="auto" w:fill="EEECE1" w:themeFill="background2"/>
          </w:tcPr>
          <w:p w14:paraId="46CAE9C2" w14:textId="77777777" w:rsidR="000B3E0D" w:rsidRPr="00FA4573" w:rsidRDefault="000B3E0D" w:rsidP="00B76C4C">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Proposed solutions</w:t>
            </w:r>
          </w:p>
        </w:tc>
      </w:tr>
      <w:tr w:rsidR="000B3E0D" w:rsidRPr="00FA4573" w14:paraId="2AEAF89F" w14:textId="77777777" w:rsidTr="00B76C4C">
        <w:trPr>
          <w:trHeight w:val="679"/>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6DEDD3DF" w14:textId="77777777" w:rsidR="000B3E0D" w:rsidRPr="00FA4573" w:rsidRDefault="000B3E0D" w:rsidP="00B76C4C">
            <w:pPr>
              <w:spacing w:before="160"/>
              <w:rPr>
                <w:sz w:val="22"/>
              </w:rPr>
            </w:pPr>
            <w:r w:rsidRPr="00FA4573">
              <w:rPr>
                <w:rFonts w:hint="eastAsia"/>
                <w:sz w:val="22"/>
              </w:rPr>
              <w:t>How to find ITU-D SG products</w:t>
            </w:r>
          </w:p>
        </w:tc>
        <w:tc>
          <w:tcPr>
            <w:tcW w:w="1778" w:type="pct"/>
          </w:tcPr>
          <w:p w14:paraId="57E5F271"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Easy access to the products by </w:t>
            </w:r>
            <w:r w:rsidRPr="00FA4573">
              <w:rPr>
                <w:sz w:val="22"/>
              </w:rPr>
              <w:t>ITU website navigation</w:t>
            </w:r>
          </w:p>
          <w:p w14:paraId="2B92D09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r w:rsidRPr="00FA4573">
              <w:rPr>
                <w:rFonts w:hint="eastAsia"/>
                <w:sz w:val="22"/>
              </w:rPr>
              <w:t xml:space="preserve">current </w:t>
            </w:r>
            <w:r w:rsidRPr="00FA4573">
              <w:rPr>
                <w:sz w:val="22"/>
              </w:rPr>
              <w:t xml:space="preserve">ITU webpage makes it difficult to find information, as the reports/interim deliverables are spread out across multiple webpages. </w:t>
            </w:r>
          </w:p>
          <w:p w14:paraId="3A57F34A"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Example of duplicate landing pages for reports:</w:t>
            </w:r>
          </w:p>
          <w:p w14:paraId="5B1D2297" w14:textId="77777777" w:rsidR="000B3E0D" w:rsidRPr="00FA4573" w:rsidRDefault="00803037"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50" w:history="1">
              <w:r w:rsidR="000B3E0D" w:rsidRPr="00FA4573">
                <w:rPr>
                  <w:rStyle w:val="Hyperlink"/>
                  <w:sz w:val="22"/>
                </w:rPr>
                <w:t>Best practices being adopted on fit-for-purpose digital regulation tools for consumer protection - ITU</w:t>
              </w:r>
            </w:hyperlink>
            <w:r w:rsidR="000B3E0D" w:rsidRPr="00FA4573">
              <w:rPr>
                <w:rStyle w:val="Hyperlink"/>
                <w:sz w:val="22"/>
              </w:rPr>
              <w:t xml:space="preserve"> </w:t>
            </w:r>
            <w:r w:rsidR="000B3E0D" w:rsidRPr="00FA4573">
              <w:rPr>
                <w:sz w:val="22"/>
              </w:rPr>
              <w:t xml:space="preserve">(ITU hub) AND </w:t>
            </w:r>
            <w:hyperlink r:id="rId151" w:history="1">
              <w:r w:rsidR="000B3E0D" w:rsidRPr="00FA4573">
                <w:rPr>
                  <w:rStyle w:val="Hyperlink"/>
                  <w:sz w:val="22"/>
                </w:rPr>
                <w:t>Best practices being adopted on fit-for-purpose digital regulation tools for consumer protection</w:t>
              </w:r>
            </w:hyperlink>
            <w:r w:rsidR="000B3E0D" w:rsidRPr="00FA4573">
              <w:rPr>
                <w:rStyle w:val="Hyperlink"/>
                <w:sz w:val="22"/>
              </w:rPr>
              <w:t xml:space="preserve"> </w:t>
            </w:r>
            <w:r w:rsidR="000B3E0D" w:rsidRPr="00FA4573">
              <w:rPr>
                <w:sz w:val="22"/>
              </w:rPr>
              <w:t>(SG publication)</w:t>
            </w:r>
          </w:p>
          <w:p w14:paraId="07C4EA5A" w14:textId="77777777" w:rsidR="000B3E0D" w:rsidRPr="00FA4573" w:rsidRDefault="00803037"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52" w:history="1">
              <w:r w:rsidR="000B3E0D" w:rsidRPr="00FA4573">
                <w:rPr>
                  <w:rStyle w:val="Hyperlink"/>
                  <w:sz w:val="22"/>
                </w:rPr>
                <w:t>1/1 report</w:t>
              </w:r>
            </w:hyperlink>
            <w:r w:rsidR="000B3E0D" w:rsidRPr="00FA4573">
              <w:rPr>
                <w:sz w:val="22"/>
              </w:rPr>
              <w:t xml:space="preserve"> (ITU hub) AND </w:t>
            </w:r>
            <w:hyperlink r:id="rId153" w:history="1">
              <w:r w:rsidR="000B3E0D" w:rsidRPr="00FA4573">
                <w:rPr>
                  <w:rStyle w:val="Hyperlink"/>
                  <w:sz w:val="22"/>
                </w:rPr>
                <w:t>1/1 Report</w:t>
              </w:r>
            </w:hyperlink>
            <w:r w:rsidR="000B3E0D" w:rsidRPr="00FA4573">
              <w:rPr>
                <w:sz w:val="22"/>
              </w:rPr>
              <w:t xml:space="preserve"> (SG publication)</w:t>
            </w:r>
          </w:p>
          <w:p w14:paraId="285F3CF6"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There is no search function/tag capability on the ITU</w:t>
            </w:r>
            <w:r w:rsidRPr="00FA4573">
              <w:rPr>
                <w:sz w:val="22"/>
              </w:rPr>
              <w:noBreakHyphen/>
              <w:t>D publications webpage to easily find topics of interest.</w:t>
            </w:r>
          </w:p>
          <w:p w14:paraId="68B28108"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Note - there is a search function for the </w:t>
            </w:r>
            <w:hyperlink r:id="rId154" w:history="1">
              <w:r w:rsidRPr="00FA4573">
                <w:rPr>
                  <w:rStyle w:val="Hyperlink"/>
                  <w:sz w:val="22"/>
                </w:rPr>
                <w:t>general ITU hub</w:t>
              </w:r>
            </w:hyperlink>
            <w:r w:rsidRPr="00FA4573">
              <w:rPr>
                <w:sz w:val="22"/>
              </w:rPr>
              <w:t>.</w:t>
            </w:r>
          </w:p>
        </w:tc>
        <w:tc>
          <w:tcPr>
            <w:tcW w:w="2512" w:type="pct"/>
          </w:tcPr>
          <w:p w14:paraId="230CFDAE"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Streamline duplicative webpages on the ITU website (examples provided in the </w:t>
            </w:r>
            <w:r w:rsidRPr="00FA4573">
              <w:rPr>
                <w:i/>
                <w:sz w:val="22"/>
              </w:rPr>
              <w:t>Challenge</w:t>
            </w:r>
            <w:r w:rsidRPr="00FA4573">
              <w:rPr>
                <w:sz w:val="22"/>
              </w:rPr>
              <w:t xml:space="preserve"> column).</w:t>
            </w:r>
          </w:p>
          <w:p w14:paraId="446CB3A8"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Include a search/tag function on the </w:t>
            </w:r>
            <w:hyperlink r:id="rId155" w:history="1">
              <w:r w:rsidRPr="00FA4573">
                <w:rPr>
                  <w:rStyle w:val="Hyperlink"/>
                  <w:sz w:val="22"/>
                </w:rPr>
                <w:t>ITU-D Publications</w:t>
              </w:r>
            </w:hyperlink>
            <w:r w:rsidRPr="00FA4573">
              <w:rPr>
                <w:sz w:val="22"/>
              </w:rPr>
              <w:t xml:space="preserve"> webpage and a tag function for the </w:t>
            </w:r>
            <w:hyperlink r:id="rId156" w:history="1">
              <w:r w:rsidRPr="00FA4573">
                <w:rPr>
                  <w:rStyle w:val="Hyperlink"/>
                  <w:sz w:val="22"/>
                </w:rPr>
                <w:t>ITU hub</w:t>
              </w:r>
            </w:hyperlink>
            <w:r w:rsidRPr="00FA4573">
              <w:rPr>
                <w:sz w:val="22"/>
              </w:rPr>
              <w:t>, so users can more easily find the reports/topics they need.</w:t>
            </w:r>
          </w:p>
          <w:p w14:paraId="19351DC2"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One of the tags should be able to filter Study Group products, to assist members searching for these.</w:t>
            </w:r>
          </w:p>
          <w:p w14:paraId="25C35A45"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Reduce the number of hyperlinks to reach Study Group products.</w:t>
            </w:r>
          </w:p>
          <w:p w14:paraId="526AC4C9"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From one of the ITU-D Study Groups webpages, you need to go through the following links to reach reports: </w:t>
            </w:r>
            <w:hyperlink r:id="rId157" w:history="1">
              <w:r w:rsidRPr="00FA4573">
                <w:rPr>
                  <w:rStyle w:val="Hyperlink"/>
                  <w:sz w:val="22"/>
                </w:rPr>
                <w:t>Study Groups</w:t>
              </w:r>
            </w:hyperlink>
            <w:r w:rsidRPr="00FA4573">
              <w:rPr>
                <w:sz w:val="22"/>
              </w:rPr>
              <w:t xml:space="preserve"> &gt; </w:t>
            </w:r>
            <w:hyperlink r:id="rId158" w:history="1">
              <w:r w:rsidRPr="00FA4573">
                <w:rPr>
                  <w:rStyle w:val="Hyperlink"/>
                  <w:sz w:val="22"/>
                </w:rPr>
                <w:t>Study Group publications</w:t>
              </w:r>
            </w:hyperlink>
            <w:r w:rsidRPr="00FA4573">
              <w:rPr>
                <w:sz w:val="22"/>
              </w:rPr>
              <w:t xml:space="preserve"> &gt; </w:t>
            </w:r>
            <w:hyperlink r:id="rId159" w:history="1">
              <w:r w:rsidRPr="00FA4573">
                <w:rPr>
                  <w:rStyle w:val="Hyperlink"/>
                  <w:sz w:val="22"/>
                </w:rPr>
                <w:t>SG1</w:t>
              </w:r>
            </w:hyperlink>
            <w:r w:rsidRPr="00FA4573">
              <w:rPr>
                <w:sz w:val="22"/>
              </w:rPr>
              <w:t xml:space="preserve"> &gt; </w:t>
            </w:r>
            <w:hyperlink r:id="rId160" w:history="1">
              <w:r w:rsidRPr="00FA4573">
                <w:rPr>
                  <w:rStyle w:val="Hyperlink"/>
                  <w:sz w:val="22"/>
                </w:rPr>
                <w:t>2021</w:t>
              </w:r>
            </w:hyperlink>
            <w:r w:rsidRPr="00FA4573">
              <w:rPr>
                <w:sz w:val="22"/>
              </w:rPr>
              <w:t xml:space="preserve"> &gt; </w:t>
            </w:r>
            <w:hyperlink r:id="rId161" w:history="1">
              <w:r w:rsidRPr="00FA4573">
                <w:rPr>
                  <w:rStyle w:val="Hyperlink"/>
                  <w:sz w:val="22"/>
                </w:rPr>
                <w:t>1/1 report</w:t>
              </w:r>
            </w:hyperlink>
          </w:p>
          <w:p w14:paraId="650C23F1"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rStyle w:val="Hyperlink"/>
                <w:sz w:val="22"/>
              </w:rPr>
            </w:pPr>
            <w:r w:rsidRPr="00FA4573">
              <w:rPr>
                <w:sz w:val="22"/>
              </w:rPr>
              <w:t xml:space="preserve">This could be simplified to: </w:t>
            </w:r>
            <w:hyperlink r:id="rId162" w:history="1">
              <w:r w:rsidRPr="00FA4573">
                <w:rPr>
                  <w:rStyle w:val="Hyperlink"/>
                  <w:sz w:val="22"/>
                </w:rPr>
                <w:t>Study Groups</w:t>
              </w:r>
            </w:hyperlink>
            <w:r w:rsidRPr="00FA4573">
              <w:rPr>
                <w:sz w:val="22"/>
              </w:rPr>
              <w:t xml:space="preserve"> &gt; </w:t>
            </w:r>
            <w:hyperlink r:id="rId163" w:history="1">
              <w:r w:rsidRPr="00FA4573">
                <w:rPr>
                  <w:rStyle w:val="Hyperlink"/>
                  <w:sz w:val="22"/>
                </w:rPr>
                <w:t>ITU-D publications</w:t>
              </w:r>
            </w:hyperlink>
            <w:r w:rsidRPr="00FA4573">
              <w:rPr>
                <w:sz w:val="22"/>
              </w:rPr>
              <w:t xml:space="preserve"> OR </w:t>
            </w:r>
            <w:hyperlink r:id="rId164" w:history="1">
              <w:r w:rsidRPr="00FA4573">
                <w:rPr>
                  <w:rStyle w:val="Hyperlink"/>
                  <w:sz w:val="22"/>
                </w:rPr>
                <w:t>ITU hub</w:t>
              </w:r>
            </w:hyperlink>
            <w:r w:rsidRPr="00FA4573">
              <w:rPr>
                <w:sz w:val="22"/>
              </w:rPr>
              <w:t xml:space="preserve"> &gt; user searches/filters by the Study Group tag &gt; </w:t>
            </w:r>
            <w:hyperlink r:id="rId165" w:history="1">
              <w:r w:rsidRPr="00FA4573">
                <w:rPr>
                  <w:rStyle w:val="Hyperlink"/>
                  <w:sz w:val="22"/>
                </w:rPr>
                <w:t>1/1 report</w:t>
              </w:r>
            </w:hyperlink>
          </w:p>
          <w:p w14:paraId="1DCBB4FC" w14:textId="77777777" w:rsidR="000B3E0D" w:rsidRPr="00FA4573" w:rsidDel="00C613C1"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All study group final and interim reports to be accessible/searchable by topic and not by study period.</w:t>
            </w:r>
          </w:p>
        </w:tc>
      </w:tr>
      <w:tr w:rsidR="000B3E0D" w:rsidRPr="00FA4573" w14:paraId="40B0159A" w14:textId="77777777" w:rsidTr="00B76C4C">
        <w:trPr>
          <w:trHeight w:val="679"/>
        </w:trPr>
        <w:tc>
          <w:tcPr>
            <w:cnfStyle w:val="001000000000" w:firstRow="0" w:lastRow="0" w:firstColumn="1" w:lastColumn="0" w:oddVBand="0" w:evenVBand="0" w:oddHBand="0" w:evenHBand="0" w:firstRowFirstColumn="0" w:firstRowLastColumn="0" w:lastRowFirstColumn="0" w:lastRowLastColumn="0"/>
            <w:tcW w:w="710" w:type="pct"/>
            <w:vMerge w:val="restart"/>
            <w:shd w:val="clear" w:color="auto" w:fill="C6D9F1" w:themeFill="text2" w:themeFillTint="33"/>
          </w:tcPr>
          <w:p w14:paraId="1350B3C5" w14:textId="77777777" w:rsidR="000B3E0D" w:rsidRPr="00FA4573" w:rsidRDefault="000B3E0D" w:rsidP="00B76C4C">
            <w:pPr>
              <w:spacing w:before="160"/>
              <w:rPr>
                <w:b w:val="0"/>
                <w:bCs w:val="0"/>
                <w:sz w:val="22"/>
              </w:rPr>
            </w:pPr>
            <w:r w:rsidRPr="00FA4573">
              <w:rPr>
                <w:sz w:val="22"/>
              </w:rPr>
              <w:t xml:space="preserve">Finding, mapping and sharing information in the Final Reports </w:t>
            </w:r>
          </w:p>
        </w:tc>
        <w:tc>
          <w:tcPr>
            <w:tcW w:w="1778" w:type="pct"/>
          </w:tcPr>
          <w:p w14:paraId="1A0D5566"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current length and number of topics covered in the Final Reports makes it difficult to find and use information easily.</w:t>
            </w:r>
          </w:p>
          <w:p w14:paraId="0C91F2D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Lack of precise items contributed to Questions - membership inputs can be too vague, resulting in broad and unspecific proposals which do not target specific Questions. </w:t>
            </w:r>
          </w:p>
          <w:p w14:paraId="561CD759"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can also make it difficult for editors to develop their reports.</w:t>
            </w:r>
          </w:p>
        </w:tc>
        <w:tc>
          <w:tcPr>
            <w:tcW w:w="2512" w:type="pct"/>
          </w:tcPr>
          <w:p w14:paraId="2B7E5D9B"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Rethink how the quadrennial Final Reports are developed. Instead of providing lengthy reports covering many subtopics, the Final Reports could comprise of short reports on specific topics (e.g. the length and format of the </w:t>
            </w:r>
            <w:hyperlink r:id="rId166" w:history="1">
              <w:r w:rsidRPr="00FA4573">
                <w:rPr>
                  <w:rStyle w:val="Hyperlink"/>
                  <w:sz w:val="22"/>
                </w:rPr>
                <w:t>Best practices being adopted on fit-for-purpose digital regulation tools for consumer protection</w:t>
              </w:r>
            </w:hyperlink>
            <w:r w:rsidRPr="00FA4573">
              <w:rPr>
                <w:sz w:val="22"/>
              </w:rPr>
              <w:t>).</w:t>
            </w:r>
          </w:p>
          <w:p w14:paraId="29D9C8D8"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new approach to developing the Final Reports could be undertaken through the following steps:</w:t>
            </w:r>
          </w:p>
          <w:p w14:paraId="22FACF87" w14:textId="77777777" w:rsidR="000B3E0D" w:rsidRPr="00FA4573" w:rsidRDefault="000B3E0D" w:rsidP="00B76C4C">
            <w:pPr>
              <w:pStyle w:val="ListParagraph"/>
              <w:spacing w:before="160" w:after="40"/>
              <w:ind w:left="360" w:hanging="360"/>
              <w:contextualSpacing w:val="0"/>
              <w:cnfStyle w:val="000000000000" w:firstRow="0" w:lastRow="0" w:firstColumn="0" w:lastColumn="0" w:oddVBand="0" w:evenVBand="0" w:oddHBand="0" w:evenHBand="0" w:firstRowFirstColumn="0" w:firstRowLastColumn="0" w:lastRowFirstColumn="0" w:lastRowLastColumn="0"/>
              <w:rPr>
                <w:sz w:val="22"/>
              </w:rPr>
            </w:pPr>
          </w:p>
          <w:p w14:paraId="0AF82558" w14:textId="77777777" w:rsidR="000B3E0D" w:rsidRPr="00FA4573" w:rsidRDefault="000B3E0D" w:rsidP="000B3E0D">
            <w:pPr>
              <w:pStyle w:val="PlainText"/>
              <w:numPr>
                <w:ilvl w:val="0"/>
                <w:numId w:val="21"/>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Questions select specific topics to deliver 3-4 interim deliverable reports on, based on their Terms of Reference and mapped to the WTDC Action Plan/ITU-D Operational Plan and its KPIs.</w:t>
            </w:r>
          </w:p>
          <w:p w14:paraId="6CBD5664"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E.g. An interim deliverable report on best practices to improve access to digital services in remote communities would support the ITU-D Priority “Affordable Connectivity” (</w:t>
            </w:r>
            <w:r w:rsidRPr="00FA4573">
              <w:rPr>
                <w:i/>
                <w:sz w:val="22"/>
              </w:rPr>
              <w:t>KPI: Improved access to digital services by people in urban, rural and remote areas and underserved communities</w:t>
            </w:r>
            <w:r w:rsidRPr="00FA4573">
              <w:rPr>
                <w:sz w:val="22"/>
              </w:rPr>
              <w:t xml:space="preserve">) from the Kigali Action Plan. </w:t>
            </w:r>
          </w:p>
          <w:p w14:paraId="36A827B9" w14:textId="77777777" w:rsidR="000B3E0D" w:rsidRPr="00FA4573" w:rsidRDefault="000B3E0D" w:rsidP="00B76C4C">
            <w:pPr>
              <w:pStyle w:val="PlainText"/>
              <w:cnfStyle w:val="000000000000" w:firstRow="0" w:lastRow="0" w:firstColumn="0" w:lastColumn="0" w:oddVBand="0" w:evenVBand="0" w:oddHBand="0" w:evenHBand="0" w:firstRowFirstColumn="0" w:firstRowLastColumn="0" w:lastRowFirstColumn="0" w:lastRowLastColumn="0"/>
              <w:rPr>
                <w:szCs w:val="22"/>
              </w:rPr>
            </w:pPr>
          </w:p>
          <w:p w14:paraId="6C08C589" w14:textId="77777777" w:rsidR="000B3E0D" w:rsidRPr="00FA4573" w:rsidRDefault="000B3E0D" w:rsidP="000B3E0D">
            <w:pPr>
              <w:pStyle w:val="PlainText"/>
              <w:numPr>
                <w:ilvl w:val="0"/>
                <w:numId w:val="21"/>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 meetings address these specific topics, encouraging inputs and running workshops that specifically support the development of interim deliverable reports on these topics.</w:t>
            </w:r>
          </w:p>
          <w:p w14:paraId="278F171A" w14:textId="77777777" w:rsidR="000B3E0D" w:rsidRPr="00FA4573" w:rsidRDefault="000B3E0D" w:rsidP="00B76C4C">
            <w:pPr>
              <w:pStyle w:val="PlainText"/>
              <w:cnfStyle w:val="000000000000" w:firstRow="0" w:lastRow="0" w:firstColumn="0" w:lastColumn="0" w:oddVBand="0" w:evenVBand="0" w:oddHBand="0" w:evenHBand="0" w:firstRowFirstColumn="0" w:firstRowLastColumn="0" w:lastRowFirstColumn="0" w:lastRowLastColumn="0"/>
              <w:rPr>
                <w:szCs w:val="22"/>
              </w:rPr>
            </w:pPr>
          </w:p>
          <w:p w14:paraId="3775FD83" w14:textId="6D1FC4CD" w:rsidR="000B3E0D" w:rsidRPr="00FA4573" w:rsidRDefault="000B3E0D" w:rsidP="000B3E0D">
            <w:pPr>
              <w:pStyle w:val="PlainText"/>
              <w:numPr>
                <w:ilvl w:val="0"/>
                <w:numId w:val="21"/>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Following this method, 3-4 interim deliverable reports are delivered throughout the study cycle, and are the focus of the Study Group team</w:t>
            </w:r>
            <w:r w:rsidR="0089542D">
              <w:rPr>
                <w:szCs w:val="22"/>
              </w:rPr>
              <w:t>s'</w:t>
            </w:r>
            <w:r w:rsidRPr="00FA4573">
              <w:rPr>
                <w:szCs w:val="22"/>
              </w:rPr>
              <w:t xml:space="preserve"> efforts.</w:t>
            </w:r>
          </w:p>
          <w:p w14:paraId="448B65DA" w14:textId="77777777" w:rsidR="000B3E0D" w:rsidRPr="00FA4573" w:rsidRDefault="000B3E0D" w:rsidP="00B76C4C">
            <w:pPr>
              <w:pStyle w:val="PlainText"/>
              <w:cnfStyle w:val="000000000000" w:firstRow="0" w:lastRow="0" w:firstColumn="0" w:lastColumn="0" w:oddVBand="0" w:evenVBand="0" w:oddHBand="0" w:evenHBand="0" w:firstRowFirstColumn="0" w:firstRowLastColumn="0" w:lastRowFirstColumn="0" w:lastRowLastColumn="0"/>
              <w:rPr>
                <w:szCs w:val="22"/>
              </w:rPr>
            </w:pPr>
          </w:p>
          <w:p w14:paraId="32CF3F2D" w14:textId="77777777" w:rsidR="000B3E0D" w:rsidRPr="00FA4573" w:rsidRDefault="000B3E0D" w:rsidP="000B3E0D">
            <w:pPr>
              <w:pStyle w:val="PlainText"/>
              <w:numPr>
                <w:ilvl w:val="0"/>
                <w:numId w:val="21"/>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These 3-4 interim deliverable reports from each Study Question would be the content of the quadrennial Final Reports presented at WTDC.</w:t>
            </w:r>
          </w:p>
          <w:p w14:paraId="53B7792A"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Following this method of focusing on interim deliverable reports, Study Group outputs would be easier to catalogue on the ITU website and disseminate to target audiences, because their subject matter would be clear and concise. </w:t>
            </w:r>
          </w:p>
        </w:tc>
      </w:tr>
      <w:tr w:rsidR="000B3E0D" w:rsidRPr="00FA4573" w14:paraId="2EF73ED2" w14:textId="77777777" w:rsidTr="00B76C4C">
        <w:trPr>
          <w:trHeight w:val="1035"/>
        </w:trPr>
        <w:tc>
          <w:tcPr>
            <w:cnfStyle w:val="001000000000" w:firstRow="0" w:lastRow="0" w:firstColumn="1" w:lastColumn="0" w:oddVBand="0" w:evenVBand="0" w:oddHBand="0" w:evenHBand="0" w:firstRowFirstColumn="0" w:firstRowLastColumn="0" w:lastRowFirstColumn="0" w:lastRowLastColumn="0"/>
            <w:tcW w:w="710" w:type="pct"/>
            <w:vMerge/>
            <w:shd w:val="clear" w:color="auto" w:fill="C6D9F1" w:themeFill="text2" w:themeFillTint="33"/>
          </w:tcPr>
          <w:p w14:paraId="3E398A84" w14:textId="77777777" w:rsidR="000B3E0D" w:rsidRPr="00FA4573" w:rsidRDefault="000B3E0D" w:rsidP="00B76C4C">
            <w:pPr>
              <w:spacing w:before="160"/>
              <w:rPr>
                <w:sz w:val="22"/>
              </w:rPr>
            </w:pPr>
          </w:p>
        </w:tc>
        <w:tc>
          <w:tcPr>
            <w:tcW w:w="1778" w:type="pct"/>
          </w:tcPr>
          <w:p w14:paraId="4083AE1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Poor dissemination and lack of visibility of products.</w:t>
            </w:r>
          </w:p>
          <w:p w14:paraId="16B979ED" w14:textId="77777777" w:rsidR="000B3E0D" w:rsidRPr="00FA4573" w:rsidRDefault="000B3E0D" w:rsidP="000B3E0D">
            <w:pPr>
              <w:pStyle w:val="ListParagraph"/>
              <w:numPr>
                <w:ilvl w:val="0"/>
                <w:numId w:val="18"/>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 xml:space="preserve">Products need to be shared more with different stakeholders in the ecosystem. </w:t>
            </w:r>
          </w:p>
          <w:p w14:paraId="648731F7" w14:textId="77777777" w:rsidR="000B3E0D" w:rsidRPr="00FA4573" w:rsidRDefault="000B3E0D" w:rsidP="000B3E0D">
            <w:pPr>
              <w:pStyle w:val="ListParagraph"/>
              <w:numPr>
                <w:ilvl w:val="0"/>
                <w:numId w:val="18"/>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Unclear who the target audience is for products.</w:t>
            </w:r>
          </w:p>
        </w:tc>
        <w:tc>
          <w:tcPr>
            <w:tcW w:w="2512" w:type="pct"/>
          </w:tcPr>
          <w:p w14:paraId="3194CBC4"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aforementioned reporting approach (3-4 shorter interim deliverable reports per study cycle) would make it easier for Members and ITU staff to share reports with interested parties because the report topics would be more precise.</w:t>
            </w:r>
          </w:p>
          <w:p w14:paraId="3459DB6C"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Interim deliverable reports and their findings could be shared and discussed at relevant panels/workshops at ITU summits, symposiums, regional development forums, etc., as well as relevant events of other organisations (e.g. at forums of Regional Telecommunications Organisations).</w:t>
            </w:r>
          </w:p>
          <w:p w14:paraId="76438111"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could include sharing partial or final outcomes in relevant ITU events where applicable, such as GSR workshops and panels, and at Regional activities and events where applicable.</w:t>
            </w:r>
          </w:p>
          <w:p w14:paraId="16BB6A48"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Suggest not creating new, standalone workshops, as these would likely attract the usual Study Group participants, rather than a broader audience that attends other ITU summits/events.</w:t>
            </w:r>
          </w:p>
          <w:p w14:paraId="2EE8FE6F" w14:textId="77777777" w:rsidR="000B3E0D" w:rsidRPr="00FA4573" w:rsidRDefault="000B3E0D" w:rsidP="000B3E0D">
            <w:pPr>
              <w:pStyle w:val="ListParagraph"/>
              <w:numPr>
                <w:ilvl w:val="0"/>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To encourage engagement from a broader target audience, consider that workshop reports</w:t>
            </w:r>
            <w:r w:rsidRPr="00FA4573">
              <w:rPr>
                <w:rFonts w:hint="eastAsia"/>
                <w:sz w:val="22"/>
              </w:rPr>
              <w:t xml:space="preserve"> should be open to non ITU members.</w:t>
            </w:r>
          </w:p>
          <w:p w14:paraId="3B75BD98" w14:textId="77777777" w:rsidR="000B3E0D" w:rsidRPr="00FA4573" w:rsidRDefault="000B3E0D" w:rsidP="000B3E0D">
            <w:pPr>
              <w:pStyle w:val="ListParagraph"/>
              <w:numPr>
                <w:ilvl w:val="0"/>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Study Group Question ToRs could be enhanced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be presented to the relevant CWG annually.</w:t>
            </w:r>
          </w:p>
        </w:tc>
      </w:tr>
      <w:tr w:rsidR="000B3E0D" w:rsidRPr="00FA4573" w14:paraId="32909960" w14:textId="77777777" w:rsidTr="00B76C4C">
        <w:trPr>
          <w:trHeight w:val="103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5E31C685" w14:textId="77777777" w:rsidR="000B3E0D" w:rsidRPr="00FA4573" w:rsidRDefault="000B3E0D" w:rsidP="00B76C4C">
            <w:pPr>
              <w:spacing w:before="160"/>
              <w:rPr>
                <w:sz w:val="22"/>
              </w:rPr>
            </w:pPr>
            <w:r w:rsidRPr="00FA4573">
              <w:rPr>
                <w:rFonts w:hint="eastAsia"/>
                <w:sz w:val="22"/>
              </w:rPr>
              <w:t>Improving Quality of the Final Reports</w:t>
            </w:r>
          </w:p>
        </w:tc>
        <w:tc>
          <w:tcPr>
            <w:tcW w:w="1778" w:type="pct"/>
          </w:tcPr>
          <w:p w14:paraId="3699BA0D"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clarity on contribution/input requirements to Study Group discussions.</w:t>
            </w:r>
          </w:p>
          <w:p w14:paraId="4283677A"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expertise to provide input to Study Group discussions where products are developed.</w:t>
            </w:r>
          </w:p>
          <w:p w14:paraId="46259C98"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Difficult to attract new participants/experts.</w:t>
            </w:r>
          </w:p>
        </w:tc>
        <w:tc>
          <w:tcPr>
            <w:tcW w:w="2512" w:type="pct"/>
          </w:tcPr>
          <w:p w14:paraId="2BF554ED"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An optional section could be added to the ITU-D Study Group contribution template for contributors to identify the relevant chapter or topic in the question.</w:t>
            </w:r>
          </w:p>
          <w:p w14:paraId="7DC7DC8A"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aforementioned reporting approach (3-4 shorter interim deliverable reports per study cycle) would assist with encouraging more concise contributions and attract specific expertise.</w:t>
            </w:r>
          </w:p>
          <w:p w14:paraId="77648F2B"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Meeting invitation letters could include a list of these interim deliverable topics for each Question, and encourage focused contributions to the Study Group meetings that support each interim deliverable.</w:t>
            </w:r>
          </w:p>
          <w:p w14:paraId="67D55A55"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would encourage engagement from relevant experts in the Study Groups, because the topic of discussion/for contribution would be clearly specified and understood.</w:t>
            </w:r>
          </w:p>
          <w:p w14:paraId="7EF75680"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Contributors can easily access to draft reports, which are on-going work in Questions, and can search topics to find </w:t>
            </w:r>
            <w:r w:rsidRPr="00FA4573">
              <w:rPr>
                <w:sz w:val="22"/>
              </w:rPr>
              <w:t>appropriate</w:t>
            </w:r>
            <w:r w:rsidRPr="00FA4573">
              <w:rPr>
                <w:rFonts w:hint="eastAsia"/>
                <w:sz w:val="22"/>
              </w:rPr>
              <w:t xml:space="preserve"> target draft for contributions.</w:t>
            </w:r>
          </w:p>
          <w:p w14:paraId="71BE74B8"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If possible, mentors who can help contributors to improve quality of contributions might be allocated in each </w:t>
            </w:r>
            <w:r w:rsidRPr="00FA4573">
              <w:rPr>
                <w:sz w:val="22"/>
              </w:rPr>
              <w:t>Region</w:t>
            </w:r>
            <w:r w:rsidRPr="00FA4573">
              <w:rPr>
                <w:rFonts w:hint="eastAsia"/>
                <w:sz w:val="22"/>
              </w:rPr>
              <w:t xml:space="preserve"> or in each SG or each topic.</w:t>
            </w:r>
          </w:p>
        </w:tc>
      </w:tr>
      <w:tr w:rsidR="000B3E0D" w:rsidRPr="00FA4573" w14:paraId="0E44B349" w14:textId="77777777" w:rsidTr="00B76C4C">
        <w:trPr>
          <w:trHeight w:val="67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7058CC51" w14:textId="77777777" w:rsidR="000B3E0D" w:rsidRPr="00FA4573" w:rsidRDefault="000B3E0D" w:rsidP="00B76C4C">
            <w:pPr>
              <w:spacing w:before="160"/>
              <w:rPr>
                <w:sz w:val="22"/>
              </w:rPr>
            </w:pPr>
            <w:r w:rsidRPr="00FA4573">
              <w:rPr>
                <w:sz w:val="22"/>
              </w:rPr>
              <w:t>Encouraging wider participation in ITU-D Study Groups to better develop and disseminate products</w:t>
            </w:r>
          </w:p>
        </w:tc>
        <w:tc>
          <w:tcPr>
            <w:tcW w:w="1778" w:type="pct"/>
          </w:tcPr>
          <w:p w14:paraId="19A33477"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Study Group processes are unclear for newcomers (including participation and development of outputs).</w:t>
            </w:r>
          </w:p>
          <w:p w14:paraId="25208895"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Hard to attract expertise, including academia.</w:t>
            </w:r>
          </w:p>
          <w:p w14:paraId="6C247D5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women, youth and persons with disabilities participating in Study Group work and the development of products.</w:t>
            </w:r>
          </w:p>
        </w:tc>
        <w:tc>
          <w:tcPr>
            <w:tcW w:w="2512" w:type="pct"/>
          </w:tcPr>
          <w:p w14:paraId="4EE8675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Make information for newcomers more prominent on the ITU-D Study Group webpages and included in invitation and circular letters</w:t>
            </w:r>
          </w:p>
          <w:p w14:paraId="44D04EA4"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Note that a “</w:t>
            </w:r>
            <w:hyperlink r:id="rId167" w:history="1">
              <w:r w:rsidRPr="00FA4573">
                <w:rPr>
                  <w:rStyle w:val="Hyperlink"/>
                  <w:sz w:val="22"/>
                </w:rPr>
                <w:t>briefing for delegates</w:t>
              </w:r>
            </w:hyperlink>
            <w:r w:rsidRPr="00FA4573">
              <w:rPr>
                <w:sz w:val="22"/>
              </w:rPr>
              <w:t xml:space="preserve">” is available on the </w:t>
            </w:r>
            <w:hyperlink r:id="rId168" w:history="1">
              <w:r w:rsidRPr="00FA4573">
                <w:rPr>
                  <w:rStyle w:val="Hyperlink"/>
                  <w:sz w:val="22"/>
                </w:rPr>
                <w:t>Study Groups</w:t>
              </w:r>
            </w:hyperlink>
            <w:r w:rsidRPr="00FA4573">
              <w:rPr>
                <w:rStyle w:val="Hyperlink"/>
                <w:sz w:val="22"/>
              </w:rPr>
              <w:t xml:space="preserve"> </w:t>
            </w:r>
            <w:r w:rsidRPr="00FA4573">
              <w:rPr>
                <w:sz w:val="22"/>
              </w:rPr>
              <w:t xml:space="preserve">webpage, but not the </w:t>
            </w:r>
            <w:hyperlink r:id="rId169" w:history="1">
              <w:r w:rsidRPr="00FA4573">
                <w:rPr>
                  <w:rStyle w:val="Hyperlink"/>
                  <w:sz w:val="22"/>
                </w:rPr>
                <w:t>ITU-D</w:t>
              </w:r>
            </w:hyperlink>
            <w:r w:rsidRPr="00FA4573">
              <w:rPr>
                <w:rStyle w:val="Hyperlink"/>
                <w:sz w:val="22"/>
              </w:rPr>
              <w:t xml:space="preserve"> Study Groups</w:t>
            </w:r>
            <w:r w:rsidRPr="00FA4573">
              <w:rPr>
                <w:sz w:val="22"/>
              </w:rPr>
              <w:t xml:space="preserve"> Study Groups webpage</w:t>
            </w:r>
            <w:r w:rsidRPr="00FA4573">
              <w:rPr>
                <w:rFonts w:hint="eastAsia"/>
                <w:sz w:val="22"/>
              </w:rPr>
              <w:t>.</w:t>
            </w:r>
          </w:p>
          <w:p w14:paraId="0665B69C"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aforementioned reporting approach (3-4 shorter interim deliverable reports per study cycle) would also simplify engagement in Study Groups for newcomers, as a four-year cycle can be difficult to commit to. </w:t>
            </w:r>
          </w:p>
          <w:p w14:paraId="071B27A9"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approach would allow experts to prioritise engagement on specific topics/reports of interest.</w:t>
            </w:r>
          </w:p>
          <w:p w14:paraId="37CD3F95"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Focusing on the shorter interim deliverable reports may also appeal more to experts/new participants, as a product would be developed in a shorter timeframe.</w:t>
            </w:r>
          </w:p>
          <w:p w14:paraId="580D1204"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Continue encouraging Members to include women, youth and persons with disabilities in their delegations to ITU-D Study Groups. </w:t>
            </w:r>
          </w:p>
          <w:p w14:paraId="087909F5"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Update ITU webpages to have audio index/text to speech capabilities for people who are blind/visually impaired.</w:t>
            </w:r>
          </w:p>
          <w:p w14:paraId="267FC210" w14:textId="58324D52"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BDT focal points and other BDT staff in BDT HQ divisions</w:t>
            </w:r>
            <w:r w:rsidRPr="00FA4573" w:rsidDel="00625599">
              <w:rPr>
                <w:sz w:val="22"/>
              </w:rPr>
              <w:t xml:space="preserve"> </w:t>
            </w:r>
            <w:r w:rsidRPr="00FA4573">
              <w:rPr>
                <w:sz w:val="22"/>
              </w:rPr>
              <w:t>to consult with UN Women, ITU Generation Connect, ITU Secretary-Genera</w:t>
            </w:r>
            <w:r w:rsidR="0089542D">
              <w:rPr>
                <w:sz w:val="22"/>
              </w:rPr>
              <w:t>l'</w:t>
            </w:r>
            <w:r w:rsidRPr="00FA4573">
              <w:rPr>
                <w:sz w:val="22"/>
              </w:rPr>
              <w:t>s Youth Advisory Board, and disability organisations (e.g. International Disability Alliance). BDT should share the work of the Study Groups of interest to these groups and seek feedback on how to better engage these organisations/stakeholders in the work of the Study Groups.</w:t>
            </w:r>
          </w:p>
        </w:tc>
      </w:tr>
      <w:tr w:rsidR="000B3E0D" w:rsidRPr="00FA4573" w14:paraId="17BFF902" w14:textId="77777777" w:rsidTr="00B76C4C">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7C9EB854" w14:textId="77777777" w:rsidR="000B3E0D" w:rsidRPr="00FA4573" w:rsidRDefault="000B3E0D" w:rsidP="00B76C4C">
            <w:pPr>
              <w:spacing w:before="160"/>
              <w:rPr>
                <w:sz w:val="22"/>
              </w:rPr>
            </w:pPr>
            <w:r w:rsidRPr="00FA4573">
              <w:rPr>
                <w:sz w:val="22"/>
              </w:rPr>
              <w:t>Support to Members to implement products</w:t>
            </w:r>
          </w:p>
        </w:tc>
        <w:tc>
          <w:tcPr>
            <w:tcW w:w="1778" w:type="pct"/>
          </w:tcPr>
          <w:p w14:paraId="70127349"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Implementation of the products, particularly best practices/guidelines.</w:t>
            </w:r>
          </w:p>
          <w:p w14:paraId="0EDDB2A1"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Funding for developing countries.</w:t>
            </w:r>
          </w:p>
        </w:tc>
        <w:tc>
          <w:tcPr>
            <w:tcW w:w="2512" w:type="pct"/>
          </w:tcPr>
          <w:p w14:paraId="6A1A8EBF"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ITU Regional/Area Offices to share Study Group products, including at relevant ITU summits, symposiums, and development forums.</w:t>
            </w:r>
          </w:p>
          <w:p w14:paraId="17E32170"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Relevant products (e.g. the </w:t>
            </w:r>
            <w:hyperlink r:id="rId170" w:history="1">
              <w:r w:rsidRPr="00FA4573">
                <w:rPr>
                  <w:rStyle w:val="Hyperlink"/>
                  <w:sz w:val="22"/>
                </w:rPr>
                <w:t>Best practices being adopted on fit-for-purpose digital regulation tools for consumer protection</w:t>
              </w:r>
            </w:hyperlink>
            <w:r w:rsidRPr="00FA4573">
              <w:rPr>
                <w:sz w:val="22"/>
              </w:rPr>
              <w:t>) should include contact details for the Regional Offices on the last page for Members to reach out to if they are interested in ITU development assistance on the topic discussed.</w:t>
            </w:r>
          </w:p>
          <w:p w14:paraId="7F867650"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Development assistance would be discussed under the scope of ITU’s development projects.</w:t>
            </w:r>
          </w:p>
          <w:p w14:paraId="6475D6D8" w14:textId="77777777" w:rsidR="000B3E0D" w:rsidRPr="00FA4573" w:rsidRDefault="000B3E0D" w:rsidP="000B3E0D">
            <w:pPr>
              <w:pStyle w:val="ListParagraph"/>
              <w:numPr>
                <w:ilvl w:val="1"/>
                <w:numId w:val="22"/>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ITU Regional Offices can organise dialogues/workshops based on the topics of the report at Regional Development Forums, at the request of members.  </w:t>
            </w:r>
          </w:p>
        </w:tc>
      </w:tr>
      <w:tr w:rsidR="000B3E0D" w:rsidRPr="00FA4573" w14:paraId="0824777B" w14:textId="77777777" w:rsidTr="00B76C4C">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3AC081B7" w14:textId="77777777" w:rsidR="000B3E0D" w:rsidRPr="00FA4573" w:rsidRDefault="000B3E0D" w:rsidP="00B76C4C">
            <w:pPr>
              <w:spacing w:before="160"/>
              <w:rPr>
                <w:sz w:val="22"/>
              </w:rPr>
            </w:pPr>
            <w:r w:rsidRPr="00FA4573">
              <w:rPr>
                <w:sz w:val="22"/>
              </w:rPr>
              <w:t xml:space="preserve">ITU-D members active in Study Groups as ambassadors to promote (awareness and use) of ITU-D study group products  </w:t>
            </w:r>
          </w:p>
        </w:tc>
        <w:tc>
          <w:tcPr>
            <w:tcW w:w="1778" w:type="pct"/>
          </w:tcPr>
          <w:p w14:paraId="063D27F8"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study group products may be benefit other stakeholders in Government, Non-Government organisations, SMEs, private sector and academia who are not members of ITU-D because their core focus is not ICTS – e.g. Ministry of education, Consumer protection NGO, NGO of SMEs, Chamber of Commerce etc  </w:t>
            </w:r>
          </w:p>
        </w:tc>
        <w:tc>
          <w:tcPr>
            <w:tcW w:w="2512" w:type="pct"/>
          </w:tcPr>
          <w:p w14:paraId="73330A71" w14:textId="77777777" w:rsidR="000B3E0D" w:rsidRPr="00FA4573" w:rsidRDefault="000B3E0D" w:rsidP="000B3E0D">
            <w:pPr>
              <w:pStyle w:val="ListParagraph"/>
              <w:numPr>
                <w:ilvl w:val="0"/>
                <w:numId w:val="18"/>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All active members in Study Groups to identify opportunities in their organisation level network to inform of the study group products. </w:t>
            </w:r>
          </w:p>
        </w:tc>
      </w:tr>
    </w:tbl>
    <w:p w14:paraId="7A0868D8" w14:textId="77777777" w:rsidR="000B3E0D" w:rsidRPr="00FA4573" w:rsidRDefault="000B3E0D" w:rsidP="000B3E0D">
      <w:pPr>
        <w:rPr>
          <w:b/>
          <w:bCs/>
        </w:rPr>
      </w:pPr>
      <w:r w:rsidRPr="00FA4573">
        <w:rPr>
          <w:b/>
          <w:bCs/>
        </w:rPr>
        <w:t xml:space="preserve">Existing information referred to </w:t>
      </w:r>
    </w:p>
    <w:p w14:paraId="2FAB2B65" w14:textId="77777777" w:rsidR="000B3E0D" w:rsidRPr="00FA4573" w:rsidRDefault="000B3E0D" w:rsidP="000B3E0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Responses of SG1 rapporteurs and vice Chairs received in October 2024 on the question: </w:t>
      </w:r>
      <w:r w:rsidRPr="00FA4573">
        <w:t>How do we ensure better use of ITU-D Study Groups outputs?</w:t>
      </w:r>
    </w:p>
    <w:p w14:paraId="54AC7E28" w14:textId="77777777" w:rsidR="000B3E0D" w:rsidRPr="00FA4573" w:rsidRDefault="000B3E0D" w:rsidP="000B3E0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October 2023 Joint SG1 and SG2 management team meeting </w:t>
      </w:r>
    </w:p>
    <w:p w14:paraId="7870B4C5" w14:textId="77777777" w:rsidR="000B3E0D" w:rsidRPr="00FA4573" w:rsidRDefault="000B3E0D" w:rsidP="000B3E0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t>ITU-D Study Group 1 public hybrid workshops facilitated by BDT Innovation service on 8 and 10 May 2023 (annex to SG1 Chair’s report to TDAG 2023)</w:t>
      </w:r>
      <w:r w:rsidRPr="00FA4573">
        <w:br w:type="page"/>
      </w:r>
    </w:p>
    <w:p w14:paraId="16D3ED85" w14:textId="77777777" w:rsidR="000B3E0D" w:rsidRPr="00FA4573" w:rsidRDefault="000B3E0D" w:rsidP="000B3E0D">
      <w:pPr>
        <w:pStyle w:val="Heading1"/>
        <w:tabs>
          <w:tab w:val="left" w:pos="993"/>
        </w:tabs>
        <w:spacing w:after="120"/>
        <w:ind w:left="993" w:hanging="993"/>
      </w:pPr>
      <w:bookmarkStart w:id="11" w:name="_Ref194915035"/>
      <w:r w:rsidRPr="00FA4573">
        <w:rPr>
          <w:rFonts w:eastAsia="Malgun Gothic" w:hint="eastAsia"/>
          <w:lang w:eastAsia="ko-KR"/>
        </w:rPr>
        <w:t xml:space="preserve">Annex 6: </w:t>
      </w:r>
      <w:r w:rsidRPr="00FA4573">
        <w:rPr>
          <w:rFonts w:eastAsia="Malgun Gothic"/>
          <w:lang w:eastAsia="ko-KR"/>
        </w:rPr>
        <w:tab/>
      </w:r>
      <w:r w:rsidRPr="00FA4573">
        <w:t>Mapping table with possible topics of interest and related developing countries needs in the work of WTDC Resolution 9 (Rev. Kigali, 2022)</w:t>
      </w:r>
      <w:bookmarkEnd w:id="11"/>
    </w:p>
    <w:tbl>
      <w:tblPr>
        <w:tblStyle w:val="TableGrid"/>
        <w:tblW w:w="14454" w:type="dxa"/>
        <w:jc w:val="center"/>
        <w:tblLayout w:type="fixed"/>
        <w:tblLook w:val="04A0" w:firstRow="1" w:lastRow="0" w:firstColumn="1" w:lastColumn="0" w:noHBand="0" w:noVBand="1"/>
      </w:tblPr>
      <w:tblGrid>
        <w:gridCol w:w="1129"/>
        <w:gridCol w:w="2127"/>
        <w:gridCol w:w="1559"/>
        <w:gridCol w:w="1559"/>
        <w:gridCol w:w="1276"/>
        <w:gridCol w:w="3260"/>
        <w:gridCol w:w="3544"/>
      </w:tblGrid>
      <w:tr w:rsidR="000B3E0D" w:rsidRPr="00FA4573" w14:paraId="38C4BE62" w14:textId="77777777" w:rsidTr="00B76C4C">
        <w:trPr>
          <w:trHeight w:val="738"/>
          <w:tblHeader/>
          <w:jc w:val="center"/>
        </w:trPr>
        <w:tc>
          <w:tcPr>
            <w:tcW w:w="1129" w:type="dxa"/>
          </w:tcPr>
          <w:p w14:paraId="5B4BB5D8"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rPr>
              <w:t>ITU-D Question</w:t>
            </w:r>
          </w:p>
        </w:tc>
        <w:tc>
          <w:tcPr>
            <w:tcW w:w="2127" w:type="dxa"/>
          </w:tcPr>
          <w:p w14:paraId="028C17F5"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rPr>
              <w:t>Title</w:t>
            </w:r>
          </w:p>
        </w:tc>
        <w:tc>
          <w:tcPr>
            <w:tcW w:w="1559" w:type="dxa"/>
          </w:tcPr>
          <w:p w14:paraId="537FC87A"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rPr>
              <w:t>Source</w:t>
            </w:r>
          </w:p>
        </w:tc>
        <w:tc>
          <w:tcPr>
            <w:tcW w:w="1559" w:type="dxa"/>
          </w:tcPr>
          <w:p w14:paraId="683ACC2F"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rPr>
              <w:t>Contribution</w:t>
            </w:r>
          </w:p>
        </w:tc>
        <w:tc>
          <w:tcPr>
            <w:tcW w:w="1276" w:type="dxa"/>
          </w:tcPr>
          <w:p w14:paraId="32B80C14"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lang w:eastAsia="ko-KR"/>
              </w:rPr>
              <w:t>T</w:t>
            </w:r>
            <w:r w:rsidRPr="00FA4573">
              <w:rPr>
                <w:rFonts w:ascii="Calibri" w:hAnsi="Calibri" w:cs="Calibri"/>
                <w:b/>
                <w:bCs/>
                <w:sz w:val="22"/>
                <w:szCs w:val="22"/>
              </w:rPr>
              <w:t>ype of assistance</w:t>
            </w:r>
          </w:p>
        </w:tc>
        <w:tc>
          <w:tcPr>
            <w:tcW w:w="3260" w:type="dxa"/>
          </w:tcPr>
          <w:p w14:paraId="59B42F69" w14:textId="77777777" w:rsidR="000B3E0D" w:rsidRPr="00FA4573" w:rsidRDefault="000B3E0D" w:rsidP="00B76C4C">
            <w:pPr>
              <w:jc w:val="center"/>
              <w:rPr>
                <w:rFonts w:ascii="Calibri" w:hAnsi="Calibri" w:cs="Calibri"/>
                <w:b/>
                <w:bCs/>
                <w:sz w:val="22"/>
                <w:szCs w:val="22"/>
              </w:rPr>
            </w:pPr>
            <w:r w:rsidRPr="00FA4573">
              <w:rPr>
                <w:rFonts w:ascii="Calibri" w:hAnsi="Calibri" w:cs="Calibri"/>
                <w:b/>
                <w:bCs/>
                <w:sz w:val="22"/>
                <w:szCs w:val="22"/>
                <w:lang w:eastAsia="ko-KR"/>
              </w:rPr>
              <w:t>Reason for mapping</w:t>
            </w:r>
          </w:p>
        </w:tc>
        <w:tc>
          <w:tcPr>
            <w:tcW w:w="3544" w:type="dxa"/>
          </w:tcPr>
          <w:p w14:paraId="708BA84E" w14:textId="77777777" w:rsidR="000B3E0D" w:rsidRPr="00FA4573" w:rsidRDefault="000B3E0D" w:rsidP="00B76C4C">
            <w:pPr>
              <w:jc w:val="center"/>
              <w:rPr>
                <w:rFonts w:ascii="Calibri" w:hAnsi="Calibri" w:cs="Calibri"/>
                <w:b/>
                <w:bCs/>
                <w:sz w:val="22"/>
                <w:szCs w:val="22"/>
                <w:lang w:eastAsia="ko-KR"/>
              </w:rPr>
            </w:pPr>
            <w:r w:rsidRPr="00FA4573">
              <w:rPr>
                <w:rFonts w:ascii="Calibri" w:hAnsi="Calibri" w:cs="Calibri"/>
                <w:b/>
                <w:bCs/>
                <w:sz w:val="22"/>
                <w:szCs w:val="22"/>
                <w:lang w:eastAsia="ko-KR"/>
              </w:rPr>
              <w:t>Relevant quotes from the document</w:t>
            </w:r>
          </w:p>
        </w:tc>
      </w:tr>
      <w:tr w:rsidR="000B3E0D" w:rsidRPr="00FA4573" w14:paraId="21183E21" w14:textId="77777777" w:rsidTr="00B76C4C">
        <w:trPr>
          <w:trHeight w:val="2587"/>
          <w:jc w:val="center"/>
        </w:trPr>
        <w:tc>
          <w:tcPr>
            <w:tcW w:w="1129" w:type="dxa"/>
          </w:tcPr>
          <w:p w14:paraId="6EC88DCA"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Q1/2, Q3/2, Q4/2, Q5/2</w:t>
            </w:r>
          </w:p>
        </w:tc>
        <w:tc>
          <w:tcPr>
            <w:tcW w:w="2127" w:type="dxa"/>
          </w:tcPr>
          <w:p w14:paraId="1EF47692"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Egypt capacity building centre for African countries (EG-ATRC)</w:t>
            </w:r>
          </w:p>
        </w:tc>
        <w:tc>
          <w:tcPr>
            <w:tcW w:w="1559" w:type="dxa"/>
          </w:tcPr>
          <w:p w14:paraId="23758001"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Egypt</w:t>
            </w:r>
          </w:p>
        </w:tc>
        <w:tc>
          <w:tcPr>
            <w:tcW w:w="1559" w:type="dxa"/>
          </w:tcPr>
          <w:p w14:paraId="6DBC6C58" w14:textId="77777777" w:rsidR="000B3E0D" w:rsidRPr="00FA4573" w:rsidRDefault="00803037" w:rsidP="00B76C4C">
            <w:pPr>
              <w:spacing w:before="40" w:after="40"/>
              <w:jc w:val="center"/>
              <w:rPr>
                <w:rStyle w:val="Hyperlink"/>
                <w:rFonts w:ascii="Calibri" w:hAnsi="Calibri" w:cs="Calibri"/>
                <w:sz w:val="22"/>
                <w:szCs w:val="22"/>
              </w:rPr>
            </w:pPr>
            <w:hyperlink r:id="rId171" w:history="1">
              <w:r w:rsidR="000B3E0D" w:rsidRPr="00FA4573">
                <w:rPr>
                  <w:rStyle w:val="Hyperlink"/>
                  <w:rFonts w:ascii="Calibri" w:hAnsi="Calibri" w:cs="Calibri"/>
                  <w:sz w:val="22"/>
                  <w:szCs w:val="22"/>
                </w:rPr>
                <w:t>2/329</w:t>
              </w:r>
            </w:hyperlink>
          </w:p>
        </w:tc>
        <w:tc>
          <w:tcPr>
            <w:tcW w:w="1276" w:type="dxa"/>
          </w:tcPr>
          <w:p w14:paraId="70955ED5"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2D63FCC1" w14:textId="5BA21EA8"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Egypt's EG-ATRC initiative aligns with ITU-</w:t>
            </w:r>
            <w:r w:rsidR="0089542D">
              <w:rPr>
                <w:rFonts w:ascii="Calibri" w:hAnsi="Calibri" w:cs="Calibri"/>
                <w:bCs/>
                <w:sz w:val="22"/>
                <w:szCs w:val="22"/>
              </w:rPr>
              <w:t>D'</w:t>
            </w:r>
            <w:r w:rsidRPr="00FA4573">
              <w:rPr>
                <w:rFonts w:ascii="Calibri" w:hAnsi="Calibri" w:cs="Calibri"/>
                <w:bCs/>
                <w:sz w:val="22"/>
                <w:szCs w:val="22"/>
              </w:rPr>
              <w:t>s aim to provide training in spectrum management.</w:t>
            </w:r>
          </w:p>
        </w:tc>
        <w:tc>
          <w:tcPr>
            <w:tcW w:w="3544" w:type="dxa"/>
          </w:tcPr>
          <w:p w14:paraId="6FE436D3"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w:t>
            </w:r>
            <w:r w:rsidRPr="00FA4573">
              <w:rPr>
                <w:rFonts w:ascii="Calibri" w:hAnsi="Calibri" w:cs="Calibri"/>
                <w:b/>
                <w:sz w:val="22"/>
                <w:szCs w:val="22"/>
              </w:rPr>
              <w:t>Frequency spectrum</w:t>
            </w:r>
            <w:r w:rsidRPr="00FA4573">
              <w:rPr>
                <w:rFonts w:ascii="Calibri" w:hAnsi="Calibri" w:cs="Calibri"/>
                <w:bCs/>
                <w:sz w:val="22"/>
                <w:szCs w:val="22"/>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0B3E0D" w:rsidRPr="00FA4573" w14:paraId="3AC90AD7" w14:textId="77777777" w:rsidTr="00B76C4C">
        <w:trPr>
          <w:trHeight w:val="567"/>
          <w:jc w:val="center"/>
        </w:trPr>
        <w:tc>
          <w:tcPr>
            <w:tcW w:w="1129" w:type="dxa"/>
          </w:tcPr>
          <w:p w14:paraId="3A144D08"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Q2/2, Q5/2</w:t>
            </w:r>
          </w:p>
        </w:tc>
        <w:tc>
          <w:tcPr>
            <w:tcW w:w="2127" w:type="dxa"/>
          </w:tcPr>
          <w:p w14:paraId="37DC0BF7"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color w:val="000000"/>
                <w:sz w:val="22"/>
                <w:szCs w:val="22"/>
              </w:rPr>
              <w:t>Delivering universal meaningful connectivity to enable e-services and applications</w:t>
            </w:r>
          </w:p>
        </w:tc>
        <w:tc>
          <w:tcPr>
            <w:tcW w:w="1559" w:type="dxa"/>
          </w:tcPr>
          <w:p w14:paraId="0FC3D754"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color w:val="000000"/>
                <w:sz w:val="22"/>
                <w:szCs w:val="22"/>
              </w:rPr>
              <w:t>International Chamber of Commerce</w:t>
            </w:r>
          </w:p>
        </w:tc>
        <w:tc>
          <w:tcPr>
            <w:tcW w:w="1559" w:type="dxa"/>
          </w:tcPr>
          <w:p w14:paraId="672867C3" w14:textId="77777777" w:rsidR="000B3E0D" w:rsidRPr="00FA4573" w:rsidRDefault="00803037" w:rsidP="00B76C4C">
            <w:pPr>
              <w:spacing w:before="40" w:after="40"/>
              <w:jc w:val="center"/>
              <w:rPr>
                <w:rFonts w:ascii="Calibri" w:hAnsi="Calibri" w:cs="Calibri"/>
                <w:sz w:val="22"/>
                <w:szCs w:val="22"/>
              </w:rPr>
            </w:pPr>
            <w:hyperlink r:id="rId172">
              <w:r w:rsidR="000B3E0D" w:rsidRPr="00FA4573">
                <w:rPr>
                  <w:rFonts w:ascii="Calibri" w:hAnsi="Calibri" w:cs="Calibri"/>
                  <w:color w:val="0000FF"/>
                  <w:sz w:val="22"/>
                  <w:szCs w:val="22"/>
                  <w:u w:val="single"/>
                </w:rPr>
                <w:t>SG2RGQ/46</w:t>
              </w:r>
            </w:hyperlink>
          </w:p>
          <w:p w14:paraId="1421912A" w14:textId="77777777" w:rsidR="000B3E0D" w:rsidRPr="00FA4573" w:rsidRDefault="000B3E0D" w:rsidP="00B76C4C">
            <w:pPr>
              <w:spacing w:before="40" w:after="40"/>
              <w:jc w:val="center"/>
              <w:rPr>
                <w:rStyle w:val="Hyperlink"/>
                <w:rFonts w:ascii="Calibri" w:hAnsi="Calibri" w:cs="Calibri"/>
                <w:sz w:val="22"/>
                <w:szCs w:val="22"/>
                <w:lang w:eastAsia="ko-KR"/>
              </w:rPr>
            </w:pPr>
            <w:r w:rsidRPr="00FA4573">
              <w:rPr>
                <w:rFonts w:ascii="Calibri" w:hAnsi="Calibri" w:cs="Calibri"/>
                <w:sz w:val="22"/>
                <w:szCs w:val="22"/>
                <w:lang w:eastAsia="ko-KR"/>
              </w:rPr>
              <w:t xml:space="preserve">+ ICC white paper </w:t>
            </w:r>
            <w:r w:rsidRPr="00FA4573">
              <w:rPr>
                <w:rFonts w:ascii="Calibri" w:hAnsi="Calibri" w:cs="Calibri"/>
                <w:sz w:val="22"/>
                <w:szCs w:val="22"/>
                <w:lang w:eastAsia="ko-KR"/>
              </w:rPr>
              <w:br/>
              <w:t>(</w:t>
            </w:r>
            <w:hyperlink r:id="rId173" w:anchor="page=10" w:history="1">
              <w:r w:rsidRPr="00FA4573">
                <w:rPr>
                  <w:rStyle w:val="Hyperlink"/>
                  <w:rFonts w:ascii="Calibri" w:hAnsi="Calibri" w:cs="Calibri"/>
                  <w:sz w:val="22"/>
                  <w:szCs w:val="22"/>
                  <w:lang w:eastAsia="ko-KR"/>
                </w:rPr>
                <w:t>page 10</w:t>
              </w:r>
            </w:hyperlink>
            <w:r w:rsidRPr="00FA4573">
              <w:rPr>
                <w:rFonts w:ascii="Calibri" w:hAnsi="Calibri" w:cs="Calibri"/>
                <w:sz w:val="22"/>
                <w:szCs w:val="22"/>
                <w:lang w:eastAsia="ko-KR"/>
              </w:rPr>
              <w:t>)</w:t>
            </w:r>
          </w:p>
        </w:tc>
        <w:tc>
          <w:tcPr>
            <w:tcW w:w="1276" w:type="dxa"/>
          </w:tcPr>
          <w:p w14:paraId="66CAAC42"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083F3C11"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A case study in Colombia discusses leveraging shared and unlicensed spectrum resources as a means to enable connectivity in challenging environments, which is relevant to assistance with emerging technologies and approaches in using spectrum.</w:t>
            </w:r>
          </w:p>
        </w:tc>
        <w:tc>
          <w:tcPr>
            <w:tcW w:w="3544" w:type="dxa"/>
          </w:tcPr>
          <w:p w14:paraId="7CF014B7"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"leverage </w:t>
            </w:r>
            <w:r w:rsidRPr="00FA4573">
              <w:rPr>
                <w:rFonts w:ascii="Calibri" w:hAnsi="Calibri" w:cs="Calibri"/>
                <w:b/>
                <w:sz w:val="22"/>
                <w:szCs w:val="22"/>
              </w:rPr>
              <w:t>shared and unlicensed spectrum resources</w:t>
            </w:r>
            <w:r w:rsidRPr="00FA4573">
              <w:rPr>
                <w:rFonts w:ascii="Calibri" w:hAnsi="Calibri" w:cs="Calibri"/>
                <w:bCs/>
                <w:sz w:val="22"/>
                <w:szCs w:val="22"/>
              </w:rPr>
              <w:t xml:space="preserve">" and </w:t>
            </w:r>
          </w:p>
          <w:p w14:paraId="2157A7B2"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"a regulatory framework to enable unlicensed, secondary access to vacant TV channels in the UHF band, known as </w:t>
            </w:r>
            <w:r w:rsidRPr="00FA4573">
              <w:rPr>
                <w:rFonts w:ascii="Calibri" w:hAnsi="Calibri" w:cs="Calibri"/>
                <w:b/>
                <w:sz w:val="22"/>
                <w:szCs w:val="22"/>
              </w:rPr>
              <w:t>TV White Spaces (TVWS).</w:t>
            </w:r>
            <w:r w:rsidRPr="00FA4573">
              <w:rPr>
                <w:rFonts w:ascii="Calibri" w:hAnsi="Calibri" w:cs="Calibri"/>
                <w:bCs/>
                <w:sz w:val="22"/>
                <w:szCs w:val="22"/>
              </w:rPr>
              <w:t>"</w:t>
            </w:r>
          </w:p>
        </w:tc>
      </w:tr>
      <w:tr w:rsidR="000B3E0D" w:rsidRPr="00FA4573" w14:paraId="61F1A5E0" w14:textId="77777777" w:rsidTr="00B76C4C">
        <w:trPr>
          <w:trHeight w:val="567"/>
          <w:jc w:val="center"/>
        </w:trPr>
        <w:tc>
          <w:tcPr>
            <w:tcW w:w="1129" w:type="dxa"/>
          </w:tcPr>
          <w:p w14:paraId="4DB1B644"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Q3/2</w:t>
            </w:r>
          </w:p>
        </w:tc>
        <w:tc>
          <w:tcPr>
            <w:tcW w:w="2127" w:type="dxa"/>
          </w:tcPr>
          <w:p w14:paraId="35AA3894"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color w:val="000000"/>
                <w:sz w:val="22"/>
                <w:szCs w:val="22"/>
              </w:rPr>
              <w:t>Brazilian cybersecurity-related policies and regulations</w:t>
            </w:r>
          </w:p>
        </w:tc>
        <w:tc>
          <w:tcPr>
            <w:tcW w:w="1559" w:type="dxa"/>
          </w:tcPr>
          <w:p w14:paraId="5E49527E"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color w:val="000000"/>
                <w:sz w:val="22"/>
                <w:szCs w:val="22"/>
              </w:rPr>
              <w:t>Brazil</w:t>
            </w:r>
          </w:p>
        </w:tc>
        <w:tc>
          <w:tcPr>
            <w:tcW w:w="1559" w:type="dxa"/>
          </w:tcPr>
          <w:p w14:paraId="3DEE859D" w14:textId="77777777" w:rsidR="000B3E0D" w:rsidRPr="00FA4573" w:rsidRDefault="00803037" w:rsidP="00B76C4C">
            <w:pPr>
              <w:spacing w:before="40" w:after="40"/>
              <w:jc w:val="center"/>
              <w:rPr>
                <w:rStyle w:val="Hyperlink"/>
                <w:rFonts w:ascii="Calibri" w:hAnsi="Calibri" w:cs="Calibri"/>
                <w:sz w:val="22"/>
                <w:szCs w:val="22"/>
              </w:rPr>
            </w:pPr>
            <w:hyperlink r:id="rId174">
              <w:r w:rsidR="000B3E0D" w:rsidRPr="00FA4573">
                <w:rPr>
                  <w:rFonts w:ascii="Calibri" w:hAnsi="Calibri" w:cs="Calibri"/>
                  <w:color w:val="0000FF"/>
                  <w:sz w:val="22"/>
                  <w:szCs w:val="22"/>
                  <w:u w:val="single"/>
                </w:rPr>
                <w:t>SG2RGQ/57</w:t>
              </w:r>
            </w:hyperlink>
          </w:p>
        </w:tc>
        <w:tc>
          <w:tcPr>
            <w:tcW w:w="1276" w:type="dxa"/>
          </w:tcPr>
          <w:p w14:paraId="0288A9B6"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4FE35E25"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609F7FAB" w14:textId="04237A6A"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"Finally, concerning 5G cybersecurity, the </w:t>
            </w:r>
            <w:r w:rsidRPr="00FA4573">
              <w:rPr>
                <w:rFonts w:ascii="Calibri" w:hAnsi="Calibri" w:cs="Calibri"/>
                <w:b/>
                <w:sz w:val="22"/>
                <w:szCs w:val="22"/>
              </w:rPr>
              <w:t>5G Spectrum Auction Notice</w:t>
            </w:r>
            <w:r w:rsidRPr="00FA4573">
              <w:rPr>
                <w:rFonts w:ascii="Calibri" w:hAnsi="Calibri" w:cs="Calibri"/>
                <w:bCs/>
                <w:sz w:val="22"/>
                <w:szCs w:val="22"/>
              </w:rPr>
              <w:t>, approved in September 2021, established that the bidders had to commit to establish procedures and actions for the promotion of the cybersecurity of the network and telecom services, in accordance with Anate</w:t>
            </w:r>
            <w:r w:rsidR="0089542D">
              <w:rPr>
                <w:rFonts w:ascii="Calibri" w:hAnsi="Calibri" w:cs="Calibri"/>
                <w:bCs/>
                <w:sz w:val="22"/>
                <w:szCs w:val="22"/>
              </w:rPr>
              <w:t>l'</w:t>
            </w:r>
            <w:r w:rsidRPr="00FA4573">
              <w:rPr>
                <w:rFonts w:ascii="Calibri" w:hAnsi="Calibri" w:cs="Calibri"/>
                <w:bCs/>
                <w:sz w:val="22"/>
                <w:szCs w:val="22"/>
              </w:rPr>
              <w:t>s Cybersecurity Regulation which has been previously mentioned."</w:t>
            </w:r>
          </w:p>
        </w:tc>
      </w:tr>
      <w:tr w:rsidR="000B3E0D" w:rsidRPr="00FA4573" w14:paraId="18BB7D7C" w14:textId="77777777" w:rsidTr="00B76C4C">
        <w:trPr>
          <w:trHeight w:val="567"/>
          <w:jc w:val="center"/>
        </w:trPr>
        <w:tc>
          <w:tcPr>
            <w:tcW w:w="1129" w:type="dxa"/>
          </w:tcPr>
          <w:p w14:paraId="0E756BA7"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eastAsia="ko-KR"/>
              </w:rPr>
              <w:t>Q5/2</w:t>
            </w:r>
          </w:p>
        </w:tc>
        <w:tc>
          <w:tcPr>
            <w:tcW w:w="2127" w:type="dxa"/>
          </w:tcPr>
          <w:p w14:paraId="49AFA103"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Extension of licences and regulatory reforms to improve digital connectivity in Madagascar</w:t>
            </w:r>
          </w:p>
        </w:tc>
        <w:tc>
          <w:tcPr>
            <w:tcW w:w="1559" w:type="dxa"/>
          </w:tcPr>
          <w:p w14:paraId="71C0C488"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Madagascar</w:t>
            </w:r>
          </w:p>
        </w:tc>
        <w:tc>
          <w:tcPr>
            <w:tcW w:w="1559" w:type="dxa"/>
          </w:tcPr>
          <w:p w14:paraId="0B408A73" w14:textId="77777777" w:rsidR="000B3E0D" w:rsidRPr="00FA4573" w:rsidRDefault="00803037" w:rsidP="00B76C4C">
            <w:pPr>
              <w:spacing w:before="40" w:after="40"/>
              <w:jc w:val="center"/>
              <w:rPr>
                <w:rStyle w:val="Hyperlink"/>
                <w:rFonts w:ascii="Calibri" w:hAnsi="Calibri" w:cs="Calibri"/>
                <w:sz w:val="22"/>
                <w:szCs w:val="22"/>
              </w:rPr>
            </w:pPr>
            <w:hyperlink r:id="rId175" w:history="1">
              <w:r w:rsidR="000B3E0D" w:rsidRPr="00FA4573">
                <w:rPr>
                  <w:rStyle w:val="Hyperlink"/>
                  <w:rFonts w:ascii="Calibri" w:hAnsi="Calibri" w:cs="Calibri"/>
                  <w:sz w:val="22"/>
                  <w:szCs w:val="22"/>
                </w:rPr>
                <w:t>SG2RGQ/110</w:t>
              </w:r>
            </w:hyperlink>
          </w:p>
        </w:tc>
        <w:tc>
          <w:tcPr>
            <w:tcW w:w="1276" w:type="dxa"/>
          </w:tcPr>
          <w:p w14:paraId="460C06C3"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566C4E64"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contribution discusses regulatory reforms, including updates to licence categories that foster development of telecommunication infrastructure and services, which aligns with training in regulatory frameworks and spectrum management.</w:t>
            </w:r>
          </w:p>
        </w:tc>
        <w:tc>
          <w:tcPr>
            <w:tcW w:w="3544" w:type="dxa"/>
          </w:tcPr>
          <w:p w14:paraId="14082D38"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"As part of the reform, other regulatory projects are being elaborated to guide the implementation of the new decree, in particular, draft decrees for the </w:t>
            </w:r>
            <w:r w:rsidRPr="00FA4573">
              <w:rPr>
                <w:rFonts w:ascii="Calibri" w:hAnsi="Calibri" w:cs="Calibri"/>
                <w:b/>
                <w:sz w:val="22"/>
                <w:szCs w:val="22"/>
              </w:rPr>
              <w:t>rules for managing and assigning spectrum resources</w:t>
            </w:r>
            <w:r w:rsidRPr="00FA4573">
              <w:rPr>
                <w:rFonts w:ascii="Calibri" w:hAnsi="Calibri" w:cs="Calibri"/>
                <w:bCs/>
                <w:sz w:val="22"/>
                <w:szCs w:val="22"/>
              </w:rPr>
              <w:t>..."</w:t>
            </w:r>
          </w:p>
        </w:tc>
      </w:tr>
      <w:tr w:rsidR="000B3E0D" w:rsidRPr="00FA4573" w14:paraId="70402223" w14:textId="77777777" w:rsidTr="00B76C4C">
        <w:trPr>
          <w:trHeight w:val="567"/>
          <w:jc w:val="center"/>
        </w:trPr>
        <w:tc>
          <w:tcPr>
            <w:tcW w:w="1129" w:type="dxa"/>
          </w:tcPr>
          <w:p w14:paraId="6BC9C41A"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eastAsia="ko-KR"/>
              </w:rPr>
              <w:t>Q5/2</w:t>
            </w:r>
          </w:p>
        </w:tc>
        <w:tc>
          <w:tcPr>
            <w:tcW w:w="2127" w:type="dxa"/>
          </w:tcPr>
          <w:p w14:paraId="36751348" w14:textId="239C5E4E" w:rsidR="000B3E0D" w:rsidRPr="00FA4573" w:rsidRDefault="000B3E0D" w:rsidP="00B76C4C">
            <w:pPr>
              <w:spacing w:before="40" w:after="40"/>
              <w:rPr>
                <w:rFonts w:ascii="Calibri" w:hAnsi="Calibri" w:cs="Calibri"/>
                <w:bCs/>
                <w:sz w:val="22"/>
                <w:szCs w:val="22"/>
              </w:rPr>
            </w:pPr>
            <w:r w:rsidRPr="00FA4573">
              <w:rPr>
                <w:rFonts w:ascii="Calibri" w:hAnsi="Calibri" w:cs="Calibri"/>
                <w:sz w:val="22"/>
                <w:szCs w:val="22"/>
              </w:rPr>
              <w:t xml:space="preserve">Encourage collaboration with universities and leading technology schools to strengthen the specific digital skills of young professionals in Côte </w:t>
            </w:r>
            <w:r w:rsidR="0089542D">
              <w:rPr>
                <w:rFonts w:ascii="Calibri" w:hAnsi="Calibri" w:cs="Calibri"/>
                <w:sz w:val="22"/>
                <w:szCs w:val="22"/>
              </w:rPr>
              <w:t>d'</w:t>
            </w:r>
            <w:r w:rsidRPr="00FA4573">
              <w:rPr>
                <w:rFonts w:ascii="Calibri" w:hAnsi="Calibri" w:cs="Calibri"/>
                <w:sz w:val="22"/>
                <w:szCs w:val="22"/>
              </w:rPr>
              <w:t>Ivoire</w:t>
            </w:r>
          </w:p>
        </w:tc>
        <w:tc>
          <w:tcPr>
            <w:tcW w:w="1559" w:type="dxa"/>
          </w:tcPr>
          <w:p w14:paraId="4471721E"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val="fr-FR"/>
              </w:rPr>
              <w:t>RIFEN</w:t>
            </w:r>
          </w:p>
        </w:tc>
        <w:tc>
          <w:tcPr>
            <w:tcW w:w="1559" w:type="dxa"/>
          </w:tcPr>
          <w:p w14:paraId="4F33D53F" w14:textId="77777777" w:rsidR="000B3E0D" w:rsidRPr="00FA4573" w:rsidRDefault="00803037" w:rsidP="00B76C4C">
            <w:pPr>
              <w:spacing w:before="40" w:after="40"/>
              <w:jc w:val="center"/>
              <w:rPr>
                <w:rStyle w:val="Hyperlink"/>
                <w:rFonts w:ascii="Calibri" w:hAnsi="Calibri" w:cs="Calibri"/>
                <w:sz w:val="22"/>
                <w:szCs w:val="22"/>
              </w:rPr>
            </w:pPr>
            <w:hyperlink r:id="rId176" w:history="1">
              <w:r w:rsidR="000B3E0D" w:rsidRPr="00FA4573">
                <w:rPr>
                  <w:rStyle w:val="Hyperlink"/>
                  <w:rFonts w:ascii="Calibri" w:hAnsi="Calibri" w:cs="Calibri"/>
                  <w:sz w:val="22"/>
                  <w:szCs w:val="22"/>
                </w:rPr>
                <w:t>SG2RGQ/158</w:t>
              </w:r>
            </w:hyperlink>
          </w:p>
        </w:tc>
        <w:tc>
          <w:tcPr>
            <w:tcW w:w="1276" w:type="dxa"/>
          </w:tcPr>
          <w:p w14:paraId="12889E64"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1E312744"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rPr>
              <w:t xml:space="preserve">The contribution mentions </w:t>
            </w:r>
            <w:r w:rsidRPr="00FA4573">
              <w:rPr>
                <w:rFonts w:ascii="Calibri" w:hAnsi="Calibri" w:cs="Calibri"/>
                <w:bCs/>
                <w:sz w:val="22"/>
                <w:szCs w:val="22"/>
                <w:lang w:eastAsia="ko-KR"/>
              </w:rPr>
              <w:t xml:space="preserve">the need to </w:t>
            </w:r>
            <w:r w:rsidRPr="00FA4573">
              <w:rPr>
                <w:rFonts w:ascii="Calibri" w:hAnsi="Calibri" w:cs="Calibri"/>
                <w:bCs/>
                <w:sz w:val="22"/>
                <w:szCs w:val="22"/>
              </w:rPr>
              <w:t xml:space="preserve">inform </w:t>
            </w:r>
            <w:r w:rsidRPr="00FA4573">
              <w:rPr>
                <w:rFonts w:ascii="Calibri" w:hAnsi="Calibri" w:cs="Calibri"/>
                <w:bCs/>
                <w:sz w:val="22"/>
                <w:szCs w:val="22"/>
                <w:lang w:eastAsia="ko-KR"/>
              </w:rPr>
              <w:t xml:space="preserve">university </w:t>
            </w:r>
            <w:r w:rsidRPr="00FA4573">
              <w:rPr>
                <w:rFonts w:ascii="Calibri" w:hAnsi="Calibri" w:cs="Calibri"/>
                <w:bCs/>
                <w:sz w:val="22"/>
                <w:szCs w:val="22"/>
              </w:rPr>
              <w:t>leaders about technological areas including spectrum management</w:t>
            </w:r>
            <w:r w:rsidRPr="00FA4573">
              <w:rPr>
                <w:rFonts w:ascii="Calibri" w:hAnsi="Calibri" w:cs="Calibri"/>
                <w:bCs/>
                <w:sz w:val="22"/>
                <w:szCs w:val="22"/>
                <w:lang w:eastAsia="ko-KR"/>
              </w:rPr>
              <w:t>.</w:t>
            </w:r>
          </w:p>
        </w:tc>
        <w:tc>
          <w:tcPr>
            <w:tcW w:w="3544" w:type="dxa"/>
          </w:tcPr>
          <w:p w14:paraId="5EBC1360"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“To inform the leaders of these universities about the technological areas covered by the ITU's ATC programme (ICT regulation, network infrastructure, </w:t>
            </w:r>
            <w:r w:rsidRPr="00FA4573">
              <w:rPr>
                <w:rFonts w:ascii="Calibri" w:hAnsi="Calibri" w:cs="Calibri"/>
                <w:b/>
                <w:sz w:val="22"/>
                <w:szCs w:val="22"/>
                <w:lang w:eastAsia="ko-KR"/>
              </w:rPr>
              <w:t>spectrum management</w:t>
            </w:r>
            <w:r w:rsidRPr="00FA4573">
              <w:rPr>
                <w:rFonts w:ascii="Calibri" w:hAnsi="Calibri" w:cs="Calibri"/>
                <w:bCs/>
                <w:sz w:val="22"/>
                <w:szCs w:val="22"/>
                <w:lang w:eastAsia="ko-KR"/>
              </w:rPr>
              <w:t>, cybersecurity, digital inclusion, digital services, etc.)”</w:t>
            </w:r>
          </w:p>
        </w:tc>
      </w:tr>
      <w:tr w:rsidR="000B3E0D" w:rsidRPr="00FA4573" w14:paraId="10255CB3" w14:textId="77777777" w:rsidTr="00B76C4C">
        <w:trPr>
          <w:trHeight w:val="567"/>
          <w:jc w:val="center"/>
        </w:trPr>
        <w:tc>
          <w:tcPr>
            <w:tcW w:w="1129" w:type="dxa"/>
          </w:tcPr>
          <w:p w14:paraId="676A97DE"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7F5102ED"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eastAsia="ko-KR"/>
              </w:rPr>
              <w:t>Human exposure to electromagnetic fields created by radio systems and mobile devices</w:t>
            </w:r>
          </w:p>
        </w:tc>
        <w:tc>
          <w:tcPr>
            <w:tcW w:w="1559" w:type="dxa"/>
          </w:tcPr>
          <w:p w14:paraId="61EA31C9"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Central African Republic</w:t>
            </w:r>
          </w:p>
        </w:tc>
        <w:tc>
          <w:tcPr>
            <w:tcW w:w="1559" w:type="dxa"/>
          </w:tcPr>
          <w:p w14:paraId="7084D73D" w14:textId="77777777" w:rsidR="000B3E0D" w:rsidRPr="00FA4573" w:rsidRDefault="00803037" w:rsidP="00B76C4C">
            <w:pPr>
              <w:spacing w:before="40" w:after="40"/>
              <w:jc w:val="center"/>
              <w:rPr>
                <w:rStyle w:val="Hyperlink"/>
                <w:rFonts w:ascii="Calibri" w:hAnsi="Calibri" w:cs="Calibri"/>
                <w:sz w:val="22"/>
                <w:szCs w:val="22"/>
              </w:rPr>
            </w:pPr>
            <w:hyperlink r:id="rId177" w:history="1">
              <w:r w:rsidR="000B3E0D" w:rsidRPr="00FA4573">
                <w:rPr>
                  <w:rStyle w:val="Hyperlink"/>
                  <w:rFonts w:ascii="Calibri" w:hAnsi="Calibri" w:cs="Calibri"/>
                  <w:sz w:val="22"/>
                  <w:szCs w:val="22"/>
                </w:rPr>
                <w:t>2/129</w:t>
              </w:r>
            </w:hyperlink>
          </w:p>
        </w:tc>
        <w:tc>
          <w:tcPr>
            <w:tcW w:w="1276" w:type="dxa"/>
          </w:tcPr>
          <w:p w14:paraId="33423C97"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0F1B4965"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The </w:t>
            </w:r>
            <w:r w:rsidRPr="00FA4573">
              <w:rPr>
                <w:rFonts w:ascii="Calibri" w:hAnsi="Calibri" w:cs="Calibri"/>
                <w:bCs/>
                <w:sz w:val="22"/>
                <w:szCs w:val="22"/>
                <w:lang w:eastAsia="ko-KR"/>
              </w:rPr>
              <w:t>contribution</w:t>
            </w:r>
            <w:r w:rsidRPr="00FA4573">
              <w:rPr>
                <w:rFonts w:ascii="Calibri" w:hAnsi="Calibri" w:cs="Calibri"/>
                <w:bCs/>
                <w:sz w:val="22"/>
                <w:szCs w:val="22"/>
              </w:rPr>
              <w:t xml:space="preserve"> </w:t>
            </w:r>
            <w:r w:rsidRPr="00FA4573">
              <w:rPr>
                <w:rFonts w:ascii="Calibri" w:hAnsi="Calibri" w:cs="Calibri"/>
                <w:bCs/>
                <w:sz w:val="22"/>
                <w:szCs w:val="22"/>
                <w:lang w:eastAsia="ko-KR"/>
              </w:rPr>
              <w:t>includes</w:t>
            </w:r>
            <w:r w:rsidRPr="00FA4573">
              <w:rPr>
                <w:rFonts w:ascii="Calibri" w:hAnsi="Calibri" w:cs="Calibri"/>
                <w:bCs/>
                <w:sz w:val="22"/>
                <w:szCs w:val="22"/>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24DB67AF"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“The Central African Republic intends to work on the following: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Strengthen regulatory sanctions to ensure compliance with </w:t>
            </w:r>
            <w:r w:rsidRPr="00FA4573">
              <w:rPr>
                <w:rFonts w:ascii="Calibri" w:hAnsi="Calibri" w:cs="Calibri"/>
                <w:b/>
                <w:sz w:val="22"/>
                <w:szCs w:val="22"/>
                <w:lang w:eastAsia="ko-KR"/>
              </w:rPr>
              <w:t>ITU Recommendations on EMFs</w:t>
            </w:r>
            <w:r w:rsidRPr="00FA4573">
              <w:rPr>
                <w:rFonts w:ascii="Calibri" w:hAnsi="Calibri" w:cs="Calibri"/>
                <w:bCs/>
                <w:sz w:val="22"/>
                <w:szCs w:val="22"/>
                <w:lang w:eastAsia="ko-KR"/>
              </w:rPr>
              <w:t xml:space="preserve"> used by operators;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Implement all ITU Recommendations pertaining to EMFs”</w:t>
            </w:r>
          </w:p>
        </w:tc>
      </w:tr>
      <w:tr w:rsidR="000B3E0D" w:rsidRPr="00FA4573" w14:paraId="117305EF" w14:textId="77777777" w:rsidTr="00B76C4C">
        <w:trPr>
          <w:trHeight w:val="567"/>
          <w:jc w:val="center"/>
        </w:trPr>
        <w:tc>
          <w:tcPr>
            <w:tcW w:w="1129" w:type="dxa"/>
          </w:tcPr>
          <w:p w14:paraId="0461F461"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3CE8ED4D" w14:textId="6F59A8E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Beni</w:t>
            </w:r>
            <w:r w:rsidR="0089542D">
              <w:rPr>
                <w:rFonts w:ascii="Calibri" w:hAnsi="Calibri" w:cs="Calibri"/>
                <w:bCs/>
                <w:sz w:val="22"/>
                <w:szCs w:val="22"/>
              </w:rPr>
              <w:t>n'</w:t>
            </w:r>
            <w:r w:rsidRPr="00FA4573">
              <w:rPr>
                <w:rFonts w:ascii="Calibri" w:hAnsi="Calibri" w:cs="Calibri"/>
                <w:bCs/>
                <w:sz w:val="22"/>
                <w:szCs w:val="22"/>
              </w:rPr>
              <w:t>s experience in protecting populations against the effects of non-ionizing radiation from radio sites</w:t>
            </w:r>
          </w:p>
        </w:tc>
        <w:tc>
          <w:tcPr>
            <w:tcW w:w="1559" w:type="dxa"/>
          </w:tcPr>
          <w:p w14:paraId="4EE4886D"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Benin</w:t>
            </w:r>
          </w:p>
        </w:tc>
        <w:tc>
          <w:tcPr>
            <w:tcW w:w="1559" w:type="dxa"/>
          </w:tcPr>
          <w:p w14:paraId="30529531" w14:textId="77777777" w:rsidR="000B3E0D" w:rsidRPr="00FA4573" w:rsidRDefault="00803037" w:rsidP="00B76C4C">
            <w:pPr>
              <w:spacing w:before="40" w:after="40"/>
              <w:jc w:val="center"/>
              <w:rPr>
                <w:rStyle w:val="Hyperlink"/>
                <w:rFonts w:ascii="Calibri" w:hAnsi="Calibri" w:cs="Calibri"/>
                <w:sz w:val="22"/>
                <w:szCs w:val="22"/>
              </w:rPr>
            </w:pPr>
            <w:hyperlink r:id="rId178" w:history="1">
              <w:r w:rsidR="000B3E0D" w:rsidRPr="00FA4573">
                <w:rPr>
                  <w:rStyle w:val="Hyperlink"/>
                  <w:rFonts w:ascii="Calibri" w:hAnsi="Calibri" w:cs="Calibri"/>
                  <w:sz w:val="22"/>
                  <w:szCs w:val="22"/>
                  <w:lang w:val="en-US"/>
                </w:rPr>
                <w:t>2/198</w:t>
              </w:r>
            </w:hyperlink>
          </w:p>
        </w:tc>
        <w:tc>
          <w:tcPr>
            <w:tcW w:w="1276" w:type="dxa"/>
          </w:tcPr>
          <w:p w14:paraId="6B32393D"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00CABB18" w14:textId="7649CA72"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contribution discusses the publi</w:t>
            </w:r>
            <w:r w:rsidR="0089542D">
              <w:rPr>
                <w:rFonts w:ascii="Calibri" w:hAnsi="Calibri" w:cs="Calibri"/>
                <w:bCs/>
                <w:sz w:val="22"/>
                <w:szCs w:val="22"/>
              </w:rPr>
              <w:t>c'</w:t>
            </w:r>
            <w:r w:rsidRPr="00FA4573">
              <w:rPr>
                <w:rFonts w:ascii="Calibri" w:hAnsi="Calibri" w:cs="Calibri"/>
                <w:bCs/>
                <w:sz w:val="22"/>
                <w:szCs w:val="22"/>
              </w:rPr>
              <w:t>s concerns and the need for awareness among both the population and policymakers regarding the health implications of radio-electric sites. This aligns with raising awareness of the importance of effective spectrum management and its impact on public health and safety.</w:t>
            </w:r>
          </w:p>
        </w:tc>
        <w:tc>
          <w:tcPr>
            <w:tcW w:w="3544" w:type="dxa"/>
          </w:tcPr>
          <w:p w14:paraId="7C784AC7"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(Translated from French) </w:t>
            </w:r>
          </w:p>
          <w:p w14:paraId="2DD9A3F0"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“Very early on, like international organizations, Benin began to consider the question of whether the </w:t>
            </w:r>
            <w:r w:rsidRPr="00FA4573">
              <w:rPr>
                <w:rFonts w:ascii="Calibri" w:hAnsi="Calibri" w:cs="Calibri"/>
                <w:b/>
                <w:sz w:val="22"/>
                <w:szCs w:val="22"/>
                <w:lang w:eastAsia="ko-KR"/>
              </w:rPr>
              <w:t>growing proximity between radioelectric sites</w:t>
            </w:r>
            <w:r w:rsidRPr="00FA4573">
              <w:rPr>
                <w:rFonts w:ascii="Calibri" w:hAnsi="Calibri" w:cs="Calibri"/>
                <w:bCs/>
                <w:sz w:val="22"/>
                <w:szCs w:val="22"/>
                <w:lang w:eastAsia="ko-KR"/>
              </w:rPr>
              <w:t xml:space="preserve"> and homes</w:t>
            </w:r>
            <w:r w:rsidRPr="00FA4573">
              <w:rPr>
                <w:rFonts w:ascii="Calibri" w:hAnsi="Calibri" w:cs="Calibri" w:hint="eastAsia"/>
                <w:bCs/>
                <w:sz w:val="22"/>
                <w:szCs w:val="22"/>
                <w:lang w:eastAsia="ko-KR"/>
              </w:rPr>
              <w:t>,</w:t>
            </w:r>
            <w:r w:rsidRPr="00FA4573">
              <w:rPr>
                <w:rFonts w:ascii="Calibri" w:hAnsi="Calibri" w:cs="Calibri"/>
                <w:bCs/>
                <w:sz w:val="22"/>
                <w:szCs w:val="22"/>
                <w:lang w:eastAsia="ko-KR"/>
              </w:rPr>
              <w:t xml:space="preserve"> would have consequences on the </w:t>
            </w:r>
            <w:r w:rsidRPr="00FA4573">
              <w:rPr>
                <w:rFonts w:ascii="Calibri" w:hAnsi="Calibri" w:cs="Calibri"/>
                <w:b/>
                <w:sz w:val="22"/>
                <w:szCs w:val="22"/>
                <w:lang w:eastAsia="ko-KR"/>
              </w:rPr>
              <w:t>health</w:t>
            </w:r>
            <w:r w:rsidRPr="00FA4573">
              <w:rPr>
                <w:rFonts w:ascii="Calibri" w:hAnsi="Calibri" w:cs="Calibri" w:hint="eastAsia"/>
                <w:bCs/>
                <w:sz w:val="22"/>
                <w:szCs w:val="22"/>
                <w:lang w:eastAsia="ko-KR"/>
              </w:rPr>
              <w:t xml:space="preserve"> </w:t>
            </w:r>
            <w:r w:rsidRPr="00FA4573">
              <w:rPr>
                <w:rFonts w:ascii="Calibri" w:hAnsi="Calibri" w:cs="Calibri"/>
                <w:b/>
                <w:sz w:val="22"/>
                <w:szCs w:val="22"/>
                <w:lang w:eastAsia="ko-KR"/>
              </w:rPr>
              <w:t>safety</w:t>
            </w:r>
            <w:r w:rsidRPr="00FA4573">
              <w:rPr>
                <w:rFonts w:ascii="Calibri" w:hAnsi="Calibri" w:cs="Calibri"/>
                <w:bCs/>
                <w:sz w:val="22"/>
                <w:szCs w:val="22"/>
                <w:lang w:eastAsia="ko-KR"/>
              </w:rPr>
              <w:t xml:space="preserve"> of populations close to the sites.”</w:t>
            </w:r>
          </w:p>
        </w:tc>
      </w:tr>
      <w:tr w:rsidR="000B3E0D" w:rsidRPr="00FA4573" w14:paraId="00900AC9" w14:textId="77777777" w:rsidTr="00B76C4C">
        <w:trPr>
          <w:trHeight w:val="567"/>
          <w:jc w:val="center"/>
        </w:trPr>
        <w:tc>
          <w:tcPr>
            <w:tcW w:w="1129" w:type="dxa"/>
          </w:tcPr>
          <w:p w14:paraId="04B749D7"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eastAsia="ko-KR"/>
              </w:rPr>
              <w:t>Q7/2</w:t>
            </w:r>
          </w:p>
        </w:tc>
        <w:tc>
          <w:tcPr>
            <w:tcW w:w="2127" w:type="dxa"/>
          </w:tcPr>
          <w:p w14:paraId="0698706F"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Consumer protection against exposure to electromagnetic waves</w:t>
            </w:r>
          </w:p>
        </w:tc>
        <w:tc>
          <w:tcPr>
            <w:tcW w:w="1559" w:type="dxa"/>
          </w:tcPr>
          <w:p w14:paraId="211E1610"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Congo (Rep. of)</w:t>
            </w:r>
          </w:p>
        </w:tc>
        <w:tc>
          <w:tcPr>
            <w:tcW w:w="1559" w:type="dxa"/>
          </w:tcPr>
          <w:p w14:paraId="1A411F15" w14:textId="77777777" w:rsidR="000B3E0D" w:rsidRPr="00FA4573" w:rsidRDefault="00803037" w:rsidP="00B76C4C">
            <w:pPr>
              <w:spacing w:before="40" w:after="40"/>
              <w:jc w:val="center"/>
              <w:rPr>
                <w:rStyle w:val="Hyperlink"/>
                <w:rFonts w:ascii="Calibri" w:hAnsi="Calibri" w:cs="Calibri"/>
                <w:sz w:val="22"/>
                <w:szCs w:val="22"/>
              </w:rPr>
            </w:pPr>
            <w:hyperlink r:id="rId179" w:history="1">
              <w:r w:rsidR="000B3E0D" w:rsidRPr="00FA4573">
                <w:rPr>
                  <w:rStyle w:val="Hyperlink"/>
                  <w:rFonts w:ascii="Calibri" w:hAnsi="Calibri" w:cs="Calibri"/>
                  <w:sz w:val="22"/>
                  <w:szCs w:val="22"/>
                  <w:lang w:val="en-US"/>
                </w:rPr>
                <w:t>2/274</w:t>
              </w:r>
            </w:hyperlink>
          </w:p>
        </w:tc>
        <w:tc>
          <w:tcPr>
            <w:tcW w:w="1276" w:type="dxa"/>
          </w:tcPr>
          <w:p w14:paraId="4F52361B"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1FF27C9B"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w:t>
            </w:r>
            <w:r w:rsidRPr="00FA4573">
              <w:rPr>
                <w:rFonts w:ascii="Calibri" w:hAnsi="Calibri" w:cs="Calibri"/>
                <w:bCs/>
                <w:sz w:val="22"/>
                <w:szCs w:val="22"/>
                <w:lang w:eastAsia="ko-KR"/>
              </w:rPr>
              <w:t xml:space="preserve"> contribution</w:t>
            </w:r>
            <w:r w:rsidRPr="00FA4573">
              <w:rPr>
                <w:rFonts w:ascii="Calibri" w:hAnsi="Calibri" w:cs="Calibri"/>
                <w:bCs/>
                <w:sz w:val="22"/>
                <w:szCs w:val="22"/>
              </w:rPr>
              <w:t xml:space="preserve"> refers to concerns about health effects related to the deployment of new technologies, specifically 5G, which relates to emerging technologies and approaches in using spectrum.</w:t>
            </w:r>
          </w:p>
        </w:tc>
        <w:tc>
          <w:tcPr>
            <w:tcW w:w="3544" w:type="dxa"/>
          </w:tcPr>
          <w:p w14:paraId="34A31522"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(Translated from French) </w:t>
            </w:r>
          </w:p>
          <w:p w14:paraId="6F6E967C"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and Antenna Densification: With the implementation of 5G, antenna density will increase, which could exacerbate concerns about the health effects of OEMs.”</w:t>
            </w:r>
          </w:p>
        </w:tc>
      </w:tr>
      <w:tr w:rsidR="000B3E0D" w:rsidRPr="00FA4573" w14:paraId="08927893" w14:textId="77777777" w:rsidTr="00B76C4C">
        <w:trPr>
          <w:trHeight w:val="1639"/>
          <w:jc w:val="center"/>
        </w:trPr>
        <w:tc>
          <w:tcPr>
            <w:tcW w:w="1129" w:type="dxa"/>
          </w:tcPr>
          <w:p w14:paraId="30FA7EB0"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14DAEC39"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sz w:val="22"/>
                <w:szCs w:val="22"/>
              </w:rPr>
              <w:t>Managing human exposure to electromagnetic field radiation from telecommunication base stations</w:t>
            </w:r>
          </w:p>
        </w:tc>
        <w:tc>
          <w:tcPr>
            <w:tcW w:w="1559" w:type="dxa"/>
          </w:tcPr>
          <w:p w14:paraId="2DA51439"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Ghana</w:t>
            </w:r>
          </w:p>
        </w:tc>
        <w:tc>
          <w:tcPr>
            <w:tcW w:w="1559" w:type="dxa"/>
          </w:tcPr>
          <w:p w14:paraId="310591CE" w14:textId="77777777" w:rsidR="000B3E0D" w:rsidRPr="00FA4573" w:rsidRDefault="00803037" w:rsidP="00B76C4C">
            <w:pPr>
              <w:spacing w:before="40" w:after="40"/>
              <w:jc w:val="center"/>
              <w:rPr>
                <w:rStyle w:val="Hyperlink"/>
                <w:rFonts w:ascii="Calibri" w:hAnsi="Calibri" w:cs="Calibri"/>
                <w:sz w:val="22"/>
                <w:szCs w:val="22"/>
              </w:rPr>
            </w:pPr>
            <w:hyperlink r:id="rId180" w:history="1">
              <w:r w:rsidR="000B3E0D" w:rsidRPr="00FA4573">
                <w:rPr>
                  <w:rStyle w:val="Hyperlink"/>
                  <w:rFonts w:ascii="Calibri" w:hAnsi="Calibri" w:cs="Calibri"/>
                  <w:sz w:val="22"/>
                  <w:szCs w:val="22"/>
                  <w:lang w:val="en-US"/>
                </w:rPr>
                <w:t>SG2RGQ/1</w:t>
              </w:r>
            </w:hyperlink>
          </w:p>
        </w:tc>
        <w:tc>
          <w:tcPr>
            <w:tcW w:w="1276" w:type="dxa"/>
          </w:tcPr>
          <w:p w14:paraId="3DB76BC8"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40AEB4FB"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lang w:eastAsia="ko-KR"/>
              </w:rPr>
              <w:t xml:space="preserve">The contribution </w:t>
            </w:r>
            <w:r w:rsidRPr="00FA4573">
              <w:rPr>
                <w:rFonts w:ascii="Calibri" w:hAnsi="Calibri" w:cs="Calibri"/>
                <w:bCs/>
                <w:sz w:val="22"/>
                <w:szCs w:val="22"/>
              </w:rPr>
              <w:t>mentions the progression towards millimetre-wave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0961D0C3"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“More recently, there were widespread rumours and allegations linking the COVID-19 virus to </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this had the potential to derail the gains made over the years in communications technology adoption. As Ghana progresses towards </w:t>
            </w:r>
            <w:r w:rsidRPr="00FA4573">
              <w:rPr>
                <w:rFonts w:ascii="Calibri" w:hAnsi="Calibri" w:cs="Calibri"/>
                <w:b/>
                <w:sz w:val="22"/>
                <w:szCs w:val="22"/>
                <w:lang w:eastAsia="ko-KR"/>
              </w:rPr>
              <w:t>millimetre-wave technologies</w:t>
            </w:r>
            <w:r w:rsidRPr="00FA4573">
              <w:rPr>
                <w:rFonts w:ascii="Calibri" w:hAnsi="Calibri" w:cs="Calibri"/>
                <w:bCs/>
                <w:sz w:val="22"/>
                <w:szCs w:val="22"/>
                <w:lang w:eastAsia="ko-KR"/>
              </w:rPr>
              <w:t>, which will require deployment of more base stations much closer to people, the Government found it instructive to reassure the public of the safety of new cellular technologies.”</w:t>
            </w:r>
          </w:p>
        </w:tc>
      </w:tr>
      <w:tr w:rsidR="000B3E0D" w:rsidRPr="00FA4573" w14:paraId="6CFDDAA1" w14:textId="77777777" w:rsidTr="00B76C4C">
        <w:trPr>
          <w:trHeight w:val="567"/>
          <w:jc w:val="center"/>
        </w:trPr>
        <w:tc>
          <w:tcPr>
            <w:tcW w:w="1129" w:type="dxa"/>
          </w:tcPr>
          <w:p w14:paraId="76284790"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024E46F1" w14:textId="77777777" w:rsidR="000B3E0D" w:rsidRPr="00FA4573" w:rsidRDefault="000B3E0D" w:rsidP="00B76C4C">
            <w:pPr>
              <w:spacing w:before="40" w:after="40"/>
              <w:rPr>
                <w:rFonts w:ascii="Calibri" w:hAnsi="Calibri" w:cs="Calibri"/>
                <w:sz w:val="22"/>
                <w:szCs w:val="22"/>
                <w:lang w:val="en-US"/>
              </w:rPr>
            </w:pPr>
            <w:r w:rsidRPr="00FA4573">
              <w:rPr>
                <w:rFonts w:ascii="Calibri" w:hAnsi="Calibri" w:cs="Calibri"/>
                <w:color w:val="000000"/>
                <w:sz w:val="22"/>
                <w:szCs w:val="22"/>
              </w:rPr>
              <w:t>Status and strategies of EMF management and miscommunication in Uganda</w:t>
            </w:r>
          </w:p>
        </w:tc>
        <w:tc>
          <w:tcPr>
            <w:tcW w:w="1559" w:type="dxa"/>
          </w:tcPr>
          <w:p w14:paraId="1004471F"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color w:val="000000"/>
                <w:sz w:val="22"/>
                <w:szCs w:val="22"/>
                <w:lang w:val="en-US"/>
              </w:rPr>
              <w:t>Uganda</w:t>
            </w:r>
          </w:p>
        </w:tc>
        <w:tc>
          <w:tcPr>
            <w:tcW w:w="1559" w:type="dxa"/>
          </w:tcPr>
          <w:p w14:paraId="0F293341" w14:textId="77777777" w:rsidR="000B3E0D" w:rsidRPr="00FA4573" w:rsidRDefault="00803037" w:rsidP="00B76C4C">
            <w:pPr>
              <w:spacing w:before="40" w:after="40"/>
              <w:jc w:val="center"/>
              <w:rPr>
                <w:rFonts w:ascii="Calibri" w:hAnsi="Calibri" w:cs="Calibri"/>
                <w:sz w:val="22"/>
                <w:szCs w:val="22"/>
              </w:rPr>
            </w:pPr>
            <w:hyperlink r:id="rId181" w:history="1">
              <w:r w:rsidR="000B3E0D" w:rsidRPr="00FA4573">
                <w:rPr>
                  <w:rStyle w:val="Hyperlink"/>
                  <w:rFonts w:ascii="Calibri" w:hAnsi="Calibri" w:cs="Calibri"/>
                  <w:sz w:val="22"/>
                  <w:szCs w:val="22"/>
                </w:rPr>
                <w:t>SG2RGQ/77</w:t>
              </w:r>
            </w:hyperlink>
          </w:p>
        </w:tc>
        <w:tc>
          <w:tcPr>
            <w:tcW w:w="1276" w:type="dxa"/>
          </w:tcPr>
          <w:p w14:paraId="3A9FF791"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25E93CEF"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document includes information on the need for increased public awareness to build confidence among communities regarding the presence of base station sites, which aligns with raising awareness of national policymakers on the importance of effective spectrum management.</w:t>
            </w:r>
          </w:p>
        </w:tc>
        <w:tc>
          <w:tcPr>
            <w:tcW w:w="3544" w:type="dxa"/>
          </w:tcPr>
          <w:p w14:paraId="7FD36CB2" w14:textId="03FF5C6C"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public interviews indicated that a perso</w:t>
            </w:r>
            <w:r w:rsidR="0089542D">
              <w:rPr>
                <w:rFonts w:ascii="Calibri" w:hAnsi="Calibri" w:cs="Calibri"/>
                <w:bCs/>
                <w:sz w:val="22"/>
                <w:szCs w:val="22"/>
              </w:rPr>
              <w:t>n'</w:t>
            </w:r>
            <w:r w:rsidRPr="00FA4573">
              <w:rPr>
                <w:rFonts w:ascii="Calibri" w:hAnsi="Calibri" w:cs="Calibri"/>
                <w:bCs/>
                <w:sz w:val="22"/>
                <w:szCs w:val="22"/>
              </w:rPr>
              <w:t xml:space="preserve">s level of education has no bearing on </w:t>
            </w:r>
            <w:r w:rsidRPr="00FA4573">
              <w:rPr>
                <w:rFonts w:ascii="Calibri" w:hAnsi="Calibri" w:cs="Calibri"/>
                <w:b/>
                <w:sz w:val="22"/>
                <w:szCs w:val="22"/>
              </w:rPr>
              <w:t>uncertainty about the presence of base station sites</w:t>
            </w:r>
            <w:r w:rsidRPr="00FA4573">
              <w:rPr>
                <w:rFonts w:ascii="Calibri" w:hAnsi="Calibri" w:cs="Calibri"/>
                <w:bCs/>
                <w:sz w:val="22"/>
                <w:szCs w:val="22"/>
              </w:rPr>
              <w:t xml:space="preserve"> in their proximity and underscored the need for more awareness to increase confidence among the communities."</w:t>
            </w:r>
          </w:p>
        </w:tc>
      </w:tr>
      <w:tr w:rsidR="000B3E0D" w:rsidRPr="00FA4573" w14:paraId="04B1A979" w14:textId="77777777" w:rsidTr="00B76C4C">
        <w:trPr>
          <w:trHeight w:val="567"/>
          <w:jc w:val="center"/>
        </w:trPr>
        <w:tc>
          <w:tcPr>
            <w:tcW w:w="1129" w:type="dxa"/>
          </w:tcPr>
          <w:p w14:paraId="61B936F7"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197E91E7"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sz w:val="22"/>
                <w:szCs w:val="22"/>
                <w:lang w:val="en-US"/>
              </w:rPr>
              <w:t>Regulatory decision on limit values for human exposure to electromagnetic fields in Haiti</w:t>
            </w:r>
          </w:p>
        </w:tc>
        <w:tc>
          <w:tcPr>
            <w:tcW w:w="1559" w:type="dxa"/>
          </w:tcPr>
          <w:p w14:paraId="27AFFB2C" w14:textId="77777777" w:rsidR="000B3E0D" w:rsidRPr="00FA4573" w:rsidRDefault="000B3E0D" w:rsidP="00B76C4C">
            <w:pPr>
              <w:spacing w:before="40" w:after="40"/>
              <w:rPr>
                <w:rFonts w:ascii="Calibri" w:hAnsi="Calibri" w:cs="Calibri"/>
                <w:bCs/>
                <w:sz w:val="22"/>
                <w:szCs w:val="22"/>
                <w:lang w:eastAsia="ko-KR"/>
              </w:rPr>
            </w:pPr>
            <w:r w:rsidRPr="00FA4573">
              <w:rPr>
                <w:rFonts w:ascii="Calibri" w:hAnsi="Calibri" w:cs="Calibri"/>
                <w:bCs/>
                <w:sz w:val="22"/>
                <w:szCs w:val="22"/>
                <w:lang w:eastAsia="ko-KR"/>
              </w:rPr>
              <w:t>Haiti</w:t>
            </w:r>
          </w:p>
        </w:tc>
        <w:tc>
          <w:tcPr>
            <w:tcW w:w="1559" w:type="dxa"/>
          </w:tcPr>
          <w:p w14:paraId="25439FED" w14:textId="77777777" w:rsidR="000B3E0D" w:rsidRPr="00FA4573" w:rsidRDefault="00803037" w:rsidP="00B76C4C">
            <w:pPr>
              <w:spacing w:before="40" w:after="40"/>
              <w:jc w:val="center"/>
              <w:rPr>
                <w:rStyle w:val="Hyperlink"/>
                <w:rFonts w:ascii="Calibri" w:hAnsi="Calibri" w:cs="Calibri"/>
                <w:sz w:val="22"/>
                <w:szCs w:val="22"/>
              </w:rPr>
            </w:pPr>
            <w:hyperlink r:id="rId182" w:history="1">
              <w:r w:rsidR="000B3E0D" w:rsidRPr="00FA4573">
                <w:rPr>
                  <w:rStyle w:val="Hyperlink"/>
                  <w:rFonts w:ascii="Calibri" w:hAnsi="Calibri" w:cs="Calibri"/>
                  <w:sz w:val="22"/>
                  <w:szCs w:val="22"/>
                  <w:lang w:val="en-US"/>
                </w:rPr>
                <w:t>SG2RGQ/122</w:t>
              </w:r>
            </w:hyperlink>
          </w:p>
        </w:tc>
        <w:tc>
          <w:tcPr>
            <w:tcW w:w="1276" w:type="dxa"/>
          </w:tcPr>
          <w:p w14:paraId="2E5B11E1" w14:textId="77777777" w:rsidR="000B3E0D" w:rsidRPr="00FA4573" w:rsidRDefault="000B3E0D" w:rsidP="00B76C4C">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76C9A2DA"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The contribution discusses the adoption of ITU and ICNIRP Guidelines for setting limit values for human exposure to electromagnetic fields, which requires training and dissemination of ITU documentation to ensure that the national regulations are aligned with international standards.</w:t>
            </w:r>
          </w:p>
        </w:tc>
        <w:tc>
          <w:tcPr>
            <w:tcW w:w="3544" w:type="dxa"/>
          </w:tcPr>
          <w:p w14:paraId="3079754A" w14:textId="77777777" w:rsidR="000B3E0D" w:rsidRPr="00FA4573" w:rsidRDefault="000B3E0D" w:rsidP="00B76C4C">
            <w:pPr>
              <w:spacing w:before="40" w:after="40"/>
              <w:rPr>
                <w:rFonts w:ascii="Calibri" w:hAnsi="Calibri" w:cs="Calibri"/>
                <w:bCs/>
                <w:sz w:val="22"/>
                <w:szCs w:val="22"/>
              </w:rPr>
            </w:pPr>
            <w:r w:rsidRPr="00FA4573">
              <w:rPr>
                <w:rFonts w:ascii="Calibri" w:hAnsi="Calibri" w:cs="Calibri"/>
                <w:bCs/>
                <w:sz w:val="22"/>
                <w:szCs w:val="22"/>
              </w:rPr>
              <w:t xml:space="preserve">"CONATEL adopts </w:t>
            </w:r>
            <w:r w:rsidRPr="00FA4573">
              <w:rPr>
                <w:rFonts w:ascii="Calibri" w:hAnsi="Calibri" w:cs="Calibri"/>
                <w:b/>
                <w:sz w:val="22"/>
                <w:szCs w:val="22"/>
              </w:rPr>
              <w:t>the international Telecommunication Union (ITU</w:t>
            </w:r>
            <w:r w:rsidRPr="00FA4573">
              <w:rPr>
                <w:rFonts w:ascii="Calibri" w:hAnsi="Calibri" w:cs="Calibri"/>
                <w:bCs/>
                <w:sz w:val="22"/>
                <w:szCs w:val="22"/>
              </w:rPr>
              <w:t xml:space="preserve">) and the International Commission on Non-Ionizing Radiation Protection (ICNIRP) </w:t>
            </w:r>
            <w:r w:rsidRPr="00FA4573">
              <w:rPr>
                <w:rFonts w:ascii="Calibri" w:hAnsi="Calibri" w:cs="Calibri"/>
                <w:b/>
                <w:sz w:val="22"/>
                <w:szCs w:val="22"/>
              </w:rPr>
              <w:t>recommendations</w:t>
            </w:r>
            <w:r w:rsidRPr="00FA4573">
              <w:rPr>
                <w:rFonts w:ascii="Calibri" w:hAnsi="Calibri" w:cs="Calibri"/>
                <w:bCs/>
                <w:sz w:val="22"/>
                <w:szCs w:val="22"/>
              </w:rPr>
              <w:t xml:space="preserve"> that are widely used in the world as the reference in this matter."</w:t>
            </w:r>
          </w:p>
          <w:p w14:paraId="3E956788" w14:textId="77777777" w:rsidR="000B3E0D" w:rsidRPr="00FA4573" w:rsidRDefault="000B3E0D" w:rsidP="00B76C4C">
            <w:pPr>
              <w:spacing w:before="40" w:after="40"/>
              <w:rPr>
                <w:rFonts w:ascii="Calibri" w:hAnsi="Calibri" w:cs="Calibri"/>
                <w:bCs/>
                <w:sz w:val="22"/>
                <w:szCs w:val="22"/>
              </w:rPr>
            </w:pPr>
          </w:p>
        </w:tc>
      </w:tr>
    </w:tbl>
    <w:p w14:paraId="2EBF2B00" w14:textId="77777777" w:rsidR="000B3E0D" w:rsidRPr="00FA4573" w:rsidRDefault="000B3E0D" w:rsidP="000B3E0D">
      <w:pPr>
        <w:ind w:right="-126"/>
        <w:rPr>
          <w:rFonts w:eastAsia="Malgun Gothic"/>
          <w:lang w:eastAsia="ko-KR"/>
        </w:rPr>
        <w:sectPr w:rsidR="000B3E0D" w:rsidRPr="00FA4573" w:rsidSect="000B3E0D">
          <w:headerReference w:type="default" r:id="rId183"/>
          <w:footerReference w:type="first" r:id="rId184"/>
          <w:pgSz w:w="16840" w:h="11907" w:orient="landscape" w:code="9"/>
          <w:pgMar w:top="1134" w:right="1418" w:bottom="1134" w:left="900" w:header="720" w:footer="720" w:gutter="0"/>
          <w:cols w:space="720"/>
          <w:docGrid w:linePitch="326"/>
        </w:sectPr>
      </w:pPr>
    </w:p>
    <w:p w14:paraId="76E160A2" w14:textId="77777777" w:rsidR="000B3E0D" w:rsidRPr="00FA4573" w:rsidRDefault="000B3E0D" w:rsidP="000B3E0D">
      <w:pPr>
        <w:pStyle w:val="Heading1"/>
        <w:tabs>
          <w:tab w:val="left" w:pos="993"/>
        </w:tabs>
        <w:spacing w:before="120" w:after="120"/>
        <w:ind w:left="952" w:hanging="952"/>
      </w:pPr>
      <w:bookmarkStart w:id="12" w:name="_Hlk194776556"/>
      <w:bookmarkStart w:id="13" w:name="_Ref194915049"/>
      <w:r w:rsidRPr="00FA4573">
        <w:rPr>
          <w:rFonts w:eastAsia="Malgun Gothic" w:hint="eastAsia"/>
          <w:lang w:eastAsia="ko-KR"/>
        </w:rPr>
        <w:t xml:space="preserve">Annex 7: </w:t>
      </w:r>
      <w:r w:rsidRPr="00FA4573">
        <w:rPr>
          <w:rFonts w:hint="eastAsia"/>
        </w:rPr>
        <w:t>C</w:t>
      </w:r>
      <w:r w:rsidRPr="00FA4573">
        <w:t>ompilation table with the total numbers of possible topics of interest and related developing countries needs in the work of WTDC Resolution 9 (Rev. Kigali, 2022)</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0B3E0D" w:rsidRPr="00FA4573" w14:paraId="52EB3E2D" w14:textId="77777777" w:rsidTr="00B76C4C">
        <w:trPr>
          <w:jc w:val="center"/>
        </w:trPr>
        <w:tc>
          <w:tcPr>
            <w:tcW w:w="7730" w:type="dxa"/>
            <w:tcMar>
              <w:top w:w="0" w:type="dxa"/>
              <w:left w:w="108" w:type="dxa"/>
              <w:bottom w:w="0" w:type="dxa"/>
              <w:right w:w="108" w:type="dxa"/>
            </w:tcMar>
            <w:vAlign w:val="center"/>
            <w:hideMark/>
          </w:tcPr>
          <w:p w14:paraId="3F452B8D" w14:textId="77777777" w:rsidR="000B3E0D" w:rsidRPr="00FA4573" w:rsidRDefault="000B3E0D" w:rsidP="00B76C4C">
            <w:pPr>
              <w:pStyle w:val="NormalWeb"/>
              <w:spacing w:before="40" w:beforeAutospacing="0" w:after="40" w:afterAutospacing="0"/>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Topic</w:t>
            </w:r>
          </w:p>
        </w:tc>
        <w:tc>
          <w:tcPr>
            <w:tcW w:w="1889" w:type="dxa"/>
            <w:tcMar>
              <w:top w:w="0" w:type="dxa"/>
              <w:left w:w="108" w:type="dxa"/>
              <w:bottom w:w="0" w:type="dxa"/>
              <w:right w:w="108" w:type="dxa"/>
            </w:tcMar>
            <w:hideMark/>
          </w:tcPr>
          <w:p w14:paraId="5BA48E12"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Number of related contributions</w:t>
            </w:r>
          </w:p>
        </w:tc>
      </w:tr>
      <w:tr w:rsidR="000B3E0D" w:rsidRPr="00FA4573" w14:paraId="512BEAB8" w14:textId="77777777" w:rsidTr="00B76C4C">
        <w:trPr>
          <w:jc w:val="center"/>
        </w:trPr>
        <w:tc>
          <w:tcPr>
            <w:tcW w:w="7730" w:type="dxa"/>
            <w:tcMar>
              <w:top w:w="0" w:type="dxa"/>
              <w:left w:w="108" w:type="dxa"/>
              <w:bottom w:w="0" w:type="dxa"/>
              <w:right w:w="108" w:type="dxa"/>
            </w:tcMar>
            <w:hideMark/>
          </w:tcPr>
          <w:p w14:paraId="25BD24EF"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raising the awareness of national policy-makers as to the importance of effective spectrum management for a country's economic and social development</w:t>
            </w:r>
          </w:p>
        </w:tc>
        <w:tc>
          <w:tcPr>
            <w:tcW w:w="1889" w:type="dxa"/>
            <w:tcMar>
              <w:top w:w="0" w:type="dxa"/>
              <w:left w:w="108" w:type="dxa"/>
              <w:bottom w:w="0" w:type="dxa"/>
              <w:right w:w="108" w:type="dxa"/>
            </w:tcMar>
            <w:hideMark/>
          </w:tcPr>
          <w:p w14:paraId="643E9D78"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5</w:t>
            </w:r>
          </w:p>
        </w:tc>
      </w:tr>
      <w:tr w:rsidR="000B3E0D" w:rsidRPr="00FA4573" w14:paraId="582FAD05" w14:textId="77777777" w:rsidTr="00B76C4C">
        <w:trPr>
          <w:trHeight w:val="451"/>
          <w:jc w:val="center"/>
        </w:trPr>
        <w:tc>
          <w:tcPr>
            <w:tcW w:w="7730" w:type="dxa"/>
            <w:tcMar>
              <w:top w:w="0" w:type="dxa"/>
              <w:left w:w="108" w:type="dxa"/>
              <w:bottom w:w="0" w:type="dxa"/>
              <w:right w:w="108" w:type="dxa"/>
            </w:tcMar>
            <w:hideMark/>
          </w:tcPr>
          <w:p w14:paraId="1CD884CA"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Training and dissemination of available ITU documentation</w:t>
            </w:r>
          </w:p>
        </w:tc>
        <w:tc>
          <w:tcPr>
            <w:tcW w:w="1889" w:type="dxa"/>
            <w:tcMar>
              <w:top w:w="0" w:type="dxa"/>
              <w:left w:w="108" w:type="dxa"/>
              <w:bottom w:w="0" w:type="dxa"/>
              <w:right w:w="108" w:type="dxa"/>
            </w:tcMar>
            <w:hideMark/>
          </w:tcPr>
          <w:p w14:paraId="396AFB18"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2</w:t>
            </w:r>
          </w:p>
        </w:tc>
      </w:tr>
      <w:tr w:rsidR="000B3E0D" w:rsidRPr="00FA4573" w14:paraId="1ACC0A6B" w14:textId="77777777" w:rsidTr="00B76C4C">
        <w:trPr>
          <w:jc w:val="center"/>
        </w:trPr>
        <w:tc>
          <w:tcPr>
            <w:tcW w:w="7730" w:type="dxa"/>
            <w:tcMar>
              <w:top w:w="0" w:type="dxa"/>
              <w:left w:w="108" w:type="dxa"/>
              <w:bottom w:w="0" w:type="dxa"/>
              <w:right w:w="108" w:type="dxa"/>
            </w:tcMar>
            <w:hideMark/>
          </w:tcPr>
          <w:p w14:paraId="380D88D6"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7A47426B"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5CB640BB" w14:textId="77777777" w:rsidTr="00B76C4C">
        <w:trPr>
          <w:jc w:val="center"/>
        </w:trPr>
        <w:tc>
          <w:tcPr>
            <w:tcW w:w="7730" w:type="dxa"/>
            <w:tcMar>
              <w:top w:w="0" w:type="dxa"/>
              <w:left w:w="108" w:type="dxa"/>
              <w:bottom w:w="0" w:type="dxa"/>
              <w:right w:w="108" w:type="dxa"/>
            </w:tcMar>
            <w:hideMark/>
          </w:tcPr>
          <w:p w14:paraId="20B874FA"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setting up computerized frequency management and monitoring systems</w:t>
            </w:r>
          </w:p>
        </w:tc>
        <w:tc>
          <w:tcPr>
            <w:tcW w:w="1889" w:type="dxa"/>
            <w:tcMar>
              <w:top w:w="0" w:type="dxa"/>
              <w:left w:w="108" w:type="dxa"/>
              <w:bottom w:w="0" w:type="dxa"/>
              <w:right w:w="108" w:type="dxa"/>
            </w:tcMar>
            <w:hideMark/>
          </w:tcPr>
          <w:p w14:paraId="5F6C66F2"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2F759725" w14:textId="77777777" w:rsidTr="00B76C4C">
        <w:trPr>
          <w:jc w:val="center"/>
        </w:trPr>
        <w:tc>
          <w:tcPr>
            <w:tcW w:w="7730" w:type="dxa"/>
            <w:tcMar>
              <w:top w:w="0" w:type="dxa"/>
              <w:left w:w="108" w:type="dxa"/>
              <w:bottom w:w="0" w:type="dxa"/>
              <w:right w:w="108" w:type="dxa"/>
            </w:tcMar>
            <w:hideMark/>
          </w:tcPr>
          <w:p w14:paraId="56DE3893"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Economic and financial aspects of spectrum management</w:t>
            </w:r>
          </w:p>
        </w:tc>
        <w:tc>
          <w:tcPr>
            <w:tcW w:w="1889" w:type="dxa"/>
            <w:tcMar>
              <w:top w:w="0" w:type="dxa"/>
              <w:left w:w="108" w:type="dxa"/>
              <w:bottom w:w="0" w:type="dxa"/>
              <w:right w:w="108" w:type="dxa"/>
            </w:tcMar>
            <w:hideMark/>
          </w:tcPr>
          <w:p w14:paraId="262D35CC"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63214957" w14:textId="77777777" w:rsidTr="00B76C4C">
        <w:trPr>
          <w:jc w:val="center"/>
        </w:trPr>
        <w:tc>
          <w:tcPr>
            <w:tcW w:w="7730" w:type="dxa"/>
            <w:tcMar>
              <w:top w:w="0" w:type="dxa"/>
              <w:left w:w="108" w:type="dxa"/>
              <w:bottom w:w="0" w:type="dxa"/>
              <w:right w:w="108" w:type="dxa"/>
            </w:tcMar>
            <w:hideMark/>
          </w:tcPr>
          <w:p w14:paraId="4D343D95"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682B607B"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007EEF09" w14:textId="77777777" w:rsidTr="00B76C4C">
        <w:trPr>
          <w:jc w:val="center"/>
        </w:trPr>
        <w:tc>
          <w:tcPr>
            <w:tcW w:w="7730" w:type="dxa"/>
            <w:tcMar>
              <w:top w:w="0" w:type="dxa"/>
              <w:left w:w="108" w:type="dxa"/>
              <w:bottom w:w="0" w:type="dxa"/>
              <w:right w:w="108" w:type="dxa"/>
            </w:tcMar>
            <w:hideMark/>
          </w:tcPr>
          <w:p w14:paraId="0F0775B6"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participation in the work of the relevant ITU-R study groups and their working parties</w:t>
            </w:r>
          </w:p>
        </w:tc>
        <w:tc>
          <w:tcPr>
            <w:tcW w:w="1889" w:type="dxa"/>
            <w:tcMar>
              <w:top w:w="0" w:type="dxa"/>
              <w:left w:w="108" w:type="dxa"/>
              <w:bottom w:w="0" w:type="dxa"/>
              <w:right w:w="108" w:type="dxa"/>
            </w:tcMar>
            <w:hideMark/>
          </w:tcPr>
          <w:p w14:paraId="2C3B7832"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361BAC7C" w14:textId="77777777" w:rsidTr="00B76C4C">
        <w:trPr>
          <w:jc w:val="center"/>
        </w:trPr>
        <w:tc>
          <w:tcPr>
            <w:tcW w:w="7730" w:type="dxa"/>
            <w:tcMar>
              <w:top w:w="0" w:type="dxa"/>
              <w:left w:w="108" w:type="dxa"/>
              <w:bottom w:w="0" w:type="dxa"/>
              <w:right w:w="108" w:type="dxa"/>
            </w:tcMar>
            <w:hideMark/>
          </w:tcPr>
          <w:p w14:paraId="20A4C9B8"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Transition to digital terrestrial television broadcasting</w:t>
            </w:r>
          </w:p>
        </w:tc>
        <w:tc>
          <w:tcPr>
            <w:tcW w:w="1889" w:type="dxa"/>
            <w:tcMar>
              <w:top w:w="0" w:type="dxa"/>
              <w:left w:w="108" w:type="dxa"/>
              <w:bottom w:w="0" w:type="dxa"/>
              <w:right w:w="108" w:type="dxa"/>
            </w:tcMar>
            <w:hideMark/>
          </w:tcPr>
          <w:p w14:paraId="6CDB5A14"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775C3C4B" w14:textId="77777777" w:rsidTr="00B76C4C">
        <w:trPr>
          <w:jc w:val="center"/>
        </w:trPr>
        <w:tc>
          <w:tcPr>
            <w:tcW w:w="7730" w:type="dxa"/>
            <w:tcMar>
              <w:top w:w="0" w:type="dxa"/>
              <w:left w:w="108" w:type="dxa"/>
              <w:bottom w:w="0" w:type="dxa"/>
              <w:right w:w="108" w:type="dxa"/>
            </w:tcMar>
            <w:hideMark/>
          </w:tcPr>
          <w:p w14:paraId="5EB4F2FA"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identifying the most efficient ways to utilize the digital dividend</w:t>
            </w:r>
          </w:p>
        </w:tc>
        <w:tc>
          <w:tcPr>
            <w:tcW w:w="1889" w:type="dxa"/>
            <w:tcMar>
              <w:top w:w="0" w:type="dxa"/>
              <w:left w:w="108" w:type="dxa"/>
              <w:bottom w:w="0" w:type="dxa"/>
              <w:right w:w="108" w:type="dxa"/>
            </w:tcMar>
            <w:hideMark/>
          </w:tcPr>
          <w:p w14:paraId="5EDA4A2B"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3BC6570E" w14:textId="77777777" w:rsidTr="00B76C4C">
        <w:trPr>
          <w:jc w:val="center"/>
        </w:trPr>
        <w:tc>
          <w:tcPr>
            <w:tcW w:w="7730" w:type="dxa"/>
            <w:tcMar>
              <w:top w:w="0" w:type="dxa"/>
              <w:left w:w="108" w:type="dxa"/>
              <w:bottom w:w="0" w:type="dxa"/>
              <w:right w:w="108" w:type="dxa"/>
            </w:tcMar>
            <w:hideMark/>
          </w:tcPr>
          <w:p w14:paraId="2881FFEF"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Emerging technologies and approaches in using spectrum</w:t>
            </w:r>
          </w:p>
        </w:tc>
        <w:tc>
          <w:tcPr>
            <w:tcW w:w="1889" w:type="dxa"/>
            <w:tcMar>
              <w:top w:w="0" w:type="dxa"/>
              <w:left w:w="108" w:type="dxa"/>
              <w:bottom w:w="0" w:type="dxa"/>
              <w:right w:w="108" w:type="dxa"/>
            </w:tcMar>
            <w:hideMark/>
          </w:tcPr>
          <w:p w14:paraId="1E4442E0"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4</w:t>
            </w:r>
          </w:p>
        </w:tc>
      </w:tr>
      <w:tr w:rsidR="000B3E0D" w:rsidRPr="00FA4573" w14:paraId="111DF75B" w14:textId="77777777" w:rsidTr="00B76C4C">
        <w:trPr>
          <w:jc w:val="center"/>
        </w:trPr>
        <w:tc>
          <w:tcPr>
            <w:tcW w:w="7730" w:type="dxa"/>
            <w:tcMar>
              <w:top w:w="0" w:type="dxa"/>
              <w:left w:w="108" w:type="dxa"/>
              <w:bottom w:w="0" w:type="dxa"/>
              <w:right w:w="108" w:type="dxa"/>
            </w:tcMar>
            <w:hideMark/>
          </w:tcPr>
          <w:p w14:paraId="43067918"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Innovative ways of spectrum licensing</w:t>
            </w:r>
          </w:p>
        </w:tc>
        <w:tc>
          <w:tcPr>
            <w:tcW w:w="1889" w:type="dxa"/>
            <w:tcMar>
              <w:top w:w="0" w:type="dxa"/>
              <w:left w:w="108" w:type="dxa"/>
              <w:bottom w:w="0" w:type="dxa"/>
              <w:right w:w="108" w:type="dxa"/>
            </w:tcMar>
            <w:hideMark/>
          </w:tcPr>
          <w:p w14:paraId="6A6072B8"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3FB0BD6D" w14:textId="77777777" w:rsidTr="00B76C4C">
        <w:trPr>
          <w:jc w:val="center"/>
        </w:trPr>
        <w:tc>
          <w:tcPr>
            <w:tcW w:w="7730" w:type="dxa"/>
            <w:tcMar>
              <w:top w:w="0" w:type="dxa"/>
              <w:left w:w="108" w:type="dxa"/>
              <w:bottom w:w="0" w:type="dxa"/>
              <w:right w:w="108" w:type="dxa"/>
            </w:tcMar>
            <w:hideMark/>
          </w:tcPr>
          <w:p w14:paraId="45A710DC"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interference caused by devices in derogation of national spectrum allocations</w:t>
            </w:r>
          </w:p>
        </w:tc>
        <w:tc>
          <w:tcPr>
            <w:tcW w:w="1889" w:type="dxa"/>
            <w:tcMar>
              <w:top w:w="0" w:type="dxa"/>
              <w:left w:w="108" w:type="dxa"/>
              <w:bottom w:w="0" w:type="dxa"/>
              <w:right w:w="108" w:type="dxa"/>
            </w:tcMar>
            <w:hideMark/>
          </w:tcPr>
          <w:p w14:paraId="353EA79B"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326D72D4" w14:textId="77777777" w:rsidTr="00B76C4C">
        <w:trPr>
          <w:jc w:val="center"/>
        </w:trPr>
        <w:tc>
          <w:tcPr>
            <w:tcW w:w="7730" w:type="dxa"/>
            <w:tcMar>
              <w:top w:w="0" w:type="dxa"/>
              <w:left w:w="108" w:type="dxa"/>
              <w:bottom w:w="0" w:type="dxa"/>
              <w:right w:w="108" w:type="dxa"/>
            </w:tcMar>
            <w:hideMark/>
          </w:tcPr>
          <w:p w14:paraId="7A5FC973" w14:textId="77777777" w:rsidR="000B3E0D" w:rsidRPr="00FA4573" w:rsidRDefault="000B3E0D" w:rsidP="000B3E0D">
            <w:pPr>
              <w:pStyle w:val="NormalWeb"/>
              <w:numPr>
                <w:ilvl w:val="0"/>
                <w:numId w:val="23"/>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resolving seasonal interference caused by anomalous propagation of radiowaves</w:t>
            </w:r>
          </w:p>
        </w:tc>
        <w:tc>
          <w:tcPr>
            <w:tcW w:w="1889" w:type="dxa"/>
            <w:tcMar>
              <w:top w:w="0" w:type="dxa"/>
              <w:left w:w="108" w:type="dxa"/>
              <w:bottom w:w="0" w:type="dxa"/>
              <w:right w:w="108" w:type="dxa"/>
            </w:tcMar>
            <w:hideMark/>
          </w:tcPr>
          <w:p w14:paraId="47C02C39"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rPr>
            </w:pPr>
          </w:p>
        </w:tc>
      </w:tr>
      <w:tr w:rsidR="000B3E0D" w:rsidRPr="00FA4573" w14:paraId="0DDDEFD0" w14:textId="77777777" w:rsidTr="00B76C4C">
        <w:trPr>
          <w:jc w:val="center"/>
        </w:trPr>
        <w:tc>
          <w:tcPr>
            <w:tcW w:w="7730" w:type="dxa"/>
            <w:tcMar>
              <w:top w:w="0" w:type="dxa"/>
              <w:left w:w="108" w:type="dxa"/>
              <w:bottom w:w="0" w:type="dxa"/>
              <w:right w:w="108" w:type="dxa"/>
            </w:tcMar>
            <w:hideMark/>
          </w:tcPr>
          <w:p w14:paraId="2BDB0CFA" w14:textId="77777777" w:rsidR="000B3E0D" w:rsidRPr="00FA4573" w:rsidRDefault="000B3E0D" w:rsidP="00B76C4C">
            <w:pPr>
              <w:pStyle w:val="NormalWeb"/>
              <w:spacing w:before="40" w:beforeAutospacing="0" w:after="40" w:afterAutospacing="0"/>
              <w:rPr>
                <w:rFonts w:asciiTheme="minorHAnsi" w:hAnsiTheme="minorHAnsi" w:cstheme="minorHAnsi"/>
                <w:b/>
                <w:color w:val="201F1E"/>
                <w:sz w:val="22"/>
                <w:szCs w:val="22"/>
              </w:rPr>
            </w:pPr>
            <w:r w:rsidRPr="00FA4573">
              <w:rPr>
                <w:rFonts w:asciiTheme="minorHAnsi" w:hAnsiTheme="minorHAnsi" w:cstheme="minorHAnsi"/>
                <w:b/>
                <w:color w:val="201F1E"/>
                <w:sz w:val="22"/>
                <w:szCs w:val="22"/>
                <w:bdr w:val="none" w:sz="0" w:space="0" w:color="auto" w:frame="1"/>
              </w:rPr>
              <w:t>Total</w:t>
            </w:r>
          </w:p>
        </w:tc>
        <w:tc>
          <w:tcPr>
            <w:tcW w:w="1889" w:type="dxa"/>
            <w:tcMar>
              <w:top w:w="0" w:type="dxa"/>
              <w:left w:w="108" w:type="dxa"/>
              <w:bottom w:w="0" w:type="dxa"/>
              <w:right w:w="108" w:type="dxa"/>
            </w:tcMar>
            <w:hideMark/>
          </w:tcPr>
          <w:p w14:paraId="0D8DA41F" w14:textId="77777777" w:rsidR="000B3E0D" w:rsidRPr="00FA4573" w:rsidRDefault="000B3E0D" w:rsidP="00B76C4C">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11</w:t>
            </w:r>
          </w:p>
        </w:tc>
      </w:tr>
    </w:tbl>
    <w:p w14:paraId="6B62B1BE" w14:textId="28125E69" w:rsidR="00CE7792" w:rsidRPr="00C1192C" w:rsidRDefault="00CE7792" w:rsidP="00CE7792">
      <w:pPr>
        <w:jc w:val="center"/>
        <w:rPr>
          <w:lang w:val="fr-CH"/>
        </w:rPr>
      </w:pPr>
      <w:r w:rsidRPr="00CE7792">
        <w:rPr>
          <w:lang w:val="fr-CH"/>
        </w:rPr>
        <w:t>_______________</w:t>
      </w:r>
    </w:p>
    <w:sectPr w:rsidR="00CE7792" w:rsidRPr="00C1192C" w:rsidSect="00ED6A29">
      <w:headerReference w:type="default" r:id="rId185"/>
      <w:footerReference w:type="even" r:id="rId186"/>
      <w:headerReference w:type="first" r:id="rId187"/>
      <w:footerReference w:type="first" r:id="rId188"/>
      <w:pgSz w:w="11907" w:h="16840" w:code="9"/>
      <w:pgMar w:top="1134"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0B3E0D" w:rsidRPr="00B6049D" w14:paraId="667314FB" w14:textId="77777777" w:rsidTr="005539C3">
      <w:tc>
        <w:tcPr>
          <w:tcW w:w="1526" w:type="dxa"/>
          <w:tcBorders>
            <w:top w:val="single" w:sz="4" w:space="0" w:color="000000" w:themeColor="text1"/>
          </w:tcBorders>
        </w:tcPr>
        <w:p w14:paraId="382D486B" w14:textId="77777777" w:rsidR="000B3E0D" w:rsidRPr="001B420A" w:rsidRDefault="000B3E0D" w:rsidP="001B030A">
          <w:pPr>
            <w:pStyle w:val="FirstFooter"/>
            <w:tabs>
              <w:tab w:val="left" w:pos="1559"/>
              <w:tab w:val="left" w:pos="3828"/>
            </w:tabs>
            <w:rPr>
              <w:sz w:val="18"/>
              <w:szCs w:val="18"/>
            </w:rPr>
          </w:pPr>
          <w:r w:rsidRPr="001B420A">
            <w:rPr>
              <w:sz w:val="18"/>
              <w:szCs w:val="18"/>
            </w:rPr>
            <w:t>Contact:</w:t>
          </w:r>
        </w:p>
      </w:tc>
      <w:tc>
        <w:tcPr>
          <w:tcW w:w="2410" w:type="dxa"/>
          <w:tcBorders>
            <w:top w:val="single" w:sz="4" w:space="0" w:color="000000" w:themeColor="text1"/>
          </w:tcBorders>
        </w:tcPr>
        <w:p w14:paraId="3C3FFC2D" w14:textId="77777777" w:rsidR="000B3E0D" w:rsidRPr="001B420A" w:rsidRDefault="000B3E0D" w:rsidP="001B030A">
          <w:pPr>
            <w:pStyle w:val="FirstFooter"/>
            <w:tabs>
              <w:tab w:val="left" w:pos="2302"/>
            </w:tabs>
            <w:ind w:left="2302" w:hanging="2302"/>
            <w:rPr>
              <w:sz w:val="18"/>
              <w:szCs w:val="18"/>
              <w:lang w:val="en-US"/>
            </w:rPr>
          </w:pPr>
          <w:r w:rsidRPr="001B420A">
            <w:rPr>
              <w:sz w:val="18"/>
              <w:szCs w:val="18"/>
              <w:lang w:val="fr-CH"/>
            </w:rPr>
            <w:t>Nom/Organisation/Entité:</w:t>
          </w:r>
        </w:p>
      </w:tc>
      <w:tc>
        <w:tcPr>
          <w:tcW w:w="5919" w:type="dxa"/>
          <w:tcBorders>
            <w:top w:val="single" w:sz="4" w:space="0" w:color="000000" w:themeColor="text1"/>
          </w:tcBorders>
        </w:tcPr>
        <w:p w14:paraId="7DBA12E0" w14:textId="3E1DEF1A" w:rsidR="000B3E0D" w:rsidRPr="001B420A" w:rsidRDefault="000B3E0D" w:rsidP="001B030A">
          <w:pPr>
            <w:pStyle w:val="FirstFooter"/>
            <w:rPr>
              <w:sz w:val="18"/>
              <w:szCs w:val="18"/>
              <w:highlight w:val="yellow"/>
              <w:lang w:val="fr-FR"/>
            </w:rPr>
          </w:pPr>
          <w:r w:rsidRPr="001B420A">
            <w:rPr>
              <w:sz w:val="18"/>
              <w:szCs w:val="18"/>
              <w:lang w:val="fr-FR"/>
            </w:rPr>
            <w:t xml:space="preserve">M. Fadel Digham, Président de la Commission </w:t>
          </w:r>
          <w:r w:rsidR="0089542D" w:rsidRPr="001B420A">
            <w:rPr>
              <w:sz w:val="18"/>
              <w:szCs w:val="18"/>
              <w:lang w:val="fr-FR"/>
            </w:rPr>
            <w:t>d'</w:t>
          </w:r>
          <w:r w:rsidRPr="001B420A">
            <w:rPr>
              <w:sz w:val="18"/>
              <w:szCs w:val="18"/>
              <w:lang w:val="fr-FR"/>
            </w:rPr>
            <w:t xml:space="preserve">études 2 de </w:t>
          </w:r>
          <w:r w:rsidR="0089542D" w:rsidRPr="001B420A">
            <w:rPr>
              <w:sz w:val="18"/>
              <w:szCs w:val="18"/>
              <w:lang w:val="fr-FR"/>
            </w:rPr>
            <w:t>l'</w:t>
          </w:r>
          <w:r w:rsidRPr="001B420A">
            <w:rPr>
              <w:sz w:val="18"/>
              <w:szCs w:val="18"/>
              <w:lang w:val="fr-FR"/>
            </w:rPr>
            <w:t>UIT-D</w:t>
          </w:r>
        </w:p>
      </w:tc>
    </w:tr>
    <w:tr w:rsidR="000B3E0D" w:rsidRPr="00CB110F" w14:paraId="6CE8A641" w14:textId="77777777" w:rsidTr="005539C3">
      <w:tc>
        <w:tcPr>
          <w:tcW w:w="1526" w:type="dxa"/>
        </w:tcPr>
        <w:p w14:paraId="67F8D9E4" w14:textId="77777777" w:rsidR="000B3E0D" w:rsidRPr="001B420A" w:rsidRDefault="000B3E0D" w:rsidP="001B030A">
          <w:pPr>
            <w:pStyle w:val="FirstFooter"/>
            <w:tabs>
              <w:tab w:val="left" w:pos="1559"/>
              <w:tab w:val="left" w:pos="3828"/>
            </w:tabs>
            <w:rPr>
              <w:sz w:val="18"/>
              <w:szCs w:val="18"/>
              <w:lang w:val="fr-FR"/>
            </w:rPr>
          </w:pPr>
        </w:p>
      </w:tc>
      <w:tc>
        <w:tcPr>
          <w:tcW w:w="2410" w:type="dxa"/>
        </w:tcPr>
        <w:p w14:paraId="50CBF192" w14:textId="77777777" w:rsidR="000B3E0D" w:rsidRPr="001B420A" w:rsidRDefault="000B3E0D" w:rsidP="001B030A">
          <w:pPr>
            <w:pStyle w:val="FirstFooter"/>
            <w:tabs>
              <w:tab w:val="left" w:pos="2302"/>
            </w:tabs>
            <w:rPr>
              <w:sz w:val="18"/>
              <w:szCs w:val="18"/>
              <w:lang w:val="en-US"/>
            </w:rPr>
          </w:pPr>
          <w:r w:rsidRPr="001B420A">
            <w:rPr>
              <w:sz w:val="18"/>
              <w:szCs w:val="18"/>
              <w:lang w:val="fr-CH"/>
            </w:rPr>
            <w:t>Numéro de téléphone:</w:t>
          </w:r>
        </w:p>
      </w:tc>
      <w:tc>
        <w:tcPr>
          <w:tcW w:w="5919" w:type="dxa"/>
        </w:tcPr>
        <w:p w14:paraId="3AFF3D8A" w14:textId="77777777" w:rsidR="000B3E0D" w:rsidRPr="001B420A" w:rsidRDefault="000B3E0D" w:rsidP="001B030A">
          <w:pPr>
            <w:pStyle w:val="FirstFooter"/>
            <w:tabs>
              <w:tab w:val="left" w:pos="2302"/>
            </w:tabs>
            <w:rPr>
              <w:sz w:val="18"/>
              <w:szCs w:val="18"/>
              <w:highlight w:val="yellow"/>
              <w:lang w:val="en-US"/>
            </w:rPr>
          </w:pPr>
          <w:r w:rsidRPr="001B420A">
            <w:rPr>
              <w:sz w:val="18"/>
              <w:szCs w:val="18"/>
              <w:lang w:val="en-US"/>
            </w:rPr>
            <w:t>+20 100225 8599</w:t>
          </w:r>
        </w:p>
      </w:tc>
    </w:tr>
    <w:tr w:rsidR="000B3E0D" w:rsidRPr="00CB110F" w14:paraId="578F1542" w14:textId="77777777" w:rsidTr="005539C3">
      <w:tc>
        <w:tcPr>
          <w:tcW w:w="1526" w:type="dxa"/>
        </w:tcPr>
        <w:p w14:paraId="343F04A0" w14:textId="77777777" w:rsidR="000B3E0D" w:rsidRPr="001B420A" w:rsidRDefault="000B3E0D" w:rsidP="001B030A">
          <w:pPr>
            <w:pStyle w:val="FirstFooter"/>
            <w:tabs>
              <w:tab w:val="left" w:pos="1559"/>
              <w:tab w:val="left" w:pos="3828"/>
            </w:tabs>
            <w:rPr>
              <w:sz w:val="18"/>
              <w:szCs w:val="18"/>
              <w:lang w:val="en-US"/>
            </w:rPr>
          </w:pPr>
        </w:p>
      </w:tc>
      <w:tc>
        <w:tcPr>
          <w:tcW w:w="2410" w:type="dxa"/>
        </w:tcPr>
        <w:p w14:paraId="70A12F16" w14:textId="77777777" w:rsidR="000B3E0D" w:rsidRPr="001B420A" w:rsidRDefault="000B3E0D" w:rsidP="001B030A">
          <w:pPr>
            <w:pStyle w:val="FirstFooter"/>
            <w:tabs>
              <w:tab w:val="left" w:pos="2302"/>
            </w:tabs>
            <w:rPr>
              <w:sz w:val="18"/>
              <w:szCs w:val="18"/>
              <w:lang w:val="en-US"/>
            </w:rPr>
          </w:pPr>
          <w:r w:rsidRPr="001B420A">
            <w:rPr>
              <w:sz w:val="18"/>
              <w:szCs w:val="18"/>
              <w:lang w:val="fr-CH"/>
            </w:rPr>
            <w:t>Courriel</w:t>
          </w:r>
          <w:r w:rsidRPr="001B420A">
            <w:rPr>
              <w:sz w:val="18"/>
              <w:szCs w:val="18"/>
              <w:lang w:val="en-US"/>
            </w:rPr>
            <w:t>:</w:t>
          </w:r>
        </w:p>
      </w:tc>
      <w:tc>
        <w:tcPr>
          <w:tcW w:w="5919" w:type="dxa"/>
        </w:tcPr>
        <w:p w14:paraId="72984B56" w14:textId="77777777" w:rsidR="000B3E0D" w:rsidRPr="001B420A" w:rsidRDefault="00803037" w:rsidP="001B030A">
          <w:pPr>
            <w:pStyle w:val="FirstFooter"/>
            <w:tabs>
              <w:tab w:val="left" w:pos="2302"/>
            </w:tabs>
            <w:rPr>
              <w:sz w:val="18"/>
              <w:szCs w:val="18"/>
              <w:lang w:val="en-US"/>
            </w:rPr>
          </w:pPr>
          <w:hyperlink r:id="rId1" w:history="1">
            <w:r w:rsidR="000B3E0D" w:rsidRPr="001B420A">
              <w:rPr>
                <w:rStyle w:val="Hyperlink"/>
                <w:sz w:val="18"/>
                <w:szCs w:val="18"/>
                <w:lang w:val="en-US"/>
              </w:rPr>
              <w:t>fdigham@tra.gov.eg</w:t>
            </w:r>
          </w:hyperlink>
          <w:r w:rsidR="000B3E0D" w:rsidRPr="001B420A">
            <w:rPr>
              <w:sz w:val="18"/>
              <w:szCs w:val="18"/>
              <w:lang w:val="en-US"/>
            </w:rPr>
            <w:t xml:space="preserve">; </w:t>
          </w:r>
          <w:hyperlink r:id="rId2" w:history="1">
            <w:r w:rsidR="000B3E0D" w:rsidRPr="001B420A">
              <w:rPr>
                <w:rStyle w:val="Hyperlink"/>
                <w:sz w:val="18"/>
                <w:szCs w:val="18"/>
                <w:lang w:val="en-US"/>
              </w:rPr>
              <w:t>fadel.digham@gmail.com</w:t>
            </w:r>
          </w:hyperlink>
        </w:p>
      </w:tc>
    </w:tr>
  </w:tbl>
  <w:p w14:paraId="272F57ED" w14:textId="643B1E35" w:rsidR="000B3E0D" w:rsidRPr="001B030A" w:rsidRDefault="001B420A" w:rsidP="001B420A">
    <w:pPr>
      <w:pStyle w:val="Footer"/>
      <w:spacing w:before="120"/>
      <w:jc w:val="center"/>
    </w:pPr>
    <w:hyperlink r:id="rId3" w:anchor="/fr" w:history="1">
      <w:r>
        <w:rPr>
          <w:rStyle w:val="Hyperlink"/>
          <w:sz w:val="20"/>
        </w:rPr>
        <w:t>CM</w:t>
      </w:r>
      <w:r>
        <w:rPr>
          <w:rStyle w:val="Hyperlink"/>
          <w:sz w:val="20"/>
        </w:rPr>
        <w:t>D</w:t>
      </w:r>
      <w:r>
        <w:rPr>
          <w:rStyle w:val="Hyperlink"/>
          <w:sz w:val="20"/>
        </w:rPr>
        <w:t>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3E08" w14:textId="77777777" w:rsidR="000B3E0D" w:rsidRDefault="000B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E533" w14:textId="77777777" w:rsidR="000B3E0D" w:rsidRPr="00A525CC" w:rsidRDefault="000B3E0D" w:rsidP="00475B4B">
    <w:pPr>
      <w:tabs>
        <w:tab w:val="center" w:pos="4820"/>
        <w:tab w:val="right" w:pos="9639"/>
      </w:tabs>
      <w:ind w:right="1"/>
      <w:rPr>
        <w:rStyle w:val="ListParagraphChar"/>
      </w:rPr>
    </w:pPr>
    <w:r w:rsidRPr="00972BCD">
      <w:rPr>
        <w:sz w:val="22"/>
        <w:szCs w:val="22"/>
      </w:rPr>
      <w:tab/>
    </w:r>
    <w:r w:rsidRPr="00A54E72">
      <w:rPr>
        <w:sz w:val="22"/>
        <w:szCs w:val="22"/>
        <w:lang w:val="de-CH"/>
      </w:rPr>
      <w:t>TDAG</w:t>
    </w:r>
    <w:r>
      <w:rPr>
        <w:sz w:val="22"/>
        <w:szCs w:val="22"/>
        <w:lang w:val="de-CH"/>
      </w:rPr>
      <w:t>-25</w:t>
    </w:r>
    <w:r w:rsidRPr="00A54E72">
      <w:rPr>
        <w:sz w:val="22"/>
        <w:szCs w:val="22"/>
        <w:lang w:val="de-CH"/>
      </w:rPr>
      <w:t>/</w:t>
    </w:r>
    <w:r>
      <w:rPr>
        <w:sz w:val="22"/>
        <w:szCs w:val="22"/>
        <w:lang w:val="de-CH"/>
      </w:rPr>
      <w:t>7</w:t>
    </w:r>
    <w:r w:rsidRPr="006D271A">
      <w:rPr>
        <w:sz w:val="22"/>
        <w:szCs w:val="22"/>
        <w:lang w:val="de-CH"/>
      </w:rPr>
      <w:t>-</w:t>
    </w:r>
    <w:r>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sz w:val="22"/>
        <w:szCs w:val="22"/>
      </w:rPr>
      <w:t>15</w:t>
    </w:r>
    <w:r w:rsidRPr="00972BCD">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102C92B7"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1B420A">
      <w:rPr>
        <w:noProof/>
      </w:rPr>
      <w:t>10.10.25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81FA" w14:textId="411ACE28" w:rsidR="00D83BF5" w:rsidRPr="00ED6A29" w:rsidRDefault="00D83BF5" w:rsidP="00ED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60A10D45" w14:textId="54253A8D" w:rsidR="000B3E0D" w:rsidRPr="000E0D5A" w:rsidRDefault="000B3E0D" w:rsidP="000B3E0D">
      <w:pPr>
        <w:pStyle w:val="FootnoteText"/>
        <w:rPr>
          <w:lang w:val="fr-FR"/>
        </w:rPr>
      </w:pPr>
      <w:r w:rsidRPr="000E0D5A">
        <w:rPr>
          <w:rStyle w:val="FootnoteReference"/>
          <w:lang w:val="fr-FR"/>
        </w:rPr>
        <w:footnoteRef/>
      </w:r>
      <w:r w:rsidRPr="000E0D5A">
        <w:rPr>
          <w:lang w:val="fr-FR"/>
        </w:rPr>
        <w:tab/>
        <w:t>Voir:</w:t>
      </w:r>
      <w:r w:rsidR="001B420A">
        <w:rPr>
          <w:lang w:val="fr-FR"/>
        </w:rPr>
        <w:t xml:space="preserve"> </w:t>
      </w:r>
      <w:hyperlink r:id="rId1" w:history="1">
        <w:r w:rsidRPr="000E0D5A">
          <w:rPr>
            <w:rStyle w:val="Hyperlink"/>
            <w:lang w:val="fr-FR"/>
          </w:rPr>
          <w:t>https://www.itu.int/en/ITU-D/Study-Groups/2022-2025/Pages/reference/Ongoing-Work.aspx</w:t>
        </w:r>
      </w:hyperlink>
      <w:r w:rsidRPr="000E0D5A">
        <w:rPr>
          <w:lang w:val="fr-FR"/>
        </w:rPr>
        <w:t>.</w:t>
      </w:r>
    </w:p>
  </w:footnote>
  <w:footnote w:id="2">
    <w:p w14:paraId="1D86EFD4" w14:textId="77777777" w:rsidR="000B3E0D" w:rsidRPr="000E0D5A" w:rsidRDefault="000B3E0D" w:rsidP="000B3E0D">
      <w:pPr>
        <w:pStyle w:val="FootnoteText"/>
        <w:rPr>
          <w:lang w:val="fr-FR"/>
        </w:rPr>
      </w:pPr>
      <w:r w:rsidRPr="000E0D5A">
        <w:rPr>
          <w:rStyle w:val="FootnoteReference"/>
          <w:lang w:val="fr-FR"/>
        </w:rPr>
        <w:footnoteRef/>
      </w:r>
      <w:r w:rsidRPr="000E0D5A">
        <w:rPr>
          <w:lang w:val="fr-FR"/>
        </w:rPr>
        <w:tab/>
      </w:r>
      <w:r w:rsidRPr="000E0D5A">
        <w:rPr>
          <w:i/>
          <w:iCs/>
          <w:lang w:val="fr-FR"/>
        </w:rPr>
        <w:t>Ibid</w:t>
      </w:r>
      <w:r w:rsidRPr="001B420A">
        <w:rPr>
          <w:i/>
          <w:iCs/>
          <w:lang w:val="fr-FR"/>
        </w:rPr>
        <w:t>.</w:t>
      </w:r>
    </w:p>
  </w:footnote>
  <w:footnote w:id="3">
    <w:p w14:paraId="5CAB50BC" w14:textId="5D2281AD" w:rsidR="000B3E0D" w:rsidRPr="000E0D5A" w:rsidRDefault="000B3E0D" w:rsidP="000B3E0D">
      <w:pPr>
        <w:pStyle w:val="FootnoteText"/>
        <w:rPr>
          <w:lang w:val="fr-FR"/>
        </w:rPr>
      </w:pPr>
      <w:r w:rsidRPr="000E0D5A">
        <w:rPr>
          <w:rStyle w:val="FootnoteReference"/>
          <w:lang w:val="fr-FR"/>
        </w:rPr>
        <w:footnoteRef/>
      </w:r>
      <w:r w:rsidRPr="000E0D5A">
        <w:rPr>
          <w:lang w:val="fr-FR"/>
        </w:rPr>
        <w:tab/>
        <w:t xml:space="preserve">La liste complète est disponible à </w:t>
      </w:r>
      <w:r w:rsidR="0089542D">
        <w:rPr>
          <w:lang w:val="fr-FR"/>
        </w:rPr>
        <w:t>l'</w:t>
      </w:r>
      <w:r w:rsidRPr="000E0D5A">
        <w:rPr>
          <w:lang w:val="fr-FR"/>
        </w:rPr>
        <w:t>adresse suivante:</w:t>
      </w:r>
      <w:r w:rsidR="001B420A">
        <w:rPr>
          <w:lang w:val="fr-FR"/>
        </w:rPr>
        <w:br/>
      </w:r>
      <w:hyperlink r:id="rId2" w:anchor="/fr" w:history="1">
        <w:r w:rsidRPr="000E0D5A">
          <w:rPr>
            <w:rStyle w:val="Hyperlink"/>
            <w:lang w:val="fr-FR"/>
          </w:rPr>
          <w:t>https://www.itu.int/en/ITU-D/Study-Groups/2022-2025/Pages/events_workshops.aspx</w:t>
        </w:r>
      </w:hyperlink>
      <w:r w:rsidRPr="000E0D5A">
        <w:rPr>
          <w:lang w:val="fr-FR"/>
        </w:rPr>
        <w:t>.</w:t>
      </w:r>
    </w:p>
  </w:footnote>
  <w:footnote w:id="4">
    <w:p w14:paraId="33452965" w14:textId="77777777" w:rsidR="000B3E0D" w:rsidRPr="00872991" w:rsidRDefault="000B3E0D" w:rsidP="000B3E0D">
      <w:pPr>
        <w:pStyle w:val="FootnoteText"/>
        <w:rPr>
          <w:lang w:val="fr-FR"/>
        </w:rPr>
      </w:pPr>
      <w:r w:rsidRPr="000E0D5A">
        <w:rPr>
          <w:rStyle w:val="FootnoteReference"/>
          <w:lang w:val="fr-FR"/>
        </w:rPr>
        <w:footnoteRef/>
      </w:r>
      <w:r w:rsidRPr="000E0D5A">
        <w:rPr>
          <w:lang w:val="fr-FR"/>
        </w:rPr>
        <w:tab/>
      </w:r>
      <w:hyperlink r:id="rId3" w:anchor="/fr" w:history="1">
        <w:r w:rsidRPr="000E0D5A">
          <w:rPr>
            <w:rStyle w:val="Hyperlink"/>
            <w:lang w:val="fr-FR"/>
          </w:rPr>
          <w:t>https://www.itu.int/en/ITU-D/Regional-Presence/Americas/Pages/EVENTS/2024/cons-awa-2024.aspx</w:t>
        </w:r>
      </w:hyperlink>
      <w:r w:rsidRPr="000E0D5A">
        <w:rPr>
          <w:lang w:val="fr-FR"/>
        </w:rPr>
        <w:t>.</w:t>
      </w:r>
    </w:p>
  </w:footnote>
  <w:footnote w:id="5">
    <w:p w14:paraId="7F51CD25" w14:textId="540F442C" w:rsidR="000B3E0D" w:rsidRPr="00AB2727" w:rsidRDefault="000B3E0D" w:rsidP="000B3E0D">
      <w:pPr>
        <w:pStyle w:val="FootnoteText"/>
        <w:rPr>
          <w:lang w:val="fr-CH"/>
        </w:rPr>
      </w:pPr>
      <w:r>
        <w:rPr>
          <w:rStyle w:val="FootnoteReference"/>
        </w:rPr>
        <w:footnoteRef/>
      </w:r>
      <w:r w:rsidR="00EB60A4">
        <w:rPr>
          <w:lang w:val="fr-FR"/>
        </w:rPr>
        <w:tab/>
      </w:r>
      <w:r w:rsidRPr="00AB2727">
        <w:rPr>
          <w:lang w:val="fr-FR"/>
        </w:rPr>
        <w:t xml:space="preserve">Des modifications dans </w:t>
      </w:r>
      <w:r w:rsidR="0089542D">
        <w:rPr>
          <w:lang w:val="fr-FR"/>
        </w:rPr>
        <w:t>l'</w:t>
      </w:r>
      <w:r w:rsidRPr="00AB2727">
        <w:rPr>
          <w:lang w:val="fr-FR"/>
        </w:rPr>
        <w:t xml:space="preserve">équipe de direction </w:t>
      </w:r>
      <w:r w:rsidR="0089542D">
        <w:rPr>
          <w:lang w:val="fr-FR"/>
        </w:rPr>
        <w:t>d'</w:t>
      </w:r>
      <w:r w:rsidRPr="00AB2727">
        <w:rPr>
          <w:lang w:val="fr-FR"/>
        </w:rPr>
        <w:t xml:space="preserve">une commission </w:t>
      </w:r>
      <w:r w:rsidR="0089542D">
        <w:rPr>
          <w:lang w:val="fr-FR"/>
        </w:rPr>
        <w:t>d'</w:t>
      </w:r>
      <w:r w:rsidRPr="00AB2727">
        <w:rPr>
          <w:lang w:val="fr-FR"/>
        </w:rPr>
        <w:t xml:space="preserve">études sont demandées par </w:t>
      </w:r>
      <w:r w:rsidR="0089542D">
        <w:rPr>
          <w:lang w:val="fr-FR"/>
        </w:rPr>
        <w:t>l'</w:t>
      </w:r>
      <w:r w:rsidRPr="00AB2727">
        <w:rPr>
          <w:lang w:val="fr-FR"/>
        </w:rPr>
        <w:t xml:space="preserve">entité dans le cas </w:t>
      </w:r>
      <w:r w:rsidR="0089542D">
        <w:rPr>
          <w:lang w:val="fr-FR"/>
        </w:rPr>
        <w:t>d'</w:t>
      </w:r>
      <w:r w:rsidRPr="00AB2727">
        <w:rPr>
          <w:lang w:val="fr-FR"/>
        </w:rPr>
        <w:t>une évolution de carrière de la personne concernée.</w:t>
      </w:r>
    </w:p>
  </w:footnote>
  <w:footnote w:id="6">
    <w:p w14:paraId="00381342" w14:textId="1B160096" w:rsidR="000B3E0D" w:rsidRPr="00AB2727" w:rsidRDefault="000B3E0D" w:rsidP="003B3D99">
      <w:pPr>
        <w:pStyle w:val="FootnoteText"/>
        <w:rPr>
          <w:rFonts w:eastAsia="Malgun Gothic"/>
          <w:lang w:val="fr-FR"/>
        </w:rPr>
      </w:pPr>
      <w:r w:rsidRPr="00AB2727">
        <w:rPr>
          <w:sz w:val="18"/>
          <w:szCs w:val="18"/>
          <w:lang w:val="fr-FR"/>
        </w:rPr>
        <w:footnoteRef/>
      </w:r>
      <w:r w:rsidR="00EB7263">
        <w:rPr>
          <w:lang w:val="fr-FR"/>
        </w:rPr>
        <w:tab/>
      </w:r>
      <w:r>
        <w:rPr>
          <w:lang w:val="fr-FR"/>
        </w:rPr>
        <w:t xml:space="preserve">Ce chiffre </w:t>
      </w:r>
      <w:r w:rsidR="0089542D">
        <w:rPr>
          <w:lang w:val="fr-FR"/>
        </w:rPr>
        <w:t>n'</w:t>
      </w:r>
      <w:r>
        <w:rPr>
          <w:lang w:val="fr-FR"/>
        </w:rPr>
        <w:t>inclut pas les participants à la réunion informelle des Groupes du Rapporteur de la</w:t>
      </w:r>
      <w:r w:rsidR="003B3D99">
        <w:rPr>
          <w:lang w:val="fr-FR"/>
        </w:rPr>
        <w:t> </w:t>
      </w:r>
      <w:r>
        <w:rPr>
          <w:lang w:val="fr-FR"/>
        </w:rPr>
        <w:t>CE</w:t>
      </w:r>
      <w:r w:rsidR="00EB60A4">
        <w:rPr>
          <w:lang w:val="fr-FR"/>
        </w:rPr>
        <w:t> </w:t>
      </w:r>
      <w:r>
        <w:rPr>
          <w:lang w:val="fr-FR"/>
        </w:rPr>
        <w:t>2 et à la réunion conjointe des CE 1 et 2, qui ont eu lieu en 2021.</w:t>
      </w:r>
    </w:p>
  </w:footnote>
  <w:footnote w:id="7">
    <w:p w14:paraId="0247868C" w14:textId="3ABD9EE3" w:rsidR="000B3E0D" w:rsidRPr="005933D4" w:rsidRDefault="000B3E0D" w:rsidP="000B3E0D">
      <w:pPr>
        <w:pStyle w:val="FootnoteText"/>
        <w:spacing w:before="0"/>
        <w:rPr>
          <w:lang w:val="fr-FR"/>
        </w:rPr>
      </w:pPr>
      <w:r w:rsidRPr="00F34118">
        <w:rPr>
          <w:rStyle w:val="FootnoteReference"/>
          <w:sz w:val="20"/>
          <w:lang w:val="fr-FR"/>
        </w:rPr>
        <w:footnoteRef/>
      </w:r>
      <w:r w:rsidR="00EB60A4">
        <w:rPr>
          <w:lang w:val="fr-FR"/>
        </w:rPr>
        <w:tab/>
      </w:r>
      <w:r>
        <w:rPr>
          <w:lang w:val="fr-FR"/>
        </w:rPr>
        <w:t xml:space="preserve">Ce chiffre </w:t>
      </w:r>
      <w:r w:rsidR="0089542D">
        <w:rPr>
          <w:lang w:val="fr-FR"/>
        </w:rPr>
        <w:t>n'</w:t>
      </w:r>
      <w:r>
        <w:rPr>
          <w:lang w:val="fr-FR"/>
        </w:rPr>
        <w:t>inclut pas les documents de la réunion informelle des Groupes du Rapporteur de la</w:t>
      </w:r>
      <w:r w:rsidR="00A828D3">
        <w:rPr>
          <w:lang w:val="fr-FR"/>
        </w:rPr>
        <w:t> </w:t>
      </w:r>
      <w:r>
        <w:rPr>
          <w:lang w:val="fr-FR"/>
        </w:rPr>
        <w:t>CE 2 et de la réunion conjointe des CE 1 et 2, qui ont eu lieu en 2021.</w:t>
      </w:r>
    </w:p>
  </w:footnote>
  <w:footnote w:id="8">
    <w:p w14:paraId="0D016BDA" w14:textId="04AACAB4" w:rsidR="000B3E0D" w:rsidRPr="005933D4" w:rsidRDefault="000B3E0D" w:rsidP="000B3E0D">
      <w:pPr>
        <w:pStyle w:val="FootnoteText"/>
        <w:spacing w:before="0"/>
        <w:rPr>
          <w:lang w:val="fr-FR"/>
        </w:rPr>
      </w:pPr>
      <w:r w:rsidRPr="00F34118">
        <w:rPr>
          <w:rStyle w:val="FootnoteReference"/>
          <w:sz w:val="20"/>
          <w:lang w:val="fr-FR"/>
        </w:rPr>
        <w:footnoteRef/>
      </w:r>
      <w:r w:rsidR="00EB60A4">
        <w:rPr>
          <w:lang w:val="fr-FR"/>
        </w:rPr>
        <w:tab/>
      </w:r>
      <w:r>
        <w:rPr>
          <w:lang w:val="fr-FR"/>
        </w:rPr>
        <w:t xml:space="preserve">Au cours de cette période </w:t>
      </w:r>
      <w:r w:rsidR="0089542D">
        <w:rPr>
          <w:lang w:val="fr-FR"/>
        </w:rPr>
        <w:t>d'</w:t>
      </w:r>
      <w:r>
        <w:rPr>
          <w:lang w:val="fr-FR"/>
        </w:rPr>
        <w:t xml:space="preserve">études, six réunions ont été tenues, contre huit pendant la période </w:t>
      </w:r>
      <w:r w:rsidR="0089542D">
        <w:rPr>
          <w:lang w:val="fr-FR"/>
        </w:rPr>
        <w:t>d'</w:t>
      </w:r>
      <w:r>
        <w:rPr>
          <w:lang w:val="fr-FR"/>
        </w:rPr>
        <w:t xml:space="preserve">études précédente (et dix si </w:t>
      </w:r>
      <w:r w:rsidR="0089542D">
        <w:rPr>
          <w:lang w:val="fr-FR"/>
        </w:rPr>
        <w:t>l'</w:t>
      </w:r>
      <w:r>
        <w:rPr>
          <w:lang w:val="fr-FR"/>
        </w:rPr>
        <w:t>on tient compte également de la réunion informelle des Groupes du Rapporteur de la CE 2 et de la réunion conjointe CE 1-CE 2).</w:t>
      </w:r>
    </w:p>
  </w:footnote>
  <w:footnote w:id="9">
    <w:p w14:paraId="0A933486" w14:textId="70C6AF91" w:rsidR="000B3E0D" w:rsidRPr="00511A09" w:rsidRDefault="000B3E0D" w:rsidP="000B3E0D">
      <w:pPr>
        <w:pStyle w:val="FootnoteText"/>
        <w:spacing w:before="0"/>
        <w:rPr>
          <w:lang w:val="fr-FR"/>
        </w:rPr>
      </w:pPr>
      <w:r w:rsidRPr="00F34118">
        <w:rPr>
          <w:rStyle w:val="FootnoteReference"/>
          <w:sz w:val="20"/>
          <w:lang w:val="fr-FR"/>
        </w:rPr>
        <w:footnoteRef/>
      </w:r>
      <w:r>
        <w:rPr>
          <w:lang w:val="fr-FR"/>
        </w:rPr>
        <w:tab/>
        <w:t xml:space="preserve">Certaines contributions ont été comptabilisées plus </w:t>
      </w:r>
      <w:r w:rsidR="0089542D">
        <w:rPr>
          <w:lang w:val="fr-FR"/>
        </w:rPr>
        <w:t>d'</w:t>
      </w:r>
      <w:r>
        <w:rPr>
          <w:lang w:val="fr-FR"/>
        </w:rPr>
        <w:t>une fois lors</w:t>
      </w:r>
      <w:r w:rsidR="0089542D">
        <w:rPr>
          <w:lang w:val="fr-FR"/>
        </w:rPr>
        <w:t>qu'</w:t>
      </w:r>
      <w:r>
        <w:rPr>
          <w:lang w:val="fr-FR"/>
        </w:rPr>
        <w:t>elles ont été soumises au titre de plusieurs Questions.</w:t>
      </w:r>
    </w:p>
  </w:footnote>
  <w:footnote w:id="10">
    <w:p w14:paraId="4C529DF5" w14:textId="1574017F" w:rsidR="000B3E0D" w:rsidRPr="00511A09" w:rsidRDefault="000B3E0D" w:rsidP="000B3E0D">
      <w:pPr>
        <w:pStyle w:val="FootnoteText"/>
        <w:rPr>
          <w:lang w:val="fr-CH"/>
        </w:rPr>
      </w:pPr>
      <w:r>
        <w:rPr>
          <w:rStyle w:val="FootnoteReference"/>
        </w:rPr>
        <w:footnoteRef/>
      </w:r>
      <w:r w:rsidR="00EB60A4">
        <w:rPr>
          <w:lang w:val="fr-FR"/>
        </w:rPr>
        <w:tab/>
      </w:r>
      <w:r>
        <w:rPr>
          <w:lang w:val="fr-CH"/>
        </w:rPr>
        <w:t>Ces réunions ont eu lieu en 2025 aux dates suivantes: 1) le 27 janvier pour la Question 6/2</w:t>
      </w:r>
      <w:r w:rsidR="00375F89">
        <w:rPr>
          <w:lang w:val="fr-CH"/>
        </w:rPr>
        <w:t>;</w:t>
      </w:r>
      <w:r>
        <w:rPr>
          <w:lang w:val="fr-CH"/>
        </w:rPr>
        <w:t xml:space="preserve"> 2)</w:t>
      </w:r>
      <w:r w:rsidR="00375F89">
        <w:rPr>
          <w:lang w:val="fr-CH"/>
        </w:rPr>
        <w:t> </w:t>
      </w:r>
      <w:r>
        <w:rPr>
          <w:lang w:val="fr-CH"/>
        </w:rPr>
        <w:t>le</w:t>
      </w:r>
      <w:r w:rsidR="00EB60A4">
        <w:rPr>
          <w:lang w:val="fr-CH"/>
        </w:rPr>
        <w:t> </w:t>
      </w:r>
      <w:r>
        <w:rPr>
          <w:lang w:val="fr-CH"/>
        </w:rPr>
        <w:t>29 janvier pour la Question 4/2</w:t>
      </w:r>
      <w:r w:rsidR="00375F89">
        <w:rPr>
          <w:lang w:val="fr-CH"/>
        </w:rPr>
        <w:t>;</w:t>
      </w:r>
      <w:r>
        <w:rPr>
          <w:lang w:val="fr-CH"/>
        </w:rPr>
        <w:t xml:space="preserve"> 3) le 10 février pour la Question 1/2</w:t>
      </w:r>
      <w:r w:rsidR="00375F89">
        <w:rPr>
          <w:lang w:val="fr-CH"/>
        </w:rPr>
        <w:t>;</w:t>
      </w:r>
      <w:r>
        <w:rPr>
          <w:lang w:val="fr-CH"/>
        </w:rPr>
        <w:t xml:space="preserve"> 4) le 10 février pour la Question 3/2</w:t>
      </w:r>
      <w:r w:rsidR="00375F89">
        <w:rPr>
          <w:lang w:val="fr-CH"/>
        </w:rPr>
        <w:t>;</w:t>
      </w:r>
      <w:r>
        <w:rPr>
          <w:lang w:val="fr-CH"/>
        </w:rPr>
        <w:t xml:space="preserve"> 5) le 13 février pour la Question 7/2</w:t>
      </w:r>
      <w:r w:rsidR="00375F89">
        <w:rPr>
          <w:lang w:val="fr-CH"/>
        </w:rPr>
        <w:t>;</w:t>
      </w:r>
      <w:r>
        <w:rPr>
          <w:lang w:val="fr-CH"/>
        </w:rPr>
        <w:t xml:space="preserve"> 6) le 20 février pour la Question 2/2 et 7)</w:t>
      </w:r>
      <w:r w:rsidR="00375F89">
        <w:rPr>
          <w:lang w:val="fr-CH"/>
        </w:rPr>
        <w:t> </w:t>
      </w:r>
      <w:r>
        <w:rPr>
          <w:lang w:val="fr-CH"/>
        </w:rPr>
        <w:t>le</w:t>
      </w:r>
      <w:r w:rsidR="00EB60A4">
        <w:rPr>
          <w:lang w:val="fr-CH"/>
        </w:rPr>
        <w:t> </w:t>
      </w:r>
      <w:r>
        <w:rPr>
          <w:lang w:val="fr-CH"/>
        </w:rPr>
        <w:t>26</w:t>
      </w:r>
      <w:r w:rsidR="00EB60A4">
        <w:rPr>
          <w:lang w:val="fr-CH"/>
        </w:rPr>
        <w:t> </w:t>
      </w:r>
      <w:r>
        <w:rPr>
          <w:lang w:val="fr-CH"/>
        </w:rPr>
        <w:t>février pour la Question 5/2.</w:t>
      </w:r>
    </w:p>
  </w:footnote>
  <w:footnote w:id="11">
    <w:p w14:paraId="188294B7" w14:textId="77777777" w:rsidR="000B3E0D" w:rsidRPr="002A2D6A" w:rsidRDefault="000B3E0D" w:rsidP="000B3E0D">
      <w:pPr>
        <w:pStyle w:val="FootnoteText"/>
        <w:rPr>
          <w:lang w:val="fr-FR"/>
        </w:rPr>
      </w:pPr>
      <w:r>
        <w:rPr>
          <w:rStyle w:val="FootnoteReference"/>
        </w:rPr>
        <w:footnoteRef/>
      </w:r>
      <w:r w:rsidRPr="00511A09">
        <w:rPr>
          <w:lang w:val="fr-FR"/>
        </w:rPr>
        <w:tab/>
        <w:t xml:space="preserve">Voir: </w:t>
      </w:r>
      <w:hyperlink r:id="rId4" w:history="1">
        <w:r w:rsidRPr="00511A09">
          <w:rPr>
            <w:rStyle w:val="Hyperlink"/>
            <w:lang w:val="fr-FR"/>
          </w:rPr>
          <w:t>https://www.itu.int/en/ITU-D/Study-Groups/2022-2025/Pages/reference/Ongoing-Work.aspx</w:t>
        </w:r>
      </w:hyperlink>
      <w:r w:rsidRPr="00511A09">
        <w:rPr>
          <w:lang w:val="fr-FR"/>
        </w:rPr>
        <w:t>.</w:t>
      </w:r>
    </w:p>
  </w:footnote>
  <w:footnote w:id="12">
    <w:p w14:paraId="648FDE09" w14:textId="77777777" w:rsidR="000B3E0D" w:rsidRPr="009B74DD" w:rsidRDefault="000B3E0D" w:rsidP="000B3E0D">
      <w:pPr>
        <w:pStyle w:val="FootnoteText"/>
        <w:rPr>
          <w:lang w:val="fr-FR"/>
        </w:rPr>
      </w:pPr>
      <w:r>
        <w:rPr>
          <w:rStyle w:val="FootnoteReference"/>
        </w:rPr>
        <w:footnoteRef/>
      </w:r>
      <w:r>
        <w:rPr>
          <w:lang w:val="fr-FR"/>
        </w:rPr>
        <w:t xml:space="preserve"> </w:t>
      </w:r>
      <w:hyperlink r:id="rId5" w:history="1">
        <w:r w:rsidRPr="00511A09">
          <w:rPr>
            <w:rStyle w:val="Hyperlink"/>
            <w:lang w:val="fr-FR"/>
          </w:rPr>
          <w:t>https://www.itu.int/en/ITU-D/Regional-Presence/Americas/Pages/EVENTS/2024/cons-awa-2024.aspx</w:t>
        </w:r>
      </w:hyperlink>
      <w:r w:rsidRPr="00511A09">
        <w:rPr>
          <w:lang w:val="fr-FR"/>
        </w:rPr>
        <w:t>.</w:t>
      </w:r>
    </w:p>
  </w:footnote>
  <w:footnote w:id="13">
    <w:p w14:paraId="7E45E9E4" w14:textId="44F42648" w:rsidR="000B3E0D" w:rsidRPr="00475B4B" w:rsidRDefault="000B3E0D" w:rsidP="000B3E0D">
      <w:pPr>
        <w:pStyle w:val="FootnoteText"/>
        <w:rPr>
          <w:lang w:val="fr-FR"/>
        </w:rPr>
      </w:pPr>
      <w:r>
        <w:rPr>
          <w:rStyle w:val="FootnoteReference"/>
        </w:rPr>
        <w:footnoteRef/>
      </w:r>
      <w:r w:rsidRPr="00511A09">
        <w:rPr>
          <w:lang w:val="fr-FR"/>
        </w:rPr>
        <w:tab/>
      </w:r>
      <w:r w:rsidRPr="00475B4B">
        <w:rPr>
          <w:lang w:val="fr-FR"/>
        </w:rPr>
        <w:t xml:space="preserve">Bien que plusieurs autres contributions sur les jeunes aient été soumises au titre de différentes Questions à </w:t>
      </w:r>
      <w:r w:rsidR="0089542D">
        <w:rPr>
          <w:lang w:val="fr-FR"/>
        </w:rPr>
        <w:t>l'</w:t>
      </w:r>
      <w:r w:rsidRPr="00475B4B">
        <w:rPr>
          <w:lang w:val="fr-FR"/>
        </w:rPr>
        <w:t>étude, elles ne sont pas mentionnées dans le présent rapport pour des raisons de concision.</w:t>
      </w:r>
    </w:p>
  </w:footnote>
  <w:footnote w:id="14">
    <w:p w14:paraId="5B2ABBE0" w14:textId="686AC436" w:rsidR="000B3E0D" w:rsidRPr="00475B4B" w:rsidRDefault="000B3E0D" w:rsidP="000B3E0D">
      <w:pPr>
        <w:pStyle w:val="FootnoteText"/>
        <w:rPr>
          <w:lang w:val="fr-FR"/>
        </w:rPr>
      </w:pPr>
      <w:r w:rsidRPr="00475B4B">
        <w:rPr>
          <w:rStyle w:val="FootnoteReference"/>
          <w:lang w:val="fr-FR"/>
        </w:rPr>
        <w:footnoteRef/>
      </w:r>
      <w:r w:rsidRPr="00475B4B">
        <w:rPr>
          <w:lang w:val="fr-FR"/>
        </w:rPr>
        <w:tab/>
        <w:t xml:space="preserve">Voir: "Document final de la réunion de haut niveau de </w:t>
      </w:r>
      <w:r w:rsidR="0089542D">
        <w:rPr>
          <w:lang w:val="fr-FR"/>
        </w:rPr>
        <w:t>l'</w:t>
      </w:r>
      <w:r w:rsidRPr="00475B4B">
        <w:rPr>
          <w:lang w:val="fr-FR"/>
        </w:rPr>
        <w:t xml:space="preserve">Assemblée générale sur </w:t>
      </w:r>
      <w:r w:rsidR="0089542D">
        <w:rPr>
          <w:lang w:val="fr-FR"/>
        </w:rPr>
        <w:t>l'</w:t>
      </w:r>
      <w:r w:rsidRPr="00475B4B">
        <w:rPr>
          <w:lang w:val="fr-FR"/>
        </w:rPr>
        <w:t xml:space="preserve">examen </w:t>
      </w:r>
      <w:r w:rsidR="0089542D">
        <w:rPr>
          <w:lang w:val="fr-FR"/>
        </w:rPr>
        <w:t>d'</w:t>
      </w:r>
      <w:r w:rsidRPr="00475B4B">
        <w:rPr>
          <w:lang w:val="fr-FR"/>
        </w:rPr>
        <w:t xml:space="preserve">ensemble de la mise en œuvre des textes issus du Sommet mondial sur la société de </w:t>
      </w:r>
      <w:r w:rsidR="0089542D">
        <w:rPr>
          <w:lang w:val="fr-FR"/>
        </w:rPr>
        <w:t>l'</w:t>
      </w:r>
      <w:r w:rsidRPr="00475B4B">
        <w:rPr>
          <w:lang w:val="fr-FR"/>
        </w:rPr>
        <w:t>information",</w:t>
      </w:r>
      <w:r w:rsidR="007B7854">
        <w:rPr>
          <w:lang w:val="fr-FR"/>
        </w:rPr>
        <w:t xml:space="preserve"> </w:t>
      </w:r>
      <w:r w:rsidR="007B7854" w:rsidRPr="007B7854">
        <w:rPr>
          <w:lang w:val="fr-FR"/>
        </w:rPr>
        <w:t xml:space="preserve">Résolution </w:t>
      </w:r>
      <w:hyperlink r:id="rId6" w:history="1">
        <w:r w:rsidR="007B7854">
          <w:rPr>
            <w:rStyle w:val="Hyperlink"/>
            <w:lang w:val="fr-FR"/>
          </w:rPr>
          <w:t>A/70/125</w:t>
        </w:r>
      </w:hyperlink>
      <w:r w:rsidRPr="00475B4B">
        <w:rPr>
          <w:lang w:val="fr-FR"/>
        </w:rPr>
        <w:t>.</w:t>
      </w:r>
    </w:p>
  </w:footnote>
  <w:footnote w:id="15">
    <w:p w14:paraId="11765785" w14:textId="77777777" w:rsidR="000B3E0D" w:rsidRPr="00055C70" w:rsidRDefault="000B3E0D" w:rsidP="000B3E0D">
      <w:pPr>
        <w:pStyle w:val="FootnoteText"/>
        <w:rPr>
          <w:lang w:val="fr-FR"/>
        </w:rPr>
      </w:pPr>
      <w:r w:rsidRPr="00055C70">
        <w:rPr>
          <w:rStyle w:val="FootnoteReference"/>
          <w:lang w:val="fr-FR"/>
        </w:rPr>
        <w:footnoteRef/>
      </w:r>
      <w:r w:rsidRPr="00055C70">
        <w:rPr>
          <w:lang w:val="fr-FR"/>
        </w:rPr>
        <w:tab/>
        <w:t xml:space="preserve">Le répertoire et le tableau de bord des contributions sont disponibles </w:t>
      </w:r>
      <w:hyperlink r:id="rId7" w:history="1">
        <w:r w:rsidRPr="00055C70">
          <w:rPr>
            <w:rStyle w:val="Hyperlink"/>
            <w:lang w:val="fr-FR"/>
          </w:rPr>
          <w:t>ici</w:t>
        </w:r>
      </w:hyperlink>
      <w:r w:rsidRPr="00055C70">
        <w:rPr>
          <w:lang w:val="fr-FR"/>
        </w:rPr>
        <w:t>.</w:t>
      </w:r>
    </w:p>
  </w:footnote>
  <w:footnote w:id="16">
    <w:p w14:paraId="04084650" w14:textId="77777777" w:rsidR="000B3E0D" w:rsidRPr="00911671" w:rsidRDefault="000B3E0D" w:rsidP="000B3E0D">
      <w:pPr>
        <w:pStyle w:val="FootnoteText"/>
        <w:rPr>
          <w:lang w:val="fr-FR"/>
        </w:rPr>
      </w:pPr>
      <w:r w:rsidRPr="00055C70">
        <w:rPr>
          <w:rStyle w:val="FootnoteReference"/>
          <w:lang w:val="fr-FR"/>
        </w:rPr>
        <w:footnoteRef/>
      </w:r>
      <w:r w:rsidRPr="00055C70">
        <w:rPr>
          <w:lang w:val="fr-FR"/>
        </w:rPr>
        <w:tab/>
      </w:r>
      <w:hyperlink r:id="rId8" w:history="1">
        <w:r w:rsidRPr="00055C70">
          <w:rPr>
            <w:rStyle w:val="Hyperlink"/>
            <w:lang w:val="fr-FR"/>
          </w:rPr>
          <w:t>https://translate.itu.int/documents</w:t>
        </w:r>
      </w:hyperlink>
      <w:r w:rsidRPr="00055C70">
        <w:rPr>
          <w:lang w:val="fr-FR"/>
        </w:rPr>
        <w:t>.</w:t>
      </w:r>
    </w:p>
  </w:footnote>
  <w:footnote w:id="17">
    <w:p w14:paraId="4C7E18FE" w14:textId="00D67150" w:rsidR="000B3E0D" w:rsidRPr="00F34118" w:rsidRDefault="000B3E0D" w:rsidP="000B3E0D">
      <w:pPr>
        <w:pStyle w:val="FootnoteText"/>
        <w:spacing w:before="0"/>
      </w:pPr>
      <w:r w:rsidRPr="00F34118">
        <w:rPr>
          <w:rStyle w:val="FootnoteReference"/>
          <w:sz w:val="20"/>
        </w:rPr>
        <w:footnoteRef/>
      </w:r>
      <w:r w:rsidRPr="00F34118">
        <w:t xml:space="preserve"> The word ‘regio</w:t>
      </w:r>
      <w:r w:rsidR="0089542D">
        <w:t>n'</w:t>
      </w:r>
      <w:r w:rsidRPr="00F34118">
        <w:t xml:space="preserve"> here is concordant with the definition from WTDC Resolution 31.</w:t>
      </w:r>
    </w:p>
  </w:footnote>
  <w:footnote w:id="18">
    <w:p w14:paraId="1C91AF61" w14:textId="77777777" w:rsidR="000B3E0D" w:rsidRPr="00F34118" w:rsidRDefault="000B3E0D" w:rsidP="000B3E0D">
      <w:pPr>
        <w:pStyle w:val="FootnoteText"/>
        <w:spacing w:before="0"/>
      </w:pPr>
      <w:r w:rsidRPr="00F34118">
        <w:rPr>
          <w:rStyle w:val="FootnoteReference"/>
          <w:sz w:val="20"/>
        </w:rPr>
        <w:footnoteRef/>
      </w:r>
      <w:r w:rsidRPr="00F34118">
        <w:t xml:space="preserve"> For the avoidance of doubt, no member is required to take any of these mentioned actions: it remains the right of any member to submit nominations and to maintain them unchanged through this period of informal consultations.</w:t>
      </w:r>
    </w:p>
  </w:footnote>
  <w:footnote w:id="19">
    <w:p w14:paraId="1C01CD52" w14:textId="77777777" w:rsidR="000B3E0D" w:rsidRPr="00F34118" w:rsidRDefault="000B3E0D" w:rsidP="000B3E0D">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0">
    <w:p w14:paraId="0C2E754B" w14:textId="77777777" w:rsidR="000B3E0D" w:rsidRPr="00F34118" w:rsidRDefault="000B3E0D" w:rsidP="000B3E0D">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1">
    <w:p w14:paraId="6D56820E" w14:textId="77777777" w:rsidR="000B3E0D" w:rsidRPr="00F34118" w:rsidRDefault="000B3E0D" w:rsidP="000B3E0D">
      <w:pPr>
        <w:pStyle w:val="FootnoteText"/>
        <w:spacing w:before="0"/>
      </w:pPr>
      <w:r w:rsidRPr="00F34118">
        <w:rPr>
          <w:rStyle w:val="FootnoteReference"/>
          <w:sz w:val="20"/>
        </w:rPr>
        <w:footnoteRef/>
      </w:r>
      <w:r w:rsidRPr="00F34118">
        <w:t xml:space="preserve"> 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3BB0" w14:textId="77777777" w:rsidR="000B3E0D" w:rsidRPr="00A525CC" w:rsidRDefault="000B3E0D" w:rsidP="001B420A">
    <w:pPr>
      <w:tabs>
        <w:tab w:val="clear" w:pos="1134"/>
        <w:tab w:val="clear" w:pos="1871"/>
        <w:tab w:val="clear" w:pos="2268"/>
        <w:tab w:val="center" w:pos="4820"/>
        <w:tab w:val="right" w:pos="9639"/>
      </w:tabs>
      <w:ind w:right="1"/>
      <w:rPr>
        <w:rStyle w:val="PageNumber"/>
      </w:rPr>
    </w:pPr>
    <w:r w:rsidRPr="00972BCD">
      <w:rPr>
        <w:sz w:val="22"/>
        <w:szCs w:val="22"/>
      </w:rPr>
      <w:tab/>
    </w:r>
    <w:r>
      <w:rPr>
        <w:sz w:val="22"/>
        <w:szCs w:val="22"/>
        <w:lang w:val="de-CH"/>
      </w:rPr>
      <w:t>WTDC-25</w:t>
    </w:r>
    <w:r w:rsidRPr="00A54E72">
      <w:rPr>
        <w:sz w:val="22"/>
        <w:szCs w:val="22"/>
        <w:lang w:val="de-CH"/>
      </w:rPr>
      <w:t>/</w:t>
    </w:r>
    <w:r>
      <w:rPr>
        <w:sz w:val="22"/>
        <w:szCs w:val="22"/>
        <w:lang w:val="de-CH"/>
      </w:rPr>
      <w:t>12</w:t>
    </w:r>
    <w:r w:rsidRPr="006D271A">
      <w:rPr>
        <w:sz w:val="22"/>
        <w:szCs w:val="22"/>
        <w:lang w:val="de-CH"/>
      </w:rPr>
      <w:t>-</w:t>
    </w:r>
    <w:r>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noProof/>
        <w:sz w:val="22"/>
        <w:szCs w:val="22"/>
        <w:lang w:val="de-CH"/>
      </w:rPr>
      <w:t>2</w:t>
    </w:r>
    <w:r w:rsidRPr="00972BC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46BC" w14:textId="77777777" w:rsidR="00ED6A29" w:rsidRPr="00A525CC" w:rsidRDefault="00ED6A29" w:rsidP="00ED6A29">
    <w:pPr>
      <w:tabs>
        <w:tab w:val="clear" w:pos="1134"/>
        <w:tab w:val="clear" w:pos="1871"/>
        <w:tab w:val="clear" w:pos="2268"/>
        <w:tab w:val="center" w:pos="7088"/>
        <w:tab w:val="right" w:pos="14003"/>
      </w:tabs>
      <w:ind w:right="1"/>
      <w:rPr>
        <w:rStyle w:val="PageNumber"/>
      </w:rPr>
    </w:pPr>
    <w:r w:rsidRPr="00972BCD">
      <w:rPr>
        <w:sz w:val="22"/>
        <w:szCs w:val="22"/>
      </w:rPr>
      <w:tab/>
    </w:r>
    <w:r>
      <w:rPr>
        <w:sz w:val="22"/>
        <w:szCs w:val="22"/>
        <w:lang w:val="de-CH"/>
      </w:rPr>
      <w:t>WTDC-25</w:t>
    </w:r>
    <w:r w:rsidRPr="00A54E72">
      <w:rPr>
        <w:sz w:val="22"/>
        <w:szCs w:val="22"/>
        <w:lang w:val="de-CH"/>
      </w:rPr>
      <w:t>/</w:t>
    </w:r>
    <w:r>
      <w:rPr>
        <w:sz w:val="22"/>
        <w:szCs w:val="22"/>
        <w:lang w:val="de-CH"/>
      </w:rPr>
      <w:t>12</w:t>
    </w:r>
    <w:r w:rsidRPr="006D271A">
      <w:rPr>
        <w:sz w:val="22"/>
        <w:szCs w:val="22"/>
        <w:lang w:val="de-CH"/>
      </w:rPr>
      <w:t>-</w:t>
    </w:r>
    <w:r>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6862" w14:textId="5FD9B40F" w:rsidR="000B3E0D" w:rsidRDefault="00ED6A29" w:rsidP="00ED6A29">
    <w:pPr>
      <w:pStyle w:val="Header"/>
      <w:tabs>
        <w:tab w:val="clear" w:pos="1871"/>
        <w:tab w:val="left" w:pos="1843"/>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36</w:t>
    </w:r>
    <w:r w:rsidRPr="00186F2A">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0C73" w14:textId="33C237E2" w:rsidR="000B3E0D" w:rsidRPr="008937D2" w:rsidRDefault="000B3E0D" w:rsidP="00ED6A29">
    <w:pPr>
      <w:pStyle w:val="Header"/>
      <w:tabs>
        <w:tab w:val="clear" w:pos="1134"/>
        <w:tab w:val="clear" w:pos="1871"/>
        <w:tab w:val="clear" w:pos="2268"/>
        <w:tab w:val="center" w:pos="4820"/>
        <w:tab w:val="right" w:pos="9639"/>
        <w:tab w:val="right" w:pos="14490"/>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w:t>
    </w:r>
    <w:r w:rsidR="00ED6A29">
      <w:rPr>
        <w:rStyle w:val="normaltextrun"/>
        <w:rFonts w:ascii="Calibri" w:hAnsi="Calibri" w:cs="Calibri"/>
        <w:color w:val="000000"/>
        <w:sz w:val="22"/>
        <w:szCs w:val="22"/>
        <w:lang w:val="en-US"/>
      </w:rPr>
      <w:t>F</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0857" w14:textId="700E6C0B" w:rsidR="000B3E0D" w:rsidRPr="00252783" w:rsidRDefault="000B3E0D" w:rsidP="00ED6A29">
    <w:pPr>
      <w:pStyle w:val="Header"/>
      <w:tabs>
        <w:tab w:val="clear" w:pos="1134"/>
        <w:tab w:val="clear" w:pos="1871"/>
        <w:tab w:val="clear" w:pos="2268"/>
        <w:tab w:val="center" w:pos="7088"/>
        <w:tab w:val="right" w:pos="14490"/>
      </w:tabs>
      <w:rPr>
        <w:rFonts w:eastAsia="Malgun Gothic"/>
        <w:lang w:eastAsia="ko-KR"/>
      </w:rPr>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w:t>
    </w:r>
    <w:r w:rsidR="00ED6A29">
      <w:rPr>
        <w:rStyle w:val="normaltextrun"/>
        <w:rFonts w:ascii="Calibri" w:hAnsi="Calibri" w:cs="Calibri"/>
        <w:color w:val="000000"/>
        <w:sz w:val="22"/>
        <w:szCs w:val="22"/>
        <w:lang w:val="en-US"/>
      </w:rPr>
      <w:t>F</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01EA6506" w:rsidR="00A066F1" w:rsidRPr="00D83BF5" w:rsidRDefault="00D83BF5" w:rsidP="00EF1503">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00EF1503" w:rsidRPr="00EF1503">
      <w:rPr>
        <w:sz w:val="22"/>
        <w:szCs w:val="22"/>
        <w:lang w:val="de-CH"/>
      </w:rPr>
      <w:t>WTDC</w:t>
    </w:r>
    <w:r w:rsidR="00CE7792">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F40E33">
      <w:rPr>
        <w:sz w:val="22"/>
        <w:szCs w:val="22"/>
      </w:rPr>
      <w:t>xx-F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C108" w14:textId="3D1FADF8" w:rsidR="00ED6A29" w:rsidRDefault="00ED6A29" w:rsidP="00ED6A29">
    <w:pPr>
      <w:pStyle w:val="Header"/>
      <w:tabs>
        <w:tab w:val="clear" w:pos="1134"/>
        <w:tab w:val="clear" w:pos="1871"/>
        <w:tab w:val="clear" w:pos="2268"/>
        <w:tab w:val="center" w:pos="4820"/>
        <w:tab w:val="right" w:pos="9639"/>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w:t>
    </w:r>
    <w:r>
      <w:rPr>
        <w:rStyle w:val="normaltextrun"/>
        <w:rFonts w:ascii="Calibri" w:hAnsi="Calibri" w:cs="Calibri"/>
        <w:color w:val="000000"/>
        <w:sz w:val="22"/>
        <w:szCs w:val="22"/>
        <w:lang w:val="en-US"/>
      </w:rPr>
      <w:t>F</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36</w:t>
    </w:r>
    <w:r w:rsidRPr="00186F2A">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6237"/>
    <w:multiLevelType w:val="hybridMultilevel"/>
    <w:tmpl w:val="4F18B784"/>
    <w:lvl w:ilvl="0" w:tplc="F910A486">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A7535"/>
    <w:multiLevelType w:val="hybridMultilevel"/>
    <w:tmpl w:val="8C982C88"/>
    <w:lvl w:ilvl="0" w:tplc="BD1A1B0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2441"/>
    <w:multiLevelType w:val="hybridMultilevel"/>
    <w:tmpl w:val="9B3E1F4E"/>
    <w:lvl w:ilvl="0" w:tplc="8DBCFE9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F5E59"/>
    <w:multiLevelType w:val="hybridMultilevel"/>
    <w:tmpl w:val="85EE9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B11D02"/>
    <w:multiLevelType w:val="hybridMultilevel"/>
    <w:tmpl w:val="F5707A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36668"/>
    <w:multiLevelType w:val="hybridMultilevel"/>
    <w:tmpl w:val="C77C7E86"/>
    <w:lvl w:ilvl="0" w:tplc="DB0264F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18510B"/>
    <w:multiLevelType w:val="hybridMultilevel"/>
    <w:tmpl w:val="41A6FE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E39FB"/>
    <w:multiLevelType w:val="hybridMultilevel"/>
    <w:tmpl w:val="C6B48FF8"/>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853458"/>
    <w:multiLevelType w:val="hybridMultilevel"/>
    <w:tmpl w:val="A89CFE3C"/>
    <w:lvl w:ilvl="0" w:tplc="5024D01C">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4568562">
    <w:abstractNumId w:val="13"/>
  </w:num>
  <w:num w:numId="2" w16cid:durableId="1034890111">
    <w:abstractNumId w:val="22"/>
  </w:num>
  <w:num w:numId="3" w16cid:durableId="169108063">
    <w:abstractNumId w:val="20"/>
  </w:num>
  <w:num w:numId="4" w16cid:durableId="957684403">
    <w:abstractNumId w:val="11"/>
  </w:num>
  <w:num w:numId="5" w16cid:durableId="338116411">
    <w:abstractNumId w:val="1"/>
  </w:num>
  <w:num w:numId="6" w16cid:durableId="1439058379">
    <w:abstractNumId w:val="6"/>
  </w:num>
  <w:num w:numId="7" w16cid:durableId="511069841">
    <w:abstractNumId w:val="19"/>
  </w:num>
  <w:num w:numId="8" w16cid:durableId="538128235">
    <w:abstractNumId w:val="21"/>
  </w:num>
  <w:num w:numId="9" w16cid:durableId="648822259">
    <w:abstractNumId w:val="17"/>
  </w:num>
  <w:num w:numId="10" w16cid:durableId="658197435">
    <w:abstractNumId w:val="4"/>
  </w:num>
  <w:num w:numId="11" w16cid:durableId="122162554">
    <w:abstractNumId w:val="10"/>
  </w:num>
  <w:num w:numId="12" w16cid:durableId="455952244">
    <w:abstractNumId w:val="0"/>
  </w:num>
  <w:num w:numId="13" w16cid:durableId="528375864">
    <w:abstractNumId w:val="3"/>
  </w:num>
  <w:num w:numId="14" w16cid:durableId="1423647577">
    <w:abstractNumId w:val="16"/>
  </w:num>
  <w:num w:numId="15" w16cid:durableId="1483235836">
    <w:abstractNumId w:val="15"/>
  </w:num>
  <w:num w:numId="16" w16cid:durableId="60063673">
    <w:abstractNumId w:val="8"/>
  </w:num>
  <w:num w:numId="17" w16cid:durableId="169108774">
    <w:abstractNumId w:val="5"/>
  </w:num>
  <w:num w:numId="18" w16cid:durableId="1062943183">
    <w:abstractNumId w:val="2"/>
  </w:num>
  <w:num w:numId="19" w16cid:durableId="1959678697">
    <w:abstractNumId w:val="18"/>
  </w:num>
  <w:num w:numId="20" w16cid:durableId="2074502329">
    <w:abstractNumId w:val="7"/>
  </w:num>
  <w:num w:numId="21" w16cid:durableId="2122340445">
    <w:abstractNumId w:val="14"/>
  </w:num>
  <w:num w:numId="22" w16cid:durableId="1355955475">
    <w:abstractNumId w:val="12"/>
  </w:num>
  <w:num w:numId="23" w16cid:durableId="76279969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51E79"/>
    <w:rsid w:val="00075C63"/>
    <w:rsid w:val="00077239"/>
    <w:rsid w:val="00080905"/>
    <w:rsid w:val="000822BE"/>
    <w:rsid w:val="00086491"/>
    <w:rsid w:val="00091346"/>
    <w:rsid w:val="00096352"/>
    <w:rsid w:val="000B3E0D"/>
    <w:rsid w:val="000D3E1A"/>
    <w:rsid w:val="000E359D"/>
    <w:rsid w:val="000F73FF"/>
    <w:rsid w:val="00114CF7"/>
    <w:rsid w:val="00123B68"/>
    <w:rsid w:val="00126F2E"/>
    <w:rsid w:val="001404B9"/>
    <w:rsid w:val="00146F6F"/>
    <w:rsid w:val="00147DA1"/>
    <w:rsid w:val="00152957"/>
    <w:rsid w:val="00166374"/>
    <w:rsid w:val="00174623"/>
    <w:rsid w:val="00187BD9"/>
    <w:rsid w:val="00190B55"/>
    <w:rsid w:val="00194CFB"/>
    <w:rsid w:val="001A2C30"/>
    <w:rsid w:val="001B2ED3"/>
    <w:rsid w:val="001B420A"/>
    <w:rsid w:val="001B57A8"/>
    <w:rsid w:val="001C3B5F"/>
    <w:rsid w:val="001D058F"/>
    <w:rsid w:val="001F25CC"/>
    <w:rsid w:val="002009EA"/>
    <w:rsid w:val="00202CA0"/>
    <w:rsid w:val="002154A6"/>
    <w:rsid w:val="002162CD"/>
    <w:rsid w:val="002255B3"/>
    <w:rsid w:val="00236E8A"/>
    <w:rsid w:val="00271316"/>
    <w:rsid w:val="00296313"/>
    <w:rsid w:val="002D58BE"/>
    <w:rsid w:val="002E3ACA"/>
    <w:rsid w:val="003013EE"/>
    <w:rsid w:val="00375F89"/>
    <w:rsid w:val="00377BD3"/>
    <w:rsid w:val="00384088"/>
    <w:rsid w:val="0038489B"/>
    <w:rsid w:val="0039169B"/>
    <w:rsid w:val="003A7F8C"/>
    <w:rsid w:val="003B3D99"/>
    <w:rsid w:val="003B532E"/>
    <w:rsid w:val="003B6F14"/>
    <w:rsid w:val="003B7D04"/>
    <w:rsid w:val="003D0F8B"/>
    <w:rsid w:val="00406208"/>
    <w:rsid w:val="004063C5"/>
    <w:rsid w:val="0040711F"/>
    <w:rsid w:val="004131D4"/>
    <w:rsid w:val="0041348E"/>
    <w:rsid w:val="00446D4B"/>
    <w:rsid w:val="00447308"/>
    <w:rsid w:val="004765FF"/>
    <w:rsid w:val="00492075"/>
    <w:rsid w:val="004969AD"/>
    <w:rsid w:val="004B13CB"/>
    <w:rsid w:val="004B150A"/>
    <w:rsid w:val="004B4FDF"/>
    <w:rsid w:val="004D5D5C"/>
    <w:rsid w:val="004F0EAE"/>
    <w:rsid w:val="0050139F"/>
    <w:rsid w:val="00505A2E"/>
    <w:rsid w:val="00521223"/>
    <w:rsid w:val="00524DF1"/>
    <w:rsid w:val="005254A7"/>
    <w:rsid w:val="00526434"/>
    <w:rsid w:val="00533926"/>
    <w:rsid w:val="0055124D"/>
    <w:rsid w:val="0055140B"/>
    <w:rsid w:val="00554C4F"/>
    <w:rsid w:val="00556E24"/>
    <w:rsid w:val="00561D72"/>
    <w:rsid w:val="00591BD8"/>
    <w:rsid w:val="005964AB"/>
    <w:rsid w:val="005A511B"/>
    <w:rsid w:val="005B44F5"/>
    <w:rsid w:val="005C099A"/>
    <w:rsid w:val="005C1080"/>
    <w:rsid w:val="005C31A5"/>
    <w:rsid w:val="005D7E39"/>
    <w:rsid w:val="005E10C9"/>
    <w:rsid w:val="005E61DD"/>
    <w:rsid w:val="005E6321"/>
    <w:rsid w:val="006023DF"/>
    <w:rsid w:val="0064322F"/>
    <w:rsid w:val="00657DE0"/>
    <w:rsid w:val="00667ECD"/>
    <w:rsid w:val="0067199F"/>
    <w:rsid w:val="0067798E"/>
    <w:rsid w:val="00685313"/>
    <w:rsid w:val="006A0D7E"/>
    <w:rsid w:val="006A6E9B"/>
    <w:rsid w:val="006B7C2A"/>
    <w:rsid w:val="006C23DA"/>
    <w:rsid w:val="006E1B84"/>
    <w:rsid w:val="006E3D45"/>
    <w:rsid w:val="00700A62"/>
    <w:rsid w:val="007149F9"/>
    <w:rsid w:val="00733A30"/>
    <w:rsid w:val="00745AEE"/>
    <w:rsid w:val="007479EA"/>
    <w:rsid w:val="00750F10"/>
    <w:rsid w:val="00772D17"/>
    <w:rsid w:val="007742CA"/>
    <w:rsid w:val="007B7854"/>
    <w:rsid w:val="007D06F0"/>
    <w:rsid w:val="007D45E3"/>
    <w:rsid w:val="007D5320"/>
    <w:rsid w:val="007F735C"/>
    <w:rsid w:val="007F7A91"/>
    <w:rsid w:val="00800972"/>
    <w:rsid w:val="00803037"/>
    <w:rsid w:val="00804475"/>
    <w:rsid w:val="00811633"/>
    <w:rsid w:val="00815C0C"/>
    <w:rsid w:val="00821CEF"/>
    <w:rsid w:val="00832828"/>
    <w:rsid w:val="0083645A"/>
    <w:rsid w:val="00840B0F"/>
    <w:rsid w:val="008711AE"/>
    <w:rsid w:val="00872758"/>
    <w:rsid w:val="00872FC8"/>
    <w:rsid w:val="008801D3"/>
    <w:rsid w:val="008845D0"/>
    <w:rsid w:val="0089542D"/>
    <w:rsid w:val="008B43F2"/>
    <w:rsid w:val="008B61EA"/>
    <w:rsid w:val="008B6CFF"/>
    <w:rsid w:val="008D7991"/>
    <w:rsid w:val="008F0B73"/>
    <w:rsid w:val="00901403"/>
    <w:rsid w:val="00907654"/>
    <w:rsid w:val="00910B26"/>
    <w:rsid w:val="009249C1"/>
    <w:rsid w:val="009274B4"/>
    <w:rsid w:val="009330BA"/>
    <w:rsid w:val="00934EA2"/>
    <w:rsid w:val="00944A5C"/>
    <w:rsid w:val="00952A66"/>
    <w:rsid w:val="00961D12"/>
    <w:rsid w:val="009654D4"/>
    <w:rsid w:val="009B78D5"/>
    <w:rsid w:val="009C56E5"/>
    <w:rsid w:val="009E5FC8"/>
    <w:rsid w:val="009E687A"/>
    <w:rsid w:val="009E77CF"/>
    <w:rsid w:val="00A03C5C"/>
    <w:rsid w:val="00A066F1"/>
    <w:rsid w:val="00A141AF"/>
    <w:rsid w:val="00A15171"/>
    <w:rsid w:val="00A16D29"/>
    <w:rsid w:val="00A20E5E"/>
    <w:rsid w:val="00A30305"/>
    <w:rsid w:val="00A31D2D"/>
    <w:rsid w:val="00A327AF"/>
    <w:rsid w:val="00A4600A"/>
    <w:rsid w:val="00A4721E"/>
    <w:rsid w:val="00A538A6"/>
    <w:rsid w:val="00A54C25"/>
    <w:rsid w:val="00A55B13"/>
    <w:rsid w:val="00A710E7"/>
    <w:rsid w:val="00A71D10"/>
    <w:rsid w:val="00A7372E"/>
    <w:rsid w:val="00A828D3"/>
    <w:rsid w:val="00A93B85"/>
    <w:rsid w:val="00AA0B18"/>
    <w:rsid w:val="00AA25E0"/>
    <w:rsid w:val="00AA666F"/>
    <w:rsid w:val="00AB4927"/>
    <w:rsid w:val="00B004E5"/>
    <w:rsid w:val="00B15F9D"/>
    <w:rsid w:val="00B450D1"/>
    <w:rsid w:val="00B6049D"/>
    <w:rsid w:val="00B639E9"/>
    <w:rsid w:val="00B817CD"/>
    <w:rsid w:val="00B911B2"/>
    <w:rsid w:val="00B91BD5"/>
    <w:rsid w:val="00B951D0"/>
    <w:rsid w:val="00BB29C8"/>
    <w:rsid w:val="00BB3A95"/>
    <w:rsid w:val="00BC0382"/>
    <w:rsid w:val="00C0018F"/>
    <w:rsid w:val="00C010A9"/>
    <w:rsid w:val="00C1132C"/>
    <w:rsid w:val="00C1192C"/>
    <w:rsid w:val="00C20466"/>
    <w:rsid w:val="00C214ED"/>
    <w:rsid w:val="00C234E6"/>
    <w:rsid w:val="00C324A8"/>
    <w:rsid w:val="00C5008F"/>
    <w:rsid w:val="00C54517"/>
    <w:rsid w:val="00C64CD8"/>
    <w:rsid w:val="00C766A2"/>
    <w:rsid w:val="00C77C3A"/>
    <w:rsid w:val="00C97C68"/>
    <w:rsid w:val="00CA1A47"/>
    <w:rsid w:val="00CA54D3"/>
    <w:rsid w:val="00CC247A"/>
    <w:rsid w:val="00CE5E47"/>
    <w:rsid w:val="00CE7792"/>
    <w:rsid w:val="00CF020F"/>
    <w:rsid w:val="00CF2B5B"/>
    <w:rsid w:val="00CF2F46"/>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3CDB"/>
    <w:rsid w:val="00E26226"/>
    <w:rsid w:val="00E4165C"/>
    <w:rsid w:val="00E45D05"/>
    <w:rsid w:val="00E46B58"/>
    <w:rsid w:val="00E55816"/>
    <w:rsid w:val="00E55AEF"/>
    <w:rsid w:val="00E6554D"/>
    <w:rsid w:val="00E80D1A"/>
    <w:rsid w:val="00E976C1"/>
    <w:rsid w:val="00EA12E5"/>
    <w:rsid w:val="00EB60A4"/>
    <w:rsid w:val="00EB7263"/>
    <w:rsid w:val="00EC043A"/>
    <w:rsid w:val="00ED6A29"/>
    <w:rsid w:val="00EF1503"/>
    <w:rsid w:val="00EF4BDF"/>
    <w:rsid w:val="00EF6F6B"/>
    <w:rsid w:val="00F02766"/>
    <w:rsid w:val="00F04067"/>
    <w:rsid w:val="00F05BD4"/>
    <w:rsid w:val="00F11A98"/>
    <w:rsid w:val="00F21A1D"/>
    <w:rsid w:val="00F40E33"/>
    <w:rsid w:val="00F65C19"/>
    <w:rsid w:val="00F81601"/>
    <w:rsid w:val="00F861F9"/>
    <w:rsid w:val="00F966F9"/>
    <w:rsid w:val="00FA3BAF"/>
    <w:rsid w:val="00FB74D7"/>
    <w:rsid w:val="00FC30E4"/>
    <w:rsid w:val="00FD0921"/>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aliases w:val="footer odd,footer,fo,pie de página"/>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header odd1,header odd2,header,header odd3,header odd4,header odd5,header odd6,header1,header2,header3,header odd11,header odd21,header odd7,header4,header odd8,header odd9,header5,header odd12"/>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header odd1 Char,header odd2 Char,header Char,header odd3 Char,header odd4 Char,header odd5 Char,header odd6 Char,header1 Char,header2 Char,header3 Char,header4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List Item,Bulleted Para,CAB - List Bullet,CV text,Dot pt,F5 List Paragraph,FooterText,L,List Paragraph1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CE7792"/>
    <w:rPr>
      <w:color w:val="605E5C"/>
      <w:shd w:val="clear" w:color="auto" w:fill="E1DFDD"/>
    </w:rPr>
  </w:style>
  <w:style w:type="paragraph" w:styleId="Index7">
    <w:name w:val="index 7"/>
    <w:basedOn w:val="Normal"/>
    <w:next w:val="Normal"/>
    <w:qFormat/>
    <w:rsid w:val="000B3E0D"/>
    <w:pPr>
      <w:tabs>
        <w:tab w:val="clear" w:pos="1134"/>
        <w:tab w:val="clear" w:pos="1871"/>
        <w:tab w:val="clear" w:pos="2268"/>
        <w:tab w:val="left" w:pos="794"/>
        <w:tab w:val="left" w:pos="1191"/>
        <w:tab w:val="left" w:pos="1588"/>
        <w:tab w:val="left" w:pos="1985"/>
      </w:tabs>
      <w:ind w:left="1698"/>
    </w:pPr>
  </w:style>
  <w:style w:type="paragraph" w:styleId="Index6">
    <w:name w:val="index 6"/>
    <w:basedOn w:val="Normal"/>
    <w:next w:val="Normal"/>
    <w:qFormat/>
    <w:rsid w:val="000B3E0D"/>
    <w:pPr>
      <w:tabs>
        <w:tab w:val="clear" w:pos="1134"/>
        <w:tab w:val="clear" w:pos="1871"/>
        <w:tab w:val="clear" w:pos="2268"/>
        <w:tab w:val="left" w:pos="794"/>
        <w:tab w:val="left" w:pos="1191"/>
        <w:tab w:val="left" w:pos="1588"/>
        <w:tab w:val="left" w:pos="1985"/>
      </w:tabs>
      <w:ind w:left="1415"/>
    </w:pPr>
  </w:style>
  <w:style w:type="paragraph" w:styleId="Index5">
    <w:name w:val="index 5"/>
    <w:basedOn w:val="Normal"/>
    <w:next w:val="Normal"/>
    <w:rsid w:val="000B3E0D"/>
    <w:pPr>
      <w:tabs>
        <w:tab w:val="clear" w:pos="1134"/>
        <w:tab w:val="clear" w:pos="1871"/>
        <w:tab w:val="clear" w:pos="2268"/>
        <w:tab w:val="left" w:pos="794"/>
        <w:tab w:val="left" w:pos="1191"/>
        <w:tab w:val="left" w:pos="1588"/>
        <w:tab w:val="left" w:pos="1985"/>
      </w:tabs>
      <w:ind w:left="1132"/>
    </w:pPr>
  </w:style>
  <w:style w:type="paragraph" w:styleId="Index4">
    <w:name w:val="index 4"/>
    <w:basedOn w:val="Normal"/>
    <w:next w:val="Normal"/>
    <w:qFormat/>
    <w:rsid w:val="000B3E0D"/>
    <w:pPr>
      <w:tabs>
        <w:tab w:val="clear" w:pos="1134"/>
        <w:tab w:val="clear" w:pos="1871"/>
        <w:tab w:val="clear" w:pos="2268"/>
        <w:tab w:val="left" w:pos="794"/>
        <w:tab w:val="left" w:pos="1191"/>
        <w:tab w:val="left" w:pos="1588"/>
        <w:tab w:val="left" w:pos="1985"/>
      </w:tabs>
      <w:ind w:left="849"/>
    </w:pPr>
  </w:style>
  <w:style w:type="paragraph" w:styleId="Index3">
    <w:name w:val="index 3"/>
    <w:basedOn w:val="Normal"/>
    <w:next w:val="Normal"/>
    <w:semiHidden/>
    <w:rsid w:val="000B3E0D"/>
    <w:pPr>
      <w:tabs>
        <w:tab w:val="clear" w:pos="1134"/>
        <w:tab w:val="clear" w:pos="1871"/>
        <w:tab w:val="clear" w:pos="2268"/>
        <w:tab w:val="left" w:pos="794"/>
        <w:tab w:val="left" w:pos="1191"/>
        <w:tab w:val="left" w:pos="1588"/>
        <w:tab w:val="left" w:pos="1985"/>
      </w:tabs>
      <w:ind w:left="566"/>
    </w:pPr>
  </w:style>
  <w:style w:type="paragraph" w:styleId="Index2">
    <w:name w:val="index 2"/>
    <w:basedOn w:val="Normal"/>
    <w:next w:val="Normal"/>
    <w:semiHidden/>
    <w:rsid w:val="000B3E0D"/>
    <w:pPr>
      <w:tabs>
        <w:tab w:val="clear" w:pos="1134"/>
        <w:tab w:val="clear" w:pos="1871"/>
        <w:tab w:val="clear" w:pos="2268"/>
        <w:tab w:val="left" w:pos="794"/>
        <w:tab w:val="left" w:pos="1191"/>
        <w:tab w:val="left" w:pos="1588"/>
        <w:tab w:val="left" w:pos="1985"/>
      </w:tabs>
      <w:ind w:left="283"/>
    </w:pPr>
  </w:style>
  <w:style w:type="paragraph" w:styleId="Index1">
    <w:name w:val="index 1"/>
    <w:basedOn w:val="Normal"/>
    <w:next w:val="Normal"/>
    <w:rsid w:val="000B3E0D"/>
    <w:pPr>
      <w:tabs>
        <w:tab w:val="clear" w:pos="1134"/>
        <w:tab w:val="clear" w:pos="1871"/>
        <w:tab w:val="clear" w:pos="2268"/>
        <w:tab w:val="left" w:pos="794"/>
        <w:tab w:val="left" w:pos="1191"/>
        <w:tab w:val="left" w:pos="1588"/>
        <w:tab w:val="left" w:pos="1985"/>
      </w:tabs>
    </w:pPr>
  </w:style>
  <w:style w:type="character" w:styleId="LineNumber">
    <w:name w:val="line number"/>
    <w:basedOn w:val="DefaultParagraphFont"/>
    <w:rsid w:val="000B3E0D"/>
  </w:style>
  <w:style w:type="paragraph" w:styleId="IndexHeading">
    <w:name w:val="index heading"/>
    <w:basedOn w:val="Normal"/>
    <w:next w:val="Index1"/>
    <w:rsid w:val="000B3E0D"/>
    <w:pPr>
      <w:tabs>
        <w:tab w:val="clear" w:pos="1134"/>
        <w:tab w:val="clear" w:pos="1871"/>
        <w:tab w:val="clear" w:pos="2268"/>
        <w:tab w:val="left" w:pos="794"/>
        <w:tab w:val="left" w:pos="1191"/>
        <w:tab w:val="left" w:pos="1588"/>
        <w:tab w:val="left" w:pos="1985"/>
      </w:tabs>
    </w:pPr>
  </w:style>
  <w:style w:type="paragraph" w:customStyle="1" w:styleId="toc0">
    <w:name w:val="toc 0"/>
    <w:basedOn w:val="Normal"/>
    <w:next w:val="TOC1"/>
    <w:rsid w:val="000B3E0D"/>
    <w:pPr>
      <w:tabs>
        <w:tab w:val="clear" w:pos="1134"/>
        <w:tab w:val="clear" w:pos="1871"/>
        <w:tab w:val="clear" w:pos="2268"/>
        <w:tab w:val="right" w:pos="9781"/>
      </w:tabs>
    </w:pPr>
    <w:rPr>
      <w:b/>
    </w:rPr>
  </w:style>
  <w:style w:type="paragraph" w:customStyle="1" w:styleId="ASN1">
    <w:name w:val="ASN.1"/>
    <w:basedOn w:val="Normal"/>
    <w:rsid w:val="000B3E0D"/>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TOC9">
    <w:name w:val="toc 9"/>
    <w:basedOn w:val="TOC3"/>
    <w:next w:val="Normal"/>
    <w:qFormat/>
    <w:rsid w:val="000B3E0D"/>
    <w:pPr>
      <w:tabs>
        <w:tab w:val="clear" w:pos="1871"/>
        <w:tab w:val="clear" w:pos="7938"/>
        <w:tab w:val="left" w:pos="964"/>
        <w:tab w:val="left" w:leader="dot" w:pos="8647"/>
      </w:tabs>
      <w:ind w:left="964" w:hanging="964"/>
    </w:pPr>
  </w:style>
  <w:style w:type="paragraph" w:customStyle="1" w:styleId="ddate">
    <w:name w:val="ddate"/>
    <w:basedOn w:val="Normal"/>
    <w:rsid w:val="000B3E0D"/>
    <w:pPr>
      <w:framePr w:hSpace="181" w:wrap="around" w:vAnchor="page" w:hAnchor="margin" w:y="852"/>
      <w:shd w:val="solid" w:color="FFFFFF" w:fill="FFFFFF"/>
      <w:spacing w:before="0"/>
    </w:pPr>
    <w:rPr>
      <w:b/>
      <w:bCs/>
    </w:rPr>
  </w:style>
  <w:style w:type="paragraph" w:customStyle="1" w:styleId="dnum">
    <w:name w:val="dnum"/>
    <w:basedOn w:val="Normal"/>
    <w:rsid w:val="000B3E0D"/>
    <w:pPr>
      <w:framePr w:hSpace="181" w:wrap="around" w:vAnchor="page" w:hAnchor="margin" w:y="852"/>
      <w:shd w:val="solid" w:color="FFFFFF" w:fill="FFFFFF"/>
    </w:pPr>
    <w:rPr>
      <w:b/>
      <w:bCs/>
    </w:rPr>
  </w:style>
  <w:style w:type="paragraph" w:customStyle="1" w:styleId="dorlang">
    <w:name w:val="dorlang"/>
    <w:basedOn w:val="Normal"/>
    <w:rsid w:val="000B3E0D"/>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0B3E0D"/>
    <w:rPr>
      <w:vertAlign w:val="superscript"/>
    </w:rPr>
  </w:style>
  <w:style w:type="paragraph" w:customStyle="1" w:styleId="Recref">
    <w:name w:val="Rec_ref"/>
    <w:basedOn w:val="Rectitle"/>
    <w:next w:val="Recdate"/>
    <w:rsid w:val="000B3E0D"/>
    <w:pPr>
      <w:tabs>
        <w:tab w:val="clear" w:pos="1134"/>
        <w:tab w:val="clear" w:pos="1871"/>
        <w:tab w:val="clear" w:pos="2268"/>
      </w:tabs>
      <w:spacing w:before="120"/>
    </w:pPr>
    <w:rPr>
      <w:b w:val="0"/>
      <w:i/>
      <w:sz w:val="24"/>
    </w:rPr>
  </w:style>
  <w:style w:type="paragraph" w:customStyle="1" w:styleId="Questionref">
    <w:name w:val="Question_ref"/>
    <w:basedOn w:val="Recref"/>
    <w:next w:val="Questiondate"/>
    <w:rsid w:val="000B3E0D"/>
  </w:style>
  <w:style w:type="character" w:customStyle="1" w:styleId="Recdef">
    <w:name w:val="Rec_def"/>
    <w:basedOn w:val="DefaultParagraphFont"/>
    <w:rsid w:val="000B3E0D"/>
    <w:rPr>
      <w:rFonts w:asciiTheme="minorHAnsi" w:hAnsiTheme="minorHAnsi"/>
      <w:b/>
    </w:rPr>
  </w:style>
  <w:style w:type="paragraph" w:customStyle="1" w:styleId="Reftext">
    <w:name w:val="Ref_text"/>
    <w:basedOn w:val="Normal"/>
    <w:rsid w:val="000B3E0D"/>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0B3E0D"/>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pdate">
    <w:name w:val="Rep_date"/>
    <w:basedOn w:val="Recdate"/>
    <w:next w:val="Normalaftertitle"/>
    <w:rsid w:val="000B3E0D"/>
    <w:pPr>
      <w:tabs>
        <w:tab w:val="clear" w:pos="1134"/>
        <w:tab w:val="clear" w:pos="1871"/>
        <w:tab w:val="clear" w:pos="2268"/>
      </w:tabs>
    </w:pPr>
    <w:rPr>
      <w:i/>
    </w:rPr>
  </w:style>
  <w:style w:type="paragraph" w:customStyle="1" w:styleId="RepNo">
    <w:name w:val="Rep_No"/>
    <w:basedOn w:val="RecNo"/>
    <w:next w:val="Reptitle"/>
    <w:rsid w:val="000B3E0D"/>
    <w:pPr>
      <w:tabs>
        <w:tab w:val="clear" w:pos="1134"/>
        <w:tab w:val="clear" w:pos="1871"/>
        <w:tab w:val="clear" w:pos="2268"/>
        <w:tab w:val="left" w:pos="794"/>
        <w:tab w:val="left" w:pos="1191"/>
        <w:tab w:val="left" w:pos="1588"/>
        <w:tab w:val="left" w:pos="1985"/>
      </w:tabs>
    </w:pPr>
  </w:style>
  <w:style w:type="paragraph" w:customStyle="1" w:styleId="Reptitle">
    <w:name w:val="Rep_title"/>
    <w:basedOn w:val="Rectitle"/>
    <w:next w:val="Repref"/>
    <w:rsid w:val="000B3E0D"/>
    <w:pPr>
      <w:tabs>
        <w:tab w:val="clear" w:pos="1134"/>
        <w:tab w:val="clear" w:pos="1871"/>
        <w:tab w:val="clear" w:pos="2268"/>
        <w:tab w:val="left" w:pos="794"/>
        <w:tab w:val="left" w:pos="1191"/>
        <w:tab w:val="left" w:pos="1588"/>
        <w:tab w:val="left" w:pos="1985"/>
      </w:tabs>
    </w:pPr>
  </w:style>
  <w:style w:type="paragraph" w:customStyle="1" w:styleId="Repref">
    <w:name w:val="Rep_ref"/>
    <w:basedOn w:val="Recref"/>
    <w:next w:val="Repdate"/>
    <w:rsid w:val="000B3E0D"/>
  </w:style>
  <w:style w:type="paragraph" w:customStyle="1" w:styleId="Resdate">
    <w:name w:val="Res_date"/>
    <w:basedOn w:val="Recdate"/>
    <w:next w:val="Normalaftertitle"/>
    <w:rsid w:val="000B3E0D"/>
    <w:pPr>
      <w:tabs>
        <w:tab w:val="clear" w:pos="1134"/>
        <w:tab w:val="clear" w:pos="1871"/>
        <w:tab w:val="clear" w:pos="2268"/>
      </w:tabs>
    </w:pPr>
    <w:rPr>
      <w:i/>
    </w:rPr>
  </w:style>
  <w:style w:type="character" w:customStyle="1" w:styleId="Resdef">
    <w:name w:val="Res_def"/>
    <w:basedOn w:val="DefaultParagraphFont"/>
    <w:rsid w:val="000B3E0D"/>
    <w:rPr>
      <w:rFonts w:asciiTheme="minorHAnsi" w:hAnsiTheme="minorHAnsi"/>
      <w:b/>
    </w:rPr>
  </w:style>
  <w:style w:type="paragraph" w:customStyle="1" w:styleId="Resref">
    <w:name w:val="Res_ref"/>
    <w:basedOn w:val="Recref"/>
    <w:next w:val="Resdate"/>
    <w:rsid w:val="000B3E0D"/>
  </w:style>
  <w:style w:type="character" w:styleId="PageNumber">
    <w:name w:val="page number"/>
    <w:basedOn w:val="DefaultParagraphFont"/>
    <w:rsid w:val="000B3E0D"/>
    <w:rPr>
      <w:rFonts w:asciiTheme="minorHAnsi" w:hAnsiTheme="minorHAnsi"/>
    </w:rPr>
  </w:style>
  <w:style w:type="table" w:styleId="TableGrid">
    <w:name w:val="Table Grid"/>
    <w:basedOn w:val="TableNormal"/>
    <w:uiPriority w:val="39"/>
    <w:qFormat/>
    <w:rsid w:val="000B3E0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0B3E0D"/>
    <w:pPr>
      <w:jc w:val="center"/>
    </w:pPr>
    <w:rPr>
      <w:rFonts w:ascii="Calibri" w:eastAsia="SimHei" w:hAnsi="Calibri" w:cs="Simplified Arabic"/>
      <w:sz w:val="22"/>
      <w:szCs w:val="28"/>
      <w:lang w:val="en-GB" w:eastAsia="en-US"/>
    </w:rPr>
  </w:style>
  <w:style w:type="character" w:customStyle="1" w:styleId="Heading1Char">
    <w:name w:val="Heading 1 Char"/>
    <w:link w:val="Heading1"/>
    <w:rsid w:val="000B3E0D"/>
    <w:rPr>
      <w:rFonts w:asciiTheme="minorHAnsi" w:hAnsiTheme="minorHAnsi"/>
      <w:b/>
      <w:sz w:val="28"/>
      <w:lang w:val="en-GB" w:eastAsia="en-US"/>
    </w:rPr>
  </w:style>
  <w:style w:type="character" w:customStyle="1" w:styleId="Heading2Char">
    <w:name w:val="Heading 2 Char"/>
    <w:link w:val="Heading2"/>
    <w:rsid w:val="000B3E0D"/>
    <w:rPr>
      <w:rFonts w:asciiTheme="minorHAnsi" w:hAnsiTheme="minorHAnsi"/>
      <w:b/>
      <w:sz w:val="24"/>
      <w:lang w:val="en-GB" w:eastAsia="en-US"/>
    </w:rPr>
  </w:style>
  <w:style w:type="character" w:customStyle="1" w:styleId="Heading3Char">
    <w:name w:val="Heading 3 Char"/>
    <w:link w:val="Heading3"/>
    <w:rsid w:val="000B3E0D"/>
    <w:rPr>
      <w:rFonts w:asciiTheme="minorHAnsi" w:hAnsiTheme="minorHAnsi"/>
      <w:b/>
      <w:sz w:val="24"/>
      <w:lang w:val="en-GB" w:eastAsia="en-US"/>
    </w:rPr>
  </w:style>
  <w:style w:type="character" w:customStyle="1" w:styleId="Heading4Char">
    <w:name w:val="Heading 4 Char"/>
    <w:basedOn w:val="DefaultParagraphFont"/>
    <w:link w:val="Heading4"/>
    <w:rsid w:val="000B3E0D"/>
    <w:rPr>
      <w:rFonts w:asciiTheme="minorHAnsi" w:hAnsiTheme="minorHAnsi"/>
      <w:b/>
      <w:sz w:val="24"/>
      <w:lang w:val="en-GB" w:eastAsia="en-US"/>
    </w:rPr>
  </w:style>
  <w:style w:type="character" w:customStyle="1" w:styleId="Heading5Char">
    <w:name w:val="Heading 5 Char"/>
    <w:basedOn w:val="DefaultParagraphFont"/>
    <w:link w:val="Heading5"/>
    <w:rsid w:val="000B3E0D"/>
    <w:rPr>
      <w:rFonts w:asciiTheme="minorHAnsi" w:hAnsiTheme="minorHAnsi"/>
      <w:b/>
      <w:sz w:val="24"/>
      <w:lang w:val="en-GB" w:eastAsia="en-US"/>
    </w:rPr>
  </w:style>
  <w:style w:type="character" w:customStyle="1" w:styleId="Heading6Char">
    <w:name w:val="Heading 6 Char"/>
    <w:basedOn w:val="DefaultParagraphFont"/>
    <w:link w:val="Heading6"/>
    <w:rsid w:val="000B3E0D"/>
    <w:rPr>
      <w:rFonts w:asciiTheme="minorHAnsi" w:hAnsiTheme="minorHAnsi"/>
      <w:b/>
      <w:sz w:val="24"/>
      <w:lang w:val="en-GB" w:eastAsia="en-US"/>
    </w:rPr>
  </w:style>
  <w:style w:type="character" w:customStyle="1" w:styleId="Heading7Char">
    <w:name w:val="Heading 7 Char"/>
    <w:basedOn w:val="DefaultParagraphFont"/>
    <w:link w:val="Heading7"/>
    <w:rsid w:val="000B3E0D"/>
    <w:rPr>
      <w:rFonts w:asciiTheme="minorHAnsi" w:hAnsiTheme="minorHAnsi"/>
      <w:b/>
      <w:sz w:val="24"/>
      <w:lang w:val="en-GB" w:eastAsia="en-US"/>
    </w:rPr>
  </w:style>
  <w:style w:type="character" w:customStyle="1" w:styleId="Heading8Char">
    <w:name w:val="Heading 8 Char"/>
    <w:basedOn w:val="DefaultParagraphFont"/>
    <w:link w:val="Heading8"/>
    <w:rsid w:val="000B3E0D"/>
    <w:rPr>
      <w:rFonts w:asciiTheme="minorHAnsi" w:hAnsiTheme="minorHAnsi"/>
      <w:b/>
      <w:sz w:val="24"/>
      <w:lang w:val="en-GB" w:eastAsia="en-US"/>
    </w:rPr>
  </w:style>
  <w:style w:type="character" w:customStyle="1" w:styleId="Heading9Char">
    <w:name w:val="Heading 9 Char"/>
    <w:basedOn w:val="DefaultParagraphFont"/>
    <w:link w:val="Heading9"/>
    <w:rsid w:val="000B3E0D"/>
    <w:rPr>
      <w:rFonts w:asciiTheme="minorHAnsi" w:hAnsiTheme="minorHAnsi"/>
      <w:b/>
      <w:sz w:val="24"/>
      <w:lang w:val="en-GB" w:eastAsia="en-US"/>
    </w:rPr>
  </w:style>
  <w:style w:type="character" w:customStyle="1" w:styleId="CallChar">
    <w:name w:val="Call Char"/>
    <w:link w:val="Call"/>
    <w:rsid w:val="000B3E0D"/>
    <w:rPr>
      <w:rFonts w:asciiTheme="minorHAnsi" w:hAnsiTheme="minorHAnsi"/>
      <w:i/>
      <w:sz w:val="24"/>
      <w:lang w:val="en-GB" w:eastAsia="en-US"/>
    </w:rPr>
  </w:style>
  <w:style w:type="character" w:customStyle="1" w:styleId="enumlev1Char">
    <w:name w:val="enumlev1 Char"/>
    <w:link w:val="enumlev1"/>
    <w:qFormat/>
    <w:rsid w:val="000B3E0D"/>
    <w:rPr>
      <w:rFonts w:asciiTheme="minorHAnsi" w:hAnsiTheme="minorHAnsi"/>
      <w:sz w:val="24"/>
      <w:lang w:val="en-GB" w:eastAsia="en-US"/>
    </w:rPr>
  </w:style>
  <w:style w:type="character" w:customStyle="1" w:styleId="FigureNoChar">
    <w:name w:val="Figure_No Char"/>
    <w:basedOn w:val="DefaultParagraphFont"/>
    <w:link w:val="FigureNo"/>
    <w:rsid w:val="000B3E0D"/>
    <w:rPr>
      <w:rFonts w:asciiTheme="minorHAnsi" w:hAnsiTheme="minorHAnsi"/>
      <w:caps/>
      <w:lang w:val="en-GB" w:eastAsia="en-US"/>
    </w:rPr>
  </w:style>
  <w:style w:type="character" w:customStyle="1" w:styleId="FiguretitleChar">
    <w:name w:val="Figure_title Char"/>
    <w:basedOn w:val="DefaultParagraphFont"/>
    <w:link w:val="Figuretitle"/>
    <w:rsid w:val="000B3E0D"/>
    <w:rPr>
      <w:rFonts w:asciiTheme="minorHAnsi" w:hAnsiTheme="minorHAnsi"/>
      <w:b/>
      <w:lang w:val="en-GB" w:eastAsia="en-US"/>
    </w:rPr>
  </w:style>
  <w:style w:type="character" w:customStyle="1" w:styleId="SourceChar">
    <w:name w:val="Source Char"/>
    <w:link w:val="Source"/>
    <w:locked/>
    <w:rsid w:val="000B3E0D"/>
    <w:rPr>
      <w:rFonts w:asciiTheme="minorHAnsi" w:hAnsiTheme="minorHAnsi"/>
      <w:b/>
      <w:sz w:val="28"/>
      <w:lang w:val="en-GB" w:eastAsia="en-US"/>
    </w:rPr>
  </w:style>
  <w:style w:type="character" w:customStyle="1" w:styleId="Title1Char">
    <w:name w:val="Title 1 Char"/>
    <w:link w:val="Title1"/>
    <w:qFormat/>
    <w:locked/>
    <w:rsid w:val="000B3E0D"/>
    <w:rPr>
      <w:rFonts w:asciiTheme="minorHAnsi" w:hAnsiTheme="minorHAnsi"/>
      <w:caps/>
      <w:sz w:val="28"/>
      <w:lang w:val="en-GB" w:eastAsia="en-US"/>
    </w:rPr>
  </w:style>
  <w:style w:type="character" w:customStyle="1" w:styleId="TabletextChar">
    <w:name w:val="Table_text Char"/>
    <w:link w:val="Tabletext"/>
    <w:locked/>
    <w:rsid w:val="000B3E0D"/>
    <w:rPr>
      <w:rFonts w:asciiTheme="minorHAnsi" w:hAnsiTheme="minorHAnsi"/>
      <w:lang w:val="en-GB" w:eastAsia="en-US"/>
    </w:rPr>
  </w:style>
  <w:style w:type="character" w:customStyle="1" w:styleId="HeadingbChar">
    <w:name w:val="Heading_b Char"/>
    <w:basedOn w:val="DefaultParagraphFont"/>
    <w:link w:val="Headingb"/>
    <w:locked/>
    <w:rsid w:val="000B3E0D"/>
    <w:rPr>
      <w:rFonts w:asciiTheme="minorHAnsi" w:hAnsiTheme="minorHAnsi" w:cs="Times New Roman Bold"/>
      <w:b/>
      <w:sz w:val="24"/>
      <w:lang w:val="fr-CH" w:eastAsia="en-US"/>
    </w:rPr>
  </w:style>
  <w:style w:type="character" w:customStyle="1" w:styleId="ResNoChar">
    <w:name w:val="Res_No Char"/>
    <w:basedOn w:val="DefaultParagraphFont"/>
    <w:link w:val="ResNo"/>
    <w:rsid w:val="000B3E0D"/>
    <w:rPr>
      <w:rFonts w:asciiTheme="minorHAnsi" w:hAnsiTheme="minorHAnsi"/>
      <w:caps/>
      <w:sz w:val="28"/>
      <w:lang w:val="en-GB" w:eastAsia="en-US"/>
    </w:rPr>
  </w:style>
  <w:style w:type="character" w:customStyle="1" w:styleId="RestitleChar">
    <w:name w:val="Res_title Char"/>
    <w:link w:val="Restitle"/>
    <w:rsid w:val="000B3E0D"/>
    <w:rPr>
      <w:rFonts w:asciiTheme="minorHAnsi" w:hAnsiTheme="minorHAnsi"/>
      <w:b/>
      <w:sz w:val="28"/>
      <w:lang w:val="en-GB" w:eastAsia="en-US"/>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Char,List Item Char,Bulleted Para Char,CV text Char"/>
    <w:link w:val="ListParagraph"/>
    <w:uiPriority w:val="34"/>
    <w:qFormat/>
    <w:rsid w:val="000B3E0D"/>
    <w:rPr>
      <w:rFonts w:asciiTheme="minorHAnsi" w:hAnsiTheme="minorHAnsi"/>
      <w:sz w:val="24"/>
      <w:lang w:val="en-GB" w:eastAsia="en-US"/>
    </w:rPr>
  </w:style>
  <w:style w:type="paragraph" w:customStyle="1" w:styleId="Default">
    <w:name w:val="Default"/>
    <w:qFormat/>
    <w:rsid w:val="000B3E0D"/>
    <w:pPr>
      <w:widowControl w:val="0"/>
      <w:autoSpaceDE w:val="0"/>
      <w:autoSpaceDN w:val="0"/>
      <w:adjustRightInd w:val="0"/>
      <w:spacing w:line="360" w:lineRule="atLeast"/>
      <w:jc w:val="both"/>
      <w:textAlignment w:val="baseline"/>
    </w:pPr>
    <w:rPr>
      <w:rFonts w:ascii="Verdana" w:hAnsi="Verdana"/>
      <w:color w:val="000000"/>
      <w:sz w:val="24"/>
      <w:szCs w:val="24"/>
      <w:lang w:val="en-GB" w:eastAsia="en-US"/>
    </w:rPr>
  </w:style>
  <w:style w:type="paragraph" w:customStyle="1" w:styleId="CEOcontributionStart">
    <w:name w:val="CEO_contributionStart"/>
    <w:basedOn w:val="Normal"/>
    <w:qFormat/>
    <w:rsid w:val="000B3E0D"/>
    <w:pPr>
      <w:widowControl w:val="0"/>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unhideWhenUsed/>
    <w:rsid w:val="000B3E0D"/>
    <w:rPr>
      <w:sz w:val="16"/>
      <w:szCs w:val="16"/>
    </w:rPr>
  </w:style>
  <w:style w:type="paragraph" w:styleId="CommentText">
    <w:name w:val="annotation text"/>
    <w:basedOn w:val="Normal"/>
    <w:link w:val="CommentTextChar"/>
    <w:unhideWhenUsed/>
    <w:qFormat/>
    <w:rsid w:val="000B3E0D"/>
    <w:pPr>
      <w:widowControl w:val="0"/>
    </w:pPr>
    <w:rPr>
      <w:sz w:val="20"/>
    </w:rPr>
  </w:style>
  <w:style w:type="character" w:customStyle="1" w:styleId="CommentTextChar">
    <w:name w:val="Comment Text Char"/>
    <w:basedOn w:val="DefaultParagraphFont"/>
    <w:link w:val="CommentText"/>
    <w:rsid w:val="000B3E0D"/>
    <w:rPr>
      <w:rFonts w:asciiTheme="minorHAnsi" w:hAnsiTheme="minorHAnsi"/>
      <w:lang w:val="en-GB" w:eastAsia="en-US"/>
    </w:rPr>
  </w:style>
  <w:style w:type="paragraph" w:styleId="CommentSubject">
    <w:name w:val="annotation subject"/>
    <w:basedOn w:val="CommentText"/>
    <w:next w:val="CommentText"/>
    <w:link w:val="CommentSubjectChar"/>
    <w:unhideWhenUsed/>
    <w:rsid w:val="000B3E0D"/>
    <w:rPr>
      <w:b/>
      <w:bCs/>
    </w:rPr>
  </w:style>
  <w:style w:type="character" w:customStyle="1" w:styleId="CommentSubjectChar">
    <w:name w:val="Comment Subject Char"/>
    <w:basedOn w:val="CommentTextChar"/>
    <w:link w:val="CommentSubject"/>
    <w:rsid w:val="000B3E0D"/>
    <w:rPr>
      <w:rFonts w:asciiTheme="minorHAnsi" w:hAnsiTheme="minorHAnsi"/>
      <w:b/>
      <w:bCs/>
      <w:lang w:val="en-GB" w:eastAsia="en-US"/>
    </w:rPr>
  </w:style>
  <w:style w:type="paragraph" w:styleId="Revision">
    <w:name w:val="Revision"/>
    <w:hidden/>
    <w:uiPriority w:val="99"/>
    <w:rsid w:val="000B3E0D"/>
    <w:pPr>
      <w:widowControl w:val="0"/>
      <w:adjustRightInd w:val="0"/>
      <w:spacing w:line="360" w:lineRule="atLeast"/>
      <w:jc w:val="both"/>
      <w:textAlignment w:val="baseline"/>
    </w:pPr>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0B3E0D"/>
    <w:rPr>
      <w:color w:val="605E5C"/>
      <w:shd w:val="clear" w:color="auto" w:fill="E1DFDD"/>
    </w:rPr>
  </w:style>
  <w:style w:type="character" w:customStyle="1" w:styleId="UnresolvedMention2">
    <w:name w:val="Unresolved Mention2"/>
    <w:basedOn w:val="DefaultParagraphFont"/>
    <w:uiPriority w:val="99"/>
    <w:semiHidden/>
    <w:unhideWhenUsed/>
    <w:rsid w:val="000B3E0D"/>
    <w:rPr>
      <w:color w:val="605E5C"/>
      <w:shd w:val="clear" w:color="auto" w:fill="E1DFDD"/>
    </w:rPr>
  </w:style>
  <w:style w:type="paragraph" w:customStyle="1" w:styleId="m-6302565922324221804msolistparagraph">
    <w:name w:val="m_-6302565922324221804msolistparagraph"/>
    <w:basedOn w:val="Normal"/>
    <w:rsid w:val="000B3E0D"/>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styleId="Strong">
    <w:name w:val="Strong"/>
    <w:basedOn w:val="DefaultParagraphFont"/>
    <w:uiPriority w:val="22"/>
    <w:qFormat/>
    <w:rsid w:val="000B3E0D"/>
    <w:rPr>
      <w:b/>
      <w:bCs/>
    </w:rPr>
  </w:style>
  <w:style w:type="paragraph" w:styleId="NormalWeb">
    <w:name w:val="Normal (Web)"/>
    <w:basedOn w:val="Normal"/>
    <w:uiPriority w:val="99"/>
    <w:unhideWhenUsed/>
    <w:rsid w:val="000B3E0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0B3E0D"/>
  </w:style>
  <w:style w:type="paragraph" w:customStyle="1" w:styleId="Docnumber">
    <w:name w:val="Docnumber"/>
    <w:basedOn w:val="Normal"/>
    <w:link w:val="DocnumberChar"/>
    <w:qFormat/>
    <w:rsid w:val="000B3E0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0B3E0D"/>
    <w:rPr>
      <w:rFonts w:ascii="Times New Roman" w:eastAsia="SimSun" w:hAnsi="Times New Roman"/>
      <w:b/>
      <w:sz w:val="40"/>
      <w:lang w:val="en-GB" w:eastAsia="en-US"/>
    </w:rPr>
  </w:style>
  <w:style w:type="character" w:customStyle="1" w:styleId="-">
    <w:name w:val="Интернет-ссылка"/>
    <w:rsid w:val="000B3E0D"/>
    <w:rPr>
      <w:color w:val="0000FF"/>
      <w:u w:val="single"/>
    </w:rPr>
  </w:style>
  <w:style w:type="character" w:customStyle="1" w:styleId="CEOChairNameChar">
    <w:name w:val="CEO_ChairName Char"/>
    <w:link w:val="CEOChairName"/>
    <w:locked/>
    <w:rsid w:val="000B3E0D"/>
    <w:rPr>
      <w:rFonts w:ascii="Verdana" w:hAnsi="Verdana"/>
      <w:sz w:val="18"/>
      <w:szCs w:val="19"/>
      <w:lang w:val="en-GB" w:eastAsia="en-US"/>
    </w:rPr>
  </w:style>
  <w:style w:type="paragraph" w:customStyle="1" w:styleId="CEOChairName">
    <w:name w:val="CEO_ChairName"/>
    <w:basedOn w:val="Normal"/>
    <w:link w:val="CEOChairNameChar"/>
    <w:rsid w:val="000B3E0D"/>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0B3E0D"/>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qFormat/>
    <w:rsid w:val="000B3E0D"/>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qFormat/>
    <w:rsid w:val="000B3E0D"/>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0B3E0D"/>
    <w:rPr>
      <w:rFonts w:ascii="Calibri" w:eastAsia="SimSun" w:hAnsi="Calibri"/>
      <w:sz w:val="24"/>
      <w:lang w:val="en-GB" w:eastAsia="en-US"/>
    </w:rPr>
  </w:style>
  <w:style w:type="character" w:customStyle="1" w:styleId="InternetLink">
    <w:name w:val="Internet Link"/>
    <w:rsid w:val="000B3E0D"/>
    <w:rPr>
      <w:color w:val="0000FF"/>
      <w:u w:val="single"/>
    </w:rPr>
  </w:style>
  <w:style w:type="paragraph" w:customStyle="1" w:styleId="CEOindent-abc">
    <w:name w:val="CEO_indent-abc"/>
    <w:basedOn w:val="Normal"/>
    <w:rsid w:val="000B3E0D"/>
    <w:pPr>
      <w:numPr>
        <w:ilvl w:val="1"/>
        <w:numId w:val="2"/>
      </w:numPr>
      <w:tabs>
        <w:tab w:val="clear" w:pos="1134"/>
        <w:tab w:val="clear" w:pos="1440"/>
        <w:tab w:val="clear" w:pos="1871"/>
        <w:tab w:val="clear" w:pos="2268"/>
      </w:tabs>
      <w:overflowPunct/>
      <w:autoSpaceDE/>
      <w:autoSpaceDN/>
      <w:adjustRightInd/>
      <w:spacing w:before="0"/>
      <w:ind w:left="0" w:firstLine="0"/>
      <w:textAlignment w:val="auto"/>
    </w:pPr>
    <w:rPr>
      <w:rFonts w:ascii="Verdana" w:eastAsia="SimHei" w:hAnsi="Verdana" w:cs="Traditional Arabic"/>
      <w:bCs/>
      <w:sz w:val="18"/>
      <w:szCs w:val="28"/>
    </w:rPr>
  </w:style>
  <w:style w:type="paragraph" w:customStyle="1" w:styleId="CEOIndenti-ii-iii">
    <w:name w:val="CEO_Indenti-ii-iii"/>
    <w:rsid w:val="000B3E0D"/>
    <w:pPr>
      <w:numPr>
        <w:ilvl w:val="2"/>
        <w:numId w:val="2"/>
      </w:numPr>
      <w:tabs>
        <w:tab w:val="clear" w:pos="2160"/>
      </w:tabs>
      <w:spacing w:before="120" w:after="120"/>
      <w:ind w:left="0" w:firstLine="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0B3E0D"/>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0B3E0D"/>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0B3E0D"/>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noProof/>
      <w:color w:val="365F91"/>
      <w:sz w:val="32"/>
      <w:szCs w:val="32"/>
      <w:lang w:val="ru-RU" w:eastAsia="ru-RU"/>
    </w:rPr>
  </w:style>
  <w:style w:type="paragraph" w:styleId="DocumentMap">
    <w:name w:val="Document Map"/>
    <w:basedOn w:val="Normal"/>
    <w:link w:val="DocumentMapChar"/>
    <w:unhideWhenUsed/>
    <w:rsid w:val="000B3E0D"/>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rsid w:val="000B3E0D"/>
    <w:rPr>
      <w:rFonts w:ascii="SimSun" w:eastAsia="SimSun" w:hAnsi="Calibri"/>
      <w:sz w:val="18"/>
      <w:szCs w:val="18"/>
      <w:lang w:val="en-GB" w:eastAsia="en-US"/>
    </w:rPr>
  </w:style>
  <w:style w:type="character" w:customStyle="1" w:styleId="apple-converted-space">
    <w:name w:val="apple-converted-space"/>
    <w:rsid w:val="000B3E0D"/>
  </w:style>
  <w:style w:type="paragraph" w:customStyle="1" w:styleId="LSDeadline">
    <w:name w:val="LSDeadline"/>
    <w:basedOn w:val="LSForAction"/>
    <w:next w:val="Normal"/>
    <w:qFormat/>
    <w:rsid w:val="000B3E0D"/>
    <w:rPr>
      <w:bCs w:val="0"/>
    </w:rPr>
  </w:style>
  <w:style w:type="paragraph" w:customStyle="1" w:styleId="LSForAction">
    <w:name w:val="LSForAction"/>
    <w:basedOn w:val="Normal"/>
    <w:qFormat/>
    <w:rsid w:val="000B3E0D"/>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qFormat/>
    <w:rsid w:val="000B3E0D"/>
  </w:style>
  <w:style w:type="character" w:styleId="Emphasis">
    <w:name w:val="Emphasis"/>
    <w:basedOn w:val="DefaultParagraphFont"/>
    <w:uiPriority w:val="20"/>
    <w:qFormat/>
    <w:rsid w:val="000B3E0D"/>
    <w:rPr>
      <w:i/>
      <w:iCs/>
    </w:rPr>
  </w:style>
  <w:style w:type="character" w:customStyle="1" w:styleId="href">
    <w:name w:val="href"/>
    <w:basedOn w:val="DefaultParagraphFont"/>
    <w:rsid w:val="000B3E0D"/>
    <w:rPr>
      <w:color w:val="auto"/>
    </w:rPr>
  </w:style>
  <w:style w:type="paragraph" w:customStyle="1" w:styleId="Res">
    <w:name w:val="Res_#"/>
    <w:basedOn w:val="Normal"/>
    <w:next w:val="Restitle"/>
    <w:rsid w:val="000B3E0D"/>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0B3E0D"/>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0B3E0D"/>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0B3E0D"/>
    <w:rPr>
      <w:rFonts w:ascii="Calibri" w:hAnsi="Calibri" w:cs="Calibri" w:hint="default"/>
      <w:sz w:val="16"/>
      <w:szCs w:val="16"/>
      <w:shd w:val="clear" w:color="auto" w:fill="FFFFFF"/>
    </w:rPr>
  </w:style>
  <w:style w:type="paragraph" w:customStyle="1" w:styleId="LSForInfo">
    <w:name w:val="LSForInfo"/>
    <w:basedOn w:val="LSForAction"/>
    <w:next w:val="Normal"/>
    <w:qFormat/>
    <w:rsid w:val="000B3E0D"/>
  </w:style>
  <w:style w:type="paragraph" w:customStyle="1" w:styleId="AnnexNotitle">
    <w:name w:val="Annex_No &amp; title"/>
    <w:basedOn w:val="Normal"/>
    <w:next w:val="Normal"/>
    <w:rsid w:val="000B3E0D"/>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rsid w:val="000B3E0D"/>
  </w:style>
  <w:style w:type="paragraph" w:customStyle="1" w:styleId="CorrectionSeparatorBegin">
    <w:name w:val="Correction Separator Begin"/>
    <w:basedOn w:val="Normal"/>
    <w:rsid w:val="000B3E0D"/>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0B3E0D"/>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0B3E0D"/>
    <w:pPr>
      <w:keepLines/>
      <w:tabs>
        <w:tab w:val="clear" w:pos="1134"/>
        <w:tab w:val="clear" w:pos="1871"/>
        <w:tab w:val="clear" w:pos="2268"/>
        <w:tab w:val="left" w:pos="794"/>
        <w:tab w:val="left" w:pos="1191"/>
        <w:tab w:val="left" w:pos="1588"/>
        <w:tab w:val="left" w:pos="1985"/>
      </w:tabs>
      <w:spacing w:before="240" w:after="120"/>
      <w:jc w:val="center"/>
    </w:pPr>
    <w:rPr>
      <w:rFonts w:ascii="Times New Roman" w:eastAsiaTheme="minorEastAsia" w:hAnsi="Times New Roman"/>
      <w:b/>
      <w:lang w:eastAsia="ja-JP"/>
    </w:rPr>
  </w:style>
  <w:style w:type="paragraph" w:customStyle="1" w:styleId="Formal">
    <w:name w:val="Formal"/>
    <w:basedOn w:val="Normal"/>
    <w:rsid w:val="000B3E0D"/>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0B3E0D"/>
    <w:pPr>
      <w:keepNext/>
      <w:tabs>
        <w:tab w:val="clear" w:pos="1134"/>
        <w:tab w:val="clear" w:pos="1871"/>
        <w:tab w:val="clear" w:pos="2268"/>
        <w:tab w:val="left" w:pos="794"/>
        <w:tab w:val="left" w:pos="1191"/>
        <w:tab w:val="left" w:pos="1588"/>
        <w:tab w:val="left" w:pos="1985"/>
      </w:tabs>
    </w:pPr>
    <w:rPr>
      <w:rFonts w:ascii="Times New Roman" w:eastAsiaTheme="minorEastAsia" w:hAnsi="Times New Roman"/>
      <w:b/>
      <w:bCs/>
      <w:lang w:eastAsia="ja-JP"/>
    </w:rPr>
  </w:style>
  <w:style w:type="paragraph" w:customStyle="1" w:styleId="Normalbeforetable">
    <w:name w:val="Normal before table"/>
    <w:basedOn w:val="Normal"/>
    <w:rsid w:val="000B3E0D"/>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qFormat/>
    <w:rsid w:val="000B3E0D"/>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eastAsiaTheme="minorEastAsia" w:hAnsi="Times New Roman"/>
      <w:b/>
      <w:lang w:eastAsia="ja-JP"/>
    </w:rPr>
  </w:style>
  <w:style w:type="paragraph" w:styleId="TableofFigures">
    <w:name w:val="table of figures"/>
    <w:basedOn w:val="Normal"/>
    <w:next w:val="Normal"/>
    <w:uiPriority w:val="99"/>
    <w:rsid w:val="000B3E0D"/>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0B3E0D"/>
    <w:pPr>
      <w:numPr>
        <w:ilvl w:val="1"/>
      </w:numPr>
      <w:tabs>
        <w:tab w:val="clear" w:pos="1134"/>
        <w:tab w:val="clear" w:pos="1871"/>
        <w:tab w:val="clear" w:pos="2268"/>
      </w:tabs>
      <w:overflowPunct/>
      <w:autoSpaceDE/>
      <w:autoSpaceDN/>
      <w:adjustRightInd/>
      <w:spacing w:after="160"/>
      <w:textAlignment w:val="auto"/>
    </w:pPr>
    <w:rPr>
      <w:rFonts w:eastAsiaTheme="minorEastAsia"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B3E0D"/>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0B3E0D"/>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0B3E0D"/>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0B3E0D"/>
    <w:rPr>
      <w:sz w:val="24"/>
      <w:lang w:eastAsia="en-US"/>
    </w:rPr>
  </w:style>
  <w:style w:type="paragraph" w:customStyle="1" w:styleId="Enumlev10">
    <w:name w:val="Enumlev1"/>
    <w:basedOn w:val="Normal"/>
    <w:link w:val="Enumlev1Char0"/>
    <w:uiPriority w:val="99"/>
    <w:rsid w:val="000B3E0D"/>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Normalaftertitle0">
    <w:name w:val="Normal_after_title"/>
    <w:basedOn w:val="Normal"/>
    <w:next w:val="Normal"/>
    <w:rsid w:val="000B3E0D"/>
    <w:pPr>
      <w:spacing w:before="360"/>
    </w:pPr>
    <w:rPr>
      <w:rFonts w:ascii="Times New Roman" w:hAnsi="Times New Roman"/>
    </w:rPr>
  </w:style>
  <w:style w:type="paragraph" w:customStyle="1" w:styleId="CEOAbstract">
    <w:name w:val="CEO_Abstract"/>
    <w:rsid w:val="000B3E0D"/>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0B3E0D"/>
    <w:pPr>
      <w:keepNext w:val="0"/>
      <w:keepLines w:val="0"/>
      <w:numPr>
        <w:ilvl w:val="2"/>
      </w:numPr>
      <w:tabs>
        <w:tab w:val="clear" w:pos="1871"/>
        <w:tab w:val="clear" w:pos="2268"/>
        <w:tab w:val="left" w:pos="794"/>
        <w:tab w:val="left" w:pos="2127"/>
        <w:tab w:val="left" w:pos="2410"/>
        <w:tab w:val="left" w:pos="2921"/>
        <w:tab w:val="left" w:pos="3261"/>
      </w:tabs>
      <w:overflowPunct/>
      <w:autoSpaceDE/>
      <w:autoSpaceDN/>
      <w:adjustRightInd/>
      <w:spacing w:before="160" w:after="120"/>
      <w:ind w:left="794" w:hanging="794"/>
      <w:textAlignment w:val="auto"/>
      <w:outlineLvl w:val="9"/>
    </w:pPr>
    <w:rPr>
      <w:rFonts w:ascii="Times New Roman" w:eastAsiaTheme="minorEastAsia" w:hAnsi="Times New Roman" w:cs="Simplified Arabic"/>
      <w:szCs w:val="24"/>
    </w:rPr>
  </w:style>
  <w:style w:type="paragraph" w:customStyle="1" w:styleId="Head">
    <w:name w:val="Head"/>
    <w:basedOn w:val="Normal"/>
    <w:uiPriority w:val="99"/>
    <w:rsid w:val="000B3E0D"/>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paragraph" w:customStyle="1" w:styleId="FigureNoBR">
    <w:name w:val="Figure_No_BR"/>
    <w:basedOn w:val="Normal"/>
    <w:next w:val="Normal"/>
    <w:rsid w:val="000B3E0D"/>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styleId="Title">
    <w:name w:val="Title"/>
    <w:basedOn w:val="Normal"/>
    <w:next w:val="Normal"/>
    <w:link w:val="TitleChar"/>
    <w:qFormat/>
    <w:rsid w:val="000B3E0D"/>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0B3E0D"/>
    <w:rPr>
      <w:rFonts w:asciiTheme="majorHAnsi" w:eastAsia="SimSun" w:hAnsiTheme="majorHAnsi" w:cstheme="majorBidi"/>
      <w:b/>
      <w:bCs/>
      <w:sz w:val="32"/>
      <w:szCs w:val="32"/>
      <w:lang w:eastAsia="en-US"/>
    </w:rPr>
  </w:style>
  <w:style w:type="paragraph" w:styleId="BodyText">
    <w:name w:val="Body Text"/>
    <w:basedOn w:val="Normal"/>
    <w:link w:val="BodyTextChar"/>
    <w:qFormat/>
    <w:rsid w:val="000B3E0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0B3E0D"/>
    <w:rPr>
      <w:rFonts w:ascii="LMMNHP+BookmanOldStyle" w:eastAsia="Batang" w:hAnsi="LMMNHP+BookmanOldStyle"/>
      <w:color w:val="000000"/>
      <w:kern w:val="2"/>
      <w:sz w:val="24"/>
      <w:szCs w:val="24"/>
      <w:lang w:eastAsia="ja-JP"/>
    </w:rPr>
  </w:style>
  <w:style w:type="paragraph" w:styleId="List">
    <w:name w:val="List"/>
    <w:basedOn w:val="Normal"/>
    <w:uiPriority w:val="99"/>
    <w:rsid w:val="000B3E0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0B3E0D"/>
    <w:pPr>
      <w:widowControl w:val="0"/>
      <w:tabs>
        <w:tab w:val="clear" w:pos="1134"/>
        <w:tab w:val="clear" w:pos="1871"/>
        <w:tab w:val="clear" w:pos="2268"/>
      </w:tabs>
      <w:overflowPunct/>
      <w:autoSpaceDE/>
      <w:autoSpaceDN/>
      <w:adjustRightInd/>
      <w:spacing w:before="0"/>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0B3E0D"/>
    <w:rPr>
      <w:rFonts w:ascii="Times New Roman" w:hAnsi="Times New Roman"/>
      <w:sz w:val="24"/>
      <w:lang w:eastAsia="en-US"/>
    </w:rPr>
  </w:style>
  <w:style w:type="paragraph" w:styleId="ListBullet">
    <w:name w:val="List Bullet"/>
    <w:basedOn w:val="List"/>
    <w:uiPriority w:val="99"/>
    <w:rsid w:val="000B3E0D"/>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0B3E0D"/>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rsid w:val="000B3E0D"/>
    <w:rPr>
      <w:rFonts w:ascii="Times New Roman" w:hAnsi="Times New Roman"/>
      <w:sz w:val="24"/>
      <w:lang w:val="en-GB" w:eastAsia="en-US"/>
    </w:rPr>
  </w:style>
  <w:style w:type="paragraph" w:styleId="List2">
    <w:name w:val="List 2"/>
    <w:basedOn w:val="Normal"/>
    <w:uiPriority w:val="99"/>
    <w:rsid w:val="000B3E0D"/>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paragraph" w:styleId="BodyTextIndent2">
    <w:name w:val="Body Text Indent 2"/>
    <w:basedOn w:val="Normal"/>
    <w:link w:val="BodyTextIndent2Char"/>
    <w:rsid w:val="000B3E0D"/>
    <w:pPr>
      <w:tabs>
        <w:tab w:val="clear" w:pos="1134"/>
        <w:tab w:val="clear" w:pos="1871"/>
        <w:tab w:val="clear" w:pos="2268"/>
        <w:tab w:val="left" w:pos="720"/>
        <w:tab w:val="left" w:pos="1191"/>
        <w:tab w:val="left" w:pos="1588"/>
        <w:tab w:val="left" w:pos="1985"/>
      </w:tabs>
      <w:ind w:left="720" w:hanging="720"/>
    </w:pPr>
    <w:rPr>
      <w:rFonts w:ascii="Times New Roman" w:eastAsia="Batang" w:hAnsi="Times New Roman"/>
      <w:szCs w:val="24"/>
    </w:rPr>
  </w:style>
  <w:style w:type="character" w:customStyle="1" w:styleId="BodyTextIndent2Char">
    <w:name w:val="Body Text Indent 2 Char"/>
    <w:basedOn w:val="DefaultParagraphFont"/>
    <w:link w:val="BodyTextIndent2"/>
    <w:rsid w:val="000B3E0D"/>
    <w:rPr>
      <w:rFonts w:ascii="Times New Roman" w:eastAsia="Batang" w:hAnsi="Times New Roman"/>
      <w:sz w:val="24"/>
      <w:szCs w:val="24"/>
      <w:lang w:val="en-GB" w:eastAsia="en-US"/>
    </w:rPr>
  </w:style>
  <w:style w:type="paragraph" w:styleId="EndnoteText">
    <w:name w:val="endnote text"/>
    <w:basedOn w:val="Normal"/>
    <w:link w:val="EndnoteTextChar"/>
    <w:rsid w:val="000B3E0D"/>
    <w:pPr>
      <w:spacing w:before="0"/>
    </w:pPr>
    <w:rPr>
      <w:rFonts w:ascii="Times New Roman" w:eastAsia="Batang" w:hAnsi="Times New Roman"/>
      <w:sz w:val="20"/>
    </w:rPr>
  </w:style>
  <w:style w:type="character" w:customStyle="1" w:styleId="EndnoteTextChar">
    <w:name w:val="Endnote Text Char"/>
    <w:basedOn w:val="DefaultParagraphFont"/>
    <w:link w:val="EndnoteText"/>
    <w:rsid w:val="000B3E0D"/>
    <w:rPr>
      <w:rFonts w:ascii="Times New Roman" w:eastAsia="Batang" w:hAnsi="Times New Roman"/>
      <w:lang w:val="en-GB" w:eastAsia="en-US"/>
    </w:rPr>
  </w:style>
  <w:style w:type="paragraph" w:styleId="NoSpacing">
    <w:name w:val="No Spacing"/>
    <w:uiPriority w:val="1"/>
    <w:qFormat/>
    <w:rsid w:val="000B3E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styleId="SubtleEmphasis">
    <w:name w:val="Subtle Emphasis"/>
    <w:basedOn w:val="DefaultParagraphFont"/>
    <w:uiPriority w:val="19"/>
    <w:qFormat/>
    <w:rsid w:val="000B3E0D"/>
    <w:rPr>
      <w:i/>
      <w:iCs/>
      <w:color w:val="808080" w:themeColor="text1" w:themeTint="7F"/>
    </w:rPr>
  </w:style>
  <w:style w:type="paragraph" w:styleId="BodyText3">
    <w:name w:val="Body Text 3"/>
    <w:basedOn w:val="Normal"/>
    <w:link w:val="BodyText3Char"/>
    <w:rsid w:val="000B3E0D"/>
    <w:pPr>
      <w:widowControl w:val="0"/>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0B3E0D"/>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qFormat/>
    <w:rsid w:val="000B3E0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qFormat/>
    <w:rsid w:val="000B3E0D"/>
    <w:rPr>
      <w:rFonts w:ascii="Courier New" w:hAnsi="Courier New" w:cs="Courier New"/>
      <w:sz w:val="24"/>
      <w:szCs w:val="24"/>
    </w:rPr>
  </w:style>
  <w:style w:type="paragraph" w:customStyle="1" w:styleId="Body">
    <w:name w:val="Body"/>
    <w:rsid w:val="000B3E0D"/>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0B3E0D"/>
    <w:rPr>
      <w:rFonts w:ascii="Cambria" w:eastAsia="Cambria" w:hAnsi="Cambria" w:cs="Cambria"/>
      <w:color w:val="000066"/>
      <w:u w:val="single" w:color="000066"/>
      <w:lang w:val="en-US"/>
    </w:rPr>
  </w:style>
  <w:style w:type="character" w:customStyle="1" w:styleId="Hyperlink2">
    <w:name w:val="Hyperlink.2"/>
    <w:basedOn w:val="DefaultParagraphFont"/>
    <w:rsid w:val="000B3E0D"/>
    <w:rPr>
      <w:rFonts w:ascii="Cambria" w:eastAsia="Cambria" w:hAnsi="Cambria" w:cs="Cambria"/>
      <w:color w:val="000066"/>
      <w:u w:val="single" w:color="000066"/>
      <w:lang w:val="en-US"/>
    </w:rPr>
  </w:style>
  <w:style w:type="character" w:customStyle="1" w:styleId="Hyperlink3">
    <w:name w:val="Hyperlink.3"/>
    <w:basedOn w:val="DefaultParagraphFont"/>
    <w:rsid w:val="000B3E0D"/>
    <w:rPr>
      <w:color w:val="0000FF"/>
      <w:u w:val="single" w:color="0000FF"/>
      <w:lang w:val="en-US"/>
    </w:rPr>
  </w:style>
  <w:style w:type="character" w:customStyle="1" w:styleId="Hyperlink4">
    <w:name w:val="Hyperlink.4"/>
    <w:basedOn w:val="PageNumber"/>
    <w:rsid w:val="000B3E0D"/>
    <w:rPr>
      <w:rFonts w:asciiTheme="minorHAnsi" w:hAnsiTheme="minorHAnsi"/>
      <w:color w:val="0000FF"/>
      <w:u w:val="single" w:color="0000FF"/>
      <w:lang w:val="en-US"/>
    </w:rPr>
  </w:style>
  <w:style w:type="paragraph" w:customStyle="1" w:styleId="Tablefin">
    <w:name w:val="Table_fin"/>
    <w:basedOn w:val="Normal"/>
    <w:qFormat/>
    <w:rsid w:val="000B3E0D"/>
    <w:pPr>
      <w:spacing w:before="0"/>
    </w:pPr>
    <w:rPr>
      <w:rFonts w:ascii="Times New Roman" w:hAnsi="Times New Roman"/>
      <w:sz w:val="20"/>
    </w:rPr>
  </w:style>
  <w:style w:type="paragraph" w:customStyle="1" w:styleId="Style124">
    <w:name w:val="_Style 124"/>
    <w:basedOn w:val="Heading1"/>
    <w:next w:val="Normal"/>
    <w:uiPriority w:val="39"/>
    <w:unhideWhenUsed/>
    <w:qFormat/>
    <w:rsid w:val="000B3E0D"/>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noProof/>
      <w:color w:val="365F91"/>
      <w:sz w:val="32"/>
      <w:szCs w:val="32"/>
      <w:lang w:val="ru-RU" w:eastAsia="ru-RU"/>
    </w:rPr>
  </w:style>
  <w:style w:type="character" w:customStyle="1" w:styleId="ms-offscreen">
    <w:name w:val="ms-offscreen"/>
    <w:basedOn w:val="DefaultParagraphFont"/>
    <w:rsid w:val="000B3E0D"/>
  </w:style>
  <w:style w:type="character" w:customStyle="1" w:styleId="ms-list-addnew-imgspan16">
    <w:name w:val="ms-list-addnew-imgspan16"/>
    <w:basedOn w:val="DefaultParagraphFont"/>
    <w:rsid w:val="000B3E0D"/>
  </w:style>
  <w:style w:type="character" w:customStyle="1" w:styleId="ms-tasklistshortcutcalloutspan">
    <w:name w:val="ms-tasklistshortcutcalloutspan"/>
    <w:basedOn w:val="DefaultParagraphFont"/>
    <w:rsid w:val="000B3E0D"/>
  </w:style>
  <w:style w:type="character" w:customStyle="1" w:styleId="ms-menu-hovarw4">
    <w:name w:val="ms-menu-hovarw4"/>
    <w:basedOn w:val="DefaultParagraphFont"/>
    <w:rsid w:val="000B3E0D"/>
  </w:style>
  <w:style w:type="character" w:customStyle="1" w:styleId="ms-navedit-itemspan">
    <w:name w:val="ms-navedit-itemspan"/>
    <w:basedOn w:val="DefaultParagraphFont"/>
    <w:rsid w:val="000B3E0D"/>
  </w:style>
  <w:style w:type="character" w:customStyle="1" w:styleId="ms-viewselectorhover">
    <w:name w:val="ms-viewselectorhover"/>
    <w:basedOn w:val="DefaultParagraphFont"/>
    <w:rsid w:val="000B3E0D"/>
    <w:rPr>
      <w:bdr w:val="none" w:sz="0" w:space="0" w:color="auto"/>
    </w:rPr>
  </w:style>
  <w:style w:type="character" w:customStyle="1" w:styleId="ms-viewselector2">
    <w:name w:val="ms-viewselector2"/>
    <w:basedOn w:val="DefaultParagraphFont"/>
    <w:rsid w:val="000B3E0D"/>
    <w:rPr>
      <w:bdr w:val="none" w:sz="0" w:space="0" w:color="auto"/>
    </w:rPr>
  </w:style>
  <w:style w:type="character" w:customStyle="1" w:styleId="ms-cui-mrusb-selecteditem">
    <w:name w:val="ms-cui-mrusb-selecteditem"/>
    <w:basedOn w:val="DefaultParagraphFont"/>
    <w:rsid w:val="000B3E0D"/>
  </w:style>
  <w:style w:type="character" w:customStyle="1" w:styleId="ms-featurestatustext">
    <w:name w:val="ms-featurestatustext"/>
    <w:basedOn w:val="DefaultParagraphFont"/>
    <w:rsid w:val="000B3E0D"/>
  </w:style>
  <w:style w:type="table" w:customStyle="1" w:styleId="TableGrid1">
    <w:name w:val="Table Grid1"/>
    <w:basedOn w:val="TableNormal"/>
    <w:next w:val="TableGrid"/>
    <w:uiPriority w:val="59"/>
    <w:rsid w:val="000B3E0D"/>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0B3E0D"/>
    <w:rPr>
      <w:color w:val="605E5C"/>
      <w:shd w:val="clear" w:color="auto" w:fill="E1DFDD"/>
    </w:rPr>
  </w:style>
  <w:style w:type="character" w:styleId="PlaceholderText">
    <w:name w:val="Placeholder Text"/>
    <w:basedOn w:val="DefaultParagraphFont"/>
    <w:uiPriority w:val="99"/>
    <w:semiHidden/>
    <w:rsid w:val="000B3E0D"/>
    <w:rPr>
      <w:rFonts w:ascii="Times New Roman" w:hAnsi="Times New Roman"/>
      <w:color w:val="808080"/>
    </w:rPr>
  </w:style>
  <w:style w:type="paragraph" w:styleId="Caption">
    <w:name w:val="caption"/>
    <w:basedOn w:val="Normal"/>
    <w:next w:val="Normal"/>
    <w:uiPriority w:val="35"/>
    <w:unhideWhenUsed/>
    <w:rsid w:val="000B3E0D"/>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CommentTextChar1">
    <w:name w:val="Comment Text Char1"/>
    <w:basedOn w:val="DefaultParagraphFont"/>
    <w:semiHidden/>
    <w:rsid w:val="000B3E0D"/>
    <w:rPr>
      <w:rFonts w:asciiTheme="minorHAnsi" w:hAnsiTheme="minorHAnsi"/>
      <w:lang w:val="en-GB" w:eastAsia="en-US"/>
    </w:rPr>
  </w:style>
  <w:style w:type="character" w:customStyle="1" w:styleId="CommentSubjectChar1">
    <w:name w:val="Comment Subject Char1"/>
    <w:basedOn w:val="CommentTextChar1"/>
    <w:semiHidden/>
    <w:rsid w:val="000B3E0D"/>
    <w:rPr>
      <w:rFonts w:asciiTheme="minorHAnsi" w:hAnsiTheme="minorHAnsi"/>
      <w:b/>
      <w:bCs/>
      <w:lang w:val="en-GB" w:eastAsia="en-US"/>
    </w:rPr>
  </w:style>
  <w:style w:type="paragraph" w:customStyle="1" w:styleId="Style125">
    <w:name w:val="_Style 125"/>
    <w:hidden/>
    <w:uiPriority w:val="99"/>
    <w:semiHidden/>
    <w:rsid w:val="000B3E0D"/>
    <w:pPr>
      <w:spacing w:after="160" w:line="259" w:lineRule="auto"/>
    </w:pPr>
    <w:rPr>
      <w:rFonts w:ascii="Times New Roman" w:eastAsia="SimSun" w:hAnsi="Times New Roman"/>
      <w:sz w:val="24"/>
      <w:szCs w:val="24"/>
      <w:lang w:val="en-GB" w:eastAsia="ja-JP"/>
    </w:rPr>
  </w:style>
  <w:style w:type="paragraph" w:customStyle="1" w:styleId="CEONormal">
    <w:name w:val="CEO_Normal"/>
    <w:link w:val="CEONormalChar"/>
    <w:qFormat/>
    <w:rsid w:val="000B3E0D"/>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0B3E0D"/>
    <w:rPr>
      <w:rFonts w:ascii="Calibri" w:eastAsia="SimSun" w:hAnsi="Calibri" w:cs="Simplified Arabic"/>
      <w:sz w:val="22"/>
      <w:szCs w:val="19"/>
      <w:lang w:val="en-GB" w:eastAsia="en-US"/>
    </w:rPr>
  </w:style>
  <w:style w:type="character" w:customStyle="1" w:styleId="normaltextrun">
    <w:name w:val="normaltextrun"/>
    <w:basedOn w:val="DefaultParagraphFont"/>
    <w:rsid w:val="000B3E0D"/>
  </w:style>
  <w:style w:type="paragraph" w:customStyle="1" w:styleId="CEOcontribution-H123">
    <w:name w:val="CEO_contribution-H123"/>
    <w:uiPriority w:val="99"/>
    <w:rsid w:val="000B3E0D"/>
    <w:pPr>
      <w:numPr>
        <w:numId w:val="4"/>
      </w:numPr>
      <w:tabs>
        <w:tab w:val="clear" w:pos="720"/>
      </w:tabs>
      <w:spacing w:before="120" w:after="120"/>
      <w:ind w:left="0" w:firstLine="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0B3E0D"/>
    <w:rPr>
      <w:rFonts w:ascii="CG Times" w:eastAsia="Batang"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B3E0D"/>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0B3E0D"/>
  </w:style>
  <w:style w:type="character" w:customStyle="1" w:styleId="UnresolvedMention3">
    <w:name w:val="Unresolved Mention3"/>
    <w:basedOn w:val="DefaultParagraphFont"/>
    <w:uiPriority w:val="99"/>
    <w:semiHidden/>
    <w:unhideWhenUsed/>
    <w:rsid w:val="000B3E0D"/>
    <w:rPr>
      <w:color w:val="605E5C"/>
      <w:shd w:val="clear" w:color="auto" w:fill="E1DFDD"/>
    </w:rPr>
  </w:style>
  <w:style w:type="paragraph" w:customStyle="1" w:styleId="MOS-DayDates">
    <w:name w:val="MOS-DayDates"/>
    <w:basedOn w:val="Normal"/>
    <w:rsid w:val="000B3E0D"/>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paragraph">
    <w:name w:val="paragraph"/>
    <w:basedOn w:val="Normal"/>
    <w:rsid w:val="000B3E0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0B3E0D"/>
  </w:style>
  <w:style w:type="character" w:customStyle="1" w:styleId="scxw258445063">
    <w:name w:val="scxw258445063"/>
    <w:basedOn w:val="DefaultParagraphFont"/>
    <w:rsid w:val="000B3E0D"/>
  </w:style>
  <w:style w:type="character" w:customStyle="1" w:styleId="scxw107409825">
    <w:name w:val="scxw107409825"/>
    <w:basedOn w:val="DefaultParagraphFont"/>
    <w:rsid w:val="000B3E0D"/>
  </w:style>
  <w:style w:type="character" w:customStyle="1" w:styleId="scxw173330466">
    <w:name w:val="scxw173330466"/>
    <w:basedOn w:val="DefaultParagraphFont"/>
    <w:rsid w:val="000B3E0D"/>
  </w:style>
  <w:style w:type="character" w:customStyle="1" w:styleId="CEOHeader1Char">
    <w:name w:val="CEO_Header1 Char"/>
    <w:basedOn w:val="DefaultParagraphFont"/>
    <w:link w:val="CEOHeader1"/>
    <w:locked/>
    <w:rsid w:val="000B3E0D"/>
    <w:rPr>
      <w:rFonts w:ascii="Verdana" w:hAnsi="Verdana" w:cs="Simplified Arabic"/>
      <w:b/>
      <w:bCs/>
      <w:sz w:val="19"/>
      <w:szCs w:val="19"/>
      <w:lang w:eastAsia="en-US"/>
    </w:rPr>
  </w:style>
  <w:style w:type="paragraph" w:customStyle="1" w:styleId="CEOHeader1">
    <w:name w:val="CEO_Header1"/>
    <w:basedOn w:val="Normal"/>
    <w:link w:val="CEOHeader1Char"/>
    <w:rsid w:val="000B3E0D"/>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table" w:styleId="GridTable1Light">
    <w:name w:val="Grid Table 1 Light"/>
    <w:basedOn w:val="TableNormal"/>
    <w:uiPriority w:val="46"/>
    <w:rsid w:val="000B3E0D"/>
    <w:rPr>
      <w:rFonts w:asciiTheme="minorHAnsi" w:eastAsiaTheme="minorEastAsia" w:hAnsiTheme="minorHAnsi" w:cstheme="minorBidi"/>
      <w:sz w:val="22"/>
      <w:szCs w:val="22"/>
      <w:lang w:val="en-AU"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40287621">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SG02-R-0009/fr" TargetMode="External"/><Relationship Id="rId21" Type="http://schemas.openxmlformats.org/officeDocument/2006/relationships/image" Target="media/image3.emf"/><Relationship Id="rId42" Type="http://schemas.openxmlformats.org/officeDocument/2006/relationships/hyperlink" Target="https://www.itu.int/en/ITU-D/Study-Groups/2022-2025/Pages/meetings/workshop-Q1-2_april24.aspx" TargetMode="External"/><Relationship Id="rId63" Type="http://schemas.openxmlformats.org/officeDocument/2006/relationships/hyperlink" Target="https://www.itu.int/md/D22-SG02-C-0361/fr" TargetMode="External"/><Relationship Id="rId84" Type="http://schemas.openxmlformats.org/officeDocument/2006/relationships/hyperlink" Target="https://www.itu.int/en/ITU-D/Study-Groups/2022-2025/Pages/meetings/workshop-Q7-2_may24.aspx" TargetMode="External"/><Relationship Id="rId138" Type="http://schemas.openxmlformats.org/officeDocument/2006/relationships/hyperlink" Target="https://www.itu.int/net4/ITU-D/CDS/sg/rapporteurs.asp?lg=1&amp;sp=2022" TargetMode="External"/><Relationship Id="rId159" Type="http://schemas.openxmlformats.org/officeDocument/2006/relationships/hyperlink" Target="https://www.itu.int/pub/D-STG-SG01" TargetMode="External"/><Relationship Id="rId170" Type="http://schemas.openxmlformats.org/officeDocument/2006/relationships/hyperlink" Target="https://www.itu.int/pub/D-STG-SG01.06.3-2023" TargetMode="External"/><Relationship Id="rId107" Type="http://schemas.openxmlformats.org/officeDocument/2006/relationships/hyperlink" Target="https://www.itu.int/md/D22-SG02-C-0372/fr" TargetMode="External"/><Relationship Id="rId11" Type="http://schemas.openxmlformats.org/officeDocument/2006/relationships/image" Target="media/image1.jpeg"/><Relationship Id="rId32" Type="http://schemas.openxmlformats.org/officeDocument/2006/relationships/hyperlink" Target="https://www.itu.int/md/D22-SG02-R-0009/fr" TargetMode="External"/><Relationship Id="rId53" Type="http://schemas.openxmlformats.org/officeDocument/2006/relationships/hyperlink" Target="https://www.itu.int/hub/publication/d-stg-sg02-03-2-2023/" TargetMode="External"/><Relationship Id="rId74" Type="http://schemas.openxmlformats.org/officeDocument/2006/relationships/hyperlink" Target="https://www.itu.int/md/D18-SG02-C-0363/fr" TargetMode="External"/><Relationship Id="rId128" Type="http://schemas.openxmlformats.org/officeDocument/2006/relationships/hyperlink" Target="https://www.itu.int/md/D22-SG02-C-0066/fr" TargetMode="External"/><Relationship Id="rId149" Type="http://schemas.openxmlformats.org/officeDocument/2006/relationships/header" Target="header4.xml"/><Relationship Id="rId5" Type="http://schemas.openxmlformats.org/officeDocument/2006/relationships/numbering" Target="numbering.xml"/><Relationship Id="rId95" Type="http://schemas.openxmlformats.org/officeDocument/2006/relationships/hyperlink" Target="https://www.itu.int/md/D22-SG02-C-0402/fr" TargetMode="External"/><Relationship Id="rId160" Type="http://schemas.openxmlformats.org/officeDocument/2006/relationships/hyperlink" Target="https://www.itu.int/en/publications/ITU-D/pages/publications.aspx?parent=D-STG-SG01&amp;version_date=2021" TargetMode="External"/><Relationship Id="rId181" Type="http://schemas.openxmlformats.org/officeDocument/2006/relationships/hyperlink" Target="https://www.itu.int/md/D22-SG02.RGQ-C-0077/" TargetMode="External"/><Relationship Id="rId22" Type="http://schemas.openxmlformats.org/officeDocument/2006/relationships/image" Target="media/image4.png"/><Relationship Id="rId43" Type="http://schemas.openxmlformats.org/officeDocument/2006/relationships/hyperlink" Target="https://www.itu.int/md/D22-SG02.RGQ-R-0008/fr" TargetMode="External"/><Relationship Id="rId64" Type="http://schemas.openxmlformats.org/officeDocument/2006/relationships/hyperlink" Target="https://www.itu.int/en/ITU-D/Study-Groups/2022-2025/Pages/meetings/session-Q4-2-june23.aspx" TargetMode="External"/><Relationship Id="rId118" Type="http://schemas.openxmlformats.org/officeDocument/2006/relationships/hyperlink" Target="https://www.itu.int/md/D22-SG02-C-0288/fr" TargetMode="External"/><Relationship Id="rId139" Type="http://schemas.openxmlformats.org/officeDocument/2006/relationships/header" Target="header2.xml"/><Relationship Id="rId85" Type="http://schemas.openxmlformats.org/officeDocument/2006/relationships/hyperlink" Target="https://www.itu.int/md/D22-SG02.RGQ-R-0014/fr" TargetMode="External"/><Relationship Id="rId150" Type="http://schemas.openxmlformats.org/officeDocument/2006/relationships/hyperlink" Target="https://www.itu.int/hub/publication/d-stg-sg01-06-3-2023/" TargetMode="External"/><Relationship Id="rId171" Type="http://schemas.openxmlformats.org/officeDocument/2006/relationships/hyperlink" Target="https://www.itu.int/md/D22-SG02-C-0329/" TargetMode="External"/><Relationship Id="rId12" Type="http://schemas.openxmlformats.org/officeDocument/2006/relationships/image" Target="media/image2.png"/><Relationship Id="rId33" Type="http://schemas.openxmlformats.org/officeDocument/2006/relationships/hyperlink" Target="https://www.itu.int/en/ITU-D/Study-Groups/2022-2025/Pages/TIES_Protected/session-BDT-projects-oct23.aspx" TargetMode="External"/><Relationship Id="rId108" Type="http://schemas.openxmlformats.org/officeDocument/2006/relationships/hyperlink" Target="https://www.itu.int/md/D22-SG02-C-0174/fr" TargetMode="External"/><Relationship Id="rId129" Type="http://schemas.openxmlformats.org/officeDocument/2006/relationships/hyperlink" Target="https://www.itu.int/md/D22-SG02-C-0176/fr" TargetMode="External"/><Relationship Id="rId54" Type="http://schemas.openxmlformats.org/officeDocument/2006/relationships/hyperlink" Target="https://www.itu.int/en/ITU-D/Study-Groups/2022-2025/Pages/TIES_Protected/session-cybersecurity-oct23.aspx" TargetMode="External"/><Relationship Id="rId75" Type="http://schemas.openxmlformats.org/officeDocument/2006/relationships/hyperlink" Target="https://www.itu.int/en/ITU-D/Study-Groups/2022-2025/Pages/meetings/session-Q6-2-may23.aspx" TargetMode="External"/><Relationship Id="rId96" Type="http://schemas.openxmlformats.org/officeDocument/2006/relationships/hyperlink" Target="https://www.itu.int/md/R19-CCV-C-0051/fr" TargetMode="External"/><Relationship Id="rId140" Type="http://schemas.openxmlformats.org/officeDocument/2006/relationships/footer" Target="footer2.xml"/><Relationship Id="rId161" Type="http://schemas.openxmlformats.org/officeDocument/2006/relationships/hyperlink" Target="https://www.itu.int/pub/D-STG-SG01.01.2-2021" TargetMode="External"/><Relationship Id="rId182" Type="http://schemas.openxmlformats.org/officeDocument/2006/relationships/hyperlink" Target="https://www.itu.int/md/D22-SG02.RGQ-C-0122/" TargetMode="External"/><Relationship Id="rId6" Type="http://schemas.openxmlformats.org/officeDocument/2006/relationships/styles" Target="styles.xml"/><Relationship Id="rId23" Type="http://schemas.openxmlformats.org/officeDocument/2006/relationships/image" Target="media/image5.png"/><Relationship Id="rId119" Type="http://schemas.openxmlformats.org/officeDocument/2006/relationships/hyperlink" Target="https://www.itu.int/md/D22-SG02-C-0060/fr" TargetMode="External"/><Relationship Id="rId44" Type="http://schemas.openxmlformats.org/officeDocument/2006/relationships/hyperlink" Target="https://www.itu.int/md/D22-TDAG.WG.SGQ-C-0048" TargetMode="External"/><Relationship Id="rId65" Type="http://schemas.openxmlformats.org/officeDocument/2006/relationships/hyperlink" Target="https://www.itu.int/md/D22-SG02.RGQ-R-0004/fr" TargetMode="External"/><Relationship Id="rId86" Type="http://schemas.openxmlformats.org/officeDocument/2006/relationships/hyperlink" Target="https://www.itu.int/md/D22-TDAG.WG.SGQ-C-0048/fr" TargetMode="External"/><Relationship Id="rId130" Type="http://schemas.openxmlformats.org/officeDocument/2006/relationships/hyperlink" Target="https://www.itu.int/md/D22-SG02-C-0308/fr" TargetMode="External"/><Relationship Id="rId151" Type="http://schemas.openxmlformats.org/officeDocument/2006/relationships/hyperlink" Target="https://www.itu.int/pub/D-STG-SG01.06.3-2023" TargetMode="External"/><Relationship Id="rId172" Type="http://schemas.openxmlformats.org/officeDocument/2006/relationships/hyperlink" Target="https://www.itu.int/md/D22-SG02.RGQ-C-0046/" TargetMode="External"/><Relationship Id="rId13" Type="http://schemas.openxmlformats.org/officeDocument/2006/relationships/hyperlink" Target="https://www.itu.int/md/D22-TDAG30-C-0006/fr" TargetMode="External"/><Relationship Id="rId18" Type="http://schemas.openxmlformats.org/officeDocument/2006/relationships/hyperlink" Target="https://www.itu.int/md/D22-SG02-R-0017/fr" TargetMode="External"/><Relationship Id="rId39" Type="http://schemas.openxmlformats.org/officeDocument/2006/relationships/hyperlink" Target="https://www.itu.int/md/D22-SG02-C-0358/fr" TargetMode="External"/><Relationship Id="rId109" Type="http://schemas.openxmlformats.org/officeDocument/2006/relationships/hyperlink" Target="https://www.itu.int/md/D22-SG02-C-0323/fr" TargetMode="External"/><Relationship Id="rId34" Type="http://schemas.openxmlformats.org/officeDocument/2006/relationships/hyperlink" Target="https://www.itu.int/md/D22-SG02-R-0009/fr" TargetMode="External"/><Relationship Id="rId50" Type="http://schemas.openxmlformats.org/officeDocument/2006/relationships/hyperlink" Target="https://www.itu.int/md/D22-SG02.RGQ-R-0009/fr" TargetMode="External"/><Relationship Id="rId55" Type="http://schemas.openxmlformats.org/officeDocument/2006/relationships/hyperlink" Target="https://www.itu.int/md/D22-SG02-R-0009/fr" TargetMode="External"/><Relationship Id="rId76" Type="http://schemas.openxmlformats.org/officeDocument/2006/relationships/hyperlink" Target="https://www.itu.int/md/D22-SG02.RGQ-R-0006/fr" TargetMode="External"/><Relationship Id="rId97" Type="http://schemas.openxmlformats.org/officeDocument/2006/relationships/hyperlink" Target="https://extranet.itu.int/rsg-meetings/ccv/Share/CCT%20meeting%202023-07-21/Input%20contributions/001e.docx" TargetMode="External"/><Relationship Id="rId104" Type="http://schemas.openxmlformats.org/officeDocument/2006/relationships/hyperlink" Target="https://extranet.itu.int/rsg-meetings/ccv/Share/CCT%20meeting%202025-07-01/Input%20contributions/137e.docx" TargetMode="External"/><Relationship Id="rId120" Type="http://schemas.openxmlformats.org/officeDocument/2006/relationships/hyperlink" Target="https://www.itu.int/md/D22-SG02-C-0160/fr" TargetMode="External"/><Relationship Id="rId125" Type="http://schemas.openxmlformats.org/officeDocument/2006/relationships/hyperlink" Target="https://www.itu.int/md/D22-SG02-C-0063/fr" TargetMode="External"/><Relationship Id="rId141" Type="http://schemas.openxmlformats.org/officeDocument/2006/relationships/header" Target="header3.xml"/><Relationship Id="rId146" Type="http://schemas.openxmlformats.org/officeDocument/2006/relationships/hyperlink" Target="https://www.itu.int/net4/ITU-D/CDS/sg/blkmeetings.asp?lg=1&amp;stg=&amp;sp=2022&amp;blk=28791" TargetMode="External"/><Relationship Id="rId167" Type="http://schemas.openxmlformats.org/officeDocument/2006/relationships/hyperlink" Target="https://www.itu.int/oth/D072D000001/en" TargetMode="External"/><Relationship Id="rId188"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itu.int/md/D22-SG02.RGQ-R-0005/fr" TargetMode="External"/><Relationship Id="rId92" Type="http://schemas.openxmlformats.org/officeDocument/2006/relationships/hyperlink" Target="https://www.itu.int/en/general-secretariat/ties/ISCGDocumentLibrary/Liaisons%20Statements%20on%20Inter-Sectoral%20Coordination%20Activities/Table%203.pdf" TargetMode="External"/><Relationship Id="rId162" Type="http://schemas.openxmlformats.org/officeDocument/2006/relationships/hyperlink" Target="https://www.itu.int/itu-d/sites/studygroups/" TargetMode="External"/><Relationship Id="rId183"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www.itu.int/md/D22-SG02-ADM-0004/fr" TargetMode="External"/><Relationship Id="rId24" Type="http://schemas.openxmlformats.org/officeDocument/2006/relationships/image" Target="media/image6.png"/><Relationship Id="rId40" Type="http://schemas.openxmlformats.org/officeDocument/2006/relationships/hyperlink" Target="https://www.itu.int/en/ITU-D/Study-Groups/2022-2025/Pages/meetings/session-Q1-2-may23.aspx" TargetMode="External"/><Relationship Id="rId45" Type="http://schemas.openxmlformats.org/officeDocument/2006/relationships/hyperlink" Target="https://www.itu.int/md/D22-TDAG.WG.SGQ-C-0048" TargetMode="External"/><Relationship Id="rId66" Type="http://schemas.openxmlformats.org/officeDocument/2006/relationships/hyperlink" Target="https://www.itu.int/en/ITU-D/Study-Groups/2022-2025/Pages/meetings/workshop-Q4-2_may24.aspx" TargetMode="External"/><Relationship Id="rId87" Type="http://schemas.openxmlformats.org/officeDocument/2006/relationships/hyperlink" Target="https://www.itu.int/md/D22-SG02-C-0403/fr" TargetMode="External"/><Relationship Id="rId110" Type="http://schemas.openxmlformats.org/officeDocument/2006/relationships/hyperlink" Target="https://www.itu.int/md/D22-SG02-C-0057/fr" TargetMode="External"/><Relationship Id="rId115" Type="http://schemas.openxmlformats.org/officeDocument/2006/relationships/hyperlink" Target="https://www.itu.int/md/D22-SG02-C-0305/fr" TargetMode="External"/><Relationship Id="rId131" Type="http://schemas.openxmlformats.org/officeDocument/2006/relationships/hyperlink" Target="https://www.itu.int/md/D22-SG02-C-0412/fr" TargetMode="External"/><Relationship Id="rId136" Type="http://schemas.openxmlformats.org/officeDocument/2006/relationships/footer" Target="footer1.xml"/><Relationship Id="rId157" Type="http://schemas.openxmlformats.org/officeDocument/2006/relationships/hyperlink" Target="https://www.itu.int/itu-d/sites/studygroups/" TargetMode="External"/><Relationship Id="rId178" Type="http://schemas.openxmlformats.org/officeDocument/2006/relationships/hyperlink" Target="https://www.itu.int/md/D22-SG02-C-0198/" TargetMode="External"/><Relationship Id="rId61" Type="http://schemas.openxmlformats.org/officeDocument/2006/relationships/hyperlink" Target="https://www.itu.int/md/D22-TDAG.WG.SGQ-C-0048/fr" TargetMode="External"/><Relationship Id="rId82" Type="http://schemas.openxmlformats.org/officeDocument/2006/relationships/hyperlink" Target="https://www.itu.int/en/ITU-D/Study-Groups/2022-2025/Pages/meetings/session-Q7-2-may23.aspx" TargetMode="External"/><Relationship Id="rId152" Type="http://schemas.openxmlformats.org/officeDocument/2006/relationships/hyperlink" Target="https://www.itu.int/hub/publication/d-stg-sg01-01-2-2021/" TargetMode="External"/><Relationship Id="rId173" Type="http://schemas.openxmlformats.org/officeDocument/2006/relationships/hyperlink" Target="https://iccwbo.org/wp-content/uploads/sites/3/2022/05/2022-icc-white-paper-delivering-connectivity.pdf" TargetMode="External"/><Relationship Id="rId19" Type="http://schemas.openxmlformats.org/officeDocument/2006/relationships/hyperlink" Target="https://www.itu.int/md/D22-SG02-R-0025/fr" TargetMode="External"/><Relationship Id="rId14" Type="http://schemas.openxmlformats.org/officeDocument/2006/relationships/hyperlink" Target="https://www.itu.int/md/D22-TDAG31-C-0006/fr" TargetMode="External"/><Relationship Id="rId30" Type="http://schemas.openxmlformats.org/officeDocument/2006/relationships/hyperlink" Target="https://www.itu.int/md/D22-SG02-R-0008/fr" TargetMode="External"/><Relationship Id="rId35" Type="http://schemas.openxmlformats.org/officeDocument/2006/relationships/hyperlink" Target="https://www.itu.int/md/D22-SG02-R-0009/fr" TargetMode="External"/><Relationship Id="rId56" Type="http://schemas.openxmlformats.org/officeDocument/2006/relationships/hyperlink" Target="https://www.itu.int/en/ITU-D/Study-Groups/2022-2025/Pages/reference/Ongoing-Work.aspx" TargetMode="External"/><Relationship Id="rId77" Type="http://schemas.openxmlformats.org/officeDocument/2006/relationships/hyperlink" Target="https://www.itu.int/en/ITU-D/Study-Groups/2022-2025/Pages/meetings/workshop-Q6-2_may24.aspx" TargetMode="External"/><Relationship Id="rId100" Type="http://schemas.openxmlformats.org/officeDocument/2006/relationships/hyperlink" Target="https://extranet.itu.int/rsg-meetings/ccv/Share/CCT%20meeting%202024-09-17/073e.docx" TargetMode="External"/><Relationship Id="rId105" Type="http://schemas.openxmlformats.org/officeDocument/2006/relationships/hyperlink" Target="https://www.itu.int/md/D22-SG02-C-0159/fr" TargetMode="External"/><Relationship Id="rId126" Type="http://schemas.openxmlformats.org/officeDocument/2006/relationships/hyperlink" Target="https://www.itu.int/md/D22-SG02-C-0064/fr" TargetMode="External"/><Relationship Id="rId147" Type="http://schemas.openxmlformats.org/officeDocument/2006/relationships/hyperlink" Target="https://www.itu.int/net4/ITU-D/CDS/sg/blkmeetings.asp?lg=1&amp;stg=&amp;sp=2022&amp;blk=28225" TargetMode="External"/><Relationship Id="rId168" Type="http://schemas.openxmlformats.org/officeDocument/2006/relationships/hyperlink" Target="https://www.itu.int/net4/ITU-D/CDS/sg/index.asp?lg=1&amp;sp=2022" TargetMode="External"/><Relationship Id="rId8" Type="http://schemas.openxmlformats.org/officeDocument/2006/relationships/webSettings" Target="webSettings.xml"/><Relationship Id="rId51" Type="http://schemas.openxmlformats.org/officeDocument/2006/relationships/hyperlink" Target="https://www.itu.int/md/D22-TDAG.WG.SGQ-C-0048/fr" TargetMode="External"/><Relationship Id="rId72" Type="http://schemas.openxmlformats.org/officeDocument/2006/relationships/hyperlink" Target="https://www.itu.int/en/ITU-D/Study-Groups/2022-2025/Pages/meetings/workshop-Q5-2_may24.aspx" TargetMode="External"/><Relationship Id="rId93" Type="http://schemas.openxmlformats.org/officeDocument/2006/relationships/hyperlink" Target="https://www.itu.int/md/D22-TDAG30-C-0006/fr" TargetMode="External"/><Relationship Id="rId98" Type="http://schemas.openxmlformats.org/officeDocument/2006/relationships/hyperlink" Target="https://extranet.itu.int/rsg-meetings/ccv/Share/CCT%20meeting%202023-09-26/Input%20contributions/037e.docx" TargetMode="External"/><Relationship Id="rId121" Type="http://schemas.openxmlformats.org/officeDocument/2006/relationships/hyperlink" Target="https://www.itu.int/md/D22-SG02-C-0178/fr" TargetMode="External"/><Relationship Id="rId142" Type="http://schemas.openxmlformats.org/officeDocument/2006/relationships/hyperlink" Target="https://www.itu.int/net4/ITU-D/CDS/sg/blkmeetings.asp?lg=1&amp;stg=&amp;sp=2022&amp;blk=29015" TargetMode="External"/><Relationship Id="rId163" Type="http://schemas.openxmlformats.org/officeDocument/2006/relationships/hyperlink" Target="https://www.itu.int/en/ITU-D/Pages/itu-d-publications.aspx" TargetMode="External"/><Relationship Id="rId184" Type="http://schemas.openxmlformats.org/officeDocument/2006/relationships/footer" Target="footer3.xm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7.png"/><Relationship Id="rId46" Type="http://schemas.openxmlformats.org/officeDocument/2006/relationships/hyperlink" Target="https://www.itu.int/md/D22-SG02-C-0359/fr" TargetMode="External"/><Relationship Id="rId67" Type="http://schemas.openxmlformats.org/officeDocument/2006/relationships/hyperlink" Target="https://www.itu.int/md/D22-SG02.RGQ-R-0011/fr" TargetMode="External"/><Relationship Id="rId116" Type="http://schemas.openxmlformats.org/officeDocument/2006/relationships/hyperlink" Target="https://www.itu.int/en/ITU-D/Study-Groups/2022-2025/Pages/TIES_Protected/session-BDT-projects-oct23.aspx" TargetMode="External"/><Relationship Id="rId137" Type="http://schemas.openxmlformats.org/officeDocument/2006/relationships/hyperlink" Target="https://www.itu.int/en/ITU-D/Conferences/WTDC/WTDC21/Pages/SG_TDAG_appointed-chairs-and-vice-chairs.aspx" TargetMode="External"/><Relationship Id="rId158" Type="http://schemas.openxmlformats.org/officeDocument/2006/relationships/hyperlink" Target="https://www.itu.int/pub/D-STG" TargetMode="External"/><Relationship Id="rId20" Type="http://schemas.openxmlformats.org/officeDocument/2006/relationships/hyperlink" Target="https://www.itu.int/md/D22-SG02-C-0002/fr" TargetMode="External"/><Relationship Id="rId41" Type="http://schemas.openxmlformats.org/officeDocument/2006/relationships/hyperlink" Target="https://www.itu.int/md/D22-SG02.RGQ-R-0001/fr" TargetMode="External"/><Relationship Id="rId62" Type="http://schemas.openxmlformats.org/officeDocument/2006/relationships/hyperlink" Target="https://www.itu.int/md/D22-TDAG.WG.SGQ-C-0048" TargetMode="External"/><Relationship Id="rId83" Type="http://schemas.openxmlformats.org/officeDocument/2006/relationships/hyperlink" Target="https://www.itu.int/md/D22-SG02.RGQ-R-0007/fr" TargetMode="External"/><Relationship Id="rId88" Type="http://schemas.openxmlformats.org/officeDocument/2006/relationships/hyperlink" Target="https://www.itu.int/en/ITU-D/Conferences/TDAG/Pages/2024/TDAG_WG_futureSGQ.aspx" TargetMode="External"/><Relationship Id="rId111" Type="http://schemas.openxmlformats.org/officeDocument/2006/relationships/hyperlink" Target="https://www.itu.int/md/D22-SG02-C-0168/fr" TargetMode="External"/><Relationship Id="rId132" Type="http://schemas.openxmlformats.org/officeDocument/2006/relationships/hyperlink" Target="https://www.itu.int/en/ITU-D/Study-Groups/2022-2025/Pages/reference/Collaborative-Tools.aspx" TargetMode="External"/><Relationship Id="rId153" Type="http://schemas.openxmlformats.org/officeDocument/2006/relationships/hyperlink" Target="https://www.itu.int/pub/D-STG-SG01.01.2-2021" TargetMode="External"/><Relationship Id="rId174" Type="http://schemas.openxmlformats.org/officeDocument/2006/relationships/hyperlink" Target="https://www.itu.int/md/D22-SG02.RGQ-C-0057/" TargetMode="External"/><Relationship Id="rId179" Type="http://schemas.openxmlformats.org/officeDocument/2006/relationships/hyperlink" Target="https://www.itu.int/md/D22-SG02-C-0274/" TargetMode="External"/><Relationship Id="rId190" Type="http://schemas.openxmlformats.org/officeDocument/2006/relationships/theme" Target="theme/theme1.xml"/><Relationship Id="rId15" Type="http://schemas.openxmlformats.org/officeDocument/2006/relationships/hyperlink" Target="https://www.itu.int/md/D22-TDAG32-C-0007/fr" TargetMode="External"/><Relationship Id="rId36" Type="http://schemas.openxmlformats.org/officeDocument/2006/relationships/hyperlink" Target="https://www.itu.int/md/D22-SG02-R-0017/fr" TargetMode="External"/><Relationship Id="rId57" Type="http://schemas.openxmlformats.org/officeDocument/2006/relationships/hyperlink" Target="https://www.itu.int/en/ITU-D/Study-Groups/2022-2025/Pages/meetings/session-Q3-2-may23.aspx" TargetMode="External"/><Relationship Id="rId106" Type="http://schemas.openxmlformats.org/officeDocument/2006/relationships/hyperlink" Target="https://www.itu.int/md/D22-SG02-C-0286/fr" TargetMode="External"/><Relationship Id="rId127" Type="http://schemas.openxmlformats.org/officeDocument/2006/relationships/hyperlink" Target="https://www.itu.int/md/D22-SG02-C-0065/fr" TargetMode="External"/><Relationship Id="rId10" Type="http://schemas.openxmlformats.org/officeDocument/2006/relationships/endnotes" Target="endnotes.xml"/><Relationship Id="rId31" Type="http://schemas.openxmlformats.org/officeDocument/2006/relationships/hyperlink" Target="https://www.itu.int/en/ITU-D/Study-Groups/2022-2025/Pages/TIES_Protected/session-cybersecurity-oct23.aspx" TargetMode="External"/><Relationship Id="rId52" Type="http://schemas.openxmlformats.org/officeDocument/2006/relationships/hyperlink" Target="https://www.itu.int/md/D22-SG02-C-0360/fr" TargetMode="External"/><Relationship Id="rId73" Type="http://schemas.openxmlformats.org/officeDocument/2006/relationships/hyperlink" Target="https://www.itu.int/md/D22-SG02.RGQ-R-0012/fr" TargetMode="External"/><Relationship Id="rId78" Type="http://schemas.openxmlformats.org/officeDocument/2006/relationships/hyperlink" Target="https://www.itu.int/md/D22-SG02.RGQ-R-0013/fr" TargetMode="External"/><Relationship Id="rId94" Type="http://schemas.openxmlformats.org/officeDocument/2006/relationships/hyperlink" Target="https://www.itu.int/md/D22-SG02-C-0161/fr" TargetMode="External"/><Relationship Id="rId99" Type="http://schemas.openxmlformats.org/officeDocument/2006/relationships/hyperlink" Target="https://extranet.itu.int/rsg-meetings/ccv/Share/CCT%20meeting%202024-06-25/Input%20contributions/060e.docx" TargetMode="External"/><Relationship Id="rId101" Type="http://schemas.openxmlformats.org/officeDocument/2006/relationships/hyperlink" Target="https://extranet.itu.int/rsg-meetings/ccv/Share/CCT%20meeting%202024-12-10/Input%20contributions/087e.docx" TargetMode="External"/><Relationship Id="rId122" Type="http://schemas.openxmlformats.org/officeDocument/2006/relationships/hyperlink" Target="https://www.itu.int/md/D22-SG02-C-0250/fr" TargetMode="External"/><Relationship Id="rId143" Type="http://schemas.openxmlformats.org/officeDocument/2006/relationships/hyperlink" Target="https://www.itu.int/net4/ITU-D/CDS/sg/blkmeetings.asp?lg=1&amp;stg=&amp;sp=2022&amp;blk=28817" TargetMode="External"/><Relationship Id="rId148" Type="http://schemas.openxmlformats.org/officeDocument/2006/relationships/hyperlink" Target="https://www.itu.int/en/ITU-D/Study-Groups/2022-2025/Pages/events_workshops.aspx" TargetMode="External"/><Relationship Id="rId164" Type="http://schemas.openxmlformats.org/officeDocument/2006/relationships/hyperlink" Target="https://www.itu.int/hub/?s=&amp;post_type=publication" TargetMode="External"/><Relationship Id="rId169" Type="http://schemas.openxmlformats.org/officeDocument/2006/relationships/hyperlink" Target="https://www.itu.int/itu-d/sites/studygroups/" TargetMode="External"/><Relationship Id="rId18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md/D22-SG02.RGQ-C-0001/" TargetMode="External"/><Relationship Id="rId26" Type="http://schemas.openxmlformats.org/officeDocument/2006/relationships/image" Target="media/image8.png"/><Relationship Id="rId47" Type="http://schemas.openxmlformats.org/officeDocument/2006/relationships/hyperlink" Target="https://www.itu.int/en/ITU-D/Study-Groups/2022-2025/Pages/meetings/session-Q2-2-may23.aspx" TargetMode="External"/><Relationship Id="rId68" Type="http://schemas.openxmlformats.org/officeDocument/2006/relationships/hyperlink" Target="https://www.itu.int/md/D22-TDAG.WG.SGQ-C-0048/fr" TargetMode="External"/><Relationship Id="rId89" Type="http://schemas.openxmlformats.org/officeDocument/2006/relationships/hyperlink" Target="https://www.itu.int/md/D22-TDAG.WG.SGQ-C-0022/fr" TargetMode="External"/><Relationship Id="rId112" Type="http://schemas.openxmlformats.org/officeDocument/2006/relationships/hyperlink" Target="https://www.itu.int/md/D22-SG02-C-0292/fr" TargetMode="External"/><Relationship Id="rId133" Type="http://schemas.openxmlformats.org/officeDocument/2006/relationships/hyperlink" Target="https://www.itu.int/md/D22-CA-CIR-0007/fr" TargetMode="External"/><Relationship Id="rId154" Type="http://schemas.openxmlformats.org/officeDocument/2006/relationships/hyperlink" Target="https://www.itu.int/hub/?s=&amp;post_type=publication" TargetMode="External"/><Relationship Id="rId175" Type="http://schemas.openxmlformats.org/officeDocument/2006/relationships/hyperlink" Target="https://www.itu.int/md/D22-SG02.RGQ-C-0110/" TargetMode="External"/><Relationship Id="rId16" Type="http://schemas.openxmlformats.org/officeDocument/2006/relationships/hyperlink" Target="https://www.itu.int/md/D22-SG02-R-0008/fr" TargetMode="External"/><Relationship Id="rId37" Type="http://schemas.openxmlformats.org/officeDocument/2006/relationships/hyperlink" Target="https://www.itu.int/md/D18-SG02-R-0025/fr" TargetMode="External"/><Relationship Id="rId58" Type="http://schemas.openxmlformats.org/officeDocument/2006/relationships/hyperlink" Target="https://www.itu.int/md/D22-SG02.RGQ-R-0003/fr" TargetMode="External"/><Relationship Id="rId79" Type="http://schemas.openxmlformats.org/officeDocument/2006/relationships/hyperlink" Target="https://www.itu.int/md/D22-TDAG.WG.SGQ-C-0048/fr" TargetMode="External"/><Relationship Id="rId102" Type="http://schemas.openxmlformats.org/officeDocument/2006/relationships/hyperlink" Target="https://extranet.itu.int/rsg-meetings/ccv/Share/CCT%20meeting%202025-01-30/Input%20contributions/097e.docx" TargetMode="External"/><Relationship Id="rId123" Type="http://schemas.openxmlformats.org/officeDocument/2006/relationships/hyperlink" Target="https://www.itu.int/md/D22-SG02-C-0256/fr" TargetMode="External"/><Relationship Id="rId144" Type="http://schemas.openxmlformats.org/officeDocument/2006/relationships/hyperlink" Target="https://www.itu.int/net4/ITU-D/CDS/sg/blkmeetings.asp?lg=1&amp;sp=2022&amp;blk=28246" TargetMode="External"/><Relationship Id="rId90" Type="http://schemas.openxmlformats.org/officeDocument/2006/relationships/hyperlink" Target="https://www.itu.int/md/D22-TDAG.WG.SGQ-C-0048/fr" TargetMode="External"/><Relationship Id="rId165" Type="http://schemas.openxmlformats.org/officeDocument/2006/relationships/hyperlink" Target="https://www.itu.int/hub/publication/d-stg-sg01-01-2-2021/" TargetMode="External"/><Relationship Id="rId186" Type="http://schemas.openxmlformats.org/officeDocument/2006/relationships/footer" Target="footer4.xml"/><Relationship Id="rId27" Type="http://schemas.openxmlformats.org/officeDocument/2006/relationships/image" Target="media/image9.png"/><Relationship Id="rId48" Type="http://schemas.openxmlformats.org/officeDocument/2006/relationships/hyperlink" Target="https://www.itu.int/md/D22-SG02.RGQ-R-0002/fr" TargetMode="External"/><Relationship Id="rId69" Type="http://schemas.openxmlformats.org/officeDocument/2006/relationships/hyperlink" Target="https://www.itu.int/md/D22-SG02-C-0362/fr" TargetMode="External"/><Relationship Id="rId113" Type="http://schemas.openxmlformats.org/officeDocument/2006/relationships/hyperlink" Target="https://www.itu.int/md/D22-SG02-C-0061/fr" TargetMode="External"/><Relationship Id="rId134" Type="http://schemas.openxmlformats.org/officeDocument/2006/relationships/hyperlink" Target="https://www.itu.int/md/D22-SG02-C-0385/" TargetMode="External"/><Relationship Id="rId80" Type="http://schemas.openxmlformats.org/officeDocument/2006/relationships/hyperlink" Target="https://www.itu.int/md/D22-TDAG.WG.SGQ-C-0048" TargetMode="External"/><Relationship Id="rId155" Type="http://schemas.openxmlformats.org/officeDocument/2006/relationships/hyperlink" Target="https://www.itu.int/en/ITU-D/Pages/itu-d-publications.aspx" TargetMode="External"/><Relationship Id="rId176" Type="http://schemas.openxmlformats.org/officeDocument/2006/relationships/hyperlink" Target="https://www.itu.int/md/D22-SG02.RGQ-C-0158/" TargetMode="External"/><Relationship Id="rId17" Type="http://schemas.openxmlformats.org/officeDocument/2006/relationships/hyperlink" Target="https://www.itu.int/md/D22-SG02-R-0009/fr" TargetMode="External"/><Relationship Id="rId38" Type="http://schemas.openxmlformats.org/officeDocument/2006/relationships/hyperlink" Target="https://www.itu.int/md/D18-SG02-R-0025" TargetMode="External"/><Relationship Id="rId59" Type="http://schemas.openxmlformats.org/officeDocument/2006/relationships/hyperlink" Target="https://www.itu.int/en/ITU-D/Study-Groups/2022-2025/Pages/meetings/workshop-Q3-2_may24.aspx" TargetMode="External"/><Relationship Id="rId103" Type="http://schemas.openxmlformats.org/officeDocument/2006/relationships/hyperlink" Target="https://extranet.itu.int/rsg-meetings/ccv/Share/CCT%20meeting%202025-03-11/Input%20contributions/110e.docx" TargetMode="External"/><Relationship Id="rId124" Type="http://schemas.openxmlformats.org/officeDocument/2006/relationships/hyperlink" Target="https://www.itu.int/md/D22-SG02-C-0062/fr" TargetMode="External"/><Relationship Id="rId70" Type="http://schemas.openxmlformats.org/officeDocument/2006/relationships/hyperlink" Target="https://www.itu.int/en/ITU-D/Study-Groups/2022-2025/Pages/meetings/session-Q5-2-may23.aspx" TargetMode="External"/><Relationship Id="rId91" Type="http://schemas.openxmlformats.org/officeDocument/2006/relationships/hyperlink" Target="https://www.itu.int/en/general-secretariat/ties/ISCGDocumentLibrary/Liaisons%20Statements%20on%20Inter-Sectoral%20Coordination%20Activities/Table%201.pdf" TargetMode="External"/><Relationship Id="rId145" Type="http://schemas.openxmlformats.org/officeDocument/2006/relationships/hyperlink" Target="https://www.itu.int/net4/ITU-D/CDS/sg/blkmeetings.asp?lg=1&amp;sp=2022&amp;blk=28157" TargetMode="External"/><Relationship Id="rId166" Type="http://schemas.openxmlformats.org/officeDocument/2006/relationships/hyperlink" Target="https://www.itu.int/pub/D-STG-SG01.06.3-2023" TargetMode="External"/><Relationship Id="rId187" Type="http://schemas.openxmlformats.org/officeDocument/2006/relationships/header" Target="header7.xml"/><Relationship Id="rId1" Type="http://schemas.openxmlformats.org/officeDocument/2006/relationships/customXml" Target="../customXml/item1.xml"/><Relationship Id="rId28" Type="http://schemas.openxmlformats.org/officeDocument/2006/relationships/image" Target="media/image10.png"/><Relationship Id="rId49" Type="http://schemas.openxmlformats.org/officeDocument/2006/relationships/hyperlink" Target="https://www.itu.int/en/ITU-D/Study-Groups/2022-2025/Pages/meetings/workshop-Q2-2_april24.aspx" TargetMode="External"/><Relationship Id="rId114" Type="http://schemas.openxmlformats.org/officeDocument/2006/relationships/hyperlink" Target="https://www.itu.int/md/D22-SG02-C-0170/fr" TargetMode="External"/><Relationship Id="rId60" Type="http://schemas.openxmlformats.org/officeDocument/2006/relationships/hyperlink" Target="https://www.itu.int/md/D22-SG02.RGQ-R-0010/fr" TargetMode="External"/><Relationship Id="rId81" Type="http://schemas.openxmlformats.org/officeDocument/2006/relationships/hyperlink" Target="https://www.itu.int/md/D18-SG02-C-0364/fr" TargetMode="External"/><Relationship Id="rId135" Type="http://schemas.openxmlformats.org/officeDocument/2006/relationships/header" Target="header1.xml"/><Relationship Id="rId156" Type="http://schemas.openxmlformats.org/officeDocument/2006/relationships/hyperlink" Target="https://www.itu.int/hub/?s=&amp;post_type=publication" TargetMode="External"/><Relationship Id="rId177" Type="http://schemas.openxmlformats.org/officeDocument/2006/relationships/hyperlink" Target="https://www.itu.int/md/D22-SG02-C-0129/"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late.itu.int/documents" TargetMode="External"/><Relationship Id="rId3" Type="http://schemas.openxmlformats.org/officeDocument/2006/relationships/hyperlink" Target="https://www.itu.int/en/ITU-D/Regional-Presence/Americas/Pages/EVENTS/2024/cons-awa-2024.aspx" TargetMode="External"/><Relationship Id="rId7" Type="http://schemas.openxmlformats.org/officeDocument/2006/relationships/hyperlink" Target="https://www.itu.int/en/ITU-D/Study-Groups/2022-2025/Pages/TIES_Protected/contributions_dashboard_2022_2025.aspx" TargetMode="External"/><Relationship Id="rId2" Type="http://schemas.openxmlformats.org/officeDocument/2006/relationships/hyperlink" Target="https://www.itu.int/en/ITU-D/Study-Groups/2022-2025/Pages/events_workshops.asp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unctad.org/system/files/official-document/ares70d125_fr.pdf" TargetMode="External"/><Relationship Id="rId5" Type="http://schemas.openxmlformats.org/officeDocument/2006/relationships/hyperlink" Target="https://www.itu.int/en/ITU-D/Regional-Presence/Americas/Pages/EVENTS/2024/cons-awa-2024.aspx" TargetMode="External"/><Relationship Id="rId4" Type="http://schemas.openxmlformats.org/officeDocument/2006/relationships/hyperlink" Target="https://www.itu.int/en/ITU-D/Study-Groups/2022-2025/Pages/reference/Ongoing-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CCAF360E-5564-48B7-80D2-EBA6083CC51F}"/>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060e8e06-0ab1-43d2-b04a-41299106b25a"/>
    <ds:schemaRef ds:uri="bc0b450c-ff0a-44fa-a43c-58f6e857e634"/>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46</Pages>
  <Words>16630</Words>
  <Characters>94796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111204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French</cp:lastModifiedBy>
  <cp:revision>17</cp:revision>
  <cp:lastPrinted>2017-03-10T07:43:00Z</cp:lastPrinted>
  <dcterms:created xsi:type="dcterms:W3CDTF">2025-10-09T12:34:00Z</dcterms:created>
  <dcterms:modified xsi:type="dcterms:W3CDTF">2025-10-10T08:50:00Z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