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C9E77" w14:textId="77777777" w:rsidR="00F8541E" w:rsidRDefault="00F8541E"/>
    <w:tbl>
      <w:tblPr>
        <w:tblpPr w:leftFromText="180" w:rightFromText="180" w:horzAnchor="margin" w:tblpY="-690"/>
        <w:tblW w:w="9781" w:type="dxa"/>
        <w:tblLayout w:type="fixed"/>
        <w:tblLook w:val="0000" w:firstRow="0" w:lastRow="0" w:firstColumn="0" w:lastColumn="0" w:noHBand="0" w:noVBand="0"/>
      </w:tblPr>
      <w:tblGrid>
        <w:gridCol w:w="1418"/>
        <w:gridCol w:w="5188"/>
        <w:gridCol w:w="1191"/>
        <w:gridCol w:w="1984"/>
      </w:tblGrid>
      <w:tr w:rsidR="007A0E6A" w14:paraId="5D312FB9" w14:textId="77777777" w:rsidTr="009A034E">
        <w:trPr>
          <w:cantSplit/>
          <w:trHeight w:val="1134"/>
        </w:trPr>
        <w:tc>
          <w:tcPr>
            <w:tcW w:w="1418" w:type="dxa"/>
          </w:tcPr>
          <w:p w14:paraId="4F8B3C12" w14:textId="3392DDBE" w:rsidR="007A0E6A" w:rsidRPr="00BD63D0" w:rsidRDefault="007A0E6A" w:rsidP="007A0E6A">
            <w:pPr>
              <w:tabs>
                <w:tab w:val="clear" w:pos="1134"/>
              </w:tabs>
              <w:rPr>
                <w:b/>
                <w:bCs/>
                <w:szCs w:val="24"/>
              </w:rPr>
            </w:pPr>
            <w:r w:rsidRPr="006D4EA0">
              <w:rPr>
                <w:noProof/>
                <w:lang w:val="fr-FR" w:eastAsia="fr-FR"/>
              </w:rPr>
              <w:drawing>
                <wp:inline distT="0" distB="0" distL="0" distR="0" wp14:anchorId="24519379" wp14:editId="68934D70">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379" w:type="dxa"/>
            <w:gridSpan w:val="2"/>
          </w:tcPr>
          <w:p w14:paraId="10C3D9D8" w14:textId="2F4DD835" w:rsidR="007A0E6A" w:rsidRDefault="007A0E6A" w:rsidP="007A0E6A">
            <w:pPr>
              <w:tabs>
                <w:tab w:val="clear" w:pos="1134"/>
              </w:tabs>
              <w:spacing w:before="240" w:after="48" w:line="240" w:lineRule="atLeast"/>
              <w:ind w:left="34"/>
              <w:rPr>
                <w:b/>
                <w:bCs/>
                <w:sz w:val="32"/>
                <w:szCs w:val="32"/>
              </w:rPr>
            </w:pPr>
            <w:r w:rsidRPr="008902C6">
              <w:rPr>
                <w:b/>
                <w:bCs/>
                <w:sz w:val="32"/>
                <w:szCs w:val="32"/>
              </w:rPr>
              <w:t>World Telecommunication Development Conference 2025 (WTDC-25)</w:t>
            </w:r>
            <w:r>
              <w:rPr>
                <w:b/>
                <w:bCs/>
                <w:sz w:val="32"/>
                <w:szCs w:val="32"/>
              </w:rPr>
              <w:br/>
            </w:r>
            <w:r w:rsidRPr="008902C6">
              <w:rPr>
                <w:b/>
                <w:bCs/>
                <w:sz w:val="26"/>
                <w:szCs w:val="26"/>
              </w:rPr>
              <w:t>Baku, Republic of Azerbaijan</w:t>
            </w:r>
            <w:r w:rsidRPr="00016665">
              <w:rPr>
                <w:b/>
                <w:bCs/>
                <w:sz w:val="26"/>
                <w:szCs w:val="26"/>
              </w:rPr>
              <w:t xml:space="preserve">, </w:t>
            </w:r>
            <w:r w:rsidRPr="008902C6">
              <w:rPr>
                <w:b/>
                <w:bCs/>
                <w:sz w:val="26"/>
                <w:szCs w:val="26"/>
              </w:rPr>
              <w:t>17</w:t>
            </w:r>
            <w:r w:rsidRPr="0077349A">
              <w:rPr>
                <w:sz w:val="18"/>
                <w:szCs w:val="18"/>
              </w:rPr>
              <w:t>–</w:t>
            </w:r>
            <w:r w:rsidRPr="008902C6">
              <w:rPr>
                <w:b/>
                <w:bCs/>
                <w:sz w:val="26"/>
                <w:szCs w:val="26"/>
              </w:rPr>
              <w:t>28 November 2025</w:t>
            </w:r>
          </w:p>
        </w:tc>
        <w:tc>
          <w:tcPr>
            <w:tcW w:w="1984" w:type="dxa"/>
          </w:tcPr>
          <w:p w14:paraId="36AB1AD5" w14:textId="586C3FCB" w:rsidR="007A0E6A" w:rsidRPr="00D96B4B" w:rsidRDefault="007A0E6A" w:rsidP="007A0E6A">
            <w:pPr>
              <w:tabs>
                <w:tab w:val="clear" w:pos="1134"/>
              </w:tabs>
              <w:spacing w:line="240" w:lineRule="atLeast"/>
              <w:ind w:left="34"/>
              <w:jc w:val="right"/>
              <w:rPr>
                <w:rFonts w:cstheme="minorHAnsi"/>
              </w:rPr>
            </w:pPr>
            <w:bookmarkStart w:id="0" w:name="ditulogo"/>
            <w:bookmarkEnd w:id="0"/>
            <w:r>
              <w:rPr>
                <w:noProof/>
                <w:sz w:val="32"/>
                <w:szCs w:val="32"/>
              </w:rPr>
              <w:drawing>
                <wp:inline distT="0" distB="0" distL="0" distR="0" wp14:anchorId="4BD84715" wp14:editId="1EC4AA8E">
                  <wp:extent cx="1080000" cy="946800"/>
                  <wp:effectExtent l="0" t="0" r="6350" b="0"/>
                  <wp:docPr id="11334094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3BF5" w:rsidRPr="00C324A8" w14:paraId="2453753B" w14:textId="77777777" w:rsidTr="409A0992">
        <w:trPr>
          <w:cantSplit/>
        </w:trPr>
        <w:tc>
          <w:tcPr>
            <w:tcW w:w="6606" w:type="dxa"/>
            <w:gridSpan w:val="2"/>
            <w:tcBorders>
              <w:top w:val="single" w:sz="12" w:space="0" w:color="auto"/>
            </w:tcBorders>
          </w:tcPr>
          <w:p w14:paraId="76A84F6C" w14:textId="77777777" w:rsidR="00D83BF5" w:rsidRPr="00D96B4B" w:rsidRDefault="00D83BF5" w:rsidP="00BB60D1">
            <w:pPr>
              <w:spacing w:before="0" w:after="48" w:line="240" w:lineRule="atLeast"/>
              <w:rPr>
                <w:rFonts w:cstheme="minorHAnsi"/>
                <w:b/>
                <w:smallCaps/>
                <w:sz w:val="20"/>
              </w:rPr>
            </w:pPr>
            <w:bookmarkStart w:id="1" w:name="dhead"/>
          </w:p>
        </w:tc>
        <w:tc>
          <w:tcPr>
            <w:tcW w:w="3175" w:type="dxa"/>
            <w:gridSpan w:val="2"/>
            <w:tcBorders>
              <w:top w:val="single" w:sz="12" w:space="0" w:color="auto"/>
            </w:tcBorders>
          </w:tcPr>
          <w:p w14:paraId="31FBCF7B" w14:textId="77777777" w:rsidR="00D83BF5" w:rsidRPr="00D96B4B" w:rsidRDefault="00D83BF5" w:rsidP="00BB60D1">
            <w:pPr>
              <w:spacing w:before="0" w:line="240" w:lineRule="atLeast"/>
              <w:rPr>
                <w:rFonts w:cstheme="minorHAnsi"/>
                <w:sz w:val="20"/>
              </w:rPr>
            </w:pPr>
          </w:p>
        </w:tc>
      </w:tr>
      <w:tr w:rsidR="00C41366" w:rsidRPr="0038489B" w14:paraId="46B7042F" w14:textId="77777777" w:rsidTr="409A0992">
        <w:trPr>
          <w:cantSplit/>
          <w:trHeight w:val="23"/>
        </w:trPr>
        <w:tc>
          <w:tcPr>
            <w:tcW w:w="6606" w:type="dxa"/>
            <w:gridSpan w:val="2"/>
          </w:tcPr>
          <w:p w14:paraId="30C52037" w14:textId="17D22C21" w:rsidR="00C41366" w:rsidRPr="00D96B4B" w:rsidRDefault="00C41366" w:rsidP="00C41366">
            <w:pPr>
              <w:pStyle w:val="Committee"/>
              <w:framePr w:hSpace="0" w:wrap="auto" w:hAnchor="text" w:yAlign="inline"/>
            </w:pPr>
            <w:bookmarkStart w:id="2" w:name="dnum"/>
            <w:bookmarkStart w:id="3" w:name="dmeeting"/>
            <w:bookmarkEnd w:id="1"/>
            <w:r w:rsidRPr="00864AFD">
              <w:t>PLENARY MEETING</w:t>
            </w:r>
          </w:p>
        </w:tc>
        <w:tc>
          <w:tcPr>
            <w:tcW w:w="3175" w:type="dxa"/>
            <w:gridSpan w:val="2"/>
          </w:tcPr>
          <w:p w14:paraId="1571B846" w14:textId="5923B93B" w:rsidR="00C41366" w:rsidRPr="00154066" w:rsidRDefault="00C41366" w:rsidP="409A0992">
            <w:pPr>
              <w:tabs>
                <w:tab w:val="left" w:pos="851"/>
              </w:tabs>
              <w:spacing w:before="0" w:line="240" w:lineRule="atLeast"/>
              <w:rPr>
                <w:rFonts w:cstheme="minorBidi"/>
                <w:lang w:val="es-ES"/>
              </w:rPr>
            </w:pPr>
            <w:r w:rsidRPr="00154066">
              <w:rPr>
                <w:b/>
                <w:bCs/>
                <w:lang w:val="es-ES"/>
              </w:rPr>
              <w:t>Document WTDC-2</w:t>
            </w:r>
            <w:r w:rsidR="00AC797F" w:rsidRPr="00154066">
              <w:rPr>
                <w:b/>
                <w:bCs/>
                <w:lang w:val="es-ES"/>
              </w:rPr>
              <w:t>5</w:t>
            </w:r>
            <w:r w:rsidRPr="00154066">
              <w:rPr>
                <w:b/>
                <w:bCs/>
                <w:lang w:val="es-ES"/>
              </w:rPr>
              <w:t>/</w:t>
            </w:r>
            <w:r w:rsidR="004667C6" w:rsidRPr="00154066">
              <w:rPr>
                <w:rFonts w:hint="eastAsia"/>
                <w:b/>
                <w:bCs/>
                <w:lang w:val="es-ES" w:eastAsia="ko-KR"/>
              </w:rPr>
              <w:t>1</w:t>
            </w:r>
            <w:r w:rsidR="00A571E1" w:rsidRPr="00154066">
              <w:rPr>
                <w:b/>
                <w:bCs/>
                <w:lang w:val="es-ES" w:eastAsia="ko-KR"/>
              </w:rPr>
              <w:t>2</w:t>
            </w:r>
            <w:r w:rsidRPr="00154066">
              <w:rPr>
                <w:b/>
                <w:bCs/>
                <w:lang w:val="es-ES"/>
              </w:rPr>
              <w:t>-E</w:t>
            </w:r>
          </w:p>
        </w:tc>
      </w:tr>
      <w:tr w:rsidR="00C41366" w:rsidRPr="00C324A8" w14:paraId="1E25EB82" w14:textId="77777777" w:rsidTr="00154066">
        <w:trPr>
          <w:cantSplit/>
          <w:trHeight w:val="80"/>
        </w:trPr>
        <w:tc>
          <w:tcPr>
            <w:tcW w:w="6606" w:type="dxa"/>
            <w:gridSpan w:val="2"/>
          </w:tcPr>
          <w:p w14:paraId="76286619" w14:textId="79357499" w:rsidR="00C41366" w:rsidRPr="00E07105" w:rsidRDefault="00C41366" w:rsidP="00C41366">
            <w:pPr>
              <w:tabs>
                <w:tab w:val="left" w:pos="851"/>
              </w:tabs>
              <w:spacing w:before="0" w:line="240" w:lineRule="atLeast"/>
              <w:rPr>
                <w:rFonts w:cstheme="minorHAnsi"/>
                <w:b/>
                <w:szCs w:val="24"/>
                <w:lang w:val="es-ES_tradnl"/>
              </w:rPr>
            </w:pPr>
            <w:bookmarkStart w:id="4" w:name="ddate" w:colFirst="1" w:colLast="1"/>
            <w:bookmarkStart w:id="5" w:name="dblank" w:colFirst="0" w:colLast="0"/>
            <w:bookmarkEnd w:id="2"/>
            <w:bookmarkEnd w:id="3"/>
          </w:p>
        </w:tc>
        <w:tc>
          <w:tcPr>
            <w:tcW w:w="3175" w:type="dxa"/>
            <w:gridSpan w:val="2"/>
          </w:tcPr>
          <w:p w14:paraId="06E1C3EC" w14:textId="69D43E55" w:rsidR="00C41366" w:rsidRPr="00154066" w:rsidRDefault="00154066" w:rsidP="00C41366">
            <w:pPr>
              <w:spacing w:before="0" w:line="240" w:lineRule="atLeast"/>
              <w:rPr>
                <w:rFonts w:cstheme="minorHAnsi"/>
                <w:szCs w:val="24"/>
              </w:rPr>
            </w:pPr>
            <w:r w:rsidRPr="00154066">
              <w:rPr>
                <w:b/>
                <w:bCs/>
                <w:szCs w:val="24"/>
                <w:lang w:val="fr-FR" w:eastAsia="ko-KR"/>
              </w:rPr>
              <w:t>30 September 2025</w:t>
            </w:r>
          </w:p>
        </w:tc>
      </w:tr>
      <w:bookmarkEnd w:id="4"/>
      <w:bookmarkEnd w:id="5"/>
      <w:tr w:rsidR="00C41366" w:rsidRPr="00C324A8" w14:paraId="07F4BD95" w14:textId="77777777" w:rsidTr="409A0992">
        <w:trPr>
          <w:cantSplit/>
          <w:trHeight w:val="23"/>
        </w:trPr>
        <w:tc>
          <w:tcPr>
            <w:tcW w:w="6606" w:type="dxa"/>
            <w:gridSpan w:val="2"/>
          </w:tcPr>
          <w:p w14:paraId="2FC8AB9A" w14:textId="77777777" w:rsidR="00C41366" w:rsidRPr="00D96B4B" w:rsidRDefault="00C41366" w:rsidP="00C41366">
            <w:pPr>
              <w:tabs>
                <w:tab w:val="left" w:pos="851"/>
              </w:tabs>
              <w:spacing w:before="0" w:line="240" w:lineRule="atLeast"/>
              <w:rPr>
                <w:rFonts w:cstheme="minorHAnsi"/>
                <w:szCs w:val="24"/>
              </w:rPr>
            </w:pPr>
          </w:p>
        </w:tc>
        <w:tc>
          <w:tcPr>
            <w:tcW w:w="3175" w:type="dxa"/>
            <w:gridSpan w:val="2"/>
          </w:tcPr>
          <w:p w14:paraId="406BF076" w14:textId="7E4CB438" w:rsidR="00C41366" w:rsidRPr="00154066" w:rsidRDefault="00C41366" w:rsidP="00C41366">
            <w:pPr>
              <w:tabs>
                <w:tab w:val="left" w:pos="993"/>
              </w:tabs>
              <w:spacing w:before="0"/>
              <w:rPr>
                <w:rFonts w:cstheme="minorHAnsi"/>
                <w:b/>
                <w:szCs w:val="24"/>
              </w:rPr>
            </w:pPr>
            <w:r w:rsidRPr="00154066">
              <w:rPr>
                <w:b/>
                <w:bCs/>
                <w:szCs w:val="24"/>
                <w:lang w:val="fr-FR"/>
              </w:rPr>
              <w:t>Original: English</w:t>
            </w:r>
          </w:p>
        </w:tc>
      </w:tr>
      <w:tr w:rsidR="008D412C" w:rsidRPr="00C324A8" w14:paraId="194316E2" w14:textId="77777777" w:rsidTr="409A0992">
        <w:trPr>
          <w:cantSplit/>
          <w:trHeight w:val="23"/>
        </w:trPr>
        <w:tc>
          <w:tcPr>
            <w:tcW w:w="9781" w:type="dxa"/>
            <w:gridSpan w:val="4"/>
          </w:tcPr>
          <w:p w14:paraId="5319A105" w14:textId="32164149" w:rsidR="008D412C" w:rsidRPr="00D83BF5" w:rsidRDefault="004667C6" w:rsidP="008D412C">
            <w:pPr>
              <w:pStyle w:val="Source"/>
              <w:spacing w:before="240" w:after="240"/>
              <w:rPr>
                <w:lang w:eastAsia="ko-KR"/>
              </w:rPr>
            </w:pPr>
            <w:bookmarkStart w:id="6" w:name="dbluepink" w:colFirst="0" w:colLast="0"/>
            <w:bookmarkStart w:id="7" w:name="dorlang" w:colFirst="1" w:colLast="1"/>
            <w:r>
              <w:rPr>
                <w:rFonts w:hint="eastAsia"/>
                <w:lang w:val="en-US" w:eastAsia="ko-KR"/>
              </w:rPr>
              <w:t>Chair</w:t>
            </w:r>
            <w:r w:rsidR="008D412C">
              <w:rPr>
                <w:lang w:val="en-US"/>
              </w:rPr>
              <w:t xml:space="preserve">, </w:t>
            </w:r>
            <w:r>
              <w:rPr>
                <w:rFonts w:hint="eastAsia"/>
                <w:lang w:val="en-US" w:eastAsia="ko-KR"/>
              </w:rPr>
              <w:t>ITU-D Study Group 2</w:t>
            </w:r>
          </w:p>
        </w:tc>
      </w:tr>
      <w:tr w:rsidR="008D412C" w:rsidRPr="00C324A8" w14:paraId="2D669C74" w14:textId="77777777" w:rsidTr="409A0992">
        <w:trPr>
          <w:cantSplit/>
          <w:trHeight w:val="23"/>
        </w:trPr>
        <w:tc>
          <w:tcPr>
            <w:tcW w:w="9781" w:type="dxa"/>
            <w:gridSpan w:val="4"/>
            <w:tcBorders>
              <w:bottom w:val="single" w:sz="4" w:space="0" w:color="auto"/>
            </w:tcBorders>
            <w:vAlign w:val="center"/>
          </w:tcPr>
          <w:p w14:paraId="3DD19C51" w14:textId="3EA7D320" w:rsidR="008D412C" w:rsidRPr="008C0C1B" w:rsidRDefault="004667C6" w:rsidP="008D412C">
            <w:pPr>
              <w:pStyle w:val="Title1"/>
              <w:spacing w:before="120" w:after="120"/>
            </w:pPr>
            <w:r w:rsidRPr="004667C6">
              <w:rPr>
                <w:szCs w:val="28"/>
              </w:rPr>
              <w:t>Report on ITU-D Study Group 2 activities for the eighth study period between WTDC-22 and WTDC-25</w:t>
            </w:r>
          </w:p>
        </w:tc>
      </w:tr>
      <w:tr w:rsidR="00FC193A" w:rsidRPr="00C324A8" w14:paraId="450BE3A0" w14:textId="77777777" w:rsidTr="409A0992">
        <w:trPr>
          <w:cantSplit/>
          <w:trHeight w:val="23"/>
        </w:trPr>
        <w:tc>
          <w:tcPr>
            <w:tcW w:w="9781" w:type="dxa"/>
            <w:gridSpan w:val="4"/>
            <w:tcBorders>
              <w:top w:val="single" w:sz="4" w:space="0" w:color="auto"/>
              <w:left w:val="single" w:sz="4" w:space="0" w:color="auto"/>
              <w:bottom w:val="single" w:sz="4" w:space="0" w:color="auto"/>
              <w:right w:val="single" w:sz="4" w:space="0" w:color="auto"/>
            </w:tcBorders>
            <w:vAlign w:val="center"/>
          </w:tcPr>
          <w:p w14:paraId="0ACA197A" w14:textId="2F58C1CF" w:rsidR="00B03556" w:rsidRPr="004667C6" w:rsidRDefault="00B03556" w:rsidP="00B03556">
            <w:pPr>
              <w:pStyle w:val="Title1"/>
              <w:tabs>
                <w:tab w:val="clear" w:pos="1134"/>
                <w:tab w:val="left" w:pos="1985"/>
              </w:tabs>
              <w:spacing w:before="120" w:after="120"/>
              <w:jc w:val="left"/>
              <w:rPr>
                <w:rFonts w:eastAsia="Malgun Gothic"/>
                <w:caps w:val="0"/>
                <w:sz w:val="24"/>
                <w:szCs w:val="24"/>
                <w:highlight w:val="yellow"/>
                <w:lang w:eastAsia="ko-KR"/>
              </w:rPr>
            </w:pPr>
            <w:r w:rsidRPr="00350A11">
              <w:rPr>
                <w:rFonts w:ascii="Calibri" w:eastAsia="SimSun" w:hAnsi="Calibri" w:cs="Traditional Arabic"/>
                <w:b/>
                <w:bCs/>
                <w:caps w:val="0"/>
                <w:sz w:val="24"/>
                <w:szCs w:val="24"/>
              </w:rPr>
              <w:t>Priority area:</w:t>
            </w:r>
            <w:r w:rsidRPr="006744CA">
              <w:rPr>
                <w:rFonts w:ascii="Calibri" w:eastAsia="SimSun" w:hAnsi="Calibri" w:cs="Traditional Arabic"/>
                <w:b/>
                <w:bCs/>
                <w:caps w:val="0"/>
                <w:sz w:val="24"/>
                <w:szCs w:val="24"/>
              </w:rPr>
              <w:t xml:space="preserve"> </w:t>
            </w:r>
            <w:r w:rsidR="004667C6" w:rsidRPr="004667C6">
              <w:rPr>
                <w:rFonts w:ascii="Calibri" w:eastAsia="Malgun Gothic" w:hAnsi="Calibri" w:cs="Traditional Arabic" w:hint="eastAsia"/>
                <w:caps w:val="0"/>
                <w:sz w:val="24"/>
                <w:szCs w:val="24"/>
                <w:lang w:eastAsia="ko-KR"/>
              </w:rPr>
              <w:t>Study Group Questions</w:t>
            </w:r>
          </w:p>
          <w:p w14:paraId="064021A9" w14:textId="2C0407E8" w:rsidR="00B03556" w:rsidRDefault="00B03556" w:rsidP="00B03556">
            <w:pPr>
              <w:spacing w:after="120"/>
              <w:rPr>
                <w:rFonts w:ascii="Calibri" w:eastAsia="Malgun Gothic" w:hAnsi="Calibri" w:cs="Traditional Arabic"/>
                <w:b/>
                <w:bCs/>
                <w:szCs w:val="24"/>
                <w:lang w:eastAsia="ko-KR"/>
              </w:rPr>
            </w:pPr>
            <w:r w:rsidRPr="00350A11">
              <w:rPr>
                <w:rFonts w:ascii="Calibri" w:eastAsia="SimSun" w:hAnsi="Calibri" w:cs="Traditional Arabic"/>
                <w:b/>
                <w:bCs/>
                <w:szCs w:val="24"/>
              </w:rPr>
              <w:t>Summary:</w:t>
            </w:r>
          </w:p>
          <w:p w14:paraId="4AA58448" w14:textId="00F6FE0F" w:rsidR="004667C6" w:rsidRPr="004667C6" w:rsidRDefault="004667C6" w:rsidP="00B03556">
            <w:pPr>
              <w:spacing w:after="120"/>
              <w:rPr>
                <w:rFonts w:eastAsia="Malgun Gothic"/>
                <w:szCs w:val="24"/>
                <w:lang w:eastAsia="ko-KR"/>
              </w:rPr>
            </w:pPr>
            <w:r w:rsidRPr="00FA4573">
              <w:t xml:space="preserve">This report summarizes the activities carried out by Study Group 2 for the </w:t>
            </w:r>
            <w:r w:rsidRPr="00FA4573">
              <w:rPr>
                <w:rFonts w:eastAsia="Malgun Gothic"/>
                <w:lang w:eastAsia="ko-KR"/>
              </w:rPr>
              <w:t>eighth</w:t>
            </w:r>
            <w:r w:rsidRPr="00FA4573">
              <w:t xml:space="preserve"> study period.</w:t>
            </w:r>
          </w:p>
          <w:p w14:paraId="7A9F6A71" w14:textId="3555F85E" w:rsidR="00B03556" w:rsidRPr="004667C6" w:rsidRDefault="00B03556" w:rsidP="00B03556">
            <w:pPr>
              <w:spacing w:after="120"/>
              <w:rPr>
                <w:rFonts w:ascii="Calibri" w:eastAsia="Malgun Gothic" w:hAnsi="Calibri" w:cs="Traditional Arabic"/>
                <w:b/>
                <w:bCs/>
                <w:caps/>
                <w:szCs w:val="24"/>
                <w:lang w:eastAsia="ko-KR"/>
              </w:rPr>
            </w:pPr>
            <w:r w:rsidRPr="00350A11">
              <w:rPr>
                <w:rFonts w:ascii="Calibri" w:eastAsia="SimSun" w:hAnsi="Calibri" w:cs="Traditional Arabic"/>
                <w:b/>
                <w:bCs/>
                <w:szCs w:val="24"/>
              </w:rPr>
              <w:t>Expected results:</w:t>
            </w:r>
          </w:p>
          <w:p w14:paraId="30789410" w14:textId="0F45C107" w:rsidR="00AD4898" w:rsidRDefault="00AD4898" w:rsidP="00B03556">
            <w:pPr>
              <w:spacing w:after="120"/>
              <w:rPr>
                <w:lang w:eastAsia="ko-KR"/>
              </w:rPr>
            </w:pPr>
            <w:r w:rsidRPr="00AD4898">
              <w:rPr>
                <w:lang w:eastAsia="ko-KR"/>
              </w:rPr>
              <w:t>WTDC-2</w:t>
            </w:r>
            <w:r w:rsidR="00A23C7D">
              <w:rPr>
                <w:lang w:eastAsia="ko-KR"/>
              </w:rPr>
              <w:t>5</w:t>
            </w:r>
            <w:r w:rsidRPr="00AD4898">
              <w:rPr>
                <w:lang w:eastAsia="ko-KR"/>
              </w:rPr>
              <w:t xml:space="preserve"> is invited to note this document.</w:t>
            </w:r>
          </w:p>
          <w:p w14:paraId="74416357" w14:textId="05C52D97" w:rsidR="00B03556" w:rsidRPr="004667C6" w:rsidRDefault="00B03556" w:rsidP="00B03556">
            <w:pPr>
              <w:spacing w:after="120"/>
              <w:rPr>
                <w:rFonts w:eastAsia="Malgun Gothic"/>
                <w:szCs w:val="24"/>
                <w:lang w:eastAsia="ko-KR"/>
              </w:rPr>
            </w:pPr>
            <w:r w:rsidRPr="00350A11">
              <w:rPr>
                <w:rFonts w:ascii="Calibri" w:eastAsia="SimSun" w:hAnsi="Calibri" w:cs="Traditional Arabic"/>
                <w:b/>
                <w:bCs/>
                <w:szCs w:val="24"/>
              </w:rPr>
              <w:t>References:</w:t>
            </w:r>
          </w:p>
          <w:p w14:paraId="0E113431" w14:textId="72CDB4BC" w:rsidR="00FC193A" w:rsidRPr="008768EC" w:rsidRDefault="004667C6" w:rsidP="00B03556">
            <w:pPr>
              <w:pStyle w:val="Title1"/>
              <w:spacing w:before="120" w:after="120"/>
              <w:jc w:val="left"/>
              <w:rPr>
                <w:szCs w:val="28"/>
                <w:highlight w:val="yellow"/>
                <w:lang w:val="en-US"/>
              </w:rPr>
            </w:pPr>
            <w:hyperlink r:id="rId13" w:history="1">
              <w:r w:rsidRPr="004667C6">
                <w:rPr>
                  <w:rStyle w:val="Hyperlink"/>
                  <w:sz w:val="24"/>
                  <w:szCs w:val="18"/>
                </w:rPr>
                <w:t>TDAG</w:t>
              </w:r>
              <w:r w:rsidRPr="004667C6">
                <w:rPr>
                  <w:rStyle w:val="Hyperlink"/>
                  <w:rFonts w:eastAsia="Malgun Gothic"/>
                  <w:sz w:val="24"/>
                  <w:szCs w:val="18"/>
                  <w:lang w:eastAsia="ko-KR"/>
                </w:rPr>
                <w:t>-23</w:t>
              </w:r>
              <w:r w:rsidRPr="004667C6">
                <w:rPr>
                  <w:rStyle w:val="Hyperlink"/>
                  <w:sz w:val="24"/>
                  <w:szCs w:val="18"/>
                </w:rPr>
                <w:t>/6</w:t>
              </w:r>
            </w:hyperlink>
            <w:r w:rsidRPr="004667C6">
              <w:rPr>
                <w:rFonts w:eastAsia="Malgun Gothic"/>
                <w:sz w:val="24"/>
                <w:szCs w:val="18"/>
                <w:lang w:eastAsia="ko-KR"/>
              </w:rPr>
              <w:t xml:space="preserve"> (2023)</w:t>
            </w:r>
            <w:r w:rsidRPr="004667C6">
              <w:rPr>
                <w:sz w:val="24"/>
                <w:szCs w:val="18"/>
              </w:rPr>
              <w:t xml:space="preserve">, </w:t>
            </w:r>
            <w:hyperlink r:id="rId14" w:history="1">
              <w:r w:rsidRPr="004667C6">
                <w:rPr>
                  <w:rStyle w:val="Hyperlink"/>
                  <w:sz w:val="24"/>
                  <w:szCs w:val="18"/>
                </w:rPr>
                <w:t>TDAG</w:t>
              </w:r>
              <w:r w:rsidRPr="004667C6">
                <w:rPr>
                  <w:rStyle w:val="Hyperlink"/>
                  <w:rFonts w:eastAsia="Malgun Gothic"/>
                  <w:sz w:val="24"/>
                  <w:szCs w:val="18"/>
                  <w:lang w:eastAsia="ko-KR"/>
                </w:rPr>
                <w:t>-24</w:t>
              </w:r>
              <w:r w:rsidRPr="004667C6">
                <w:rPr>
                  <w:rStyle w:val="Hyperlink"/>
                  <w:sz w:val="24"/>
                  <w:szCs w:val="18"/>
                </w:rPr>
                <w:t>/6</w:t>
              </w:r>
            </w:hyperlink>
            <w:r w:rsidRPr="004667C6">
              <w:rPr>
                <w:rFonts w:eastAsia="Malgun Gothic"/>
                <w:sz w:val="24"/>
                <w:szCs w:val="18"/>
                <w:lang w:eastAsia="ko-KR"/>
              </w:rPr>
              <w:t xml:space="preserve"> (2024),</w:t>
            </w:r>
            <w:r w:rsidRPr="004667C6">
              <w:rPr>
                <w:rFonts w:eastAsia="Malgun Gothic" w:hint="eastAsia"/>
                <w:sz w:val="24"/>
                <w:szCs w:val="18"/>
                <w:lang w:eastAsia="ko-KR"/>
              </w:rPr>
              <w:t xml:space="preserve"> </w:t>
            </w:r>
            <w:hyperlink r:id="rId15" w:history="1">
              <w:r w:rsidRPr="004667C6">
                <w:rPr>
                  <w:rStyle w:val="Hyperlink"/>
                  <w:rFonts w:eastAsia="Malgun Gothic"/>
                  <w:sz w:val="24"/>
                  <w:szCs w:val="18"/>
                  <w:lang w:eastAsia="ko-KR"/>
                </w:rPr>
                <w:t>TDAG-25/7</w:t>
              </w:r>
            </w:hyperlink>
            <w:r w:rsidRPr="004667C6">
              <w:rPr>
                <w:rFonts w:eastAsia="Malgun Gothic" w:hint="eastAsia"/>
                <w:sz w:val="24"/>
                <w:szCs w:val="18"/>
                <w:lang w:eastAsia="ko-KR"/>
              </w:rPr>
              <w:t xml:space="preserve"> (2025), </w:t>
            </w:r>
            <w:hyperlink r:id="rId16" w:history="1">
              <w:r w:rsidRPr="004667C6">
                <w:rPr>
                  <w:rStyle w:val="Hyperlink"/>
                  <w:sz w:val="24"/>
                  <w:szCs w:val="22"/>
                </w:rPr>
                <w:t>2/REP/</w:t>
              </w:r>
              <w:r w:rsidRPr="004667C6">
                <w:rPr>
                  <w:rStyle w:val="Hyperlink"/>
                  <w:rFonts w:eastAsia="Malgun Gothic"/>
                  <w:sz w:val="24"/>
                  <w:szCs w:val="22"/>
                  <w:lang w:eastAsia="ko-KR"/>
                </w:rPr>
                <w:t>8</w:t>
              </w:r>
            </w:hyperlink>
            <w:r w:rsidRPr="004667C6">
              <w:rPr>
                <w:sz w:val="24"/>
                <w:szCs w:val="22"/>
              </w:rPr>
              <w:t xml:space="preserve"> (202</w:t>
            </w:r>
            <w:r w:rsidRPr="004667C6">
              <w:rPr>
                <w:rFonts w:eastAsia="Malgun Gothic"/>
                <w:sz w:val="24"/>
                <w:szCs w:val="22"/>
                <w:lang w:eastAsia="ko-KR"/>
              </w:rPr>
              <w:t>2</w:t>
            </w:r>
            <w:r w:rsidRPr="004667C6">
              <w:rPr>
                <w:sz w:val="24"/>
                <w:szCs w:val="22"/>
              </w:rPr>
              <w:t>)</w:t>
            </w:r>
            <w:r w:rsidRPr="004667C6">
              <w:rPr>
                <w:rFonts w:eastAsia="Malgun Gothic"/>
                <w:sz w:val="24"/>
                <w:szCs w:val="22"/>
                <w:lang w:eastAsia="ko-KR"/>
              </w:rPr>
              <w:t xml:space="preserve">, </w:t>
            </w:r>
            <w:hyperlink r:id="rId17" w:history="1">
              <w:r w:rsidRPr="004667C6">
                <w:rPr>
                  <w:rStyle w:val="Hyperlink"/>
                  <w:sz w:val="24"/>
                  <w:szCs w:val="22"/>
                </w:rPr>
                <w:t>2/REP/</w:t>
              </w:r>
              <w:r w:rsidRPr="004667C6">
                <w:rPr>
                  <w:rStyle w:val="Hyperlink"/>
                  <w:rFonts w:eastAsia="Malgun Gothic"/>
                  <w:sz w:val="24"/>
                  <w:szCs w:val="22"/>
                  <w:lang w:eastAsia="ko-KR"/>
                </w:rPr>
                <w:t>9</w:t>
              </w:r>
            </w:hyperlink>
            <w:r w:rsidRPr="004667C6">
              <w:rPr>
                <w:sz w:val="24"/>
                <w:szCs w:val="22"/>
              </w:rPr>
              <w:t xml:space="preserve"> (202</w:t>
            </w:r>
            <w:r w:rsidRPr="004667C6">
              <w:rPr>
                <w:rFonts w:eastAsia="Malgun Gothic"/>
                <w:sz w:val="24"/>
                <w:szCs w:val="22"/>
                <w:lang w:eastAsia="ko-KR"/>
              </w:rPr>
              <w:t>3</w:t>
            </w:r>
            <w:r w:rsidRPr="004667C6">
              <w:rPr>
                <w:sz w:val="24"/>
                <w:szCs w:val="22"/>
              </w:rPr>
              <w:t>)</w:t>
            </w:r>
            <w:r w:rsidRPr="004667C6">
              <w:rPr>
                <w:rFonts w:eastAsia="Malgun Gothic"/>
                <w:sz w:val="24"/>
                <w:szCs w:val="22"/>
                <w:lang w:eastAsia="ko-KR"/>
              </w:rPr>
              <w:t xml:space="preserve">, </w:t>
            </w:r>
            <w:hyperlink r:id="rId18" w:history="1">
              <w:r w:rsidRPr="004667C6">
                <w:rPr>
                  <w:rStyle w:val="Hyperlink"/>
                  <w:rFonts w:eastAsia="Malgun Gothic"/>
                  <w:sz w:val="24"/>
                  <w:szCs w:val="22"/>
                  <w:lang w:eastAsia="ko-KR"/>
                </w:rPr>
                <w:t>2/REP/17</w:t>
              </w:r>
            </w:hyperlink>
            <w:r w:rsidRPr="004667C6">
              <w:rPr>
                <w:rFonts w:eastAsia="Malgun Gothic"/>
                <w:sz w:val="24"/>
                <w:szCs w:val="22"/>
                <w:lang w:eastAsia="ko-KR"/>
              </w:rPr>
              <w:t xml:space="preserve"> (2024), </w:t>
            </w:r>
            <w:hyperlink r:id="rId19" w:history="1">
              <w:r w:rsidRPr="004667C6">
                <w:rPr>
                  <w:rStyle w:val="Hyperlink"/>
                  <w:rFonts w:eastAsia="Malgun Gothic"/>
                  <w:sz w:val="24"/>
                  <w:szCs w:val="22"/>
                  <w:lang w:eastAsia="ko-KR"/>
                </w:rPr>
                <w:t>2/REP/</w:t>
              </w:r>
              <w:r w:rsidRPr="004667C6">
                <w:rPr>
                  <w:rStyle w:val="Hyperlink"/>
                  <w:rFonts w:eastAsia="Malgun Gothic" w:hint="eastAsia"/>
                  <w:sz w:val="24"/>
                  <w:szCs w:val="22"/>
                  <w:lang w:eastAsia="ko-KR"/>
                </w:rPr>
                <w:t>25</w:t>
              </w:r>
            </w:hyperlink>
            <w:r w:rsidRPr="004667C6">
              <w:rPr>
                <w:rFonts w:eastAsia="Malgun Gothic"/>
                <w:sz w:val="24"/>
                <w:szCs w:val="22"/>
                <w:lang w:eastAsia="ko-KR"/>
              </w:rPr>
              <w:t xml:space="preserve"> (2025)</w:t>
            </w:r>
          </w:p>
        </w:tc>
      </w:tr>
      <w:bookmarkEnd w:id="6"/>
      <w:bookmarkEnd w:id="7"/>
    </w:tbl>
    <w:p w14:paraId="7E646307" w14:textId="311ECCCE" w:rsidR="007920FB" w:rsidRDefault="007920FB" w:rsidP="00E230B2"/>
    <w:p w14:paraId="65C0DC09" w14:textId="6554979F" w:rsidR="002172DB" w:rsidRDefault="008311B3" w:rsidP="004254C1">
      <w:pPr>
        <w:tabs>
          <w:tab w:val="clear" w:pos="1134"/>
          <w:tab w:val="clear" w:pos="1871"/>
          <w:tab w:val="clear" w:pos="2268"/>
        </w:tabs>
        <w:overflowPunct/>
        <w:autoSpaceDE/>
        <w:autoSpaceDN/>
        <w:adjustRightInd/>
        <w:spacing w:before="0"/>
        <w:jc w:val="center"/>
        <w:textAlignment w:val="auto"/>
        <w:rPr>
          <w:rFonts w:cstheme="minorHAnsi"/>
        </w:rPr>
      </w:pPr>
      <w:r>
        <w:rPr>
          <w:rFonts w:cstheme="minorHAnsi"/>
        </w:rPr>
        <w:br w:type="page"/>
      </w:r>
    </w:p>
    <w:p w14:paraId="6F23BCB8" w14:textId="77777777" w:rsidR="00A63D1D" w:rsidRPr="00D01FF4" w:rsidRDefault="00A63D1D" w:rsidP="00A63D1D">
      <w:pPr>
        <w:pStyle w:val="Heading1"/>
        <w:spacing w:before="120" w:after="120"/>
        <w:rPr>
          <w:sz w:val="24"/>
          <w:szCs w:val="24"/>
        </w:rPr>
      </w:pPr>
      <w:r w:rsidRPr="00D01FF4">
        <w:rPr>
          <w:sz w:val="24"/>
          <w:szCs w:val="24"/>
        </w:rPr>
        <w:lastRenderedPageBreak/>
        <w:t>Introduction</w:t>
      </w:r>
    </w:p>
    <w:p w14:paraId="490BC246" w14:textId="77777777" w:rsidR="00A63D1D" w:rsidRPr="00FA4573" w:rsidRDefault="00A63D1D" w:rsidP="00A63D1D">
      <w:pPr>
        <w:pStyle w:val="CEONormal"/>
        <w:spacing w:after="0"/>
        <w:rPr>
          <w:rFonts w:asciiTheme="minorHAnsi" w:hAnsiTheme="minorHAnsi" w:cstheme="minorHAnsi"/>
          <w:sz w:val="24"/>
          <w:szCs w:val="24"/>
        </w:rPr>
      </w:pPr>
      <w:r w:rsidRPr="00FA4573">
        <w:rPr>
          <w:rFonts w:asciiTheme="minorHAnsi" w:hAnsiTheme="minorHAnsi" w:cstheme="minorHAnsi"/>
          <w:sz w:val="24"/>
          <w:szCs w:val="24"/>
        </w:rPr>
        <w:t xml:space="preserve">The report covers the </w:t>
      </w:r>
      <w:r w:rsidRPr="00FA4573">
        <w:rPr>
          <w:rFonts w:asciiTheme="minorHAnsi" w:eastAsia="Malgun Gothic" w:hAnsiTheme="minorHAnsi" w:cstheme="minorHAnsi" w:hint="eastAsia"/>
          <w:sz w:val="24"/>
          <w:szCs w:val="24"/>
          <w:lang w:eastAsia="ko-KR"/>
        </w:rPr>
        <w:t>eighth</w:t>
      </w:r>
      <w:r w:rsidRPr="00FA4573">
        <w:rPr>
          <w:rFonts w:asciiTheme="minorHAnsi" w:hAnsiTheme="minorHAnsi" w:cstheme="minorHAnsi"/>
          <w:sz w:val="24"/>
          <w:szCs w:val="24"/>
        </w:rPr>
        <w:t xml:space="preserve"> study period for ITU-D Study Group 2. </w:t>
      </w:r>
      <w:r w:rsidRPr="00FA4573">
        <w:rPr>
          <w:rFonts w:cstheme="minorHAnsi"/>
          <w:sz w:val="24"/>
          <w:szCs w:val="24"/>
        </w:rPr>
        <w:t xml:space="preserve">SG2 concluded its work at its fourth and final meeting held in Geneva from </w:t>
      </w:r>
      <w:r w:rsidRPr="00FA4573">
        <w:rPr>
          <w:rFonts w:eastAsia="Malgun Gothic" w:cstheme="minorHAnsi" w:hint="eastAsia"/>
          <w:sz w:val="24"/>
          <w:szCs w:val="24"/>
          <w:lang w:eastAsia="ko-KR"/>
        </w:rPr>
        <w:t>5 to 9 May 2025</w:t>
      </w:r>
      <w:r w:rsidRPr="00FA4573">
        <w:rPr>
          <w:rFonts w:cstheme="minorHAnsi"/>
          <w:sz w:val="24"/>
          <w:szCs w:val="24"/>
        </w:rPr>
        <w:t xml:space="preserve">, approving output reports for all seven Questions. The study period </w:t>
      </w:r>
      <w:r w:rsidRPr="00FA4573">
        <w:rPr>
          <w:rFonts w:eastAsia="Malgun Gothic" w:cstheme="minorHAnsi" w:hint="eastAsia"/>
          <w:sz w:val="24"/>
          <w:szCs w:val="24"/>
          <w:lang w:eastAsia="ko-KR"/>
        </w:rPr>
        <w:t>2022-2025</w:t>
      </w:r>
      <w:r w:rsidRPr="00FA4573">
        <w:rPr>
          <w:rFonts w:cstheme="minorHAnsi"/>
          <w:sz w:val="24"/>
          <w:szCs w:val="24"/>
        </w:rPr>
        <w:t xml:space="preserve"> for SG2 concluded to-date with:</w:t>
      </w:r>
    </w:p>
    <w:p w14:paraId="6328D2C4" w14:textId="77777777" w:rsidR="00A63D1D" w:rsidRPr="00FA4573" w:rsidRDefault="00A63D1D" w:rsidP="00A63D1D">
      <w:pPr>
        <w:pStyle w:val="ListParagraph"/>
        <w:numPr>
          <w:ilvl w:val="0"/>
          <w:numId w:val="11"/>
        </w:numPr>
        <w:spacing w:before="60" w:after="60"/>
        <w:ind w:left="714" w:hanging="357"/>
        <w:contextualSpacing w:val="0"/>
      </w:pPr>
      <w:r w:rsidRPr="00FA4573">
        <w:rPr>
          <w:rFonts w:eastAsia="Malgun Gothic" w:hint="eastAsia"/>
          <w:lang w:eastAsia="ko-KR"/>
        </w:rPr>
        <w:t>2</w:t>
      </w:r>
      <w:r w:rsidRPr="00FA4573">
        <w:t xml:space="preserve"> </w:t>
      </w:r>
      <w:r w:rsidRPr="00FA4573">
        <w:rPr>
          <w:rFonts w:eastAsia="Malgun Gothic" w:hint="eastAsia"/>
          <w:lang w:eastAsia="ko-KR"/>
        </w:rPr>
        <w:t>interim</w:t>
      </w:r>
      <w:r w:rsidRPr="00FA4573">
        <w:t xml:space="preserve"> deliverables</w:t>
      </w:r>
      <w:r w:rsidRPr="00FA4573">
        <w:rPr>
          <w:rStyle w:val="FootnoteReference"/>
        </w:rPr>
        <w:footnoteReference w:id="1"/>
      </w:r>
      <w:r w:rsidRPr="00FA4573">
        <w:rPr>
          <w:rFonts w:eastAsia="Malgun Gothic" w:hint="eastAsia"/>
          <w:lang w:eastAsia="ko-KR"/>
        </w:rPr>
        <w:t>:</w:t>
      </w:r>
    </w:p>
    <w:p w14:paraId="302A9327" w14:textId="77777777" w:rsidR="00A63D1D" w:rsidRPr="00FA4573" w:rsidRDefault="00A63D1D" w:rsidP="00A63D1D">
      <w:pPr>
        <w:pStyle w:val="ListParagraph"/>
        <w:numPr>
          <w:ilvl w:val="1"/>
          <w:numId w:val="11"/>
        </w:numPr>
        <w:spacing w:before="60" w:after="60"/>
        <w:contextualSpacing w:val="0"/>
      </w:pPr>
      <w:r w:rsidRPr="00FA4573">
        <w:rPr>
          <w:rFonts w:eastAsia="Malgun Gothic" w:hint="eastAsia"/>
          <w:lang w:eastAsia="ko-KR"/>
        </w:rPr>
        <w:t>Cybersecurity assurance practices (by Question 3/2), published in 2024</w:t>
      </w:r>
    </w:p>
    <w:p w14:paraId="6C5C12DC" w14:textId="77777777" w:rsidR="00A63D1D" w:rsidRPr="00FA4573" w:rsidRDefault="00A63D1D" w:rsidP="00A63D1D">
      <w:pPr>
        <w:pStyle w:val="ListParagraph"/>
        <w:numPr>
          <w:ilvl w:val="1"/>
          <w:numId w:val="11"/>
        </w:numPr>
        <w:spacing w:before="60" w:after="60"/>
        <w:contextualSpacing w:val="0"/>
      </w:pPr>
      <w:r w:rsidRPr="00FA4573">
        <w:rPr>
          <w:rFonts w:eastAsia="Malgun Gothic" w:hint="eastAsia"/>
          <w:lang w:eastAsia="ko-KR"/>
        </w:rPr>
        <w:t>5G cybersecurity (by Question 3/2) published in 2025</w:t>
      </w:r>
    </w:p>
    <w:p w14:paraId="234C7E01" w14:textId="77777777" w:rsidR="00A63D1D" w:rsidRPr="00FA4573" w:rsidRDefault="00A63D1D" w:rsidP="00A63D1D">
      <w:pPr>
        <w:pStyle w:val="ListParagraph"/>
        <w:numPr>
          <w:ilvl w:val="0"/>
          <w:numId w:val="11"/>
        </w:numPr>
        <w:spacing w:before="60" w:after="60"/>
        <w:ind w:left="714" w:hanging="357"/>
        <w:contextualSpacing w:val="0"/>
      </w:pPr>
      <w:r w:rsidRPr="00FA4573">
        <w:rPr>
          <w:rFonts w:eastAsia="Malgun Gothic" w:hint="eastAsia"/>
          <w:lang w:eastAsia="ko-KR"/>
        </w:rPr>
        <w:t>4</w:t>
      </w:r>
      <w:r w:rsidRPr="00FA4573">
        <w:t xml:space="preserve"> annual Study Group meetings from </w:t>
      </w:r>
      <w:r w:rsidRPr="00FA4573">
        <w:rPr>
          <w:rFonts w:eastAsia="Malgun Gothic" w:hint="eastAsia"/>
          <w:lang w:eastAsia="ko-KR"/>
        </w:rPr>
        <w:t>2022</w:t>
      </w:r>
      <w:r w:rsidRPr="00FA4573">
        <w:t xml:space="preserve"> to 202</w:t>
      </w:r>
      <w:r w:rsidRPr="00FA4573">
        <w:rPr>
          <w:rFonts w:eastAsia="Malgun Gothic" w:hint="eastAsia"/>
          <w:lang w:eastAsia="ko-KR"/>
        </w:rPr>
        <w:t>5</w:t>
      </w:r>
    </w:p>
    <w:p w14:paraId="488ABE69" w14:textId="77777777" w:rsidR="00A63D1D" w:rsidRPr="00FA4573" w:rsidRDefault="00A63D1D" w:rsidP="00A63D1D">
      <w:pPr>
        <w:pStyle w:val="ListParagraph"/>
        <w:numPr>
          <w:ilvl w:val="0"/>
          <w:numId w:val="11"/>
        </w:numPr>
        <w:spacing w:before="60" w:after="60"/>
        <w:ind w:left="714" w:hanging="357"/>
        <w:contextualSpacing w:val="0"/>
      </w:pPr>
      <w:r w:rsidRPr="00FA4573">
        <w:rPr>
          <w:rFonts w:eastAsia="Malgun Gothic" w:hint="eastAsia"/>
          <w:lang w:eastAsia="ko-KR"/>
        </w:rPr>
        <w:t>2</w:t>
      </w:r>
      <w:r w:rsidRPr="00FA4573">
        <w:t xml:space="preserve"> annual Rapporteur Group Question (RGQ) level meetings </w:t>
      </w:r>
      <w:r w:rsidRPr="00FA4573">
        <w:rPr>
          <w:rFonts w:eastAsia="Malgun Gothic" w:hint="eastAsia"/>
          <w:lang w:eastAsia="ko-KR"/>
        </w:rPr>
        <w:t>in</w:t>
      </w:r>
      <w:r w:rsidRPr="00FA4573">
        <w:t xml:space="preserve"> 20</w:t>
      </w:r>
      <w:r w:rsidRPr="00FA4573">
        <w:rPr>
          <w:rFonts w:eastAsia="Malgun Gothic" w:hint="eastAsia"/>
          <w:lang w:eastAsia="ko-KR"/>
        </w:rPr>
        <w:t>23</w:t>
      </w:r>
      <w:r w:rsidRPr="00FA4573">
        <w:t xml:space="preserve"> </w:t>
      </w:r>
      <w:r w:rsidRPr="00FA4573">
        <w:rPr>
          <w:rFonts w:eastAsia="Malgun Gothic" w:hint="eastAsia"/>
          <w:lang w:eastAsia="ko-KR"/>
        </w:rPr>
        <w:t>and</w:t>
      </w:r>
      <w:r w:rsidRPr="00FA4573">
        <w:t xml:space="preserve"> 202</w:t>
      </w:r>
      <w:r w:rsidRPr="00FA4573">
        <w:rPr>
          <w:rFonts w:eastAsia="Malgun Gothic" w:hint="eastAsia"/>
          <w:lang w:eastAsia="ko-KR"/>
        </w:rPr>
        <w:t>4</w:t>
      </w:r>
      <w:r w:rsidRPr="00FA4573">
        <w:t xml:space="preserve"> </w:t>
      </w:r>
    </w:p>
    <w:p w14:paraId="0DB79804" w14:textId="77777777" w:rsidR="00A63D1D" w:rsidRPr="00FA4573" w:rsidRDefault="00A63D1D" w:rsidP="00A63D1D">
      <w:pPr>
        <w:pStyle w:val="ListParagraph"/>
        <w:numPr>
          <w:ilvl w:val="0"/>
          <w:numId w:val="11"/>
        </w:numPr>
        <w:spacing w:before="60" w:after="60"/>
        <w:ind w:left="714" w:hanging="357"/>
        <w:contextualSpacing w:val="0"/>
      </w:pPr>
      <w:r w:rsidRPr="00FA4573">
        <w:t xml:space="preserve">Video interviews by </w:t>
      </w:r>
      <w:r w:rsidRPr="00FA4573">
        <w:rPr>
          <w:rFonts w:eastAsia="Malgun Gothic" w:hint="eastAsia"/>
          <w:lang w:eastAsia="ko-KR"/>
        </w:rPr>
        <w:t>2</w:t>
      </w:r>
      <w:r w:rsidRPr="00FA4573">
        <w:t xml:space="preserve"> (co-)</w:t>
      </w:r>
      <w:r w:rsidRPr="00FA4573">
        <w:rPr>
          <w:rFonts w:eastAsia="Malgun Gothic" w:hint="eastAsia"/>
          <w:lang w:eastAsia="ko-KR"/>
        </w:rPr>
        <w:t>rapporteurs</w:t>
      </w:r>
      <w:r w:rsidRPr="00FA4573">
        <w:t xml:space="preserve"> of </w:t>
      </w:r>
      <w:r w:rsidRPr="00FA4573">
        <w:rPr>
          <w:rFonts w:eastAsia="Malgun Gothic" w:hint="eastAsia"/>
          <w:lang w:eastAsia="ko-KR"/>
        </w:rPr>
        <w:t>interim</w:t>
      </w:r>
      <w:r w:rsidRPr="00FA4573">
        <w:t xml:space="preserve"> deliverables</w:t>
      </w:r>
      <w:r w:rsidRPr="00FA4573">
        <w:rPr>
          <w:rStyle w:val="FootnoteReference"/>
        </w:rPr>
        <w:footnoteReference w:id="2"/>
      </w:r>
    </w:p>
    <w:p w14:paraId="574F8B12" w14:textId="77777777" w:rsidR="00A63D1D" w:rsidRPr="00FA4573" w:rsidRDefault="00A63D1D" w:rsidP="00A63D1D">
      <w:pPr>
        <w:pStyle w:val="ListParagraph"/>
        <w:numPr>
          <w:ilvl w:val="0"/>
          <w:numId w:val="11"/>
        </w:numPr>
        <w:spacing w:before="60" w:after="60"/>
        <w:ind w:left="714" w:hanging="357"/>
        <w:contextualSpacing w:val="0"/>
        <w:rPr>
          <w:rStyle w:val="FootnoteReference"/>
          <w:szCs w:val="24"/>
        </w:rPr>
      </w:pPr>
      <w:r w:rsidRPr="00FA4573">
        <w:rPr>
          <w:rFonts w:eastAsia="Malgun Gothic" w:hint="eastAsia"/>
          <w:lang w:eastAsia="ko-KR"/>
        </w:rPr>
        <w:t>17</w:t>
      </w:r>
      <w:r w:rsidRPr="00FA4573">
        <w:t xml:space="preserve"> workshops and other events</w:t>
      </w:r>
      <w:r w:rsidRPr="00FA4573">
        <w:rPr>
          <w:rStyle w:val="FootnoteReference"/>
        </w:rPr>
        <w:footnoteReference w:id="3"/>
      </w:r>
      <w:r w:rsidRPr="00FA4573">
        <w:rPr>
          <w:rFonts w:eastAsia="Malgun Gothic" w:hint="eastAsia"/>
          <w:lang w:eastAsia="ko-KR"/>
        </w:rPr>
        <w:t xml:space="preserve"> held in conjunction with the rapporteur group meetings</w:t>
      </w:r>
    </w:p>
    <w:p w14:paraId="21972588" w14:textId="77777777" w:rsidR="00A63D1D" w:rsidRPr="00FA4573" w:rsidRDefault="00A63D1D" w:rsidP="00A63D1D">
      <w:pPr>
        <w:pStyle w:val="ListParagraph"/>
        <w:spacing w:before="60" w:after="60"/>
        <w:ind w:left="714" w:hanging="357"/>
        <w:contextualSpacing w:val="0"/>
      </w:pPr>
      <w:r w:rsidRPr="00FA4573">
        <w:rPr>
          <w:rFonts w:eastAsia="Malgun Gothic" w:hint="eastAsia"/>
          <w:lang w:eastAsia="ko-KR"/>
        </w:rPr>
        <w:t>A</w:t>
      </w:r>
      <w:r w:rsidRPr="00FA4573">
        <w:t xml:space="preserve"> Regional Workshop</w:t>
      </w:r>
      <w:r w:rsidRPr="00FA4573">
        <w:rPr>
          <w:rStyle w:val="FootnoteReference"/>
        </w:rPr>
        <w:footnoteReference w:id="4"/>
      </w:r>
      <w:r w:rsidRPr="00FA4573">
        <w:t xml:space="preserve"> on Increasing Consumer Awareness held on 18-20 June 2024 in Brasilia and hosted by ANATEL, in collaboration with </w:t>
      </w:r>
      <w:r w:rsidRPr="00FA4573">
        <w:rPr>
          <w:rFonts w:eastAsia="Malgun Gothic" w:hint="eastAsia"/>
          <w:lang w:eastAsia="ko-KR"/>
        </w:rPr>
        <w:t xml:space="preserve">ITU-D SG1 and </w:t>
      </w:r>
      <w:r w:rsidRPr="00FA4573">
        <w:t xml:space="preserve">ITU Regional Office for Americas </w:t>
      </w:r>
    </w:p>
    <w:p w14:paraId="3E878CC7" w14:textId="77777777" w:rsidR="00A63D1D" w:rsidRPr="00FA4573" w:rsidRDefault="00A63D1D" w:rsidP="00A63D1D">
      <w:pPr>
        <w:pStyle w:val="ListParagraph"/>
        <w:numPr>
          <w:ilvl w:val="0"/>
          <w:numId w:val="11"/>
        </w:numPr>
        <w:spacing w:before="60" w:after="60"/>
        <w:ind w:left="714" w:hanging="357"/>
        <w:contextualSpacing w:val="0"/>
        <w:rPr>
          <w:rFonts w:eastAsia="Malgun Gothic"/>
          <w:lang w:eastAsia="ko-KR"/>
        </w:rPr>
      </w:pPr>
      <w:r w:rsidRPr="00FA4573">
        <w:rPr>
          <w:rFonts w:eastAsia="Malgun Gothic" w:hint="eastAsia"/>
          <w:lang w:eastAsia="ko-KR"/>
        </w:rPr>
        <w:t xml:space="preserve">113 </w:t>
      </w:r>
      <w:r w:rsidRPr="00FA4573">
        <w:rPr>
          <w:rFonts w:eastAsia="Malgun Gothic"/>
          <w:lang w:eastAsia="ko-KR"/>
        </w:rPr>
        <w:t>incoming liaison statements (SG2 and Rapporteur Group Question level)</w:t>
      </w:r>
    </w:p>
    <w:p w14:paraId="713074DF" w14:textId="77777777" w:rsidR="00A63D1D" w:rsidRPr="00FA4573" w:rsidRDefault="00A63D1D" w:rsidP="00A63D1D">
      <w:pPr>
        <w:pStyle w:val="ListParagraph"/>
        <w:numPr>
          <w:ilvl w:val="0"/>
          <w:numId w:val="11"/>
        </w:numPr>
        <w:spacing w:before="60" w:after="60"/>
        <w:ind w:left="714" w:hanging="357"/>
        <w:contextualSpacing w:val="0"/>
        <w:rPr>
          <w:rFonts w:eastAsia="Malgun Gothic"/>
          <w:lang w:eastAsia="ko-KR"/>
        </w:rPr>
      </w:pPr>
      <w:r w:rsidRPr="00474F78">
        <w:rPr>
          <w:rFonts w:eastAsia="Malgun Gothic"/>
          <w:lang w:eastAsia="ko-KR"/>
        </w:rPr>
        <w:t xml:space="preserve">27 </w:t>
      </w:r>
      <w:r w:rsidRPr="00FA4573">
        <w:rPr>
          <w:rFonts w:eastAsia="Malgun Gothic"/>
          <w:lang w:eastAsia="ko-KR"/>
        </w:rPr>
        <w:t>outgoing liaison statements (SG2 and RGQ level)</w:t>
      </w:r>
    </w:p>
    <w:p w14:paraId="6B009342" w14:textId="77777777" w:rsidR="00A63D1D" w:rsidRPr="00474F78" w:rsidRDefault="00A63D1D" w:rsidP="00A63D1D">
      <w:pPr>
        <w:pStyle w:val="ListParagraph"/>
        <w:numPr>
          <w:ilvl w:val="0"/>
          <w:numId w:val="11"/>
        </w:numPr>
        <w:spacing w:before="60" w:after="60"/>
        <w:ind w:left="714" w:hanging="357"/>
        <w:contextualSpacing w:val="0"/>
        <w:rPr>
          <w:rFonts w:eastAsia="Malgun Gothic"/>
          <w:lang w:eastAsia="ko-KR"/>
        </w:rPr>
      </w:pPr>
      <w:r w:rsidRPr="00FA4573">
        <w:rPr>
          <w:rFonts w:eastAsia="Malgun Gothic" w:hint="eastAsia"/>
          <w:lang w:eastAsia="ko-KR"/>
        </w:rPr>
        <w:t>482</w:t>
      </w:r>
      <w:r w:rsidRPr="00474F78">
        <w:rPr>
          <w:rFonts w:eastAsia="Malgun Gothic"/>
          <w:lang w:eastAsia="ko-KR"/>
        </w:rPr>
        <w:t xml:space="preserve"> unique contributions (membership, SG2 management and ITU) received</w:t>
      </w:r>
    </w:p>
    <w:p w14:paraId="101E3BBF" w14:textId="77777777" w:rsidR="00A63D1D" w:rsidRPr="00FA4573" w:rsidRDefault="00A63D1D" w:rsidP="00A63D1D">
      <w:pPr>
        <w:pStyle w:val="ListParagraph"/>
        <w:numPr>
          <w:ilvl w:val="0"/>
          <w:numId w:val="11"/>
        </w:numPr>
        <w:spacing w:before="60" w:after="60"/>
        <w:ind w:left="714" w:hanging="357"/>
        <w:contextualSpacing w:val="0"/>
      </w:pPr>
      <w:r w:rsidRPr="00FA4573">
        <w:rPr>
          <w:rFonts w:eastAsia="Malgun Gothic" w:hint="eastAsia"/>
          <w:lang w:eastAsia="ko-KR"/>
        </w:rPr>
        <w:t xml:space="preserve">269 </w:t>
      </w:r>
      <w:r w:rsidRPr="00FA4573">
        <w:t>participants at most for a SG</w:t>
      </w:r>
      <w:r w:rsidRPr="00FA4573">
        <w:rPr>
          <w:rFonts w:eastAsia="Malgun Gothic" w:hint="eastAsia"/>
          <w:lang w:eastAsia="ko-KR"/>
        </w:rPr>
        <w:t>2</w:t>
      </w:r>
      <w:r w:rsidRPr="00FA4573">
        <w:t xml:space="preserve"> plenary level meeting (first meeting in 2022)</w:t>
      </w:r>
    </w:p>
    <w:p w14:paraId="72E6D019" w14:textId="77777777" w:rsidR="00A63D1D" w:rsidRPr="00FA4573" w:rsidRDefault="00A63D1D" w:rsidP="00A63D1D">
      <w:pPr>
        <w:pStyle w:val="ListParagraph"/>
        <w:numPr>
          <w:ilvl w:val="0"/>
          <w:numId w:val="11"/>
        </w:numPr>
        <w:spacing w:before="60" w:after="60"/>
        <w:ind w:left="714" w:hanging="357"/>
        <w:contextualSpacing w:val="0"/>
      </w:pPr>
      <w:r w:rsidRPr="00FA4573">
        <w:t>45% female participation at most for a SG</w:t>
      </w:r>
      <w:r w:rsidRPr="00FA4573">
        <w:rPr>
          <w:rFonts w:eastAsia="Malgun Gothic" w:hint="eastAsia"/>
          <w:lang w:eastAsia="ko-KR"/>
        </w:rPr>
        <w:t>2</w:t>
      </w:r>
      <w:r w:rsidRPr="00FA4573">
        <w:t xml:space="preserve"> plenary level meeting (second meeting in 2023)</w:t>
      </w:r>
    </w:p>
    <w:p w14:paraId="1BCA3463" w14:textId="77777777" w:rsidR="00A63D1D" w:rsidRPr="00FA4573" w:rsidRDefault="00A63D1D" w:rsidP="00A63D1D">
      <w:pPr>
        <w:pStyle w:val="ListParagraph"/>
        <w:numPr>
          <w:ilvl w:val="0"/>
          <w:numId w:val="11"/>
        </w:numPr>
        <w:spacing w:before="60" w:after="60"/>
        <w:ind w:left="714" w:hanging="357"/>
        <w:contextualSpacing w:val="0"/>
      </w:pPr>
      <w:r w:rsidRPr="00FA4573">
        <w:t>2</w:t>
      </w:r>
      <w:r w:rsidRPr="00FA4573">
        <w:rPr>
          <w:rFonts w:eastAsia="Malgun Gothic" w:hint="eastAsia"/>
          <w:lang w:eastAsia="ko-KR"/>
        </w:rPr>
        <w:t>21</w:t>
      </w:r>
      <w:r w:rsidRPr="00FA4573">
        <w:t xml:space="preserve"> participants at most for Rapporteur Group Question level meeting (</w:t>
      </w:r>
      <w:r w:rsidRPr="00FA4573">
        <w:rPr>
          <w:rFonts w:eastAsia="Malgun Gothic" w:hint="eastAsia"/>
          <w:lang w:eastAsia="ko-KR"/>
        </w:rPr>
        <w:t>second</w:t>
      </w:r>
      <w:r w:rsidRPr="00FA4573">
        <w:t xml:space="preserve"> meeting in 202</w:t>
      </w:r>
      <w:r w:rsidRPr="00FA4573">
        <w:rPr>
          <w:rFonts w:eastAsia="Malgun Gothic" w:hint="eastAsia"/>
          <w:lang w:eastAsia="ko-KR"/>
        </w:rPr>
        <w:t>4</w:t>
      </w:r>
      <w:r w:rsidRPr="00FA4573">
        <w:t>)</w:t>
      </w:r>
    </w:p>
    <w:p w14:paraId="3748839F" w14:textId="77777777" w:rsidR="00A63D1D" w:rsidRPr="00FA4573" w:rsidRDefault="00A63D1D" w:rsidP="00A63D1D">
      <w:pPr>
        <w:pStyle w:val="ListParagraph"/>
        <w:numPr>
          <w:ilvl w:val="0"/>
          <w:numId w:val="11"/>
        </w:numPr>
        <w:spacing w:before="60" w:after="60"/>
        <w:ind w:left="714" w:hanging="357"/>
        <w:contextualSpacing w:val="0"/>
      </w:pPr>
      <w:r w:rsidRPr="00FA4573">
        <w:rPr>
          <w:rFonts w:eastAsia="Malgun Gothic" w:hint="eastAsia"/>
          <w:lang w:eastAsia="ko-KR"/>
        </w:rPr>
        <w:t>38</w:t>
      </w:r>
      <w:r w:rsidRPr="00FA4573">
        <w:t>% female participation at most for Rapporteur Group Question level meeting (</w:t>
      </w:r>
      <w:r w:rsidRPr="00FA4573">
        <w:rPr>
          <w:rFonts w:eastAsia="Malgun Gothic" w:hint="eastAsia"/>
          <w:lang w:eastAsia="ko-KR"/>
        </w:rPr>
        <w:t>second</w:t>
      </w:r>
      <w:r w:rsidRPr="00FA4573">
        <w:t xml:space="preserve"> meeting in 202</w:t>
      </w:r>
      <w:r w:rsidRPr="00FA4573">
        <w:rPr>
          <w:rFonts w:eastAsia="Malgun Gothic" w:hint="eastAsia"/>
          <w:lang w:eastAsia="ko-KR"/>
        </w:rPr>
        <w:t>4</w:t>
      </w:r>
      <w:r w:rsidRPr="00FA4573">
        <w:t>)</w:t>
      </w:r>
    </w:p>
    <w:p w14:paraId="73EE3370" w14:textId="77777777" w:rsidR="00A63D1D" w:rsidRPr="00FA4573" w:rsidRDefault="00A63D1D" w:rsidP="00A63D1D">
      <w:pPr>
        <w:pStyle w:val="ListParagraph"/>
        <w:numPr>
          <w:ilvl w:val="0"/>
          <w:numId w:val="11"/>
        </w:numPr>
        <w:spacing w:before="60" w:after="60"/>
        <w:ind w:left="714" w:hanging="357"/>
        <w:contextualSpacing w:val="0"/>
      </w:pPr>
      <w:r w:rsidRPr="00FA4573">
        <w:t xml:space="preserve">SG2 Management team contributed in ITU work including representations in </w:t>
      </w:r>
      <w:r w:rsidRPr="00FA4573">
        <w:rPr>
          <w:rFonts w:eastAsia="Malgun Gothic" w:hint="eastAsia"/>
          <w:lang w:eastAsia="ko-KR"/>
        </w:rPr>
        <w:t>various events.</w:t>
      </w:r>
    </w:p>
    <w:p w14:paraId="1438573C" w14:textId="77777777" w:rsidR="00A63D1D" w:rsidRPr="00FA4573" w:rsidRDefault="00A63D1D" w:rsidP="00A63D1D">
      <w:pPr>
        <w:pStyle w:val="Heading2"/>
        <w:spacing w:after="120"/>
      </w:pPr>
      <w:r w:rsidRPr="00FA4573">
        <w:t>Mandate and outcomes</w:t>
      </w:r>
    </w:p>
    <w:p w14:paraId="507762E6" w14:textId="5DAC3246" w:rsidR="00A63D1D" w:rsidRPr="00FA4573" w:rsidRDefault="00A63D1D" w:rsidP="6245C500">
      <w:pPr>
        <w:pStyle w:val="CEONormal"/>
        <w:rPr>
          <w:rFonts w:asciiTheme="minorHAnsi" w:hAnsiTheme="minorHAnsi" w:cstheme="minorBidi"/>
          <w:sz w:val="24"/>
          <w:szCs w:val="24"/>
        </w:rPr>
      </w:pPr>
      <w:r w:rsidRPr="6245C500">
        <w:rPr>
          <w:rFonts w:asciiTheme="minorHAnsi" w:hAnsiTheme="minorHAnsi" w:cstheme="minorBidi"/>
          <w:sz w:val="24"/>
          <w:szCs w:val="24"/>
        </w:rPr>
        <w:t xml:space="preserve">Study Group 2 (SG2) was established in accordance with </w:t>
      </w:r>
      <w:r w:rsidRPr="6245C500">
        <w:rPr>
          <w:rFonts w:asciiTheme="minorHAnsi" w:eastAsia="Malgun Gothic" w:hAnsiTheme="minorHAnsi" w:cstheme="minorBidi"/>
          <w:sz w:val="24"/>
          <w:szCs w:val="24"/>
          <w:lang w:eastAsia="ko-KR"/>
        </w:rPr>
        <w:t xml:space="preserve">WTDC </w:t>
      </w:r>
      <w:r w:rsidRPr="6245C500">
        <w:rPr>
          <w:rFonts w:asciiTheme="minorHAnsi" w:hAnsiTheme="minorHAnsi" w:cstheme="minorBidi"/>
          <w:sz w:val="24"/>
          <w:szCs w:val="24"/>
        </w:rPr>
        <w:t xml:space="preserve">Resolution 2 (Rev. </w:t>
      </w:r>
      <w:r w:rsidRPr="6245C500">
        <w:rPr>
          <w:rFonts w:asciiTheme="minorHAnsi" w:eastAsia="Malgun Gothic" w:hAnsiTheme="minorHAnsi" w:cstheme="minorBidi"/>
          <w:sz w:val="24"/>
          <w:szCs w:val="24"/>
          <w:lang w:eastAsia="ko-KR"/>
        </w:rPr>
        <w:t>Kigali</w:t>
      </w:r>
      <w:r w:rsidRPr="6245C500">
        <w:rPr>
          <w:rFonts w:asciiTheme="minorHAnsi" w:hAnsiTheme="minorHAnsi" w:cstheme="minorBidi"/>
          <w:sz w:val="24"/>
          <w:szCs w:val="24"/>
        </w:rPr>
        <w:t>, 20</w:t>
      </w:r>
      <w:r w:rsidRPr="6245C500">
        <w:rPr>
          <w:rFonts w:asciiTheme="minorHAnsi" w:eastAsia="Malgun Gothic" w:hAnsiTheme="minorHAnsi" w:cstheme="minorBidi"/>
          <w:sz w:val="24"/>
          <w:szCs w:val="24"/>
          <w:lang w:eastAsia="ko-KR"/>
        </w:rPr>
        <w:t>22</w:t>
      </w:r>
      <w:r w:rsidRPr="6245C500">
        <w:rPr>
          <w:rFonts w:asciiTheme="minorHAnsi" w:hAnsiTheme="minorHAnsi" w:cstheme="minorBidi"/>
          <w:sz w:val="24"/>
          <w:szCs w:val="24"/>
        </w:rPr>
        <w:t xml:space="preserve">) to study Questions and issues relating to </w:t>
      </w:r>
      <w:r w:rsidRPr="6245C500">
        <w:rPr>
          <w:rFonts w:asciiTheme="minorHAnsi" w:eastAsia="Malgun Gothic" w:hAnsiTheme="minorHAnsi" w:cstheme="minorBidi"/>
          <w:sz w:val="24"/>
          <w:szCs w:val="24"/>
          <w:lang w:eastAsia="ko-KR"/>
        </w:rPr>
        <w:t>digital transformation</w:t>
      </w:r>
      <w:r w:rsidRPr="6245C500">
        <w:rPr>
          <w:rFonts w:asciiTheme="minorHAnsi" w:hAnsiTheme="minorHAnsi" w:cstheme="minorBidi"/>
          <w:sz w:val="24"/>
          <w:szCs w:val="24"/>
        </w:rPr>
        <w:t xml:space="preserve">. The Group is responsible for seven substantive topics to study the use and impact of ICTs in the areas of: 1) smart </w:t>
      </w:r>
      <w:r w:rsidR="025044F4" w:rsidRPr="6245C500">
        <w:rPr>
          <w:lang w:eastAsia="zh-CN"/>
        </w:rPr>
        <w:t>sustainable</w:t>
      </w:r>
      <w:r w:rsidR="025044F4" w:rsidRPr="6245C500">
        <w:rPr>
          <w:rFonts w:asciiTheme="minorHAnsi" w:hAnsiTheme="minorHAnsi" w:cstheme="minorBidi"/>
          <w:sz w:val="24"/>
          <w:szCs w:val="24"/>
        </w:rPr>
        <w:t xml:space="preserve"> </w:t>
      </w:r>
      <w:r w:rsidRPr="6245C500">
        <w:rPr>
          <w:rFonts w:asciiTheme="minorHAnsi" w:hAnsiTheme="minorHAnsi" w:cstheme="minorBidi"/>
          <w:sz w:val="24"/>
          <w:szCs w:val="24"/>
        </w:rPr>
        <w:t xml:space="preserve">cities and </w:t>
      </w:r>
      <w:r w:rsidRPr="6245C500">
        <w:rPr>
          <w:rFonts w:asciiTheme="minorHAnsi" w:eastAsia="Malgun Gothic" w:hAnsiTheme="minorHAnsi" w:cstheme="minorBidi"/>
          <w:sz w:val="24"/>
          <w:szCs w:val="24"/>
          <w:lang w:eastAsia="ko-KR"/>
        </w:rPr>
        <w:t>communities</w:t>
      </w:r>
      <w:r w:rsidRPr="6245C500">
        <w:rPr>
          <w:rFonts w:asciiTheme="minorHAnsi" w:hAnsiTheme="minorHAnsi" w:cstheme="minorBidi"/>
          <w:sz w:val="24"/>
          <w:szCs w:val="24"/>
        </w:rPr>
        <w:t>, 2) e-</w:t>
      </w:r>
      <w:r w:rsidRPr="6245C500">
        <w:rPr>
          <w:rFonts w:asciiTheme="minorHAnsi" w:eastAsia="Malgun Gothic" w:hAnsiTheme="minorHAnsi" w:cstheme="minorBidi"/>
          <w:sz w:val="24"/>
          <w:szCs w:val="24"/>
          <w:lang w:eastAsia="ko-KR"/>
        </w:rPr>
        <w:t>services and applications</w:t>
      </w:r>
      <w:r w:rsidRPr="6245C500">
        <w:rPr>
          <w:rFonts w:asciiTheme="minorHAnsi" w:hAnsiTheme="minorHAnsi" w:cstheme="minorBidi"/>
          <w:sz w:val="24"/>
          <w:szCs w:val="24"/>
        </w:rPr>
        <w:t xml:space="preserve">, 3) cybersecurity, 4) conformance and interoperability, counterfeit </w:t>
      </w:r>
      <w:r w:rsidRPr="6245C500">
        <w:rPr>
          <w:rFonts w:asciiTheme="minorHAnsi" w:eastAsia="Malgun Gothic" w:hAnsiTheme="minorHAnsi" w:cstheme="minorBidi"/>
          <w:sz w:val="24"/>
          <w:szCs w:val="24"/>
          <w:lang w:eastAsia="ko-KR"/>
        </w:rPr>
        <w:t xml:space="preserve">of </w:t>
      </w:r>
      <w:r w:rsidRPr="6245C500">
        <w:rPr>
          <w:rFonts w:asciiTheme="minorHAnsi" w:hAnsiTheme="minorHAnsi" w:cstheme="minorBidi"/>
          <w:sz w:val="24"/>
          <w:szCs w:val="24"/>
        </w:rPr>
        <w:t>ICT equipment and theft of mobile devices, 5)</w:t>
      </w:r>
      <w:r w:rsidRPr="6245C500">
        <w:rPr>
          <w:rFonts w:asciiTheme="minorHAnsi" w:eastAsia="Malgun Gothic" w:hAnsiTheme="minorHAnsi" w:cstheme="minorBidi"/>
          <w:sz w:val="24"/>
          <w:szCs w:val="24"/>
          <w:lang w:eastAsia="ko-KR"/>
        </w:rPr>
        <w:t xml:space="preserve"> adoption of telecommunications/ICTs and improving digital skills</w:t>
      </w:r>
      <w:r w:rsidRPr="6245C500">
        <w:rPr>
          <w:rFonts w:asciiTheme="minorHAnsi" w:hAnsiTheme="minorHAnsi" w:cstheme="minorBidi"/>
          <w:sz w:val="24"/>
          <w:szCs w:val="24"/>
        </w:rPr>
        <w:t xml:space="preserve">, 6) </w:t>
      </w:r>
      <w:r w:rsidRPr="6245C500">
        <w:rPr>
          <w:rFonts w:asciiTheme="minorHAnsi" w:eastAsia="Malgun Gothic" w:hAnsiTheme="minorHAnsi" w:cstheme="minorBidi"/>
          <w:sz w:val="24"/>
          <w:szCs w:val="24"/>
          <w:lang w:eastAsia="ko-KR"/>
        </w:rPr>
        <w:t>environment</w:t>
      </w:r>
      <w:r w:rsidRPr="6245C500">
        <w:rPr>
          <w:rFonts w:asciiTheme="minorHAnsi" w:hAnsiTheme="minorHAnsi" w:cstheme="minorBidi"/>
          <w:sz w:val="24"/>
          <w:szCs w:val="24"/>
        </w:rPr>
        <w:t>, and 7) human exposure to electromagnetic fields. SG2 takes also into account the work of other ITU Sectors and relevant organizations, and the priorities of developing countries in fulfilling its mandate.</w:t>
      </w:r>
    </w:p>
    <w:p w14:paraId="0F1A040C" w14:textId="77777777" w:rsidR="00A63D1D" w:rsidRPr="00FA4573" w:rsidRDefault="00A63D1D" w:rsidP="00A63D1D">
      <w:pPr>
        <w:spacing w:after="120"/>
      </w:pPr>
      <w:r w:rsidRPr="00FA4573">
        <w:t>The formal titles of the Study Group 2 Questions are as follows:</w:t>
      </w:r>
    </w:p>
    <w:p w14:paraId="741A08D0" w14:textId="77777777" w:rsidR="00A63D1D" w:rsidRPr="00FA4573" w:rsidRDefault="00A63D1D" w:rsidP="00A63D1D">
      <w:pPr>
        <w:pStyle w:val="ListParagraph"/>
        <w:tabs>
          <w:tab w:val="clear" w:pos="1134"/>
          <w:tab w:val="clear" w:pos="1871"/>
          <w:tab w:val="left" w:pos="1792"/>
        </w:tabs>
        <w:spacing w:before="60" w:after="60"/>
        <w:ind w:left="714" w:hanging="357"/>
        <w:contextualSpacing w:val="0"/>
        <w:rPr>
          <w:lang w:eastAsia="zh-CN"/>
        </w:rPr>
      </w:pPr>
      <w:r w:rsidRPr="00FA4573">
        <w:rPr>
          <w:b/>
          <w:bCs/>
          <w:lang w:eastAsia="zh-CN"/>
        </w:rPr>
        <w:lastRenderedPageBreak/>
        <w:t>Question 1/2</w:t>
      </w:r>
      <w:r w:rsidRPr="00FA4573">
        <w:rPr>
          <w:lang w:eastAsia="zh-CN"/>
        </w:rPr>
        <w:t>: Smart sustainable cities and communities</w:t>
      </w:r>
    </w:p>
    <w:p w14:paraId="25D10634" w14:textId="4E799C28" w:rsidR="00A63D1D" w:rsidRPr="00FA4573" w:rsidRDefault="00A63D1D" w:rsidP="6245C500">
      <w:pPr>
        <w:pStyle w:val="ListParagraph"/>
        <w:tabs>
          <w:tab w:val="clear" w:pos="1134"/>
          <w:tab w:val="clear" w:pos="1871"/>
          <w:tab w:val="clear" w:pos="2268"/>
        </w:tabs>
        <w:spacing w:before="60" w:after="60"/>
        <w:ind w:left="714" w:hanging="357"/>
        <w:rPr>
          <w:lang w:eastAsia="zh-CN"/>
        </w:rPr>
      </w:pPr>
      <w:r w:rsidRPr="00FA4573">
        <w:rPr>
          <w:b/>
          <w:bCs/>
          <w:lang w:eastAsia="zh-CN"/>
        </w:rPr>
        <w:t>Question 2/2</w:t>
      </w:r>
      <w:r w:rsidRPr="00FA4573">
        <w:rPr>
          <w:lang w:eastAsia="zh-CN"/>
        </w:rPr>
        <w:t xml:space="preserve">: Enabling technologies for e-services and applications, including e-health and </w:t>
      </w:r>
      <w:r w:rsidRPr="00FA4573">
        <w:rPr>
          <w:rFonts w:eastAsia="Malgun Gothic"/>
          <w:lang w:eastAsia="ko-KR"/>
        </w:rPr>
        <w:tab/>
      </w:r>
      <w:r w:rsidRPr="00FA4573">
        <w:rPr>
          <w:lang w:eastAsia="zh-CN"/>
        </w:rPr>
        <w:t>e</w:t>
      </w:r>
      <w:r w:rsidR="34CB70EC" w:rsidRPr="00FA4573">
        <w:rPr>
          <w:lang w:eastAsia="zh-CN"/>
        </w:rPr>
        <w:t>-</w:t>
      </w:r>
      <w:r w:rsidRPr="00FA4573">
        <w:rPr>
          <w:rFonts w:eastAsia="Malgun Gothic"/>
          <w:lang w:eastAsia="ko-KR"/>
        </w:rPr>
        <w:noBreakHyphen/>
      </w:r>
      <w:r w:rsidRPr="00FA4573">
        <w:rPr>
          <w:lang w:eastAsia="zh-CN"/>
        </w:rPr>
        <w:t>education</w:t>
      </w:r>
    </w:p>
    <w:p w14:paraId="5EE7CF6E" w14:textId="77777777" w:rsidR="00A63D1D" w:rsidRPr="00FA4573" w:rsidRDefault="00A63D1D" w:rsidP="00A63D1D">
      <w:pPr>
        <w:pStyle w:val="ListParagraph"/>
        <w:tabs>
          <w:tab w:val="clear" w:pos="1134"/>
          <w:tab w:val="clear" w:pos="1871"/>
          <w:tab w:val="clear" w:pos="2268"/>
        </w:tabs>
        <w:spacing w:before="60" w:after="60"/>
        <w:ind w:left="714" w:hanging="357"/>
        <w:contextualSpacing w:val="0"/>
        <w:rPr>
          <w:lang w:eastAsia="zh-CN"/>
        </w:rPr>
      </w:pPr>
      <w:r w:rsidRPr="00FA4573">
        <w:rPr>
          <w:b/>
          <w:bCs/>
          <w:lang w:eastAsia="zh-CN"/>
        </w:rPr>
        <w:t>Question 3/2</w:t>
      </w:r>
      <w:r w:rsidRPr="00FA4573">
        <w:rPr>
          <w:lang w:eastAsia="zh-CN"/>
        </w:rPr>
        <w:t xml:space="preserve">: Securing information and communication networks: Best practices for </w:t>
      </w:r>
      <w:r w:rsidRPr="00FA4573">
        <w:rPr>
          <w:rFonts w:eastAsia="Malgun Gothic"/>
          <w:lang w:eastAsia="ko-KR"/>
        </w:rPr>
        <w:tab/>
      </w:r>
      <w:r w:rsidRPr="00FA4573">
        <w:rPr>
          <w:lang w:eastAsia="zh-CN"/>
        </w:rPr>
        <w:t>developing a culture of cybersecurity</w:t>
      </w:r>
    </w:p>
    <w:p w14:paraId="7E0DA74B" w14:textId="77777777" w:rsidR="00A63D1D" w:rsidRPr="00FA4573" w:rsidRDefault="00A63D1D" w:rsidP="00A63D1D">
      <w:pPr>
        <w:pStyle w:val="ListParagraph"/>
        <w:tabs>
          <w:tab w:val="clear" w:pos="1134"/>
          <w:tab w:val="clear" w:pos="1871"/>
          <w:tab w:val="clear" w:pos="2268"/>
        </w:tabs>
        <w:spacing w:before="60" w:after="60"/>
        <w:ind w:left="714" w:hanging="357"/>
        <w:contextualSpacing w:val="0"/>
      </w:pPr>
      <w:r w:rsidRPr="00FA4573">
        <w:rPr>
          <w:rFonts w:cs="Calibri"/>
          <w:b/>
          <w:bCs/>
          <w:color w:val="1E1E1E"/>
          <w:lang w:eastAsia="zh-CN"/>
        </w:rPr>
        <w:t>Question 4/2</w:t>
      </w:r>
      <w:r w:rsidRPr="00FA4573">
        <w:rPr>
          <w:rFonts w:cs="Calibri"/>
          <w:color w:val="1E1E1E"/>
          <w:lang w:eastAsia="zh-CN"/>
        </w:rPr>
        <w:t xml:space="preserve">: </w:t>
      </w:r>
      <w:r w:rsidRPr="00FA4573">
        <w:t xml:space="preserve">Telecommunication/ICT equipment: Conformance and interoperability, </w:t>
      </w:r>
      <w:r w:rsidRPr="00FA4573">
        <w:rPr>
          <w:rFonts w:eastAsia="Malgun Gothic"/>
          <w:lang w:eastAsia="ko-KR"/>
        </w:rPr>
        <w:tab/>
      </w:r>
      <w:r w:rsidRPr="00FA4573">
        <w:t>combating counterfeiting and theft of mobile devices</w:t>
      </w:r>
    </w:p>
    <w:p w14:paraId="6CD7DD82" w14:textId="77777777" w:rsidR="00A63D1D" w:rsidRPr="00FA4573" w:rsidRDefault="00A63D1D" w:rsidP="00A63D1D">
      <w:pPr>
        <w:pStyle w:val="ListParagraph"/>
        <w:tabs>
          <w:tab w:val="clear" w:pos="1134"/>
          <w:tab w:val="clear" w:pos="1871"/>
          <w:tab w:val="left" w:pos="1792"/>
        </w:tabs>
        <w:spacing w:before="60" w:after="60"/>
        <w:ind w:left="714" w:hanging="357"/>
        <w:contextualSpacing w:val="0"/>
        <w:rPr>
          <w:lang w:eastAsia="zh-CN"/>
        </w:rPr>
      </w:pPr>
      <w:r w:rsidRPr="00FA4573">
        <w:rPr>
          <w:b/>
          <w:bCs/>
          <w:lang w:eastAsia="zh-CN"/>
        </w:rPr>
        <w:t>Question 5/2</w:t>
      </w:r>
      <w:r w:rsidRPr="00FA4573">
        <w:rPr>
          <w:lang w:eastAsia="zh-CN"/>
        </w:rPr>
        <w:t>: Adoption of telecommunications/ICTs and improving digital skills</w:t>
      </w:r>
    </w:p>
    <w:p w14:paraId="3059A868" w14:textId="77777777" w:rsidR="00A63D1D" w:rsidRPr="00FA4573" w:rsidRDefault="00A63D1D" w:rsidP="00A63D1D">
      <w:pPr>
        <w:pStyle w:val="ListParagraph"/>
        <w:tabs>
          <w:tab w:val="clear" w:pos="1134"/>
          <w:tab w:val="clear" w:pos="1871"/>
          <w:tab w:val="left" w:pos="1792"/>
        </w:tabs>
        <w:spacing w:before="60" w:after="60"/>
        <w:ind w:left="714" w:hanging="357"/>
        <w:contextualSpacing w:val="0"/>
        <w:rPr>
          <w:lang w:eastAsia="zh-CN"/>
        </w:rPr>
      </w:pPr>
      <w:r w:rsidRPr="00FA4573">
        <w:rPr>
          <w:b/>
          <w:bCs/>
          <w:lang w:eastAsia="zh-CN"/>
        </w:rPr>
        <w:t>Question 6/2</w:t>
      </w:r>
      <w:r w:rsidRPr="00FA4573">
        <w:rPr>
          <w:lang w:eastAsia="zh-CN"/>
        </w:rPr>
        <w:t xml:space="preserve">: ICTs </w:t>
      </w:r>
      <w:r w:rsidRPr="00FA4573">
        <w:rPr>
          <w:rFonts w:eastAsia="Malgun Gothic"/>
          <w:lang w:eastAsia="ko-KR"/>
        </w:rPr>
        <w:t>for</w:t>
      </w:r>
      <w:r w:rsidRPr="00FA4573">
        <w:rPr>
          <w:lang w:eastAsia="zh-CN"/>
        </w:rPr>
        <w:t xml:space="preserve"> the environment</w:t>
      </w:r>
    </w:p>
    <w:p w14:paraId="7A9E7213" w14:textId="77777777" w:rsidR="00A63D1D" w:rsidRPr="00FA4573" w:rsidRDefault="00A63D1D" w:rsidP="00A63D1D">
      <w:pPr>
        <w:pStyle w:val="ListParagraph"/>
        <w:tabs>
          <w:tab w:val="clear" w:pos="1134"/>
          <w:tab w:val="clear" w:pos="1871"/>
          <w:tab w:val="left" w:pos="1792"/>
        </w:tabs>
        <w:spacing w:before="60" w:after="60"/>
        <w:ind w:left="714" w:hanging="357"/>
        <w:contextualSpacing w:val="0"/>
        <w:rPr>
          <w:lang w:eastAsia="zh-CN"/>
        </w:rPr>
      </w:pPr>
      <w:r w:rsidRPr="00FA4573">
        <w:rPr>
          <w:b/>
          <w:bCs/>
          <w:lang w:eastAsia="zh-CN"/>
        </w:rPr>
        <w:t>Question 7/2</w:t>
      </w:r>
      <w:r w:rsidRPr="00FA4573">
        <w:rPr>
          <w:lang w:eastAsia="zh-CN"/>
        </w:rPr>
        <w:t>: Strategies and policies concerning human exposure to electromagnetic fields​</w:t>
      </w:r>
    </w:p>
    <w:p w14:paraId="2B8B2A01" w14:textId="77777777" w:rsidR="00A63D1D" w:rsidRPr="00FA4573" w:rsidRDefault="00A63D1D" w:rsidP="00A63D1D">
      <w:pPr>
        <w:spacing w:after="120"/>
        <w:rPr>
          <w:rFonts w:eastAsia="Malgun Gothic"/>
          <w:lang w:eastAsia="ko-KR"/>
        </w:rPr>
      </w:pPr>
      <w:r w:rsidRPr="00FA4573">
        <w:t xml:space="preserve">The definitions of the Questions, which include, </w:t>
      </w:r>
      <w:r w:rsidRPr="00FA4573">
        <w:rPr>
          <w:i/>
          <w:iCs/>
        </w:rPr>
        <w:t>inter alia</w:t>
      </w:r>
      <w:r w:rsidRPr="00FA4573">
        <w:t xml:space="preserve">, the statement of the problem, the description of the expected output, the initial work plan with the required timing for the output, etc., are available on the Study Group 2 website in Document </w:t>
      </w:r>
      <w:hyperlink r:id="rId20" w:history="1">
        <w:r w:rsidRPr="00FA4573">
          <w:rPr>
            <w:rStyle w:val="Hyperlink"/>
            <w:rFonts w:cstheme="minorHAnsi"/>
            <w:szCs w:val="24"/>
          </w:rPr>
          <w:t>2/2</w:t>
        </w:r>
      </w:hyperlink>
      <w:r w:rsidRPr="00FA4573">
        <w:t>.</w:t>
      </w:r>
    </w:p>
    <w:p w14:paraId="14D73FCF" w14:textId="77777777" w:rsidR="00A63D1D" w:rsidRPr="00FA4573" w:rsidRDefault="00A63D1D" w:rsidP="00A63D1D">
      <w:r w:rsidRPr="00474F78">
        <w:t xml:space="preserve">SG2 concluded its work at its fourth and final meeting held from </w:t>
      </w:r>
      <w:r w:rsidRPr="00474F78">
        <w:rPr>
          <w:rFonts w:eastAsia="Malgun Gothic"/>
          <w:lang w:eastAsia="ko-KR"/>
        </w:rPr>
        <w:t>5</w:t>
      </w:r>
      <w:r w:rsidRPr="00474F78">
        <w:t xml:space="preserve"> to </w:t>
      </w:r>
      <w:r w:rsidRPr="00474F78">
        <w:rPr>
          <w:rFonts w:eastAsia="Malgun Gothic"/>
          <w:lang w:eastAsia="ko-KR"/>
        </w:rPr>
        <w:t>9</w:t>
      </w:r>
      <w:r w:rsidRPr="00474F78">
        <w:t xml:space="preserve"> Ma</w:t>
      </w:r>
      <w:r w:rsidRPr="00474F78">
        <w:rPr>
          <w:rFonts w:eastAsia="Malgun Gothic"/>
          <w:lang w:eastAsia="ko-KR"/>
        </w:rPr>
        <w:t>y</w:t>
      </w:r>
      <w:r w:rsidRPr="00474F78">
        <w:t xml:space="preserve"> 202</w:t>
      </w:r>
      <w:r w:rsidRPr="00474F78">
        <w:rPr>
          <w:rFonts w:eastAsia="Malgun Gothic"/>
          <w:lang w:eastAsia="ko-KR"/>
        </w:rPr>
        <w:t>5</w:t>
      </w:r>
      <w:r w:rsidRPr="00474F78">
        <w:t>, approving output reports for all seven study Questions.</w:t>
      </w:r>
      <w:r w:rsidRPr="00FA4573">
        <w:t xml:space="preserve"> </w:t>
      </w:r>
    </w:p>
    <w:p w14:paraId="20B79AB4" w14:textId="77777777" w:rsidR="00A63D1D" w:rsidRPr="00FA4573" w:rsidRDefault="00A63D1D" w:rsidP="00A63D1D">
      <w:pPr>
        <w:pStyle w:val="Heading2"/>
        <w:spacing w:after="120"/>
      </w:pPr>
      <w:r w:rsidRPr="00FA4573">
        <w:t>Study Group 2 management</w:t>
      </w:r>
    </w:p>
    <w:p w14:paraId="3EB6AF33" w14:textId="77777777" w:rsidR="00A63D1D" w:rsidRPr="00FA4573" w:rsidRDefault="00A63D1D" w:rsidP="00A63D1D">
      <w:pPr>
        <w:spacing w:after="120"/>
      </w:pPr>
      <w:r w:rsidRPr="00FA4573">
        <w:t>WTDC-</w:t>
      </w:r>
      <w:r w:rsidRPr="00FA4573">
        <w:rPr>
          <w:rFonts w:eastAsia="Malgun Gothic"/>
          <w:lang w:eastAsia="ko-KR"/>
        </w:rPr>
        <w:t>22</w:t>
      </w:r>
      <w:r w:rsidRPr="00FA4573">
        <w:t xml:space="preserve"> designated the SG2 leadership for the </w:t>
      </w:r>
      <w:r w:rsidRPr="00FA4573">
        <w:rPr>
          <w:rFonts w:eastAsia="Malgun Gothic"/>
          <w:lang w:eastAsia="ko-KR"/>
        </w:rPr>
        <w:t>eighth</w:t>
      </w:r>
      <w:r w:rsidRPr="00FA4573">
        <w:t xml:space="preserve"> study period (20</w:t>
      </w:r>
      <w:r w:rsidRPr="00FA4573">
        <w:rPr>
          <w:rFonts w:eastAsia="Malgun Gothic"/>
          <w:lang w:eastAsia="ko-KR"/>
        </w:rPr>
        <w:t>22</w:t>
      </w:r>
      <w:r w:rsidRPr="00FA4573">
        <w:t>-202</w:t>
      </w:r>
      <w:r w:rsidRPr="00FA4573">
        <w:rPr>
          <w:rFonts w:eastAsia="Malgun Gothic"/>
          <w:lang w:eastAsia="ko-KR"/>
        </w:rPr>
        <w:t>5</w:t>
      </w:r>
      <w:r w:rsidRPr="00FA4573">
        <w:t xml:space="preserve">): </w:t>
      </w:r>
      <w:r w:rsidRPr="00FA4573">
        <w:rPr>
          <w:rFonts w:eastAsia="Malgun Gothic"/>
          <w:lang w:eastAsia="ko-KR"/>
        </w:rPr>
        <w:t>Mr</w:t>
      </w:r>
      <w:r w:rsidRPr="00FA4573">
        <w:t xml:space="preserve"> </w:t>
      </w:r>
      <w:r w:rsidRPr="00FA4573">
        <w:rPr>
          <w:rFonts w:eastAsia="Malgun Gothic"/>
          <w:lang w:eastAsia="ko-KR"/>
        </w:rPr>
        <w:t>Fadel Digham</w:t>
      </w:r>
      <w:r w:rsidRPr="00FA4573">
        <w:t xml:space="preserve"> (</w:t>
      </w:r>
      <w:r w:rsidRPr="00FA4573">
        <w:rPr>
          <w:rFonts w:eastAsia="Malgun Gothic"/>
          <w:lang w:eastAsia="ko-KR"/>
        </w:rPr>
        <w:t>Egypt</w:t>
      </w:r>
      <w:r w:rsidRPr="00FA4573">
        <w:t xml:space="preserve">) served as </w:t>
      </w:r>
      <w:r w:rsidRPr="00FA4573">
        <w:rPr>
          <w:rFonts w:eastAsia="Malgun Gothic"/>
          <w:lang w:eastAsia="ko-KR"/>
        </w:rPr>
        <w:t>C</w:t>
      </w:r>
      <w:r w:rsidRPr="00FA4573">
        <w:t xml:space="preserve">hair; he was ably assisted by the following </w:t>
      </w:r>
      <w:r w:rsidRPr="00FA4573">
        <w:rPr>
          <w:rFonts w:eastAsia="Malgun Gothic"/>
          <w:lang w:eastAsia="ko-KR"/>
        </w:rPr>
        <w:t>V</w:t>
      </w:r>
      <w:r w:rsidRPr="00FA4573">
        <w:t>ice-</w:t>
      </w:r>
      <w:r w:rsidRPr="00FA4573">
        <w:rPr>
          <w:rFonts w:eastAsia="Malgun Gothic"/>
          <w:lang w:eastAsia="ko-KR"/>
        </w:rPr>
        <w:t>C</w:t>
      </w:r>
      <w:r w:rsidRPr="00FA4573">
        <w:t>hai</w:t>
      </w:r>
      <w:r w:rsidRPr="00FA4573">
        <w:rPr>
          <w:rFonts w:eastAsia="Malgun Gothic"/>
          <w:lang w:eastAsia="ko-KR"/>
        </w:rPr>
        <w:t>rs</w:t>
      </w:r>
      <w:r w:rsidRPr="00FA4573">
        <w:t>:</w:t>
      </w:r>
    </w:p>
    <w:p w14:paraId="016C2022" w14:textId="77777777" w:rsidR="00A63D1D" w:rsidRPr="00FA4573" w:rsidRDefault="00A63D1D" w:rsidP="00A63D1D">
      <w:pPr>
        <w:pStyle w:val="ListParagraph"/>
        <w:spacing w:before="60" w:after="60"/>
        <w:ind w:left="714" w:hanging="357"/>
        <w:contextualSpacing w:val="0"/>
      </w:pPr>
      <w:r w:rsidRPr="00FA4573">
        <w:t>Mr Abdelaziz Alzarooni (United Arab Emirates) (ARB)</w:t>
      </w:r>
    </w:p>
    <w:p w14:paraId="2C195B58" w14:textId="77777777" w:rsidR="00A63D1D" w:rsidRPr="00E53534" w:rsidRDefault="00A63D1D" w:rsidP="00A63D1D">
      <w:pPr>
        <w:pStyle w:val="ListParagraph"/>
        <w:spacing w:before="60" w:after="60"/>
        <w:ind w:left="714" w:hanging="357"/>
        <w:contextualSpacing w:val="0"/>
        <w:rPr>
          <w:lang w:val="pl-PL"/>
        </w:rPr>
      </w:pPr>
      <w:r w:rsidRPr="00E53534">
        <w:rPr>
          <w:lang w:val="pl-PL"/>
        </w:rPr>
        <w:t xml:space="preserve">Ms </w:t>
      </w:r>
      <w:r w:rsidRPr="00E53534">
        <w:rPr>
          <w:rFonts w:eastAsia="Malgun Gothic"/>
          <w:lang w:val="pl-PL" w:eastAsia="ko-KR"/>
        </w:rPr>
        <w:t>Zainab Ardo</w:t>
      </w:r>
      <w:r w:rsidRPr="00E53534">
        <w:rPr>
          <w:lang w:val="pl-PL"/>
        </w:rPr>
        <w:t xml:space="preserve"> (</w:t>
      </w:r>
      <w:r w:rsidRPr="00E53534">
        <w:rPr>
          <w:rFonts w:eastAsia="Malgun Gothic"/>
          <w:lang w:val="pl-PL" w:eastAsia="ko-KR"/>
        </w:rPr>
        <w:t>Nigeria</w:t>
      </w:r>
      <w:r w:rsidRPr="00E53534">
        <w:rPr>
          <w:lang w:val="pl-PL"/>
        </w:rPr>
        <w:t>) (A</w:t>
      </w:r>
      <w:r w:rsidRPr="00E53534">
        <w:rPr>
          <w:rFonts w:eastAsia="Malgun Gothic"/>
          <w:lang w:val="pl-PL" w:eastAsia="ko-KR"/>
        </w:rPr>
        <w:t>FR</w:t>
      </w:r>
      <w:r w:rsidRPr="00E53534">
        <w:rPr>
          <w:lang w:val="pl-PL"/>
        </w:rPr>
        <w:t>)</w:t>
      </w:r>
    </w:p>
    <w:p w14:paraId="63D21223" w14:textId="77777777" w:rsidR="00A63D1D" w:rsidRPr="00E53534" w:rsidRDefault="00A63D1D" w:rsidP="00A63D1D">
      <w:pPr>
        <w:pStyle w:val="ListParagraph"/>
        <w:spacing w:before="60" w:after="60"/>
        <w:ind w:left="714" w:hanging="357"/>
        <w:contextualSpacing w:val="0"/>
        <w:rPr>
          <w:lang w:val="pl-PL"/>
        </w:rPr>
      </w:pPr>
      <w:r w:rsidRPr="00E53534">
        <w:rPr>
          <w:lang w:val="pl-PL"/>
        </w:rPr>
        <w:t>M</w:t>
      </w:r>
      <w:r w:rsidRPr="00E53534">
        <w:rPr>
          <w:rFonts w:eastAsia="Malgun Gothic"/>
          <w:lang w:val="pl-PL" w:eastAsia="ko-KR"/>
        </w:rPr>
        <w:t>r Javokhir Aripov</w:t>
      </w:r>
      <w:r w:rsidRPr="00E53534">
        <w:rPr>
          <w:lang w:val="pl-PL"/>
        </w:rPr>
        <w:t xml:space="preserve"> (</w:t>
      </w:r>
      <w:r w:rsidRPr="00E53534">
        <w:rPr>
          <w:rFonts w:eastAsia="Malgun Gothic"/>
          <w:lang w:val="pl-PL" w:eastAsia="ko-KR"/>
        </w:rPr>
        <w:t>Uzbekistan</w:t>
      </w:r>
      <w:r w:rsidRPr="00E53534">
        <w:rPr>
          <w:lang w:val="pl-PL"/>
        </w:rPr>
        <w:t>) (CIS)</w:t>
      </w:r>
    </w:p>
    <w:p w14:paraId="0D0EC5E3" w14:textId="77777777" w:rsidR="00A63D1D" w:rsidRPr="00E53534" w:rsidRDefault="00A63D1D" w:rsidP="00A63D1D">
      <w:pPr>
        <w:pStyle w:val="ListParagraph"/>
        <w:spacing w:before="60" w:after="60"/>
        <w:ind w:left="714" w:hanging="357"/>
        <w:contextualSpacing w:val="0"/>
        <w:rPr>
          <w:lang w:val="pl-PL"/>
        </w:rPr>
      </w:pPr>
      <w:r w:rsidRPr="00E53534">
        <w:rPr>
          <w:lang w:val="pl-PL"/>
        </w:rPr>
        <w:t xml:space="preserve">Ms </w:t>
      </w:r>
      <w:r w:rsidRPr="00E53534">
        <w:rPr>
          <w:rFonts w:eastAsia="Malgun Gothic"/>
          <w:lang w:val="pl-PL" w:eastAsia="ko-KR"/>
        </w:rPr>
        <w:t>Carmen Madalina Clapon (Romania)</w:t>
      </w:r>
      <w:r w:rsidRPr="00E53534">
        <w:rPr>
          <w:lang w:val="pl-PL"/>
        </w:rPr>
        <w:t xml:space="preserve"> (</w:t>
      </w:r>
      <w:r w:rsidRPr="00E53534">
        <w:rPr>
          <w:rFonts w:eastAsia="Malgun Gothic"/>
          <w:lang w:val="pl-PL" w:eastAsia="ko-KR"/>
        </w:rPr>
        <w:t>EUR</w:t>
      </w:r>
      <w:r w:rsidRPr="00E53534">
        <w:rPr>
          <w:lang w:val="pl-PL"/>
        </w:rPr>
        <w:t>)</w:t>
      </w:r>
    </w:p>
    <w:p w14:paraId="0ACA4652" w14:textId="77777777" w:rsidR="00A63D1D" w:rsidRPr="00E53534" w:rsidRDefault="00A63D1D" w:rsidP="00A63D1D">
      <w:pPr>
        <w:pStyle w:val="ListParagraph"/>
        <w:spacing w:before="60" w:after="60"/>
        <w:ind w:left="714" w:hanging="357"/>
        <w:contextualSpacing w:val="0"/>
        <w:rPr>
          <w:lang w:val="pl-PL"/>
        </w:rPr>
      </w:pPr>
      <w:r w:rsidRPr="00E53534">
        <w:rPr>
          <w:lang w:val="pl-PL"/>
        </w:rPr>
        <w:t>Mr</w:t>
      </w:r>
      <w:r w:rsidRPr="00E53534">
        <w:rPr>
          <w:rFonts w:eastAsia="Malgun Gothic"/>
          <w:lang w:val="pl-PL" w:eastAsia="ko-KR"/>
        </w:rPr>
        <w:t xml:space="preserve"> </w:t>
      </w:r>
      <w:r w:rsidRPr="00E53534">
        <w:rPr>
          <w:lang w:val="pl-PL"/>
        </w:rPr>
        <w:t xml:space="preserve">Mushfig Guluyev (Azerbaijan) </w:t>
      </w:r>
      <w:r w:rsidRPr="00E53534">
        <w:rPr>
          <w:rFonts w:eastAsia="Malgun Gothic"/>
          <w:lang w:val="pl-PL"/>
        </w:rPr>
        <w:t>(</w:t>
      </w:r>
      <w:r w:rsidRPr="00E53534">
        <w:rPr>
          <w:rFonts w:eastAsia="Malgun Gothic"/>
          <w:lang w:val="pl-PL" w:eastAsia="ko-KR"/>
        </w:rPr>
        <w:t>CIS)</w:t>
      </w:r>
    </w:p>
    <w:p w14:paraId="0CF87BC1" w14:textId="77777777" w:rsidR="00A63D1D" w:rsidRPr="00FA4573" w:rsidRDefault="00A63D1D" w:rsidP="00A63D1D">
      <w:pPr>
        <w:pStyle w:val="ListParagraph"/>
        <w:spacing w:before="60" w:after="60"/>
        <w:ind w:left="714" w:hanging="357"/>
        <w:contextualSpacing w:val="0"/>
      </w:pPr>
      <w:r w:rsidRPr="00FA4573">
        <w:t>Mr Hideo Imanaka (Japan) (A</w:t>
      </w:r>
      <w:r w:rsidRPr="00FA4573">
        <w:rPr>
          <w:rFonts w:eastAsia="Malgun Gothic"/>
          <w:lang w:eastAsia="ko-KR"/>
        </w:rPr>
        <w:t>SP</w:t>
      </w:r>
      <w:r w:rsidRPr="00FA4573">
        <w:t>)</w:t>
      </w:r>
    </w:p>
    <w:p w14:paraId="33B044ED" w14:textId="77777777" w:rsidR="00A63D1D" w:rsidRPr="00FA4573" w:rsidRDefault="00A63D1D" w:rsidP="00A63D1D">
      <w:pPr>
        <w:pStyle w:val="ListParagraph"/>
        <w:spacing w:before="60" w:after="60"/>
        <w:ind w:left="714" w:hanging="357"/>
        <w:contextualSpacing w:val="0"/>
      </w:pPr>
      <w:r w:rsidRPr="00FA4573">
        <w:t>Ms Mina Seonmin Jun (Republic of Korea) (</w:t>
      </w:r>
      <w:r w:rsidRPr="00FA4573">
        <w:rPr>
          <w:rFonts w:eastAsia="Malgun Gothic"/>
          <w:lang w:eastAsia="ko-KR"/>
        </w:rPr>
        <w:t>ASP</w:t>
      </w:r>
      <w:r w:rsidRPr="00FA4573">
        <w:t>)</w:t>
      </w:r>
    </w:p>
    <w:p w14:paraId="0C50F937" w14:textId="77777777" w:rsidR="00A63D1D" w:rsidRPr="00FA4573" w:rsidRDefault="00A63D1D" w:rsidP="00A63D1D">
      <w:pPr>
        <w:pStyle w:val="ListParagraph"/>
        <w:spacing w:before="60" w:after="60"/>
        <w:ind w:left="714" w:hanging="357"/>
        <w:contextualSpacing w:val="0"/>
      </w:pPr>
      <w:r w:rsidRPr="00FA4573">
        <w:t>Mr Mohamed Lamine Minthe (Guinea) (</w:t>
      </w:r>
      <w:r w:rsidRPr="00FA4573">
        <w:rPr>
          <w:rFonts w:eastAsia="Malgun Gothic"/>
          <w:lang w:eastAsia="ko-KR"/>
        </w:rPr>
        <w:t>AFR</w:t>
      </w:r>
      <w:r w:rsidRPr="00FA4573">
        <w:t>)</w:t>
      </w:r>
    </w:p>
    <w:p w14:paraId="1975608A" w14:textId="77777777" w:rsidR="00A63D1D" w:rsidRPr="00FA4573" w:rsidRDefault="00A63D1D" w:rsidP="00A63D1D">
      <w:pPr>
        <w:pStyle w:val="ListParagraph"/>
        <w:spacing w:before="60" w:after="60"/>
        <w:ind w:left="714" w:hanging="357"/>
        <w:contextualSpacing w:val="0"/>
      </w:pPr>
      <w:r w:rsidRPr="00FA4573">
        <w:t>Mr Víctor Antonio Martínez Sánchez (Paraguay) (A</w:t>
      </w:r>
      <w:r w:rsidRPr="00FA4573">
        <w:rPr>
          <w:rFonts w:eastAsia="Malgun Gothic"/>
          <w:lang w:eastAsia="ko-KR"/>
        </w:rPr>
        <w:t>MS</w:t>
      </w:r>
      <w:r w:rsidRPr="00FA4573">
        <w:t>)</w:t>
      </w:r>
    </w:p>
    <w:p w14:paraId="47055264" w14:textId="77777777" w:rsidR="00A63D1D" w:rsidRPr="00FA4573" w:rsidRDefault="00A63D1D" w:rsidP="00A63D1D">
      <w:pPr>
        <w:pStyle w:val="ListParagraph"/>
        <w:spacing w:before="60" w:after="60"/>
        <w:ind w:left="714" w:hanging="357"/>
        <w:contextualSpacing w:val="0"/>
      </w:pPr>
      <w:r w:rsidRPr="00FA4573">
        <w:t>Mr Tongning Wu (China) (ASP)</w:t>
      </w:r>
    </w:p>
    <w:p w14:paraId="3236B260" w14:textId="77777777" w:rsidR="00A63D1D" w:rsidRPr="00FA4573" w:rsidRDefault="00A63D1D" w:rsidP="00A63D1D">
      <w:pPr>
        <w:pStyle w:val="ListParagraph"/>
        <w:spacing w:before="60" w:after="60"/>
        <w:ind w:left="714" w:hanging="357"/>
        <w:contextualSpacing w:val="0"/>
        <w:rPr>
          <w:lang w:val="fr-FR"/>
        </w:rPr>
      </w:pPr>
      <w:r w:rsidRPr="00FA4573">
        <w:rPr>
          <w:lang w:val="fr-FR"/>
        </w:rPr>
        <w:t>Mr Dominique Würges (France) (EUR)</w:t>
      </w:r>
    </w:p>
    <w:p w14:paraId="7765E3DD" w14:textId="77777777" w:rsidR="00A63D1D" w:rsidRPr="00FA4573" w:rsidRDefault="00A63D1D" w:rsidP="00A63D1D">
      <w:pPr>
        <w:spacing w:after="120"/>
      </w:pPr>
      <w:r w:rsidRPr="00FA4573">
        <w:rPr>
          <w:rFonts w:eastAsia="Malgun Gothic" w:hint="eastAsia"/>
          <w:lang w:eastAsia="ko-KR"/>
        </w:rPr>
        <w:t>Stepped down</w:t>
      </w:r>
      <w:r w:rsidRPr="00FA4573">
        <w:rPr>
          <w:rStyle w:val="FootnoteReference"/>
          <w:rFonts w:eastAsia="Malgun Gothic"/>
          <w:lang w:eastAsia="ko-KR"/>
        </w:rPr>
        <w:footnoteReference w:id="5"/>
      </w:r>
      <w:r w:rsidRPr="00FA4573">
        <w:t xml:space="preserve"> during this study period:</w:t>
      </w:r>
    </w:p>
    <w:p w14:paraId="1AE39112" w14:textId="77777777" w:rsidR="00A63D1D" w:rsidRPr="00FA4573" w:rsidRDefault="00A63D1D" w:rsidP="00A63D1D">
      <w:pPr>
        <w:pStyle w:val="ListParagraph"/>
        <w:spacing w:before="60" w:after="60"/>
        <w:ind w:left="714" w:hanging="357"/>
        <w:contextualSpacing w:val="0"/>
        <w:rPr>
          <w:b/>
          <w:bCs/>
          <w:lang w:eastAsia="zh-CN"/>
        </w:rPr>
      </w:pPr>
      <w:r w:rsidRPr="00FA4573">
        <w:rPr>
          <w:lang w:eastAsia="zh-CN"/>
        </w:rPr>
        <w:t>Ms Alina Modan (Romania) (</w:t>
      </w:r>
      <w:r w:rsidRPr="00FA4573">
        <w:rPr>
          <w:rFonts w:eastAsia="Malgun Gothic"/>
          <w:lang w:eastAsia="ko-KR"/>
        </w:rPr>
        <w:t>EUR</w:t>
      </w:r>
      <w:r w:rsidRPr="00FA4573">
        <w:rPr>
          <w:lang w:eastAsia="zh-CN"/>
        </w:rPr>
        <w:t>)</w:t>
      </w:r>
    </w:p>
    <w:p w14:paraId="274115B7" w14:textId="77777777" w:rsidR="00A63D1D" w:rsidRPr="00FA4573" w:rsidRDefault="00A63D1D" w:rsidP="00A63D1D">
      <w:pPr>
        <w:pStyle w:val="ListParagraph"/>
        <w:spacing w:before="60" w:after="60"/>
        <w:ind w:left="714" w:hanging="357"/>
        <w:contextualSpacing w:val="0"/>
      </w:pPr>
      <w:r w:rsidRPr="00FA4573">
        <w:t>Mr Diyor Rajabov (Uzbekistan) (</w:t>
      </w:r>
      <w:r w:rsidRPr="00FA4573">
        <w:rPr>
          <w:rFonts w:eastAsia="Malgun Gothic"/>
          <w:lang w:eastAsia="ko-KR"/>
        </w:rPr>
        <w:t>CIS</w:t>
      </w:r>
      <w:r w:rsidRPr="00FA4573">
        <w:t>)</w:t>
      </w:r>
    </w:p>
    <w:p w14:paraId="06EACD79" w14:textId="77777777" w:rsidR="00A63D1D" w:rsidRPr="00FA4573" w:rsidRDefault="00A63D1D" w:rsidP="00A63D1D">
      <w:r w:rsidRPr="00FA4573">
        <w:t>The list of appointed Chair, Vice-Chair</w:t>
      </w:r>
      <w:r w:rsidRPr="00FA4573">
        <w:rPr>
          <w:rFonts w:eastAsia="Malgun Gothic"/>
          <w:lang w:eastAsia="ko-KR"/>
        </w:rPr>
        <w:t>s</w:t>
      </w:r>
      <w:r w:rsidRPr="00FA4573">
        <w:t xml:space="preserve">, Rapporteurs and Vice-Rapporteurs of ITU-D Study Group 2 Questions </w:t>
      </w:r>
      <w:r w:rsidRPr="00FA4573">
        <w:rPr>
          <w:rFonts w:eastAsia="Malgun Gothic" w:hint="eastAsia"/>
          <w:lang w:eastAsia="ko-KR"/>
        </w:rPr>
        <w:t xml:space="preserve">and their participation during this study period </w:t>
      </w:r>
      <w:r w:rsidRPr="00FA4573">
        <w:t xml:space="preserve">can be found in </w:t>
      </w:r>
      <w:r w:rsidRPr="00FA4573">
        <w:rPr>
          <w:b/>
          <w:bCs/>
        </w:rPr>
        <w:t>Annex 1</w:t>
      </w:r>
      <w:r w:rsidRPr="00FA4573">
        <w:t>.</w:t>
      </w:r>
    </w:p>
    <w:p w14:paraId="78D95313" w14:textId="77777777" w:rsidR="00A63D1D" w:rsidRPr="00FA4573" w:rsidRDefault="00A63D1D" w:rsidP="00A63D1D">
      <w:pPr>
        <w:pStyle w:val="Heading2"/>
        <w:spacing w:after="120"/>
        <w:rPr>
          <w:rFonts w:eastAsia="Malgun Gothic"/>
          <w:lang w:eastAsia="ko-KR"/>
        </w:rPr>
      </w:pPr>
      <w:r w:rsidRPr="00FA4573">
        <w:lastRenderedPageBreak/>
        <w:t xml:space="preserve">Participation and </w:t>
      </w:r>
      <w:r w:rsidRPr="00FA4573">
        <w:rPr>
          <w:rFonts w:eastAsia="Malgun Gothic" w:hint="eastAsia"/>
          <w:lang w:eastAsia="ko-KR"/>
        </w:rPr>
        <w:t>documents</w:t>
      </w:r>
      <w:r w:rsidRPr="00FA4573">
        <w:t xml:space="preserve"> (20</w:t>
      </w:r>
      <w:r w:rsidRPr="00FA4573">
        <w:rPr>
          <w:rFonts w:eastAsia="Malgun Gothic"/>
          <w:lang w:eastAsia="ko-KR"/>
        </w:rPr>
        <w:t>22</w:t>
      </w:r>
      <w:r w:rsidRPr="00FA4573">
        <w:t>-202</w:t>
      </w:r>
      <w:r w:rsidRPr="00FA4573">
        <w:rPr>
          <w:rFonts w:eastAsia="Malgun Gothic"/>
          <w:lang w:eastAsia="ko-KR"/>
        </w:rPr>
        <w:t>5</w:t>
      </w:r>
      <w:r w:rsidRPr="00FA4573">
        <w:t>)</w:t>
      </w:r>
    </w:p>
    <w:p w14:paraId="445501FA" w14:textId="77777777" w:rsidR="00A63D1D" w:rsidRPr="00FA4573" w:rsidRDefault="00A63D1D" w:rsidP="00A63D1D">
      <w:pPr>
        <w:pStyle w:val="Heading2"/>
        <w:numPr>
          <w:ilvl w:val="2"/>
          <w:numId w:val="1"/>
        </w:numPr>
        <w:spacing w:after="120"/>
        <w:ind w:left="709" w:hanging="709"/>
        <w:rPr>
          <w:rFonts w:eastAsia="Malgun Gothic"/>
          <w:lang w:eastAsia="ko-KR"/>
        </w:rPr>
      </w:pPr>
      <w:r w:rsidRPr="00FA4573">
        <w:t>Participa</w:t>
      </w:r>
      <w:r w:rsidRPr="00FA4573">
        <w:rPr>
          <w:rFonts w:eastAsia="Malgun Gothic" w:hint="eastAsia"/>
          <w:lang w:eastAsia="ko-KR"/>
        </w:rPr>
        <w:t>nts</w:t>
      </w:r>
    </w:p>
    <w:p w14:paraId="0C39BA40" w14:textId="77777777" w:rsidR="00A63D1D" w:rsidRPr="00474F78" w:rsidRDefault="00A63D1D" w:rsidP="00A63D1D">
      <w:pPr>
        <w:rPr>
          <w:rFonts w:eastAsia="Malgun Gothic" w:cstheme="minorHAnsi"/>
          <w:szCs w:val="24"/>
          <w:lang w:eastAsia="ko-KR"/>
        </w:rPr>
      </w:pPr>
      <w:r w:rsidRPr="00FA4573">
        <w:rPr>
          <w:rFonts w:cstheme="minorHAnsi"/>
          <w:szCs w:val="24"/>
        </w:rPr>
        <w:t xml:space="preserve">An aggregate number of </w:t>
      </w:r>
      <w:r w:rsidRPr="00FA4573">
        <w:rPr>
          <w:rFonts w:eastAsia="Malgun Gothic" w:cstheme="minorHAnsi"/>
          <w:szCs w:val="24"/>
          <w:lang w:eastAsia="ko-KR"/>
        </w:rPr>
        <w:t>1252</w:t>
      </w:r>
      <w:r w:rsidRPr="00FA4573">
        <w:rPr>
          <w:rFonts w:cstheme="minorHAnsi"/>
          <w:szCs w:val="24"/>
        </w:rPr>
        <w:t xml:space="preserve"> participants attended SG2 and Rapporteur Group meetings during this study period. </w:t>
      </w:r>
      <w:r w:rsidRPr="00FA4573">
        <w:rPr>
          <w:rFonts w:cstheme="minorHAnsi"/>
          <w:b/>
          <w:bCs/>
          <w:szCs w:val="24"/>
        </w:rPr>
        <w:t>Table 1</w:t>
      </w:r>
      <w:r w:rsidRPr="00FA4573">
        <w:rPr>
          <w:rFonts w:cstheme="minorHAnsi"/>
          <w:szCs w:val="24"/>
        </w:rPr>
        <w:t xml:space="preserve"> details the number of participants and represented countries during each SG2 event of the study period. Each SG2 event gathered about </w:t>
      </w:r>
      <w:r w:rsidRPr="00FA4573">
        <w:rPr>
          <w:rFonts w:eastAsia="Malgun Gothic" w:cstheme="minorHAnsi"/>
          <w:szCs w:val="24"/>
          <w:lang w:eastAsia="ko-KR"/>
        </w:rPr>
        <w:t>209</w:t>
      </w:r>
      <w:r w:rsidRPr="00FA4573">
        <w:rPr>
          <w:rFonts w:cstheme="minorHAnsi"/>
          <w:szCs w:val="24"/>
        </w:rPr>
        <w:t xml:space="preserve"> participants from </w:t>
      </w:r>
      <w:r w:rsidRPr="00FA4573">
        <w:rPr>
          <w:rFonts w:eastAsia="Malgun Gothic" w:cstheme="minorHAnsi"/>
          <w:szCs w:val="24"/>
          <w:lang w:eastAsia="ko-KR"/>
        </w:rPr>
        <w:t>54</w:t>
      </w:r>
      <w:r w:rsidRPr="00FA4573">
        <w:rPr>
          <w:rFonts w:cstheme="minorHAnsi"/>
          <w:szCs w:val="24"/>
        </w:rPr>
        <w:t xml:space="preserve"> countries on average per meeting.</w:t>
      </w:r>
      <w:r w:rsidRPr="00FA4573">
        <w:rPr>
          <w:rFonts w:eastAsia="Malgun Gothic" w:cstheme="minorHAnsi" w:hint="eastAsia"/>
          <w:szCs w:val="24"/>
          <w:lang w:eastAsia="ko-KR"/>
        </w:rPr>
        <w:t xml:space="preserve"> </w:t>
      </w:r>
    </w:p>
    <w:p w14:paraId="1DAAE858" w14:textId="77777777" w:rsidR="00A63D1D" w:rsidRPr="00FA4573" w:rsidRDefault="00A63D1D" w:rsidP="00A63D1D">
      <w:pPr>
        <w:jc w:val="center"/>
        <w:rPr>
          <w:rFonts w:eastAsia="Malgun Gothic"/>
          <w:lang w:eastAsia="ko-KR"/>
        </w:rPr>
      </w:pPr>
      <w:r w:rsidRPr="00FA4573">
        <w:rPr>
          <w:rFonts w:eastAsia="Malgun Gothic"/>
          <w:noProof/>
        </w:rPr>
        <w:drawing>
          <wp:inline distT="0" distB="0" distL="0" distR="0" wp14:anchorId="70F28233" wp14:editId="2279CF72">
            <wp:extent cx="6120765" cy="1538095"/>
            <wp:effectExtent l="0" t="0" r="0" b="5080"/>
            <wp:docPr id="517360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3945" cy="1538894"/>
                    </a:xfrm>
                    <a:prstGeom prst="rect">
                      <a:avLst/>
                    </a:prstGeom>
                    <a:noFill/>
                    <a:ln>
                      <a:noFill/>
                    </a:ln>
                  </pic:spPr>
                </pic:pic>
              </a:graphicData>
            </a:graphic>
          </wp:inline>
        </w:drawing>
      </w:r>
    </w:p>
    <w:p w14:paraId="40A02932" w14:textId="77777777" w:rsidR="00A63D1D" w:rsidRPr="00FA4573" w:rsidRDefault="00A63D1D" w:rsidP="00A63D1D">
      <w:pPr>
        <w:jc w:val="center"/>
        <w:rPr>
          <w:rFonts w:eastAsia="Malgun Gothic" w:cstheme="minorHAnsi"/>
          <w:b/>
          <w:bCs/>
          <w:szCs w:val="24"/>
          <w:lang w:eastAsia="ko-KR"/>
        </w:rPr>
      </w:pPr>
      <w:r w:rsidRPr="00FA4573">
        <w:rPr>
          <w:rFonts w:cstheme="minorHAnsi"/>
          <w:b/>
          <w:bCs/>
          <w:szCs w:val="24"/>
        </w:rPr>
        <w:t>Table 1: Participation to SG2 and rapporteur group meetings during the study period</w:t>
      </w:r>
    </w:p>
    <w:p w14:paraId="5B5949F7" w14:textId="77777777" w:rsidR="00A63D1D" w:rsidRPr="00FA4573" w:rsidRDefault="00A63D1D" w:rsidP="00A63D1D">
      <w:pPr>
        <w:rPr>
          <w:rFonts w:eastAsia="Malgun Gothic" w:cstheme="minorHAnsi"/>
          <w:szCs w:val="24"/>
          <w:lang w:eastAsia="ko-KR"/>
        </w:rPr>
      </w:pPr>
      <w:r w:rsidRPr="00FA4573">
        <w:rPr>
          <w:rFonts w:eastAsia="Malgun Gothic" w:cstheme="minorHAnsi" w:hint="eastAsia"/>
          <w:b/>
          <w:bCs/>
          <w:szCs w:val="24"/>
          <w:lang w:eastAsia="ko-KR"/>
        </w:rPr>
        <w:t>Figure 1</w:t>
      </w:r>
      <w:r w:rsidRPr="00FA4573">
        <w:rPr>
          <w:rFonts w:eastAsia="Malgun Gothic" w:cstheme="minorHAnsi" w:hint="eastAsia"/>
          <w:szCs w:val="24"/>
          <w:lang w:eastAsia="ko-KR"/>
        </w:rPr>
        <w:t xml:space="preserve"> provides the evolution of the number of participants since the previous study period</w:t>
      </w:r>
      <w:r w:rsidRPr="00FA4573">
        <w:rPr>
          <w:rStyle w:val="FootnoteReference"/>
          <w:rFonts w:eastAsia="Malgun Gothic" w:cstheme="minorHAnsi"/>
          <w:lang w:eastAsia="ko-KR"/>
        </w:rPr>
        <w:footnoteReference w:id="6"/>
      </w:r>
      <w:r w:rsidRPr="00FA4573">
        <w:rPr>
          <w:rFonts w:eastAsia="Malgun Gothic" w:cstheme="minorHAnsi" w:hint="eastAsia"/>
          <w:szCs w:val="24"/>
          <w:lang w:eastAsia="ko-KR"/>
        </w:rPr>
        <w:t xml:space="preserve">. The number of participants significantly increased during this study period compared to the previous one (aggregate: 1003, average: 125 per meeting), which is in big part due to the increased number of remote participants since COVID-19. The numbers in 2022 and 2025 are lower than in 2023 and 2024, because no separate rapporteur group meetings were organized due to WTDCs.  </w:t>
      </w:r>
    </w:p>
    <w:p w14:paraId="0B776AAA" w14:textId="77777777" w:rsidR="00A63D1D" w:rsidRPr="00474F78" w:rsidRDefault="00A63D1D" w:rsidP="00A63D1D">
      <w:pPr>
        <w:jc w:val="center"/>
        <w:rPr>
          <w:rFonts w:eastAsia="Malgun Gothic" w:cstheme="minorHAnsi"/>
          <w:b/>
          <w:bCs/>
          <w:szCs w:val="24"/>
          <w:lang w:eastAsia="ko-KR"/>
        </w:rPr>
      </w:pPr>
      <w:r w:rsidRPr="00FA4573">
        <w:rPr>
          <w:rFonts w:eastAsia="Malgun Gothic" w:cstheme="minorHAnsi"/>
          <w:b/>
          <w:bCs/>
          <w:noProof/>
          <w:szCs w:val="24"/>
          <w:lang w:eastAsia="ko-KR"/>
        </w:rPr>
        <w:drawing>
          <wp:inline distT="0" distB="0" distL="0" distR="0" wp14:anchorId="36181810" wp14:editId="76FDB010">
            <wp:extent cx="3795963" cy="2209517"/>
            <wp:effectExtent l="0" t="0" r="0" b="635"/>
            <wp:docPr id="302514979" name="Picture 13" descr="A graph of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4979" name="Picture 13" descr="A graph of numbers and a number of peopl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99929" cy="2211825"/>
                    </a:xfrm>
                    <a:prstGeom prst="rect">
                      <a:avLst/>
                    </a:prstGeom>
                    <a:noFill/>
                  </pic:spPr>
                </pic:pic>
              </a:graphicData>
            </a:graphic>
          </wp:inline>
        </w:drawing>
      </w:r>
    </w:p>
    <w:p w14:paraId="7F43BEBD" w14:textId="77777777" w:rsidR="00A63D1D" w:rsidRPr="00FA4573" w:rsidRDefault="00A63D1D" w:rsidP="00A63D1D">
      <w:pPr>
        <w:jc w:val="center"/>
        <w:rPr>
          <w:rFonts w:eastAsia="Malgun Gothic" w:cstheme="minorHAnsi"/>
          <w:b/>
          <w:bCs/>
          <w:szCs w:val="24"/>
          <w:lang w:eastAsia="ko-KR"/>
        </w:rPr>
      </w:pPr>
      <w:r w:rsidRPr="00FA4573">
        <w:rPr>
          <w:rFonts w:cstheme="minorHAnsi"/>
          <w:b/>
          <w:bCs/>
          <w:szCs w:val="24"/>
        </w:rPr>
        <w:t xml:space="preserve">Figure 1: </w:t>
      </w:r>
      <w:r w:rsidRPr="00FA4573">
        <w:rPr>
          <w:rFonts w:eastAsia="Malgun Gothic" w:cstheme="minorHAnsi" w:hint="eastAsia"/>
          <w:b/>
          <w:bCs/>
          <w:szCs w:val="24"/>
          <w:lang w:eastAsia="ko-KR"/>
        </w:rPr>
        <w:t xml:space="preserve">Evolution of the number of </w:t>
      </w:r>
      <w:r w:rsidRPr="00FA4573">
        <w:rPr>
          <w:rFonts w:eastAsia="Malgun Gothic" w:cstheme="minorHAnsi"/>
          <w:b/>
          <w:bCs/>
          <w:szCs w:val="24"/>
          <w:lang w:eastAsia="ko-KR"/>
        </w:rPr>
        <w:t>SG2 participants</w:t>
      </w:r>
      <w:r w:rsidRPr="00FA4573">
        <w:rPr>
          <w:rFonts w:eastAsia="Malgun Gothic" w:cstheme="minorHAnsi" w:hint="eastAsia"/>
          <w:b/>
          <w:bCs/>
          <w:szCs w:val="24"/>
          <w:lang w:eastAsia="ko-KR"/>
        </w:rPr>
        <w:t xml:space="preserve"> per year</w:t>
      </w:r>
      <w:r w:rsidRPr="00FA4573">
        <w:rPr>
          <w:rFonts w:eastAsia="Malgun Gothic" w:cstheme="minorHAnsi"/>
          <w:b/>
          <w:bCs/>
          <w:szCs w:val="24"/>
          <w:lang w:eastAsia="ko-KR"/>
        </w:rPr>
        <w:t xml:space="preserve"> (2018-2025) </w:t>
      </w:r>
    </w:p>
    <w:p w14:paraId="64F967B2" w14:textId="77777777" w:rsidR="00A63D1D" w:rsidRPr="00FA4573" w:rsidRDefault="00A63D1D" w:rsidP="00A63D1D">
      <w:pPr>
        <w:rPr>
          <w:rFonts w:eastAsia="Malgun Gothic" w:cstheme="minorHAnsi"/>
          <w:szCs w:val="24"/>
          <w:lang w:eastAsia="ko-KR"/>
        </w:rPr>
      </w:pPr>
      <w:r w:rsidRPr="00474F78">
        <w:rPr>
          <w:rFonts w:eastAsia="Malgun Gothic" w:cstheme="minorHAnsi"/>
          <w:b/>
          <w:bCs/>
          <w:szCs w:val="24"/>
          <w:lang w:eastAsia="ko-KR"/>
        </w:rPr>
        <w:t>Figure 2</w:t>
      </w:r>
      <w:r w:rsidRPr="00FA4573">
        <w:rPr>
          <w:rFonts w:eastAsia="Malgun Gothic" w:cstheme="minorHAnsi"/>
          <w:szCs w:val="24"/>
          <w:lang w:eastAsia="ko-KR"/>
        </w:rPr>
        <w:t xml:space="preserve"> provides the </w:t>
      </w:r>
      <w:r w:rsidRPr="00FA4573">
        <w:rPr>
          <w:rFonts w:eastAsia="Malgun Gothic" w:cstheme="minorHAnsi" w:hint="eastAsia"/>
          <w:szCs w:val="24"/>
          <w:lang w:eastAsia="ko-KR"/>
        </w:rPr>
        <w:t xml:space="preserve">evolution of </w:t>
      </w:r>
      <w:r w:rsidRPr="00FA4573">
        <w:rPr>
          <w:rFonts w:eastAsia="Malgun Gothic" w:cstheme="minorHAnsi"/>
          <w:szCs w:val="24"/>
          <w:lang w:eastAsia="ko-KR"/>
        </w:rPr>
        <w:t>participation rate of women</w:t>
      </w:r>
      <w:r w:rsidRPr="00FA4573">
        <w:rPr>
          <w:rFonts w:eastAsia="Malgun Gothic" w:cstheme="minorHAnsi" w:hint="eastAsia"/>
          <w:szCs w:val="24"/>
          <w:lang w:eastAsia="ko-KR"/>
        </w:rPr>
        <w:t xml:space="preserve"> from the previous study period</w:t>
      </w:r>
      <w:r w:rsidRPr="00FA4573">
        <w:rPr>
          <w:rFonts w:eastAsia="Malgun Gothic" w:cstheme="minorHAnsi"/>
          <w:szCs w:val="24"/>
          <w:lang w:eastAsia="ko-KR"/>
        </w:rPr>
        <w:t xml:space="preserve">. The percentage of women participants stood at an average of </w:t>
      </w:r>
      <w:r w:rsidRPr="00FA4573">
        <w:rPr>
          <w:rFonts w:eastAsia="Malgun Gothic" w:cstheme="minorHAnsi" w:hint="eastAsia"/>
          <w:szCs w:val="24"/>
          <w:lang w:eastAsia="ko-KR"/>
        </w:rPr>
        <w:t>40%</w:t>
      </w:r>
      <w:r w:rsidRPr="00FA4573">
        <w:rPr>
          <w:rFonts w:eastAsia="Malgun Gothic" w:cstheme="minorHAnsi"/>
          <w:szCs w:val="24"/>
          <w:lang w:eastAsia="ko-KR"/>
        </w:rPr>
        <w:t xml:space="preserve"> per meeting, which is higher than during the previous study period (average of 32% per meeting).</w:t>
      </w:r>
    </w:p>
    <w:p w14:paraId="4F0C0E6D" w14:textId="77777777" w:rsidR="00A63D1D" w:rsidRPr="00FA4573" w:rsidRDefault="00A63D1D" w:rsidP="00A63D1D">
      <w:pPr>
        <w:jc w:val="center"/>
        <w:rPr>
          <w:rFonts w:eastAsia="Malgun Gothic"/>
          <w:szCs w:val="24"/>
          <w:lang w:eastAsia="ko-KR"/>
        </w:rPr>
      </w:pPr>
    </w:p>
    <w:p w14:paraId="1C92419E" w14:textId="77777777" w:rsidR="00A63D1D" w:rsidRPr="00474F78" w:rsidRDefault="00A63D1D" w:rsidP="00A63D1D">
      <w:pPr>
        <w:jc w:val="center"/>
        <w:rPr>
          <w:rFonts w:eastAsia="Malgun Gothic"/>
          <w:szCs w:val="24"/>
          <w:lang w:eastAsia="ko-KR"/>
        </w:rPr>
      </w:pPr>
      <w:r w:rsidRPr="00FA4573">
        <w:rPr>
          <w:rFonts w:eastAsia="Malgun Gothic"/>
          <w:noProof/>
          <w:szCs w:val="24"/>
          <w:lang w:eastAsia="ko-KR"/>
        </w:rPr>
        <w:lastRenderedPageBreak/>
        <w:drawing>
          <wp:inline distT="0" distB="0" distL="0" distR="0" wp14:anchorId="5E282DC7" wp14:editId="5FCAE4A6">
            <wp:extent cx="3934327" cy="2534418"/>
            <wp:effectExtent l="0" t="0" r="9525" b="0"/>
            <wp:docPr id="1531648393" name="Picture 15" descr="A graph of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48393" name="Picture 15" descr="A graph of numbers and numbers&#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39172" cy="2537539"/>
                    </a:xfrm>
                    <a:prstGeom prst="rect">
                      <a:avLst/>
                    </a:prstGeom>
                    <a:noFill/>
                  </pic:spPr>
                </pic:pic>
              </a:graphicData>
            </a:graphic>
          </wp:inline>
        </w:drawing>
      </w:r>
    </w:p>
    <w:p w14:paraId="31EC11F5" w14:textId="77777777" w:rsidR="00A63D1D" w:rsidRPr="00FA4573" w:rsidRDefault="00A63D1D" w:rsidP="00A63D1D">
      <w:pPr>
        <w:jc w:val="center"/>
        <w:rPr>
          <w:rFonts w:eastAsia="Malgun Gothic" w:cstheme="minorHAnsi"/>
          <w:b/>
          <w:bCs/>
          <w:szCs w:val="24"/>
          <w:lang w:eastAsia="ko-KR"/>
        </w:rPr>
      </w:pPr>
      <w:r w:rsidRPr="00FA4573">
        <w:rPr>
          <w:rFonts w:cstheme="minorHAnsi"/>
          <w:b/>
          <w:bCs/>
          <w:szCs w:val="24"/>
        </w:rPr>
        <w:t xml:space="preserve">Figure </w:t>
      </w:r>
      <w:r w:rsidRPr="00FA4573">
        <w:rPr>
          <w:rFonts w:eastAsia="Malgun Gothic" w:cstheme="minorHAnsi" w:hint="eastAsia"/>
          <w:b/>
          <w:bCs/>
          <w:szCs w:val="24"/>
          <w:lang w:eastAsia="ko-KR"/>
        </w:rPr>
        <w:t>2</w:t>
      </w:r>
      <w:r w:rsidRPr="00FA4573">
        <w:rPr>
          <w:rFonts w:cstheme="minorHAnsi"/>
          <w:b/>
          <w:bCs/>
          <w:szCs w:val="24"/>
        </w:rPr>
        <w:t xml:space="preserve">: </w:t>
      </w:r>
      <w:r w:rsidRPr="00FA4573">
        <w:rPr>
          <w:rFonts w:eastAsia="Malgun Gothic" w:cstheme="minorHAnsi" w:hint="eastAsia"/>
          <w:b/>
          <w:bCs/>
          <w:szCs w:val="24"/>
          <w:lang w:eastAsia="ko-KR"/>
        </w:rPr>
        <w:t xml:space="preserve">Evolution of participation rate of women (2018-2025) </w:t>
      </w:r>
    </w:p>
    <w:p w14:paraId="4879A963" w14:textId="0B31FDE7" w:rsidR="00A63D1D" w:rsidRPr="00474F78" w:rsidRDefault="00A63D1D" w:rsidP="2E3E68B0">
      <w:pPr>
        <w:rPr>
          <w:rFonts w:eastAsia="Malgun Gothic" w:cstheme="minorBidi"/>
          <w:lang w:eastAsia="ko-KR"/>
        </w:rPr>
      </w:pPr>
      <w:r w:rsidRPr="2E3E68B0">
        <w:rPr>
          <w:rFonts w:cstheme="minorBidi"/>
          <w:b/>
          <w:bCs/>
        </w:rPr>
        <w:t xml:space="preserve">Figure </w:t>
      </w:r>
      <w:r w:rsidRPr="2E3E68B0">
        <w:rPr>
          <w:rFonts w:eastAsia="Malgun Gothic" w:cstheme="minorBidi"/>
          <w:b/>
          <w:bCs/>
          <w:lang w:eastAsia="ko-KR"/>
        </w:rPr>
        <w:t>3</w:t>
      </w:r>
      <w:r w:rsidRPr="2E3E68B0">
        <w:rPr>
          <w:rFonts w:cstheme="minorBidi"/>
        </w:rPr>
        <w:t xml:space="preserve"> provides the regional distribution of all participants. The majority of participants w</w:t>
      </w:r>
      <w:r w:rsidR="005A762E" w:rsidRPr="2E3E68B0">
        <w:rPr>
          <w:rFonts w:cstheme="minorBidi"/>
        </w:rPr>
        <w:t>ere</w:t>
      </w:r>
      <w:r w:rsidRPr="2E3E68B0">
        <w:rPr>
          <w:rFonts w:cstheme="minorBidi"/>
        </w:rPr>
        <w:t xml:space="preserve"> from the African and Asia and Pacific regions, followed by the Americas, Europe, Arab States and CIS.</w:t>
      </w:r>
      <w:r w:rsidRPr="2E3E68B0">
        <w:rPr>
          <w:rFonts w:eastAsia="Malgun Gothic" w:cstheme="minorBidi"/>
          <w:lang w:eastAsia="ko-KR"/>
        </w:rPr>
        <w:t xml:space="preserve"> The distribution is similar to the previous study period with small changes (</w:t>
      </w:r>
      <w:r w:rsidR="003500E7" w:rsidRPr="2E3E68B0">
        <w:rPr>
          <w:rFonts w:eastAsia="Malgun Gothic" w:cstheme="minorBidi"/>
          <w:lang w:eastAsia="ko-KR"/>
        </w:rPr>
        <w:t>biggest</w:t>
      </w:r>
      <w:r w:rsidRPr="2E3E68B0">
        <w:rPr>
          <w:rFonts w:eastAsia="Malgun Gothic" w:cstheme="minorBidi"/>
          <w:lang w:eastAsia="ko-KR"/>
        </w:rPr>
        <w:t xml:space="preserve"> increase from Africa </w:t>
      </w:r>
      <w:r w:rsidR="003500E7" w:rsidRPr="2E3E68B0">
        <w:rPr>
          <w:rFonts w:eastAsia="Malgun Gothic" w:cstheme="minorBidi"/>
          <w:lang w:eastAsia="ko-KR"/>
        </w:rPr>
        <w:t>at</w:t>
      </w:r>
      <w:r w:rsidRPr="2E3E68B0">
        <w:rPr>
          <w:rFonts w:eastAsia="Malgun Gothic" w:cstheme="minorBidi"/>
          <w:lang w:eastAsia="ko-KR"/>
        </w:rPr>
        <w:t xml:space="preserve"> +6%), and</w:t>
      </w:r>
      <w:r w:rsidR="005A762E" w:rsidRPr="2E3E68B0">
        <w:rPr>
          <w:rFonts w:eastAsia="Malgun Gothic" w:cstheme="minorBidi"/>
          <w:lang w:eastAsia="ko-KR"/>
        </w:rPr>
        <w:t xml:space="preserve"> biggest</w:t>
      </w:r>
      <w:r w:rsidRPr="2E3E68B0">
        <w:rPr>
          <w:rFonts w:eastAsia="Malgun Gothic" w:cstheme="minorBidi"/>
          <w:lang w:eastAsia="ko-KR"/>
        </w:rPr>
        <w:t xml:space="preserve"> </w:t>
      </w:r>
      <w:r w:rsidR="005A762E" w:rsidRPr="2E3E68B0">
        <w:rPr>
          <w:rFonts w:eastAsia="Malgun Gothic" w:cstheme="minorBidi"/>
          <w:lang w:eastAsia="ko-KR"/>
        </w:rPr>
        <w:t>reduction</w:t>
      </w:r>
      <w:r w:rsidRPr="2E3E68B0">
        <w:rPr>
          <w:rFonts w:eastAsia="Malgun Gothic" w:cstheme="minorBidi"/>
          <w:lang w:eastAsia="ko-KR"/>
        </w:rPr>
        <w:t xml:space="preserve"> from the Americas </w:t>
      </w:r>
      <w:r w:rsidR="003500E7" w:rsidRPr="2E3E68B0">
        <w:rPr>
          <w:rFonts w:eastAsia="Malgun Gothic" w:cstheme="minorBidi"/>
          <w:lang w:eastAsia="ko-KR"/>
        </w:rPr>
        <w:t>at</w:t>
      </w:r>
      <w:r w:rsidRPr="2E3E68B0">
        <w:rPr>
          <w:rFonts w:eastAsia="Malgun Gothic" w:cstheme="minorBidi"/>
          <w:lang w:eastAsia="ko-KR"/>
        </w:rPr>
        <w:t xml:space="preserve"> -4%).</w:t>
      </w:r>
    </w:p>
    <w:p w14:paraId="7E641C71" w14:textId="77777777" w:rsidR="00A63D1D" w:rsidRPr="00474F78" w:rsidRDefault="00A63D1D" w:rsidP="00A63D1D">
      <w:pPr>
        <w:keepNext/>
        <w:jc w:val="center"/>
        <w:rPr>
          <w:rFonts w:eastAsia="Malgun Gothic"/>
          <w:szCs w:val="24"/>
          <w:lang w:eastAsia="ko-KR"/>
        </w:rPr>
      </w:pPr>
      <w:r w:rsidRPr="00FA4573">
        <w:rPr>
          <w:rFonts w:eastAsia="Malgun Gothic"/>
          <w:noProof/>
          <w:szCs w:val="24"/>
          <w:lang w:eastAsia="ko-KR"/>
        </w:rPr>
        <w:drawing>
          <wp:inline distT="0" distB="0" distL="0" distR="0" wp14:anchorId="7AFE0294" wp14:editId="7DB5DBE7">
            <wp:extent cx="3738135" cy="2907052"/>
            <wp:effectExtent l="0" t="0" r="0" b="7620"/>
            <wp:docPr id="521375067" name="Picture 1" descr="A pie chart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75067" name="Picture 1" descr="A pie chart with different colors&#10;&#10;AI-generated content may be incorrect."/>
                    <pic:cNvPicPr/>
                  </pic:nvPicPr>
                  <pic:blipFill>
                    <a:blip r:embed="rId24"/>
                    <a:stretch>
                      <a:fillRect/>
                    </a:stretch>
                  </pic:blipFill>
                  <pic:spPr>
                    <a:xfrm>
                      <a:off x="0" y="0"/>
                      <a:ext cx="3763269" cy="2926598"/>
                    </a:xfrm>
                    <a:prstGeom prst="rect">
                      <a:avLst/>
                    </a:prstGeom>
                  </pic:spPr>
                </pic:pic>
              </a:graphicData>
            </a:graphic>
          </wp:inline>
        </w:drawing>
      </w:r>
    </w:p>
    <w:p w14:paraId="61A42751" w14:textId="77777777" w:rsidR="00A63D1D" w:rsidRPr="00FA4573" w:rsidRDefault="00A63D1D" w:rsidP="00A63D1D">
      <w:pPr>
        <w:jc w:val="center"/>
        <w:rPr>
          <w:szCs w:val="24"/>
        </w:rPr>
      </w:pPr>
      <w:r w:rsidRPr="00FA4573">
        <w:rPr>
          <w:rFonts w:cstheme="minorHAnsi"/>
          <w:b/>
          <w:bCs/>
          <w:szCs w:val="24"/>
        </w:rPr>
        <w:t xml:space="preserve">Figure </w:t>
      </w:r>
      <w:r w:rsidRPr="00FA4573">
        <w:rPr>
          <w:rFonts w:eastAsia="Malgun Gothic" w:cstheme="minorHAnsi" w:hint="eastAsia"/>
          <w:b/>
          <w:bCs/>
          <w:szCs w:val="24"/>
          <w:lang w:eastAsia="ko-KR"/>
        </w:rPr>
        <w:t>3</w:t>
      </w:r>
      <w:r w:rsidRPr="00FA4573">
        <w:rPr>
          <w:rFonts w:cstheme="minorHAnsi"/>
          <w:b/>
          <w:bCs/>
          <w:szCs w:val="24"/>
        </w:rPr>
        <w:t xml:space="preserve">: </w:t>
      </w:r>
      <w:r w:rsidRPr="00FA4573">
        <w:rPr>
          <w:rFonts w:eastAsia="Malgun Gothic" w:cstheme="minorHAnsi" w:hint="eastAsia"/>
          <w:b/>
          <w:bCs/>
          <w:szCs w:val="24"/>
          <w:lang w:eastAsia="ko-KR"/>
        </w:rPr>
        <w:t>Distribution of Study Group 2 participants per region</w:t>
      </w:r>
    </w:p>
    <w:p w14:paraId="71852976" w14:textId="77777777" w:rsidR="00A63D1D" w:rsidRPr="00474F78" w:rsidRDefault="00A63D1D" w:rsidP="00A63D1D">
      <w:pPr>
        <w:rPr>
          <w:rFonts w:eastAsia="Malgun Gothic" w:cstheme="minorHAnsi"/>
          <w:szCs w:val="24"/>
          <w:lang w:eastAsia="ko-KR"/>
        </w:rPr>
      </w:pPr>
      <w:r w:rsidRPr="00FA4573">
        <w:rPr>
          <w:rFonts w:cstheme="minorHAnsi"/>
          <w:b/>
          <w:bCs/>
          <w:szCs w:val="24"/>
        </w:rPr>
        <w:t xml:space="preserve">Figure </w:t>
      </w:r>
      <w:r w:rsidRPr="00FA4573">
        <w:rPr>
          <w:rFonts w:eastAsia="Malgun Gothic" w:cstheme="minorHAnsi" w:hint="eastAsia"/>
          <w:b/>
          <w:bCs/>
          <w:szCs w:val="24"/>
          <w:lang w:eastAsia="ko-KR"/>
        </w:rPr>
        <w:t>4</w:t>
      </w:r>
      <w:r w:rsidRPr="00FA4573">
        <w:rPr>
          <w:rFonts w:cstheme="minorHAnsi"/>
          <w:szCs w:val="24"/>
        </w:rPr>
        <w:t xml:space="preserve"> shows the</w:t>
      </w:r>
      <w:r w:rsidRPr="00FA4573">
        <w:rPr>
          <w:rFonts w:eastAsia="Malgun Gothic" w:cstheme="minorHAnsi" w:hint="eastAsia"/>
          <w:szCs w:val="24"/>
          <w:lang w:eastAsia="ko-KR"/>
        </w:rPr>
        <w:t xml:space="preserve"> distribution of participants by membership type</w:t>
      </w:r>
      <w:r w:rsidRPr="00FA4573">
        <w:rPr>
          <w:rFonts w:cstheme="minorHAnsi"/>
          <w:szCs w:val="24"/>
        </w:rPr>
        <w:t xml:space="preserve">. </w:t>
      </w:r>
      <w:r w:rsidRPr="00FA4573">
        <w:rPr>
          <w:rFonts w:eastAsia="Malgun Gothic" w:cstheme="minorHAnsi" w:hint="eastAsia"/>
          <w:szCs w:val="24"/>
          <w:lang w:eastAsia="ko-KR"/>
        </w:rPr>
        <w:t xml:space="preserve">Like in the previous study period, the majority of participants were from Member States, followed by Sector Members. Academia and ITU-D Associate member participants remained to </w:t>
      </w:r>
      <w:r w:rsidRPr="00FA4573">
        <w:rPr>
          <w:rFonts w:eastAsia="Malgun Gothic" w:cstheme="minorHAnsi"/>
          <w:szCs w:val="24"/>
          <w:lang w:eastAsia="ko-KR"/>
        </w:rPr>
        <w:t>less than 5%.</w:t>
      </w:r>
    </w:p>
    <w:p w14:paraId="1C94884F" w14:textId="77777777" w:rsidR="00A63D1D" w:rsidRPr="00474F78" w:rsidRDefault="00A63D1D" w:rsidP="00A63D1D">
      <w:pPr>
        <w:jc w:val="center"/>
        <w:rPr>
          <w:rFonts w:eastAsia="Malgun Gothic" w:cstheme="minorHAnsi"/>
          <w:b/>
          <w:bCs/>
          <w:szCs w:val="24"/>
          <w:lang w:eastAsia="ko-KR"/>
        </w:rPr>
      </w:pPr>
      <w:r w:rsidRPr="00474F78">
        <w:rPr>
          <w:rFonts w:eastAsia="Malgun Gothic" w:cstheme="minorHAnsi"/>
          <w:b/>
          <w:bCs/>
          <w:noProof/>
          <w:szCs w:val="24"/>
          <w:lang w:eastAsia="ko-KR"/>
        </w:rPr>
        <w:lastRenderedPageBreak/>
        <w:drawing>
          <wp:inline distT="0" distB="0" distL="0" distR="0" wp14:anchorId="44C21BBD" wp14:editId="7776AC80">
            <wp:extent cx="3600450" cy="2569023"/>
            <wp:effectExtent l="0" t="0" r="0" b="3175"/>
            <wp:docPr id="1073091550" name="Picture 5"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91550" name="Picture 5" descr="A pie chart with text on it&#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18137" cy="2581643"/>
                    </a:xfrm>
                    <a:prstGeom prst="rect">
                      <a:avLst/>
                    </a:prstGeom>
                    <a:noFill/>
                  </pic:spPr>
                </pic:pic>
              </a:graphicData>
            </a:graphic>
          </wp:inline>
        </w:drawing>
      </w:r>
    </w:p>
    <w:p w14:paraId="093DFCAB" w14:textId="77777777" w:rsidR="00A63D1D" w:rsidRPr="00474F78" w:rsidRDefault="00A63D1D" w:rsidP="00A63D1D">
      <w:pPr>
        <w:jc w:val="center"/>
        <w:rPr>
          <w:rFonts w:eastAsia="Malgun Gothic" w:cstheme="minorHAnsi"/>
          <w:b/>
          <w:bCs/>
          <w:szCs w:val="24"/>
          <w:lang w:eastAsia="ko-KR"/>
        </w:rPr>
      </w:pPr>
      <w:r w:rsidRPr="00FA4573">
        <w:rPr>
          <w:rFonts w:cstheme="minorHAnsi"/>
          <w:b/>
          <w:bCs/>
          <w:szCs w:val="24"/>
        </w:rPr>
        <w:t xml:space="preserve">Figure </w:t>
      </w:r>
      <w:r w:rsidRPr="00FA4573">
        <w:rPr>
          <w:rFonts w:eastAsia="Malgun Gothic" w:cstheme="minorHAnsi" w:hint="eastAsia"/>
          <w:b/>
          <w:bCs/>
          <w:szCs w:val="24"/>
          <w:lang w:eastAsia="ko-KR"/>
        </w:rPr>
        <w:t>4</w:t>
      </w:r>
      <w:r w:rsidRPr="00FA4573">
        <w:rPr>
          <w:rFonts w:cstheme="minorHAnsi"/>
          <w:b/>
          <w:bCs/>
          <w:szCs w:val="24"/>
        </w:rPr>
        <w:t xml:space="preserve">: </w:t>
      </w:r>
      <w:r w:rsidRPr="00FA4573">
        <w:rPr>
          <w:rFonts w:eastAsia="Malgun Gothic" w:cstheme="minorHAnsi" w:hint="eastAsia"/>
          <w:b/>
          <w:bCs/>
          <w:szCs w:val="24"/>
          <w:lang w:eastAsia="ko-KR"/>
        </w:rPr>
        <w:t>Distribution of Study Group 2 participants per membership</w:t>
      </w:r>
      <w:r w:rsidRPr="00FA4573">
        <w:rPr>
          <w:rFonts w:cstheme="minorHAnsi"/>
          <w:b/>
          <w:bCs/>
          <w:szCs w:val="24"/>
        </w:rPr>
        <w:t xml:space="preserve"> </w:t>
      </w:r>
      <w:r w:rsidRPr="00FA4573">
        <w:rPr>
          <w:rFonts w:eastAsia="Malgun Gothic" w:cstheme="minorHAnsi" w:hint="eastAsia"/>
          <w:b/>
          <w:bCs/>
          <w:szCs w:val="24"/>
          <w:lang w:eastAsia="ko-KR"/>
        </w:rPr>
        <w:t>type</w:t>
      </w:r>
    </w:p>
    <w:p w14:paraId="2A12E7EA" w14:textId="77777777" w:rsidR="00A63D1D" w:rsidRPr="00FA4573" w:rsidRDefault="00A63D1D" w:rsidP="00A63D1D">
      <w:pPr>
        <w:pStyle w:val="Heading2"/>
        <w:numPr>
          <w:ilvl w:val="2"/>
          <w:numId w:val="1"/>
        </w:numPr>
        <w:spacing w:after="120"/>
        <w:ind w:left="709" w:hanging="709"/>
        <w:rPr>
          <w:rFonts w:eastAsia="Malgun Gothic"/>
          <w:lang w:eastAsia="ko-KR"/>
        </w:rPr>
      </w:pPr>
      <w:r w:rsidRPr="00FA4573">
        <w:rPr>
          <w:rFonts w:eastAsia="Malgun Gothic" w:hint="eastAsia"/>
          <w:lang w:eastAsia="ko-KR"/>
        </w:rPr>
        <w:t>Documents</w:t>
      </w:r>
    </w:p>
    <w:p w14:paraId="3257D3E6" w14:textId="77777777" w:rsidR="00A63D1D" w:rsidRPr="00FA4573" w:rsidRDefault="00A63D1D" w:rsidP="00A63D1D">
      <w:pPr>
        <w:spacing w:after="120"/>
        <w:rPr>
          <w:rFonts w:eastAsia="Malgun Gothic"/>
          <w:szCs w:val="24"/>
          <w:lang w:eastAsia="ko-KR"/>
        </w:rPr>
      </w:pPr>
      <w:r w:rsidRPr="00FA4573">
        <w:rPr>
          <w:szCs w:val="24"/>
        </w:rPr>
        <w:t xml:space="preserve">Study Group 2 considered a total of </w:t>
      </w:r>
      <w:r w:rsidRPr="00FA4573">
        <w:rPr>
          <w:rFonts w:eastAsia="Malgun Gothic"/>
          <w:szCs w:val="24"/>
          <w:lang w:eastAsia="ko-KR"/>
        </w:rPr>
        <w:t>68</w:t>
      </w:r>
      <w:r w:rsidRPr="00474F78">
        <w:rPr>
          <w:rFonts w:eastAsia="Malgun Gothic"/>
          <w:szCs w:val="24"/>
          <w:lang w:eastAsia="ko-KR"/>
        </w:rPr>
        <w:t>9</w:t>
      </w:r>
      <w:r w:rsidRPr="00FA4573">
        <w:rPr>
          <w:szCs w:val="24"/>
        </w:rPr>
        <w:t xml:space="preserve"> documents during this study period, </w:t>
      </w:r>
      <w:r w:rsidRPr="00FA4573">
        <w:rPr>
          <w:rFonts w:eastAsia="Malgun Gothic"/>
          <w:szCs w:val="24"/>
          <w:lang w:eastAsia="ko-KR"/>
        </w:rPr>
        <w:t>48</w:t>
      </w:r>
      <w:r w:rsidRPr="00FA4573">
        <w:rPr>
          <w:rFonts w:eastAsia="Malgun Gothic" w:hint="eastAsia"/>
          <w:szCs w:val="24"/>
          <w:lang w:eastAsia="ko-KR"/>
        </w:rPr>
        <w:t>2</w:t>
      </w:r>
      <w:r w:rsidRPr="00FA4573">
        <w:rPr>
          <w:szCs w:val="24"/>
        </w:rPr>
        <w:t xml:space="preserve"> of which were contributions. A deeper analysis </w:t>
      </w:r>
      <w:r w:rsidRPr="00FA4573">
        <w:rPr>
          <w:rFonts w:eastAsia="Malgun Gothic" w:hint="eastAsia"/>
          <w:szCs w:val="24"/>
          <w:lang w:eastAsia="ko-KR"/>
        </w:rPr>
        <w:t xml:space="preserve">of the contributions </w:t>
      </w:r>
      <w:r w:rsidRPr="00FA4573">
        <w:rPr>
          <w:szCs w:val="24"/>
        </w:rPr>
        <w:t xml:space="preserve">shows that </w:t>
      </w:r>
      <w:r w:rsidRPr="00FA4573">
        <w:rPr>
          <w:rFonts w:eastAsia="Malgun Gothic"/>
          <w:szCs w:val="24"/>
          <w:lang w:eastAsia="ko-KR"/>
        </w:rPr>
        <w:t>353</w:t>
      </w:r>
      <w:r w:rsidRPr="00FA4573">
        <w:rPr>
          <w:szCs w:val="24"/>
        </w:rPr>
        <w:t xml:space="preserve"> of the</w:t>
      </w:r>
      <w:r w:rsidRPr="00FA4573">
        <w:rPr>
          <w:rFonts w:eastAsia="Malgun Gothic" w:hint="eastAsia"/>
          <w:szCs w:val="24"/>
          <w:lang w:eastAsia="ko-KR"/>
        </w:rPr>
        <w:t xml:space="preserve">m </w:t>
      </w:r>
      <w:r w:rsidRPr="00FA4573">
        <w:rPr>
          <w:szCs w:val="24"/>
        </w:rPr>
        <w:t xml:space="preserve">were submitted by the membership, while the remaining </w:t>
      </w:r>
      <w:r w:rsidRPr="00FA4573">
        <w:rPr>
          <w:rFonts w:eastAsia="Malgun Gothic"/>
          <w:szCs w:val="24"/>
          <w:lang w:eastAsia="ko-KR"/>
        </w:rPr>
        <w:t>129</w:t>
      </w:r>
      <w:r w:rsidRPr="00FA4573">
        <w:rPr>
          <w:szCs w:val="24"/>
        </w:rPr>
        <w:t xml:space="preserve"> contributions c</w:t>
      </w:r>
      <w:r w:rsidRPr="00FA4573">
        <w:rPr>
          <w:rFonts w:eastAsia="Malgun Gothic" w:hint="eastAsia"/>
          <w:szCs w:val="24"/>
          <w:lang w:eastAsia="ko-KR"/>
        </w:rPr>
        <w:t>a</w:t>
      </w:r>
      <w:r w:rsidRPr="00FA4573">
        <w:rPr>
          <w:szCs w:val="24"/>
        </w:rPr>
        <w:t>me from the SG2 management team members (Chair, Vice-Chair</w:t>
      </w:r>
      <w:r w:rsidRPr="00FA4573">
        <w:rPr>
          <w:rFonts w:eastAsia="Malgun Gothic" w:hint="eastAsia"/>
          <w:szCs w:val="24"/>
          <w:lang w:eastAsia="ko-KR"/>
        </w:rPr>
        <w:t>s</w:t>
      </w:r>
      <w:r w:rsidRPr="00FA4573">
        <w:rPr>
          <w:szCs w:val="24"/>
        </w:rPr>
        <w:t xml:space="preserve">, Rapporteurs, Vice-Rapporteurs and Coordinators) while performing their duties, and from ITU (BDT including BDT Focal Points, other BDT staff and the Study Group Secretariat, as well as the other ITU Sectors and the General Secretariat). </w:t>
      </w:r>
      <w:r w:rsidRPr="00FA4573">
        <w:rPr>
          <w:b/>
          <w:bCs/>
          <w:szCs w:val="24"/>
        </w:rPr>
        <w:t>Table 2</w:t>
      </w:r>
      <w:r w:rsidRPr="00FA4573">
        <w:rPr>
          <w:szCs w:val="24"/>
        </w:rPr>
        <w:t xml:space="preserve"> lists the different documents during this study period.</w:t>
      </w:r>
    </w:p>
    <w:tbl>
      <w:tblPr>
        <w:tblStyle w:val="GridTable5Dark-Accent1"/>
        <w:tblW w:w="0" w:type="auto"/>
        <w:jc w:val="center"/>
        <w:tblLook w:val="04A0" w:firstRow="1" w:lastRow="0" w:firstColumn="1" w:lastColumn="0" w:noHBand="0" w:noVBand="1"/>
      </w:tblPr>
      <w:tblGrid>
        <w:gridCol w:w="4820"/>
        <w:gridCol w:w="941"/>
        <w:gridCol w:w="941"/>
        <w:gridCol w:w="978"/>
        <w:gridCol w:w="1017"/>
        <w:gridCol w:w="932"/>
      </w:tblGrid>
      <w:tr w:rsidR="00A63D1D" w:rsidRPr="00FA4573" w14:paraId="2AABF694" w14:textId="77777777" w:rsidTr="00A23C7D">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4820" w:type="dxa"/>
          </w:tcPr>
          <w:p w14:paraId="6E68FADD" w14:textId="77777777" w:rsidR="00A63D1D" w:rsidRPr="00FA4573" w:rsidRDefault="00A63D1D" w:rsidP="00A23C7D">
            <w:pPr>
              <w:keepLines/>
            </w:pPr>
            <w:r w:rsidRPr="00FA4573">
              <w:t>Documents for SG2 meetings and Rapporteur Group meetings</w:t>
            </w:r>
          </w:p>
        </w:tc>
        <w:tc>
          <w:tcPr>
            <w:tcW w:w="941" w:type="dxa"/>
          </w:tcPr>
          <w:p w14:paraId="4C6CE818" w14:textId="77777777" w:rsidR="00A63D1D" w:rsidRPr="00FA4573"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lang w:eastAsia="ko-KR"/>
              </w:rPr>
            </w:pPr>
            <w:r w:rsidRPr="00FA4573">
              <w:t>20</w:t>
            </w:r>
            <w:r w:rsidRPr="00FA4573">
              <w:rPr>
                <w:rFonts w:eastAsia="Malgun Gothic"/>
                <w:lang w:eastAsia="ko-KR"/>
              </w:rPr>
              <w:t>22</w:t>
            </w:r>
          </w:p>
        </w:tc>
        <w:tc>
          <w:tcPr>
            <w:tcW w:w="941" w:type="dxa"/>
          </w:tcPr>
          <w:p w14:paraId="0910CBA5" w14:textId="77777777" w:rsidR="00A63D1D" w:rsidRPr="00FA4573"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lang w:eastAsia="ko-KR"/>
              </w:rPr>
            </w:pPr>
            <w:r w:rsidRPr="00FA4573">
              <w:t>20</w:t>
            </w:r>
            <w:r w:rsidRPr="00FA4573">
              <w:rPr>
                <w:rFonts w:eastAsia="Malgun Gothic"/>
                <w:lang w:eastAsia="ko-KR"/>
              </w:rPr>
              <w:t>23</w:t>
            </w:r>
          </w:p>
        </w:tc>
        <w:tc>
          <w:tcPr>
            <w:tcW w:w="978" w:type="dxa"/>
          </w:tcPr>
          <w:p w14:paraId="64613422" w14:textId="77777777" w:rsidR="00A63D1D" w:rsidRPr="00FA4573"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lang w:eastAsia="ko-KR"/>
              </w:rPr>
            </w:pPr>
            <w:r w:rsidRPr="00FA4573">
              <w:t>202</w:t>
            </w:r>
            <w:r w:rsidRPr="00FA4573">
              <w:rPr>
                <w:rFonts w:eastAsia="Malgun Gothic"/>
                <w:lang w:eastAsia="ko-KR"/>
              </w:rPr>
              <w:t>4</w:t>
            </w:r>
          </w:p>
        </w:tc>
        <w:tc>
          <w:tcPr>
            <w:tcW w:w="1017" w:type="dxa"/>
          </w:tcPr>
          <w:p w14:paraId="0019E93A" w14:textId="77777777" w:rsidR="00A63D1D" w:rsidRPr="00FA4573"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lang w:eastAsia="ko-KR"/>
              </w:rPr>
            </w:pPr>
            <w:r w:rsidRPr="00FA4573">
              <w:t>202</w:t>
            </w:r>
            <w:r w:rsidRPr="00FA4573">
              <w:rPr>
                <w:rFonts w:eastAsia="Malgun Gothic"/>
                <w:lang w:eastAsia="ko-KR"/>
              </w:rPr>
              <w:t>5</w:t>
            </w:r>
          </w:p>
        </w:tc>
        <w:tc>
          <w:tcPr>
            <w:tcW w:w="932" w:type="dxa"/>
          </w:tcPr>
          <w:p w14:paraId="7D15069F" w14:textId="77777777" w:rsidR="00A63D1D" w:rsidRPr="00FA4573" w:rsidRDefault="00A63D1D" w:rsidP="00A23C7D">
            <w:pPr>
              <w:keepLines/>
              <w:jc w:val="right"/>
              <w:cnfStyle w:val="100000000000" w:firstRow="1" w:lastRow="0" w:firstColumn="0" w:lastColumn="0" w:oddVBand="0" w:evenVBand="0" w:oddHBand="0" w:evenHBand="0" w:firstRowFirstColumn="0" w:firstRowLastColumn="0" w:lastRowFirstColumn="0" w:lastRowLastColumn="0"/>
            </w:pPr>
            <w:r w:rsidRPr="00FA4573">
              <w:t>Study period</w:t>
            </w:r>
          </w:p>
        </w:tc>
      </w:tr>
      <w:tr w:rsidR="00A63D1D" w:rsidRPr="00FA4573" w14:paraId="2748733A" w14:textId="77777777" w:rsidTr="00A23C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221F53C6" w14:textId="77777777" w:rsidR="00A63D1D" w:rsidRPr="00FA4573" w:rsidRDefault="00A63D1D" w:rsidP="00A23C7D">
            <w:pPr>
              <w:keepLines/>
              <w:rPr>
                <w:sz w:val="22"/>
              </w:rPr>
            </w:pPr>
            <w:r w:rsidRPr="00FA4573">
              <w:rPr>
                <w:b w:val="0"/>
                <w:bCs w:val="0"/>
                <w:sz w:val="22"/>
              </w:rPr>
              <w:t>Contributions</w:t>
            </w:r>
          </w:p>
          <w:p w14:paraId="26DD9BC3" w14:textId="77777777" w:rsidR="00A63D1D" w:rsidRPr="00FA4573" w:rsidRDefault="00A63D1D" w:rsidP="00A63D1D">
            <w:pPr>
              <w:pStyle w:val="ListParagraph"/>
              <w:keepLines/>
              <w:numPr>
                <w:ilvl w:val="0"/>
                <w:numId w:val="10"/>
              </w:numPr>
              <w:spacing w:before="40" w:after="40"/>
              <w:ind w:left="425"/>
              <w:contextualSpacing w:val="0"/>
              <w:rPr>
                <w:b w:val="0"/>
                <w:bCs w:val="0"/>
                <w:sz w:val="22"/>
              </w:rPr>
            </w:pPr>
            <w:r w:rsidRPr="00FA4573">
              <w:rPr>
                <w:b w:val="0"/>
                <w:bCs w:val="0"/>
                <w:sz w:val="22"/>
              </w:rPr>
              <w:t>From members</w:t>
            </w:r>
          </w:p>
          <w:p w14:paraId="1EAD5099" w14:textId="77777777" w:rsidR="00A63D1D" w:rsidRPr="00FA4573" w:rsidRDefault="00A63D1D" w:rsidP="00A63D1D">
            <w:pPr>
              <w:pStyle w:val="ListParagraph"/>
              <w:keepLines/>
              <w:numPr>
                <w:ilvl w:val="0"/>
                <w:numId w:val="10"/>
              </w:numPr>
              <w:spacing w:before="40" w:after="40"/>
              <w:ind w:left="425"/>
              <w:contextualSpacing w:val="0"/>
              <w:rPr>
                <w:sz w:val="22"/>
              </w:rPr>
            </w:pPr>
            <w:r w:rsidRPr="00FA4573">
              <w:rPr>
                <w:b w:val="0"/>
                <w:bCs w:val="0"/>
                <w:sz w:val="22"/>
              </w:rPr>
              <w:t>From SG management + ITU</w:t>
            </w:r>
          </w:p>
        </w:tc>
        <w:tc>
          <w:tcPr>
            <w:tcW w:w="941" w:type="dxa"/>
          </w:tcPr>
          <w:p w14:paraId="79F9BF5E"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lang w:eastAsia="ko-KR"/>
              </w:rPr>
              <w:t>5</w:t>
            </w:r>
            <w:r w:rsidRPr="00FA4573">
              <w:rPr>
                <w:rFonts w:eastAsia="Malgun Gothic" w:hint="eastAsia"/>
                <w:lang w:eastAsia="ko-KR"/>
              </w:rPr>
              <w:t>6</w:t>
            </w:r>
          </w:p>
        </w:tc>
        <w:tc>
          <w:tcPr>
            <w:tcW w:w="941" w:type="dxa"/>
          </w:tcPr>
          <w:p w14:paraId="7D2F656B"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t>16</w:t>
            </w:r>
            <w:r w:rsidRPr="00FA4573">
              <w:rPr>
                <w:rFonts w:eastAsia="Malgun Gothic" w:hint="eastAsia"/>
                <w:lang w:eastAsia="ko-KR"/>
              </w:rPr>
              <w:t>3</w:t>
            </w:r>
          </w:p>
        </w:tc>
        <w:tc>
          <w:tcPr>
            <w:tcW w:w="978" w:type="dxa"/>
          </w:tcPr>
          <w:p w14:paraId="1E52A5D8"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207</w:t>
            </w:r>
          </w:p>
        </w:tc>
        <w:tc>
          <w:tcPr>
            <w:tcW w:w="1017" w:type="dxa"/>
          </w:tcPr>
          <w:p w14:paraId="63B11F91"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54</w:t>
            </w:r>
          </w:p>
        </w:tc>
        <w:tc>
          <w:tcPr>
            <w:tcW w:w="932" w:type="dxa"/>
          </w:tcPr>
          <w:p w14:paraId="1D14DE30"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482</w:t>
            </w:r>
          </w:p>
          <w:p w14:paraId="449C891D" w14:textId="77777777" w:rsidR="00A63D1D" w:rsidRPr="00FA4573" w:rsidRDefault="00A63D1D" w:rsidP="00A23C7D">
            <w:pPr>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474F78">
              <w:rPr>
                <w:rFonts w:eastAsia="Malgun Gothic"/>
                <w:lang w:eastAsia="ko-KR"/>
              </w:rPr>
              <w:t>35</w:t>
            </w:r>
            <w:r w:rsidRPr="00FA4573">
              <w:rPr>
                <w:rFonts w:eastAsia="Malgun Gothic" w:hint="eastAsia"/>
                <w:lang w:eastAsia="ko-KR"/>
              </w:rPr>
              <w:t>3</w:t>
            </w:r>
          </w:p>
          <w:p w14:paraId="444507C9" w14:textId="77777777" w:rsidR="00A63D1D" w:rsidRPr="00474F78" w:rsidRDefault="00A63D1D" w:rsidP="00A23C7D">
            <w:pPr>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129</w:t>
            </w:r>
          </w:p>
        </w:tc>
      </w:tr>
      <w:tr w:rsidR="00A63D1D" w:rsidRPr="00FA4573" w14:paraId="05FBED87" w14:textId="77777777" w:rsidTr="00A23C7D">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21793D4E" w14:textId="77777777" w:rsidR="00A63D1D" w:rsidRPr="00FA4573" w:rsidRDefault="00A63D1D" w:rsidP="00A23C7D">
            <w:pPr>
              <w:keepLines/>
              <w:rPr>
                <w:b w:val="0"/>
                <w:bCs w:val="0"/>
                <w:sz w:val="22"/>
              </w:rPr>
            </w:pPr>
            <w:r w:rsidRPr="00FA4573">
              <w:rPr>
                <w:b w:val="0"/>
                <w:bCs w:val="0"/>
                <w:sz w:val="22"/>
              </w:rPr>
              <w:t>Incoming liaison statements</w:t>
            </w:r>
          </w:p>
        </w:tc>
        <w:tc>
          <w:tcPr>
            <w:tcW w:w="941" w:type="dxa"/>
          </w:tcPr>
          <w:p w14:paraId="4331ACE2"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lang w:eastAsia="ko-KR"/>
              </w:rPr>
              <w:t>34</w:t>
            </w:r>
          </w:p>
        </w:tc>
        <w:tc>
          <w:tcPr>
            <w:tcW w:w="941" w:type="dxa"/>
          </w:tcPr>
          <w:p w14:paraId="63C221E2"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36</w:t>
            </w:r>
          </w:p>
        </w:tc>
        <w:tc>
          <w:tcPr>
            <w:tcW w:w="978" w:type="dxa"/>
          </w:tcPr>
          <w:p w14:paraId="299AB564"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34</w:t>
            </w:r>
          </w:p>
        </w:tc>
        <w:tc>
          <w:tcPr>
            <w:tcW w:w="1017" w:type="dxa"/>
          </w:tcPr>
          <w:p w14:paraId="2F2D9273"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9</w:t>
            </w:r>
          </w:p>
        </w:tc>
        <w:tc>
          <w:tcPr>
            <w:tcW w:w="932" w:type="dxa"/>
          </w:tcPr>
          <w:p w14:paraId="02580672"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113</w:t>
            </w:r>
          </w:p>
        </w:tc>
      </w:tr>
      <w:tr w:rsidR="00A63D1D" w:rsidRPr="00FA4573" w14:paraId="343411CF" w14:textId="77777777" w:rsidTr="00A23C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2CD40AAB" w14:textId="77777777" w:rsidR="00A63D1D" w:rsidRPr="00FA4573" w:rsidRDefault="00A63D1D" w:rsidP="00A23C7D">
            <w:pPr>
              <w:keepLines/>
              <w:rPr>
                <w:b w:val="0"/>
                <w:bCs w:val="0"/>
                <w:sz w:val="22"/>
              </w:rPr>
            </w:pPr>
            <w:r w:rsidRPr="00FA4573">
              <w:rPr>
                <w:b w:val="0"/>
                <w:bCs w:val="0"/>
                <w:sz w:val="22"/>
              </w:rPr>
              <w:t>Outgoing liaison statements</w:t>
            </w:r>
          </w:p>
        </w:tc>
        <w:tc>
          <w:tcPr>
            <w:tcW w:w="941" w:type="dxa"/>
          </w:tcPr>
          <w:p w14:paraId="5DAA1C8C"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lang w:eastAsia="ko-KR"/>
              </w:rPr>
              <w:t>7</w:t>
            </w:r>
          </w:p>
        </w:tc>
        <w:tc>
          <w:tcPr>
            <w:tcW w:w="941" w:type="dxa"/>
          </w:tcPr>
          <w:p w14:paraId="62162107"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10</w:t>
            </w:r>
          </w:p>
        </w:tc>
        <w:tc>
          <w:tcPr>
            <w:tcW w:w="978" w:type="dxa"/>
          </w:tcPr>
          <w:p w14:paraId="05FDFCF0"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5</w:t>
            </w:r>
          </w:p>
        </w:tc>
        <w:tc>
          <w:tcPr>
            <w:tcW w:w="1017" w:type="dxa"/>
          </w:tcPr>
          <w:p w14:paraId="7BDD2C2C"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5</w:t>
            </w:r>
          </w:p>
        </w:tc>
        <w:tc>
          <w:tcPr>
            <w:tcW w:w="932" w:type="dxa"/>
          </w:tcPr>
          <w:p w14:paraId="6EF47B88"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27</w:t>
            </w:r>
          </w:p>
        </w:tc>
      </w:tr>
      <w:tr w:rsidR="00A63D1D" w:rsidRPr="00FA4573" w14:paraId="29653D21" w14:textId="77777777" w:rsidTr="00A23C7D">
        <w:trPr>
          <w:jc w:val="center"/>
        </w:trPr>
        <w:tc>
          <w:tcPr>
            <w:cnfStyle w:val="001000000000" w:firstRow="0" w:lastRow="0" w:firstColumn="1" w:lastColumn="0" w:oddVBand="0" w:evenVBand="0" w:oddHBand="0" w:evenHBand="0" w:firstRowFirstColumn="0" w:firstRowLastColumn="0" w:lastRowFirstColumn="0" w:lastRowLastColumn="0"/>
            <w:tcW w:w="4820" w:type="dxa"/>
          </w:tcPr>
          <w:p w14:paraId="4C9C0059" w14:textId="77777777" w:rsidR="00A63D1D" w:rsidRPr="00FA4573" w:rsidRDefault="00A63D1D" w:rsidP="00A23C7D">
            <w:pPr>
              <w:keepLines/>
              <w:rPr>
                <w:b w:val="0"/>
                <w:bCs w:val="0"/>
                <w:sz w:val="22"/>
              </w:rPr>
            </w:pPr>
            <w:r w:rsidRPr="00FA4573">
              <w:rPr>
                <w:b w:val="0"/>
                <w:bCs w:val="0"/>
                <w:sz w:val="22"/>
              </w:rPr>
              <w:t>Meeting and progress reports</w:t>
            </w:r>
          </w:p>
        </w:tc>
        <w:tc>
          <w:tcPr>
            <w:tcW w:w="941" w:type="dxa"/>
          </w:tcPr>
          <w:p w14:paraId="17C6417B"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lang w:eastAsia="ko-KR"/>
              </w:rPr>
              <w:t>8</w:t>
            </w:r>
          </w:p>
        </w:tc>
        <w:tc>
          <w:tcPr>
            <w:tcW w:w="941" w:type="dxa"/>
          </w:tcPr>
          <w:p w14:paraId="2BCADBC9"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22</w:t>
            </w:r>
          </w:p>
        </w:tc>
        <w:tc>
          <w:tcPr>
            <w:tcW w:w="978" w:type="dxa"/>
          </w:tcPr>
          <w:p w14:paraId="205E682B"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t>2</w:t>
            </w:r>
            <w:r w:rsidRPr="00FA4573">
              <w:rPr>
                <w:rFonts w:eastAsia="Malgun Gothic" w:hint="eastAsia"/>
                <w:lang w:eastAsia="ko-KR"/>
              </w:rPr>
              <w:t>2</w:t>
            </w:r>
          </w:p>
        </w:tc>
        <w:tc>
          <w:tcPr>
            <w:tcW w:w="1017" w:type="dxa"/>
          </w:tcPr>
          <w:p w14:paraId="60CEEB4C"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15</w:t>
            </w:r>
          </w:p>
        </w:tc>
        <w:tc>
          <w:tcPr>
            <w:tcW w:w="932" w:type="dxa"/>
          </w:tcPr>
          <w:p w14:paraId="7D25ACDB"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67</w:t>
            </w:r>
          </w:p>
        </w:tc>
      </w:tr>
      <w:tr w:rsidR="00A63D1D" w:rsidRPr="00FA4573" w14:paraId="023B86A2" w14:textId="77777777" w:rsidTr="00A23C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820" w:type="dxa"/>
          </w:tcPr>
          <w:p w14:paraId="2BE6E04C" w14:textId="77777777" w:rsidR="00A63D1D" w:rsidRPr="00FA4573" w:rsidRDefault="00A63D1D" w:rsidP="00A23C7D">
            <w:pPr>
              <w:keepLines/>
              <w:rPr>
                <w:sz w:val="22"/>
              </w:rPr>
            </w:pPr>
            <w:r w:rsidRPr="00FA4573">
              <w:rPr>
                <w:sz w:val="22"/>
              </w:rPr>
              <w:t>Total documents</w:t>
            </w:r>
          </w:p>
        </w:tc>
        <w:tc>
          <w:tcPr>
            <w:tcW w:w="941" w:type="dxa"/>
          </w:tcPr>
          <w:p w14:paraId="53379E1F"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lang w:eastAsia="ko-KR"/>
              </w:rPr>
              <w:t>10</w:t>
            </w:r>
            <w:r w:rsidRPr="00FA4573">
              <w:rPr>
                <w:rFonts w:eastAsia="Malgun Gothic" w:hint="eastAsia"/>
                <w:lang w:eastAsia="ko-KR"/>
              </w:rPr>
              <w:t>5</w:t>
            </w:r>
          </w:p>
        </w:tc>
        <w:tc>
          <w:tcPr>
            <w:tcW w:w="941" w:type="dxa"/>
          </w:tcPr>
          <w:p w14:paraId="17B9F54A"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t>2</w:t>
            </w:r>
            <w:r w:rsidRPr="00FA4573">
              <w:rPr>
                <w:rFonts w:eastAsia="Malgun Gothic" w:hint="eastAsia"/>
                <w:lang w:eastAsia="ko-KR"/>
              </w:rPr>
              <w:t>31</w:t>
            </w:r>
          </w:p>
        </w:tc>
        <w:tc>
          <w:tcPr>
            <w:tcW w:w="978" w:type="dxa"/>
          </w:tcPr>
          <w:p w14:paraId="5403CC2F"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t>2</w:t>
            </w:r>
            <w:r w:rsidRPr="00FA4573">
              <w:rPr>
                <w:rFonts w:eastAsia="Malgun Gothic" w:hint="eastAsia"/>
                <w:lang w:eastAsia="ko-KR"/>
              </w:rPr>
              <w:t>68</w:t>
            </w:r>
          </w:p>
        </w:tc>
        <w:tc>
          <w:tcPr>
            <w:tcW w:w="1017" w:type="dxa"/>
          </w:tcPr>
          <w:p w14:paraId="30BCF8AC"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83</w:t>
            </w:r>
          </w:p>
        </w:tc>
        <w:tc>
          <w:tcPr>
            <w:tcW w:w="932" w:type="dxa"/>
          </w:tcPr>
          <w:p w14:paraId="5C9CB0E7"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689</w:t>
            </w:r>
          </w:p>
        </w:tc>
      </w:tr>
    </w:tbl>
    <w:p w14:paraId="40A899DE" w14:textId="77777777" w:rsidR="00A63D1D" w:rsidRPr="00FA4573" w:rsidRDefault="00A63D1D" w:rsidP="00A63D1D">
      <w:pPr>
        <w:jc w:val="center"/>
        <w:rPr>
          <w:rFonts w:eastAsia="Malgun Gothic"/>
          <w:b/>
          <w:bCs/>
          <w:lang w:eastAsia="ko-KR"/>
        </w:rPr>
      </w:pPr>
      <w:r w:rsidRPr="00FA4573">
        <w:rPr>
          <w:b/>
          <w:szCs w:val="24"/>
        </w:rPr>
        <w:t xml:space="preserve">Table 2: </w:t>
      </w:r>
      <w:r w:rsidRPr="00FA4573">
        <w:rPr>
          <w:b/>
          <w:bCs/>
        </w:rPr>
        <w:t>Documents considered by SG2 during the study period (20</w:t>
      </w:r>
      <w:r w:rsidRPr="00FA4573">
        <w:rPr>
          <w:rFonts w:eastAsia="Malgun Gothic"/>
          <w:b/>
          <w:bCs/>
          <w:lang w:eastAsia="ko-KR"/>
        </w:rPr>
        <w:t>22</w:t>
      </w:r>
      <w:r w:rsidRPr="00FA4573">
        <w:rPr>
          <w:b/>
          <w:bCs/>
        </w:rPr>
        <w:t>–202</w:t>
      </w:r>
      <w:r w:rsidRPr="00FA4573">
        <w:rPr>
          <w:rFonts w:eastAsia="Malgun Gothic"/>
          <w:b/>
          <w:bCs/>
          <w:lang w:eastAsia="ko-KR"/>
        </w:rPr>
        <w:t>5</w:t>
      </w:r>
      <w:r w:rsidRPr="00FA4573">
        <w:rPr>
          <w:b/>
          <w:bCs/>
        </w:rPr>
        <w:t>)</w:t>
      </w:r>
    </w:p>
    <w:p w14:paraId="1F23A927" w14:textId="7D16DD08" w:rsidR="00A63D1D" w:rsidRPr="00FA4573" w:rsidRDefault="00A63D1D" w:rsidP="7174A4AA">
      <w:pPr>
        <w:rPr>
          <w:rFonts w:eastAsia="Malgun Gothic" w:cstheme="minorBidi"/>
          <w:lang w:eastAsia="ko-KR"/>
        </w:rPr>
      </w:pPr>
      <w:r w:rsidRPr="1EB37000">
        <w:rPr>
          <w:rFonts w:eastAsia="Malgun Gothic"/>
          <w:b/>
          <w:bCs/>
          <w:lang w:eastAsia="ko-KR"/>
        </w:rPr>
        <w:t xml:space="preserve">Figure 5 </w:t>
      </w:r>
      <w:r w:rsidRPr="1EB37000">
        <w:rPr>
          <w:rFonts w:eastAsia="Malgun Gothic"/>
          <w:lang w:eastAsia="ko-KR"/>
        </w:rPr>
        <w:t xml:space="preserve">provides the evolution of the number of documents </w:t>
      </w:r>
      <w:r w:rsidRPr="7174A4AA">
        <w:rPr>
          <w:rFonts w:eastAsia="Malgun Gothic" w:cstheme="minorBidi"/>
          <w:lang w:eastAsia="ko-KR"/>
        </w:rPr>
        <w:t>since the previous study period</w:t>
      </w:r>
      <w:r w:rsidRPr="7174A4AA">
        <w:rPr>
          <w:rStyle w:val="FootnoteReference"/>
          <w:rFonts w:eastAsia="Malgun Gothic" w:cstheme="minorBidi"/>
          <w:lang w:eastAsia="ko-KR"/>
        </w:rPr>
        <w:footnoteReference w:id="7"/>
      </w:r>
      <w:r w:rsidRPr="7174A4AA">
        <w:rPr>
          <w:rFonts w:eastAsia="Malgun Gothic" w:cstheme="minorBidi"/>
          <w:lang w:eastAsia="ko-KR"/>
        </w:rPr>
        <w:t xml:space="preserve">. The number of documents is lower during this study period compared to the previous one (aggregate: </w:t>
      </w:r>
      <w:r w:rsidR="0BDFD573" w:rsidRPr="7174A4AA">
        <w:rPr>
          <w:rFonts w:eastAsia="Malgun Gothic" w:cstheme="minorBidi"/>
          <w:lang w:eastAsia="ko-KR"/>
        </w:rPr>
        <w:t>921</w:t>
      </w:r>
      <w:r w:rsidRPr="7174A4AA">
        <w:rPr>
          <w:rFonts w:eastAsia="Malgun Gothic" w:cstheme="minorBidi"/>
          <w:lang w:eastAsia="ko-KR"/>
        </w:rPr>
        <w:t xml:space="preserve">, average: </w:t>
      </w:r>
      <w:r w:rsidR="5E2C4A0F" w:rsidRPr="7174A4AA">
        <w:rPr>
          <w:rFonts w:eastAsia="Malgun Gothic" w:cstheme="minorBidi"/>
          <w:lang w:eastAsia="ko-KR"/>
        </w:rPr>
        <w:t>115</w:t>
      </w:r>
      <w:r w:rsidRPr="7174A4AA">
        <w:rPr>
          <w:rFonts w:eastAsia="Malgun Gothic" w:cstheme="minorBidi"/>
          <w:lang w:eastAsia="ko-KR"/>
        </w:rPr>
        <w:t xml:space="preserve"> per meeting), which is partly due to a shorter period with less meetings</w:t>
      </w:r>
      <w:r w:rsidRPr="00FA4573">
        <w:rPr>
          <w:rStyle w:val="FootnoteReference"/>
          <w:rFonts w:eastAsia="Malgun Gothic"/>
          <w:lang w:eastAsia="ko-KR"/>
        </w:rPr>
        <w:footnoteReference w:id="8"/>
      </w:r>
      <w:r w:rsidRPr="7174A4AA">
        <w:rPr>
          <w:rFonts w:eastAsia="Malgun Gothic" w:cstheme="minorBidi"/>
          <w:lang w:eastAsia="ko-KR"/>
        </w:rPr>
        <w:t xml:space="preserve">. </w:t>
      </w:r>
      <w:r w:rsidR="34A7BEAB" w:rsidRPr="7174A4AA">
        <w:rPr>
          <w:rFonts w:eastAsia="Malgun Gothic" w:cstheme="minorBidi"/>
          <w:lang w:eastAsia="ko-KR"/>
        </w:rPr>
        <w:lastRenderedPageBreak/>
        <w:t>H</w:t>
      </w:r>
      <w:r w:rsidRPr="7174A4AA">
        <w:rPr>
          <w:rFonts w:eastAsia="Malgun Gothic" w:cstheme="minorBidi"/>
          <w:lang w:eastAsia="ko-KR"/>
        </w:rPr>
        <w:t xml:space="preserve">owever, the number of documents received on average per meeting are identical at 115 documents per meeting.  </w:t>
      </w:r>
    </w:p>
    <w:p w14:paraId="361CFCEF" w14:textId="77777777" w:rsidR="00A63D1D" w:rsidRPr="00FA4573" w:rsidRDefault="00A63D1D" w:rsidP="00A63D1D">
      <w:pPr>
        <w:spacing w:before="240"/>
        <w:jc w:val="center"/>
        <w:rPr>
          <w:rFonts w:eastAsia="Malgun Gothic"/>
          <w:b/>
          <w:bCs/>
          <w:szCs w:val="24"/>
          <w:lang w:eastAsia="ko-KR"/>
        </w:rPr>
      </w:pPr>
      <w:r w:rsidRPr="00FA4573">
        <w:rPr>
          <w:rFonts w:eastAsia="Malgun Gothic"/>
          <w:b/>
          <w:bCs/>
          <w:noProof/>
          <w:szCs w:val="24"/>
          <w:lang w:eastAsia="ko-KR"/>
        </w:rPr>
        <w:drawing>
          <wp:inline distT="0" distB="0" distL="0" distR="0" wp14:anchorId="02EDC674" wp14:editId="2F1DA671">
            <wp:extent cx="3271942" cy="1852863"/>
            <wp:effectExtent l="0" t="0" r="5080" b="0"/>
            <wp:docPr id="1110826053" name="Picture 16" descr="A graph of numbers and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26053" name="Picture 16" descr="A graph of numbers and a number of people&#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96843" cy="1866964"/>
                    </a:xfrm>
                    <a:prstGeom prst="rect">
                      <a:avLst/>
                    </a:prstGeom>
                    <a:noFill/>
                  </pic:spPr>
                </pic:pic>
              </a:graphicData>
            </a:graphic>
          </wp:inline>
        </w:drawing>
      </w:r>
    </w:p>
    <w:p w14:paraId="11202668" w14:textId="77777777" w:rsidR="00A63D1D" w:rsidRPr="00FA4573" w:rsidRDefault="00A63D1D" w:rsidP="00A63D1D">
      <w:pPr>
        <w:jc w:val="center"/>
        <w:rPr>
          <w:rFonts w:eastAsia="Malgun Gothic" w:cstheme="minorHAnsi"/>
          <w:b/>
          <w:bCs/>
          <w:szCs w:val="24"/>
          <w:lang w:eastAsia="ko-KR"/>
        </w:rPr>
      </w:pPr>
      <w:r w:rsidRPr="00FA4573">
        <w:rPr>
          <w:rFonts w:cstheme="minorHAnsi"/>
          <w:b/>
          <w:bCs/>
          <w:szCs w:val="24"/>
        </w:rPr>
        <w:t xml:space="preserve">Figure </w:t>
      </w:r>
      <w:r w:rsidRPr="00FA4573">
        <w:rPr>
          <w:rFonts w:eastAsia="Malgun Gothic" w:cstheme="minorHAnsi" w:hint="eastAsia"/>
          <w:b/>
          <w:bCs/>
          <w:szCs w:val="24"/>
          <w:lang w:eastAsia="ko-KR"/>
        </w:rPr>
        <w:t>5</w:t>
      </w:r>
      <w:r w:rsidRPr="00FA4573">
        <w:rPr>
          <w:rFonts w:cstheme="minorHAnsi"/>
          <w:b/>
          <w:bCs/>
          <w:szCs w:val="24"/>
        </w:rPr>
        <w:t xml:space="preserve">: </w:t>
      </w:r>
      <w:r w:rsidRPr="00FA4573">
        <w:rPr>
          <w:rFonts w:eastAsia="Malgun Gothic" w:cstheme="minorHAnsi" w:hint="eastAsia"/>
          <w:b/>
          <w:bCs/>
          <w:szCs w:val="24"/>
          <w:lang w:eastAsia="ko-KR"/>
        </w:rPr>
        <w:t xml:space="preserve">Evolution of the number of SG2 documents (2018-2025) </w:t>
      </w:r>
    </w:p>
    <w:p w14:paraId="196E257F" w14:textId="77777777" w:rsidR="00A63D1D" w:rsidRPr="00FA4573" w:rsidRDefault="00A63D1D" w:rsidP="00A63D1D">
      <w:pPr>
        <w:spacing w:before="240"/>
        <w:rPr>
          <w:rFonts w:eastAsia="Malgun Gothic"/>
          <w:szCs w:val="24"/>
          <w:lang w:eastAsia="ko-KR"/>
        </w:rPr>
      </w:pPr>
      <w:r w:rsidRPr="00FA4573">
        <w:rPr>
          <w:b/>
          <w:bCs/>
          <w:szCs w:val="24"/>
        </w:rPr>
        <w:t xml:space="preserve">Figure </w:t>
      </w:r>
      <w:r w:rsidRPr="00FA4573">
        <w:rPr>
          <w:rFonts w:eastAsia="Malgun Gothic" w:hint="eastAsia"/>
          <w:b/>
          <w:bCs/>
          <w:szCs w:val="24"/>
          <w:lang w:eastAsia="ko-KR"/>
        </w:rPr>
        <w:t>6</w:t>
      </w:r>
      <w:r w:rsidRPr="00FA4573">
        <w:rPr>
          <w:szCs w:val="24"/>
        </w:rPr>
        <w:t xml:space="preserve"> provides a regional analysis of the contributions from members. The majority of the contributions come from the </w:t>
      </w:r>
      <w:r w:rsidRPr="00FA4573">
        <w:rPr>
          <w:rFonts w:eastAsia="Malgun Gothic" w:hint="eastAsia"/>
          <w:szCs w:val="24"/>
          <w:lang w:eastAsia="ko-KR"/>
        </w:rPr>
        <w:t xml:space="preserve">Africa and </w:t>
      </w:r>
      <w:r w:rsidRPr="00FA4573">
        <w:rPr>
          <w:szCs w:val="24"/>
        </w:rPr>
        <w:t xml:space="preserve">Asia </w:t>
      </w:r>
      <w:r w:rsidRPr="00FA4573">
        <w:rPr>
          <w:rFonts w:eastAsia="Malgun Gothic" w:hint="eastAsia"/>
          <w:szCs w:val="24"/>
          <w:lang w:eastAsia="ko-KR"/>
        </w:rPr>
        <w:t>&amp;</w:t>
      </w:r>
      <w:r w:rsidRPr="00FA4573">
        <w:rPr>
          <w:szCs w:val="24"/>
        </w:rPr>
        <w:t xml:space="preserve"> Pacific regions, followed by </w:t>
      </w:r>
      <w:r w:rsidRPr="00FA4573">
        <w:rPr>
          <w:rFonts w:eastAsia="Malgun Gothic" w:hint="eastAsia"/>
          <w:szCs w:val="24"/>
          <w:lang w:eastAsia="ko-KR"/>
        </w:rPr>
        <w:t xml:space="preserve">the Americas, </w:t>
      </w:r>
      <w:r w:rsidRPr="00FA4573">
        <w:rPr>
          <w:szCs w:val="24"/>
        </w:rPr>
        <w:t>Europe, Arab States and CIS.</w:t>
      </w:r>
      <w:r w:rsidRPr="00FA4573">
        <w:rPr>
          <w:rFonts w:eastAsia="Malgun Gothic" w:hint="eastAsia"/>
          <w:szCs w:val="24"/>
          <w:lang w:eastAsia="ko-KR"/>
        </w:rPr>
        <w:t xml:space="preserve"> </w:t>
      </w:r>
      <w:r w:rsidRPr="00FA4573">
        <w:rPr>
          <w:rFonts w:eastAsia="Malgun Gothic"/>
          <w:szCs w:val="24"/>
          <w:lang w:eastAsia="ko-KR"/>
        </w:rPr>
        <w:t>Compared to the previous study period, the distribution for each region varied from -7% (Europe) to +9% (Africa).</w:t>
      </w:r>
      <w:r w:rsidRPr="00FA4573">
        <w:rPr>
          <w:rFonts w:eastAsia="Malgun Gothic" w:hint="eastAsia"/>
          <w:szCs w:val="24"/>
          <w:lang w:eastAsia="ko-KR"/>
        </w:rPr>
        <w:t xml:space="preserve"> </w:t>
      </w:r>
    </w:p>
    <w:p w14:paraId="31A13814" w14:textId="77777777" w:rsidR="00A63D1D" w:rsidRPr="00FA4573" w:rsidRDefault="00A63D1D" w:rsidP="00A63D1D">
      <w:pPr>
        <w:jc w:val="center"/>
        <w:rPr>
          <w:rFonts w:eastAsia="Malgun Gothic"/>
          <w:lang w:eastAsia="ko-KR"/>
        </w:rPr>
      </w:pPr>
      <w:r w:rsidRPr="00FA4573">
        <w:rPr>
          <w:rFonts w:eastAsia="Malgun Gothic"/>
          <w:noProof/>
          <w:lang w:eastAsia="ko-KR"/>
        </w:rPr>
        <w:drawing>
          <wp:inline distT="0" distB="0" distL="0" distR="0" wp14:anchorId="7FEBC09A" wp14:editId="1F870236">
            <wp:extent cx="3777883" cy="2851150"/>
            <wp:effectExtent l="0" t="0" r="0" b="6350"/>
            <wp:docPr id="250238245" name="Picture 2" descr="A pie char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38245" name="Picture 2" descr="A pie chart with numbers and text&#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22289" cy="2884663"/>
                    </a:xfrm>
                    <a:prstGeom prst="rect">
                      <a:avLst/>
                    </a:prstGeom>
                    <a:noFill/>
                  </pic:spPr>
                </pic:pic>
              </a:graphicData>
            </a:graphic>
          </wp:inline>
        </w:drawing>
      </w:r>
    </w:p>
    <w:p w14:paraId="10F120EC" w14:textId="77777777" w:rsidR="00A63D1D" w:rsidRPr="00FA4573" w:rsidRDefault="00A63D1D" w:rsidP="00A63D1D">
      <w:pPr>
        <w:spacing w:after="120"/>
        <w:jc w:val="center"/>
        <w:rPr>
          <w:rFonts w:eastAsia="Malgun Gothic"/>
          <w:b/>
          <w:bCs/>
          <w:szCs w:val="24"/>
          <w:lang w:eastAsia="ko-KR"/>
        </w:rPr>
      </w:pPr>
      <w:r w:rsidRPr="00FA4573">
        <w:rPr>
          <w:b/>
          <w:szCs w:val="24"/>
        </w:rPr>
        <w:t xml:space="preserve">Figure </w:t>
      </w:r>
      <w:r w:rsidRPr="00FA4573">
        <w:rPr>
          <w:rFonts w:eastAsia="Malgun Gothic" w:hint="eastAsia"/>
          <w:b/>
          <w:szCs w:val="24"/>
          <w:lang w:eastAsia="ko-KR"/>
        </w:rPr>
        <w:t>6</w:t>
      </w:r>
      <w:r w:rsidRPr="00FA4573">
        <w:rPr>
          <w:b/>
          <w:szCs w:val="24"/>
        </w:rPr>
        <w:t>: Regional distribution of contributions submitted by the membership</w:t>
      </w:r>
      <w:r w:rsidRPr="00FA4573">
        <w:rPr>
          <w:b/>
          <w:bCs/>
        </w:rPr>
        <w:t xml:space="preserve"> to Study Group 2</w:t>
      </w:r>
    </w:p>
    <w:p w14:paraId="0D88C66B" w14:textId="77777777" w:rsidR="00A63D1D" w:rsidRPr="00FA4573" w:rsidRDefault="00A63D1D" w:rsidP="00A63D1D">
      <w:pPr>
        <w:spacing w:after="120"/>
        <w:rPr>
          <w:rFonts w:eastAsia="Malgun Gothic"/>
          <w:szCs w:val="24"/>
          <w:lang w:eastAsia="ko-KR"/>
        </w:rPr>
      </w:pPr>
      <w:r w:rsidRPr="00FA4573">
        <w:rPr>
          <w:b/>
          <w:szCs w:val="24"/>
        </w:rPr>
        <w:t>Table 3</w:t>
      </w:r>
      <w:r w:rsidRPr="00FA4573">
        <w:rPr>
          <w:rFonts w:eastAsia="Malgun Gothic" w:hint="eastAsia"/>
          <w:szCs w:val="24"/>
          <w:lang w:eastAsia="ko-KR"/>
        </w:rPr>
        <w:t xml:space="preserve"> illustrates the</w:t>
      </w:r>
      <w:r w:rsidRPr="00FA4573">
        <w:rPr>
          <w:szCs w:val="24"/>
        </w:rPr>
        <w:t xml:space="preserve"> number of written contributions </w:t>
      </w:r>
      <w:r w:rsidRPr="00FA4573">
        <w:rPr>
          <w:rFonts w:eastAsia="Malgun Gothic" w:hint="eastAsia"/>
          <w:szCs w:val="24"/>
          <w:lang w:eastAsia="ko-KR"/>
        </w:rPr>
        <w:t xml:space="preserve">received by each Question </w:t>
      </w:r>
      <w:r w:rsidRPr="00FA4573">
        <w:rPr>
          <w:szCs w:val="24"/>
        </w:rPr>
        <w:t>to complete its deliverables for the study period. The three Questions (excluding contributions to All Questions – “QAll/2”</w:t>
      </w:r>
      <w:r w:rsidRPr="00FA4573">
        <w:rPr>
          <w:rFonts w:eastAsia="Malgun Gothic" w:hint="eastAsia"/>
          <w:szCs w:val="24"/>
          <w:lang w:eastAsia="ko-KR"/>
        </w:rPr>
        <w:t xml:space="preserve"> </w:t>
      </w:r>
      <w:r w:rsidRPr="00FA4573">
        <w:rPr>
          <w:rFonts w:eastAsia="Malgun Gothic"/>
          <w:szCs w:val="24"/>
          <w:lang w:eastAsia="ko-KR"/>
        </w:rPr>
        <w:t>–</w:t>
      </w:r>
      <w:r w:rsidRPr="00FA4573">
        <w:rPr>
          <w:rFonts w:eastAsia="Malgun Gothic" w:hint="eastAsia"/>
          <w:szCs w:val="24"/>
          <w:lang w:eastAsia="ko-KR"/>
        </w:rPr>
        <w:t xml:space="preserve"> </w:t>
      </w:r>
      <w:r w:rsidRPr="00FA4573">
        <w:rPr>
          <w:rFonts w:eastAsia="Malgun Gothic"/>
          <w:szCs w:val="24"/>
          <w:lang w:eastAsia="ko-KR"/>
        </w:rPr>
        <w:t>which</w:t>
      </w:r>
      <w:r w:rsidRPr="00FA4573">
        <w:rPr>
          <w:rFonts w:eastAsia="Malgun Gothic" w:hint="eastAsia"/>
          <w:szCs w:val="24"/>
          <w:lang w:eastAsia="ko-KR"/>
        </w:rPr>
        <w:t xml:space="preserve"> were for the SG2 plenary</w:t>
      </w:r>
      <w:r w:rsidRPr="00FA4573">
        <w:rPr>
          <w:szCs w:val="24"/>
        </w:rPr>
        <w:t xml:space="preserve">) receiving the highest number are Question </w:t>
      </w:r>
      <w:r w:rsidRPr="00FA4573">
        <w:rPr>
          <w:rFonts w:eastAsia="Malgun Gothic" w:hint="eastAsia"/>
          <w:szCs w:val="24"/>
          <w:lang w:eastAsia="ko-KR"/>
        </w:rPr>
        <w:t>5</w:t>
      </w:r>
      <w:r w:rsidRPr="00FA4573">
        <w:rPr>
          <w:szCs w:val="24"/>
        </w:rPr>
        <w:t>/2 (area:</w:t>
      </w:r>
      <w:r w:rsidRPr="00FA4573">
        <w:rPr>
          <w:rFonts w:eastAsia="Malgun Gothic" w:hint="eastAsia"/>
          <w:szCs w:val="24"/>
          <w:lang w:eastAsia="ko-KR"/>
        </w:rPr>
        <w:t xml:space="preserve"> digital skills</w:t>
      </w:r>
      <w:r w:rsidRPr="00FA4573">
        <w:rPr>
          <w:szCs w:val="24"/>
        </w:rPr>
        <w:t xml:space="preserve">) with </w:t>
      </w:r>
      <w:r w:rsidRPr="00FA4573">
        <w:rPr>
          <w:rFonts w:eastAsia="Malgun Gothic" w:hint="eastAsia"/>
          <w:szCs w:val="24"/>
          <w:lang w:eastAsia="ko-KR"/>
        </w:rPr>
        <w:t>100</w:t>
      </w:r>
      <w:r w:rsidRPr="00FA4573">
        <w:rPr>
          <w:szCs w:val="24"/>
        </w:rPr>
        <w:t>, followed by Question 2/2 (area: e-</w:t>
      </w:r>
      <w:r w:rsidRPr="00FA4573">
        <w:rPr>
          <w:rFonts w:eastAsia="Malgun Gothic" w:hint="eastAsia"/>
          <w:szCs w:val="24"/>
          <w:lang w:eastAsia="ko-KR"/>
        </w:rPr>
        <w:t>services and applications</w:t>
      </w:r>
      <w:r w:rsidRPr="00FA4573">
        <w:rPr>
          <w:szCs w:val="24"/>
        </w:rPr>
        <w:t xml:space="preserve">) with </w:t>
      </w:r>
      <w:r w:rsidRPr="00FA4573">
        <w:rPr>
          <w:rFonts w:eastAsia="Malgun Gothic" w:hint="eastAsia"/>
          <w:szCs w:val="24"/>
          <w:lang w:eastAsia="ko-KR"/>
        </w:rPr>
        <w:t xml:space="preserve">98, then </w:t>
      </w:r>
      <w:r w:rsidRPr="00FA4573">
        <w:rPr>
          <w:szCs w:val="24"/>
        </w:rPr>
        <w:t>Question 3/2 (area: cybersecurity) with 9</w:t>
      </w:r>
      <w:r w:rsidRPr="00FA4573">
        <w:rPr>
          <w:rFonts w:eastAsia="Malgun Gothic" w:hint="eastAsia"/>
          <w:szCs w:val="24"/>
          <w:lang w:eastAsia="ko-KR"/>
        </w:rPr>
        <w:t>6</w:t>
      </w:r>
      <w:r w:rsidRPr="00FA4573">
        <w:rPr>
          <w:szCs w:val="24"/>
        </w:rPr>
        <w:t>.</w:t>
      </w:r>
      <w:r w:rsidRPr="00FA4573">
        <w:rPr>
          <w:rFonts w:eastAsia="Malgun Gothic" w:hint="eastAsia"/>
          <w:szCs w:val="24"/>
          <w:lang w:eastAsia="ko-KR"/>
        </w:rPr>
        <w:t xml:space="preserve"> </w:t>
      </w:r>
      <w:r w:rsidRPr="00FA4573">
        <w:rPr>
          <w:rFonts w:eastAsia="Malgun Gothic"/>
          <w:szCs w:val="24"/>
          <w:lang w:eastAsia="ko-KR"/>
        </w:rPr>
        <w:t>The last column provides the number of contributions received</w:t>
      </w:r>
      <w:r w:rsidRPr="00FA4573">
        <w:rPr>
          <w:rFonts w:eastAsia="Malgun Gothic" w:hint="eastAsia"/>
          <w:szCs w:val="24"/>
          <w:lang w:eastAsia="ko-KR"/>
        </w:rPr>
        <w:t xml:space="preserve"> by each Question </w:t>
      </w:r>
      <w:r w:rsidRPr="00FA4573">
        <w:rPr>
          <w:rFonts w:eastAsia="Malgun Gothic"/>
          <w:szCs w:val="24"/>
          <w:lang w:eastAsia="ko-KR"/>
        </w:rPr>
        <w:t>during the previous study period</w:t>
      </w:r>
      <w:r w:rsidRPr="00FA4573">
        <w:rPr>
          <w:rFonts w:eastAsia="Malgun Gothic" w:hint="eastAsia"/>
          <w:szCs w:val="24"/>
          <w:lang w:eastAsia="ko-KR"/>
        </w:rPr>
        <w:t xml:space="preserve"> (2018-2021)</w:t>
      </w:r>
      <w:r w:rsidRPr="00FA4573">
        <w:rPr>
          <w:rFonts w:eastAsia="Malgun Gothic"/>
          <w:szCs w:val="24"/>
          <w:lang w:eastAsia="ko-KR"/>
        </w:rPr>
        <w:t>. The Questions received less contributions compared to the previous study period, due again to the shorter study period with less meetings held. Question 5/2 (area: digital skills) started from this study period, so no comparison is available.</w:t>
      </w:r>
      <w:r w:rsidRPr="00FA4573">
        <w:rPr>
          <w:rFonts w:eastAsia="Malgun Gothic" w:hint="eastAsia"/>
          <w:szCs w:val="24"/>
          <w:lang w:eastAsia="ko-KR"/>
        </w:rPr>
        <w:t xml:space="preserve"> </w:t>
      </w:r>
      <w:r w:rsidRPr="00FA4573">
        <w:rPr>
          <w:szCs w:val="24"/>
        </w:rPr>
        <w:t xml:space="preserve">It should also be noted that all rapporteur groups organized workshops and webinars (see </w:t>
      </w:r>
      <w:r w:rsidRPr="00FA4573">
        <w:rPr>
          <w:b/>
          <w:bCs/>
          <w:szCs w:val="24"/>
        </w:rPr>
        <w:t>Section 3</w:t>
      </w:r>
      <w:r w:rsidRPr="00FA4573">
        <w:rPr>
          <w:szCs w:val="24"/>
        </w:rPr>
        <w:t>) during this study period, the results of which were also used as inputs to support and complement the development of their output reports.</w:t>
      </w:r>
    </w:p>
    <w:tbl>
      <w:tblPr>
        <w:tblStyle w:val="GridTable5Dark-Accent1"/>
        <w:tblW w:w="0" w:type="auto"/>
        <w:jc w:val="center"/>
        <w:tblLook w:val="04A0" w:firstRow="1" w:lastRow="0" w:firstColumn="1" w:lastColumn="0" w:noHBand="0" w:noVBand="1"/>
      </w:tblPr>
      <w:tblGrid>
        <w:gridCol w:w="4347"/>
        <w:gridCol w:w="899"/>
        <w:gridCol w:w="899"/>
        <w:gridCol w:w="999"/>
        <w:gridCol w:w="895"/>
        <w:gridCol w:w="832"/>
        <w:gridCol w:w="758"/>
      </w:tblGrid>
      <w:tr w:rsidR="00A63D1D" w:rsidRPr="00FA4573" w14:paraId="5AFFD02B" w14:textId="77777777" w:rsidTr="00A23C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5330B1B0" w14:textId="77777777" w:rsidR="00A63D1D" w:rsidRPr="00FA4573" w:rsidRDefault="00A63D1D" w:rsidP="00A23C7D">
            <w:pPr>
              <w:keepLines/>
            </w:pPr>
            <w:bookmarkStart w:id="8" w:name="_Hlk69474320"/>
            <w:r w:rsidRPr="00FA4573">
              <w:lastRenderedPageBreak/>
              <w:t>Contributions received for annual SG2 and rapporteur group meetings</w:t>
            </w:r>
            <w:r w:rsidRPr="00FA4573">
              <w:rPr>
                <w:rStyle w:val="FootnoteReference"/>
              </w:rPr>
              <w:footnoteReference w:id="9"/>
            </w:r>
          </w:p>
        </w:tc>
        <w:tc>
          <w:tcPr>
            <w:tcW w:w="899" w:type="dxa"/>
          </w:tcPr>
          <w:p w14:paraId="0E1D9D55" w14:textId="77777777" w:rsidR="00A63D1D" w:rsidRPr="00474F78"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sz w:val="22"/>
                <w:szCs w:val="20"/>
                <w:lang w:eastAsia="ko-KR"/>
              </w:rPr>
            </w:pPr>
            <w:r w:rsidRPr="00FA4573">
              <w:rPr>
                <w:sz w:val="22"/>
                <w:szCs w:val="20"/>
              </w:rPr>
              <w:t>20</w:t>
            </w:r>
            <w:r w:rsidRPr="00FA4573">
              <w:rPr>
                <w:rFonts w:eastAsia="Malgun Gothic" w:hint="eastAsia"/>
                <w:sz w:val="22"/>
                <w:szCs w:val="20"/>
                <w:lang w:eastAsia="ko-KR"/>
              </w:rPr>
              <w:t>22</w:t>
            </w:r>
          </w:p>
        </w:tc>
        <w:tc>
          <w:tcPr>
            <w:tcW w:w="899" w:type="dxa"/>
          </w:tcPr>
          <w:p w14:paraId="21298B0A" w14:textId="77777777" w:rsidR="00A63D1D" w:rsidRPr="00474F78"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sz w:val="22"/>
                <w:szCs w:val="20"/>
                <w:lang w:eastAsia="ko-KR"/>
              </w:rPr>
            </w:pPr>
            <w:r w:rsidRPr="00FA4573">
              <w:rPr>
                <w:sz w:val="22"/>
                <w:szCs w:val="20"/>
              </w:rPr>
              <w:t>20</w:t>
            </w:r>
            <w:r w:rsidRPr="00FA4573">
              <w:rPr>
                <w:rFonts w:eastAsia="Malgun Gothic" w:hint="eastAsia"/>
                <w:sz w:val="22"/>
                <w:szCs w:val="20"/>
                <w:lang w:eastAsia="ko-KR"/>
              </w:rPr>
              <w:t>23</w:t>
            </w:r>
          </w:p>
        </w:tc>
        <w:tc>
          <w:tcPr>
            <w:tcW w:w="999" w:type="dxa"/>
          </w:tcPr>
          <w:p w14:paraId="51C7CB35" w14:textId="77777777" w:rsidR="00A63D1D" w:rsidRPr="00474F78"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sz w:val="22"/>
                <w:szCs w:val="20"/>
                <w:lang w:eastAsia="ko-KR"/>
              </w:rPr>
            </w:pPr>
            <w:r w:rsidRPr="00FA4573">
              <w:rPr>
                <w:sz w:val="22"/>
                <w:szCs w:val="20"/>
              </w:rPr>
              <w:t>202</w:t>
            </w:r>
            <w:r w:rsidRPr="00FA4573">
              <w:rPr>
                <w:rFonts w:eastAsia="Malgun Gothic" w:hint="eastAsia"/>
                <w:sz w:val="22"/>
                <w:szCs w:val="20"/>
                <w:lang w:eastAsia="ko-KR"/>
              </w:rPr>
              <w:t>4</w:t>
            </w:r>
          </w:p>
        </w:tc>
        <w:tc>
          <w:tcPr>
            <w:tcW w:w="895" w:type="dxa"/>
          </w:tcPr>
          <w:p w14:paraId="78CBA284" w14:textId="77777777" w:rsidR="00A63D1D" w:rsidRPr="00474F78"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sz w:val="22"/>
                <w:szCs w:val="20"/>
                <w:lang w:eastAsia="ko-KR"/>
              </w:rPr>
            </w:pPr>
            <w:r w:rsidRPr="00FA4573">
              <w:rPr>
                <w:sz w:val="22"/>
                <w:szCs w:val="20"/>
              </w:rPr>
              <w:t>202</w:t>
            </w:r>
            <w:r w:rsidRPr="00FA4573">
              <w:rPr>
                <w:rFonts w:eastAsia="Malgun Gothic" w:hint="eastAsia"/>
                <w:sz w:val="22"/>
                <w:szCs w:val="20"/>
                <w:lang w:eastAsia="ko-KR"/>
              </w:rPr>
              <w:t>5</w:t>
            </w:r>
          </w:p>
        </w:tc>
        <w:tc>
          <w:tcPr>
            <w:tcW w:w="832" w:type="dxa"/>
          </w:tcPr>
          <w:p w14:paraId="3726A23B" w14:textId="77777777" w:rsidR="00A63D1D" w:rsidRPr="00474F78" w:rsidRDefault="00A63D1D" w:rsidP="00A23C7D">
            <w:pPr>
              <w:keepLines/>
              <w:jc w:val="right"/>
              <w:cnfStyle w:val="100000000000" w:firstRow="1" w:lastRow="0" w:firstColumn="0" w:lastColumn="0" w:oddVBand="0" w:evenVBand="0" w:oddHBand="0" w:evenHBand="0" w:firstRowFirstColumn="0" w:firstRowLastColumn="0" w:lastRowFirstColumn="0" w:lastRowLastColumn="0"/>
              <w:rPr>
                <w:rFonts w:eastAsia="Malgun Gothic"/>
                <w:sz w:val="22"/>
                <w:szCs w:val="20"/>
                <w:lang w:eastAsia="ko-KR"/>
              </w:rPr>
            </w:pPr>
            <w:r w:rsidRPr="00FA4573">
              <w:rPr>
                <w:sz w:val="22"/>
                <w:szCs w:val="20"/>
              </w:rPr>
              <w:t>Total</w:t>
            </w:r>
            <w:r w:rsidRPr="00FA4573">
              <w:rPr>
                <w:rFonts w:eastAsia="Malgun Gothic"/>
                <w:sz w:val="22"/>
                <w:szCs w:val="20"/>
                <w:lang w:eastAsia="ko-KR"/>
              </w:rPr>
              <w:br/>
            </w:r>
            <w:r w:rsidRPr="00474F78">
              <w:rPr>
                <w:rFonts w:eastAsia="Malgun Gothic"/>
                <w:sz w:val="20"/>
                <w:szCs w:val="18"/>
                <w:lang w:eastAsia="ko-KR"/>
              </w:rPr>
              <w:t>(2022-2025)</w:t>
            </w:r>
          </w:p>
        </w:tc>
        <w:tc>
          <w:tcPr>
            <w:tcW w:w="758" w:type="dxa"/>
          </w:tcPr>
          <w:p w14:paraId="602A8A12" w14:textId="77777777" w:rsidR="00A63D1D" w:rsidRPr="00FA4573" w:rsidRDefault="00A63D1D" w:rsidP="00A23C7D">
            <w:pPr>
              <w:keepLines/>
              <w:jc w:val="right"/>
              <w:cnfStyle w:val="100000000000" w:firstRow="1" w:lastRow="0" w:firstColumn="0" w:lastColumn="0" w:oddVBand="0" w:evenVBand="0" w:oddHBand="0" w:evenHBand="0" w:firstRowFirstColumn="0" w:firstRowLastColumn="0" w:lastRowFirstColumn="0" w:lastRowLastColumn="0"/>
              <w:rPr>
                <w:sz w:val="22"/>
              </w:rPr>
            </w:pPr>
            <w:r w:rsidRPr="00FA4573">
              <w:rPr>
                <w:sz w:val="22"/>
              </w:rPr>
              <w:t>Total</w:t>
            </w:r>
            <w:r w:rsidRPr="00FA4573">
              <w:rPr>
                <w:rFonts w:eastAsia="Malgun Gothic"/>
                <w:sz w:val="22"/>
                <w:lang w:eastAsia="ko-KR"/>
              </w:rPr>
              <w:br/>
            </w:r>
            <w:r w:rsidRPr="00FA4573">
              <w:rPr>
                <w:rFonts w:eastAsia="Malgun Gothic"/>
                <w:sz w:val="20"/>
                <w:szCs w:val="18"/>
                <w:lang w:eastAsia="ko-KR"/>
              </w:rPr>
              <w:t>(2018-2021)</w:t>
            </w:r>
          </w:p>
        </w:tc>
      </w:tr>
      <w:tr w:rsidR="00A63D1D" w:rsidRPr="00FA4573" w14:paraId="34F3BEA8" w14:textId="77777777" w:rsidTr="00A23C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22E1F696" w14:textId="77777777" w:rsidR="00A63D1D" w:rsidRPr="00FA4573" w:rsidRDefault="00A63D1D" w:rsidP="00A23C7D">
            <w:pPr>
              <w:keepLines/>
              <w:rPr>
                <w:sz w:val="22"/>
              </w:rPr>
            </w:pPr>
            <w:r w:rsidRPr="00FA4573">
              <w:rPr>
                <w:sz w:val="22"/>
              </w:rPr>
              <w:t>Q1/2</w:t>
            </w:r>
          </w:p>
        </w:tc>
        <w:tc>
          <w:tcPr>
            <w:tcW w:w="899" w:type="dxa"/>
          </w:tcPr>
          <w:p w14:paraId="51BDA0B9"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7</w:t>
            </w:r>
          </w:p>
        </w:tc>
        <w:tc>
          <w:tcPr>
            <w:tcW w:w="899" w:type="dxa"/>
          </w:tcPr>
          <w:p w14:paraId="72CBB6F1"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24</w:t>
            </w:r>
          </w:p>
        </w:tc>
        <w:tc>
          <w:tcPr>
            <w:tcW w:w="999" w:type="dxa"/>
          </w:tcPr>
          <w:p w14:paraId="0C361E4F"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26</w:t>
            </w:r>
          </w:p>
        </w:tc>
        <w:tc>
          <w:tcPr>
            <w:tcW w:w="895" w:type="dxa"/>
          </w:tcPr>
          <w:p w14:paraId="13357FC3"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6</w:t>
            </w:r>
          </w:p>
        </w:tc>
        <w:tc>
          <w:tcPr>
            <w:tcW w:w="832" w:type="dxa"/>
          </w:tcPr>
          <w:p w14:paraId="06732520"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63</w:t>
            </w:r>
          </w:p>
        </w:tc>
        <w:tc>
          <w:tcPr>
            <w:tcW w:w="758" w:type="dxa"/>
          </w:tcPr>
          <w:p w14:paraId="0A63E278"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b/>
                <w:bCs/>
                <w:lang w:eastAsia="ko-KR"/>
              </w:rPr>
              <w:t>1</w:t>
            </w:r>
            <w:r w:rsidRPr="00FA4573">
              <w:rPr>
                <w:rFonts w:eastAsia="Malgun Gothic" w:hint="eastAsia"/>
                <w:b/>
                <w:bCs/>
                <w:lang w:eastAsia="ko-KR"/>
              </w:rPr>
              <w:t>25</w:t>
            </w:r>
          </w:p>
        </w:tc>
      </w:tr>
      <w:tr w:rsidR="00A63D1D" w:rsidRPr="00FA4573" w14:paraId="47D4A2D9" w14:textId="77777777" w:rsidTr="00A23C7D">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05E5FB31" w14:textId="77777777" w:rsidR="00A63D1D" w:rsidRPr="00FA4573" w:rsidRDefault="00A63D1D" w:rsidP="00A23C7D">
            <w:pPr>
              <w:keepLines/>
              <w:rPr>
                <w:sz w:val="22"/>
              </w:rPr>
            </w:pPr>
            <w:r w:rsidRPr="00FA4573">
              <w:rPr>
                <w:sz w:val="22"/>
              </w:rPr>
              <w:t>Q2/2</w:t>
            </w:r>
          </w:p>
        </w:tc>
        <w:tc>
          <w:tcPr>
            <w:tcW w:w="899" w:type="dxa"/>
          </w:tcPr>
          <w:p w14:paraId="62E23734"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13</w:t>
            </w:r>
          </w:p>
        </w:tc>
        <w:tc>
          <w:tcPr>
            <w:tcW w:w="899" w:type="dxa"/>
          </w:tcPr>
          <w:p w14:paraId="1B6CACC5"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40</w:t>
            </w:r>
          </w:p>
        </w:tc>
        <w:tc>
          <w:tcPr>
            <w:tcW w:w="999" w:type="dxa"/>
          </w:tcPr>
          <w:p w14:paraId="332CC41B"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35</w:t>
            </w:r>
          </w:p>
        </w:tc>
        <w:tc>
          <w:tcPr>
            <w:tcW w:w="895" w:type="dxa"/>
          </w:tcPr>
          <w:p w14:paraId="576BFEAC"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7</w:t>
            </w:r>
          </w:p>
        </w:tc>
        <w:tc>
          <w:tcPr>
            <w:tcW w:w="832" w:type="dxa"/>
          </w:tcPr>
          <w:p w14:paraId="6515F588"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sidRPr="00FA4573">
              <w:rPr>
                <w:rFonts w:eastAsia="Malgun Gothic" w:hint="eastAsia"/>
                <w:b/>
                <w:bCs/>
                <w:lang w:eastAsia="ko-KR"/>
              </w:rPr>
              <w:t>98</w:t>
            </w:r>
          </w:p>
        </w:tc>
        <w:tc>
          <w:tcPr>
            <w:tcW w:w="758" w:type="dxa"/>
          </w:tcPr>
          <w:p w14:paraId="16795593"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sidRPr="00FA4573">
              <w:rPr>
                <w:rFonts w:eastAsia="Malgun Gothic" w:hint="eastAsia"/>
                <w:b/>
                <w:bCs/>
                <w:lang w:eastAsia="ko-KR"/>
              </w:rPr>
              <w:t>104</w:t>
            </w:r>
          </w:p>
        </w:tc>
      </w:tr>
      <w:tr w:rsidR="00A63D1D" w:rsidRPr="00FA4573" w14:paraId="4EDFF77F" w14:textId="77777777" w:rsidTr="00A23C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43782C62" w14:textId="77777777" w:rsidR="00A63D1D" w:rsidRPr="00474F78" w:rsidRDefault="00A63D1D" w:rsidP="00A23C7D">
            <w:pPr>
              <w:keepLines/>
              <w:rPr>
                <w:rFonts w:eastAsia="Malgun Gothic"/>
                <w:sz w:val="22"/>
                <w:lang w:val="fr-CH" w:eastAsia="ko-KR"/>
              </w:rPr>
            </w:pPr>
            <w:r w:rsidRPr="00FA4573">
              <w:rPr>
                <w:sz w:val="22"/>
              </w:rPr>
              <w:t>Q3/2</w:t>
            </w:r>
          </w:p>
        </w:tc>
        <w:tc>
          <w:tcPr>
            <w:tcW w:w="899" w:type="dxa"/>
          </w:tcPr>
          <w:p w14:paraId="744B855D"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10</w:t>
            </w:r>
          </w:p>
        </w:tc>
        <w:tc>
          <w:tcPr>
            <w:tcW w:w="899" w:type="dxa"/>
          </w:tcPr>
          <w:p w14:paraId="104831DB"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t>3</w:t>
            </w:r>
            <w:r w:rsidRPr="00FA4573">
              <w:rPr>
                <w:rFonts w:eastAsia="Malgun Gothic" w:hint="eastAsia"/>
                <w:lang w:eastAsia="ko-KR"/>
              </w:rPr>
              <w:t>3</w:t>
            </w:r>
          </w:p>
        </w:tc>
        <w:tc>
          <w:tcPr>
            <w:tcW w:w="999" w:type="dxa"/>
          </w:tcPr>
          <w:p w14:paraId="3CAD55C8"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44</w:t>
            </w:r>
          </w:p>
        </w:tc>
        <w:tc>
          <w:tcPr>
            <w:tcW w:w="895" w:type="dxa"/>
          </w:tcPr>
          <w:p w14:paraId="60C0AE79"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9</w:t>
            </w:r>
          </w:p>
        </w:tc>
        <w:tc>
          <w:tcPr>
            <w:tcW w:w="832" w:type="dxa"/>
          </w:tcPr>
          <w:p w14:paraId="5AF24979"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96</w:t>
            </w:r>
          </w:p>
        </w:tc>
        <w:tc>
          <w:tcPr>
            <w:tcW w:w="758" w:type="dxa"/>
          </w:tcPr>
          <w:p w14:paraId="1BF987EB"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106</w:t>
            </w:r>
          </w:p>
        </w:tc>
      </w:tr>
      <w:tr w:rsidR="00A63D1D" w:rsidRPr="00FA4573" w14:paraId="54799163" w14:textId="77777777" w:rsidTr="00A23C7D">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012694AA" w14:textId="77777777" w:rsidR="00A63D1D" w:rsidRPr="00FA4573" w:rsidRDefault="00A63D1D" w:rsidP="00A23C7D">
            <w:pPr>
              <w:keepLines/>
              <w:rPr>
                <w:sz w:val="22"/>
              </w:rPr>
            </w:pPr>
            <w:r w:rsidRPr="00FA4573">
              <w:rPr>
                <w:sz w:val="22"/>
              </w:rPr>
              <w:t>Q4/2</w:t>
            </w:r>
          </w:p>
        </w:tc>
        <w:tc>
          <w:tcPr>
            <w:tcW w:w="899" w:type="dxa"/>
          </w:tcPr>
          <w:p w14:paraId="4021E2D9"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5</w:t>
            </w:r>
          </w:p>
        </w:tc>
        <w:tc>
          <w:tcPr>
            <w:tcW w:w="899" w:type="dxa"/>
          </w:tcPr>
          <w:p w14:paraId="6F08754C"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9</w:t>
            </w:r>
          </w:p>
        </w:tc>
        <w:tc>
          <w:tcPr>
            <w:tcW w:w="999" w:type="dxa"/>
          </w:tcPr>
          <w:p w14:paraId="3288E171"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15</w:t>
            </w:r>
          </w:p>
        </w:tc>
        <w:tc>
          <w:tcPr>
            <w:tcW w:w="895" w:type="dxa"/>
          </w:tcPr>
          <w:p w14:paraId="483D7734"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4</w:t>
            </w:r>
          </w:p>
        </w:tc>
        <w:tc>
          <w:tcPr>
            <w:tcW w:w="832" w:type="dxa"/>
          </w:tcPr>
          <w:p w14:paraId="7912E6D8"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sidRPr="00FA4573">
              <w:rPr>
                <w:rFonts w:eastAsia="Malgun Gothic" w:hint="eastAsia"/>
                <w:b/>
                <w:bCs/>
                <w:lang w:eastAsia="ko-KR"/>
              </w:rPr>
              <w:t>33</w:t>
            </w:r>
          </w:p>
        </w:tc>
        <w:tc>
          <w:tcPr>
            <w:tcW w:w="758" w:type="dxa"/>
          </w:tcPr>
          <w:p w14:paraId="652EEE51"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sidRPr="00FA4573">
              <w:rPr>
                <w:rFonts w:eastAsia="Malgun Gothic"/>
                <w:b/>
                <w:bCs/>
                <w:lang w:eastAsia="ko-KR"/>
              </w:rPr>
              <w:t>7</w:t>
            </w:r>
            <w:r w:rsidRPr="00FA4573">
              <w:rPr>
                <w:rFonts w:eastAsia="Malgun Gothic" w:hint="eastAsia"/>
                <w:b/>
                <w:bCs/>
                <w:lang w:eastAsia="ko-KR"/>
              </w:rPr>
              <w:t>4</w:t>
            </w:r>
          </w:p>
        </w:tc>
      </w:tr>
      <w:tr w:rsidR="00A63D1D" w:rsidRPr="00FA4573" w14:paraId="18327D12" w14:textId="77777777" w:rsidTr="00A23C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56CB5563" w14:textId="77777777" w:rsidR="00A63D1D" w:rsidRPr="00FA4573" w:rsidRDefault="00A63D1D" w:rsidP="00A23C7D">
            <w:pPr>
              <w:keepLines/>
              <w:rPr>
                <w:sz w:val="22"/>
              </w:rPr>
            </w:pPr>
            <w:r w:rsidRPr="00FA4573">
              <w:rPr>
                <w:sz w:val="22"/>
              </w:rPr>
              <w:t>Q5/2</w:t>
            </w:r>
          </w:p>
        </w:tc>
        <w:tc>
          <w:tcPr>
            <w:tcW w:w="899" w:type="dxa"/>
          </w:tcPr>
          <w:p w14:paraId="5197894F"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9</w:t>
            </w:r>
          </w:p>
        </w:tc>
        <w:tc>
          <w:tcPr>
            <w:tcW w:w="899" w:type="dxa"/>
          </w:tcPr>
          <w:p w14:paraId="3D7B8D71"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34</w:t>
            </w:r>
          </w:p>
        </w:tc>
        <w:tc>
          <w:tcPr>
            <w:tcW w:w="999" w:type="dxa"/>
          </w:tcPr>
          <w:p w14:paraId="47EDF78D"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49</w:t>
            </w:r>
          </w:p>
        </w:tc>
        <w:tc>
          <w:tcPr>
            <w:tcW w:w="895" w:type="dxa"/>
          </w:tcPr>
          <w:p w14:paraId="0F3EAB5A"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8</w:t>
            </w:r>
          </w:p>
        </w:tc>
        <w:tc>
          <w:tcPr>
            <w:tcW w:w="832" w:type="dxa"/>
          </w:tcPr>
          <w:p w14:paraId="724047FA"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100</w:t>
            </w:r>
          </w:p>
        </w:tc>
        <w:tc>
          <w:tcPr>
            <w:tcW w:w="758" w:type="dxa"/>
          </w:tcPr>
          <w:p w14:paraId="27162913"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b/>
                <w:bCs/>
                <w:lang w:eastAsia="ko-KR"/>
              </w:rPr>
              <w:t>N/A</w:t>
            </w:r>
          </w:p>
        </w:tc>
      </w:tr>
      <w:tr w:rsidR="00A63D1D" w:rsidRPr="00FA4573" w14:paraId="37C2F2E4" w14:textId="77777777" w:rsidTr="00A23C7D">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63F4D3BC" w14:textId="77777777" w:rsidR="00A63D1D" w:rsidRPr="00FA4573" w:rsidRDefault="00A63D1D" w:rsidP="00A23C7D">
            <w:pPr>
              <w:keepLines/>
              <w:rPr>
                <w:sz w:val="22"/>
              </w:rPr>
            </w:pPr>
            <w:r w:rsidRPr="00FA4573">
              <w:rPr>
                <w:sz w:val="22"/>
              </w:rPr>
              <w:t>Q6/2</w:t>
            </w:r>
          </w:p>
        </w:tc>
        <w:tc>
          <w:tcPr>
            <w:tcW w:w="899" w:type="dxa"/>
          </w:tcPr>
          <w:p w14:paraId="426BB5FA"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10</w:t>
            </w:r>
          </w:p>
        </w:tc>
        <w:tc>
          <w:tcPr>
            <w:tcW w:w="899" w:type="dxa"/>
          </w:tcPr>
          <w:p w14:paraId="39311A21"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t>1</w:t>
            </w:r>
            <w:r w:rsidRPr="00FA4573">
              <w:rPr>
                <w:rFonts w:eastAsia="Malgun Gothic" w:hint="eastAsia"/>
                <w:lang w:eastAsia="ko-KR"/>
              </w:rPr>
              <w:t>1</w:t>
            </w:r>
          </w:p>
        </w:tc>
        <w:tc>
          <w:tcPr>
            <w:tcW w:w="999" w:type="dxa"/>
          </w:tcPr>
          <w:p w14:paraId="2BC42374"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t>2</w:t>
            </w:r>
            <w:r w:rsidRPr="00FA4573">
              <w:rPr>
                <w:rFonts w:eastAsia="Malgun Gothic" w:hint="eastAsia"/>
                <w:lang w:eastAsia="ko-KR"/>
              </w:rPr>
              <w:t>4</w:t>
            </w:r>
          </w:p>
        </w:tc>
        <w:tc>
          <w:tcPr>
            <w:tcW w:w="895" w:type="dxa"/>
          </w:tcPr>
          <w:p w14:paraId="1E90ED36"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6</w:t>
            </w:r>
          </w:p>
        </w:tc>
        <w:tc>
          <w:tcPr>
            <w:tcW w:w="832" w:type="dxa"/>
          </w:tcPr>
          <w:p w14:paraId="38E902D0"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sidRPr="00FA4573">
              <w:rPr>
                <w:rFonts w:eastAsia="Malgun Gothic" w:hint="eastAsia"/>
                <w:b/>
                <w:bCs/>
                <w:lang w:eastAsia="ko-KR"/>
              </w:rPr>
              <w:t>51</w:t>
            </w:r>
          </w:p>
        </w:tc>
        <w:tc>
          <w:tcPr>
            <w:tcW w:w="758" w:type="dxa"/>
          </w:tcPr>
          <w:p w14:paraId="5E1DC95E"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sidRPr="00FA4573">
              <w:rPr>
                <w:rFonts w:eastAsia="Malgun Gothic"/>
                <w:b/>
                <w:bCs/>
                <w:lang w:eastAsia="ko-KR"/>
              </w:rPr>
              <w:t>6</w:t>
            </w:r>
            <w:r w:rsidRPr="00FA4573">
              <w:rPr>
                <w:rFonts w:eastAsia="Malgun Gothic" w:hint="eastAsia"/>
                <w:b/>
                <w:bCs/>
                <w:lang w:eastAsia="ko-KR"/>
              </w:rPr>
              <w:t>5</w:t>
            </w:r>
          </w:p>
        </w:tc>
      </w:tr>
      <w:tr w:rsidR="00A63D1D" w:rsidRPr="00FA4573" w14:paraId="232B0D25" w14:textId="77777777" w:rsidTr="00A23C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4CECE334" w14:textId="77777777" w:rsidR="00A63D1D" w:rsidRPr="00FA4573" w:rsidRDefault="00A63D1D" w:rsidP="00A23C7D">
            <w:pPr>
              <w:keepLines/>
              <w:rPr>
                <w:sz w:val="22"/>
              </w:rPr>
            </w:pPr>
            <w:r w:rsidRPr="00FA4573">
              <w:rPr>
                <w:sz w:val="22"/>
              </w:rPr>
              <w:t>Q7/2</w:t>
            </w:r>
          </w:p>
        </w:tc>
        <w:tc>
          <w:tcPr>
            <w:tcW w:w="899" w:type="dxa"/>
          </w:tcPr>
          <w:p w14:paraId="36D51B95"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5</w:t>
            </w:r>
          </w:p>
        </w:tc>
        <w:tc>
          <w:tcPr>
            <w:tcW w:w="899" w:type="dxa"/>
          </w:tcPr>
          <w:p w14:paraId="288FE6DE"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21</w:t>
            </w:r>
          </w:p>
        </w:tc>
        <w:tc>
          <w:tcPr>
            <w:tcW w:w="999" w:type="dxa"/>
          </w:tcPr>
          <w:p w14:paraId="33988DEB"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26</w:t>
            </w:r>
          </w:p>
        </w:tc>
        <w:tc>
          <w:tcPr>
            <w:tcW w:w="895" w:type="dxa"/>
          </w:tcPr>
          <w:p w14:paraId="7E893DD8"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lang w:eastAsia="ko-KR"/>
              </w:rPr>
            </w:pPr>
            <w:r w:rsidRPr="00FA4573">
              <w:rPr>
                <w:rFonts w:eastAsia="Malgun Gothic" w:hint="eastAsia"/>
                <w:lang w:eastAsia="ko-KR"/>
              </w:rPr>
              <w:t>2</w:t>
            </w:r>
          </w:p>
        </w:tc>
        <w:tc>
          <w:tcPr>
            <w:tcW w:w="832" w:type="dxa"/>
          </w:tcPr>
          <w:p w14:paraId="721680A0"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54</w:t>
            </w:r>
          </w:p>
        </w:tc>
        <w:tc>
          <w:tcPr>
            <w:tcW w:w="758" w:type="dxa"/>
          </w:tcPr>
          <w:p w14:paraId="64516F63"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b/>
                <w:bCs/>
                <w:lang w:eastAsia="ko-KR"/>
              </w:rPr>
              <w:t>8</w:t>
            </w:r>
            <w:r w:rsidRPr="00FA4573">
              <w:rPr>
                <w:rFonts w:eastAsia="Malgun Gothic" w:hint="eastAsia"/>
                <w:b/>
                <w:bCs/>
                <w:lang w:eastAsia="ko-KR"/>
              </w:rPr>
              <w:t>8</w:t>
            </w:r>
          </w:p>
        </w:tc>
      </w:tr>
      <w:tr w:rsidR="00A63D1D" w:rsidRPr="00FA4573" w14:paraId="64273814" w14:textId="77777777" w:rsidTr="00A23C7D">
        <w:trPr>
          <w:jc w:val="center"/>
        </w:trPr>
        <w:tc>
          <w:tcPr>
            <w:cnfStyle w:val="001000000000" w:firstRow="0" w:lastRow="0" w:firstColumn="1" w:lastColumn="0" w:oddVBand="0" w:evenVBand="0" w:oddHBand="0" w:evenHBand="0" w:firstRowFirstColumn="0" w:firstRowLastColumn="0" w:lastRowFirstColumn="0" w:lastRowLastColumn="0"/>
            <w:tcW w:w="4347" w:type="dxa"/>
          </w:tcPr>
          <w:p w14:paraId="45A418A9" w14:textId="77777777" w:rsidR="00A63D1D" w:rsidRPr="00474F78" w:rsidRDefault="00A63D1D" w:rsidP="00A23C7D">
            <w:pPr>
              <w:keepLines/>
              <w:rPr>
                <w:rFonts w:eastAsia="Malgun Gothic"/>
                <w:sz w:val="22"/>
                <w:lang w:eastAsia="ko-KR"/>
              </w:rPr>
            </w:pPr>
            <w:r w:rsidRPr="00FA4573">
              <w:rPr>
                <w:sz w:val="22"/>
              </w:rPr>
              <w:t>QAll/2</w:t>
            </w:r>
            <w:r w:rsidRPr="00FA4573">
              <w:rPr>
                <w:rFonts w:eastAsia="Malgun Gothic"/>
                <w:sz w:val="22"/>
                <w:lang w:eastAsia="ko-KR"/>
              </w:rPr>
              <w:t xml:space="preserve"> (for SG2 plenary)</w:t>
            </w:r>
          </w:p>
        </w:tc>
        <w:tc>
          <w:tcPr>
            <w:tcW w:w="899" w:type="dxa"/>
          </w:tcPr>
          <w:p w14:paraId="4352EB87"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16</w:t>
            </w:r>
          </w:p>
        </w:tc>
        <w:tc>
          <w:tcPr>
            <w:tcW w:w="899" w:type="dxa"/>
          </w:tcPr>
          <w:p w14:paraId="5F22759B"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t>1</w:t>
            </w:r>
            <w:r w:rsidRPr="00FA4573">
              <w:rPr>
                <w:rFonts w:eastAsia="Malgun Gothic" w:hint="eastAsia"/>
                <w:lang w:eastAsia="ko-KR"/>
              </w:rPr>
              <w:t>4</w:t>
            </w:r>
          </w:p>
        </w:tc>
        <w:tc>
          <w:tcPr>
            <w:tcW w:w="999" w:type="dxa"/>
          </w:tcPr>
          <w:p w14:paraId="480693CC"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15</w:t>
            </w:r>
          </w:p>
        </w:tc>
        <w:tc>
          <w:tcPr>
            <w:tcW w:w="895" w:type="dxa"/>
          </w:tcPr>
          <w:p w14:paraId="3F60E6CE"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FA4573">
              <w:rPr>
                <w:rFonts w:eastAsia="Malgun Gothic" w:hint="eastAsia"/>
                <w:lang w:eastAsia="ko-KR"/>
              </w:rPr>
              <w:t>19</w:t>
            </w:r>
          </w:p>
        </w:tc>
        <w:tc>
          <w:tcPr>
            <w:tcW w:w="832" w:type="dxa"/>
          </w:tcPr>
          <w:p w14:paraId="038343AF" w14:textId="77777777" w:rsidR="00A63D1D" w:rsidRPr="00474F78"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sidRPr="00FA4573">
              <w:rPr>
                <w:rFonts w:eastAsia="Malgun Gothic" w:hint="eastAsia"/>
                <w:b/>
                <w:bCs/>
                <w:lang w:eastAsia="ko-KR"/>
              </w:rPr>
              <w:t>67</w:t>
            </w:r>
          </w:p>
        </w:tc>
        <w:tc>
          <w:tcPr>
            <w:tcW w:w="758" w:type="dxa"/>
          </w:tcPr>
          <w:p w14:paraId="5DC831B1" w14:textId="77777777" w:rsidR="00A63D1D" w:rsidRPr="00FA4573" w:rsidRDefault="00A63D1D" w:rsidP="00A23C7D">
            <w:pPr>
              <w:keepLines/>
              <w:jc w:val="right"/>
              <w:cnfStyle w:val="000000000000" w:firstRow="0" w:lastRow="0" w:firstColumn="0" w:lastColumn="0" w:oddVBand="0" w:evenVBand="0" w:oddHBand="0" w:evenHBand="0" w:firstRowFirstColumn="0" w:firstRowLastColumn="0" w:lastRowFirstColumn="0" w:lastRowLastColumn="0"/>
              <w:rPr>
                <w:rFonts w:eastAsia="Malgun Gothic"/>
                <w:b/>
                <w:bCs/>
                <w:lang w:eastAsia="ko-KR"/>
              </w:rPr>
            </w:pPr>
            <w:r w:rsidRPr="00FA4573">
              <w:rPr>
                <w:rFonts w:eastAsia="Malgun Gothic" w:hint="eastAsia"/>
                <w:b/>
                <w:bCs/>
                <w:lang w:eastAsia="ko-KR"/>
              </w:rPr>
              <w:t>116</w:t>
            </w:r>
          </w:p>
        </w:tc>
      </w:tr>
      <w:tr w:rsidR="00A63D1D" w:rsidRPr="00FA4573" w14:paraId="6B46766B" w14:textId="77777777" w:rsidTr="00A23C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7" w:type="dxa"/>
          </w:tcPr>
          <w:p w14:paraId="4F9F3CDE" w14:textId="77777777" w:rsidR="00A63D1D" w:rsidRPr="00FA4573" w:rsidRDefault="00A63D1D" w:rsidP="00A23C7D">
            <w:pPr>
              <w:keepLines/>
              <w:rPr>
                <w:sz w:val="22"/>
              </w:rPr>
            </w:pPr>
            <w:r w:rsidRPr="00FA4573">
              <w:rPr>
                <w:sz w:val="22"/>
              </w:rPr>
              <w:t>Total</w:t>
            </w:r>
          </w:p>
        </w:tc>
        <w:tc>
          <w:tcPr>
            <w:tcW w:w="899" w:type="dxa"/>
          </w:tcPr>
          <w:p w14:paraId="2AEEF62E"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78</w:t>
            </w:r>
          </w:p>
        </w:tc>
        <w:tc>
          <w:tcPr>
            <w:tcW w:w="899" w:type="dxa"/>
          </w:tcPr>
          <w:p w14:paraId="2C66FAE9"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b/>
                <w:bCs/>
              </w:rPr>
              <w:t>18</w:t>
            </w:r>
            <w:r w:rsidRPr="00FA4573">
              <w:rPr>
                <w:rFonts w:eastAsia="Malgun Gothic" w:hint="eastAsia"/>
                <w:b/>
                <w:bCs/>
                <w:lang w:eastAsia="ko-KR"/>
              </w:rPr>
              <w:t>9</w:t>
            </w:r>
          </w:p>
        </w:tc>
        <w:tc>
          <w:tcPr>
            <w:tcW w:w="999" w:type="dxa"/>
          </w:tcPr>
          <w:p w14:paraId="05B478F7"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b/>
                <w:bCs/>
              </w:rPr>
              <w:t>2</w:t>
            </w:r>
            <w:r w:rsidRPr="00FA4573">
              <w:rPr>
                <w:rFonts w:eastAsia="Malgun Gothic" w:hint="eastAsia"/>
                <w:b/>
                <w:bCs/>
                <w:lang w:eastAsia="ko-KR"/>
              </w:rPr>
              <w:t>34</w:t>
            </w:r>
          </w:p>
        </w:tc>
        <w:tc>
          <w:tcPr>
            <w:tcW w:w="895" w:type="dxa"/>
          </w:tcPr>
          <w:p w14:paraId="779157AC"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61</w:t>
            </w:r>
          </w:p>
        </w:tc>
        <w:tc>
          <w:tcPr>
            <w:tcW w:w="832" w:type="dxa"/>
          </w:tcPr>
          <w:p w14:paraId="1DDD4750" w14:textId="77777777" w:rsidR="00A63D1D" w:rsidRPr="00474F78"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hint="eastAsia"/>
                <w:b/>
                <w:bCs/>
                <w:lang w:eastAsia="ko-KR"/>
              </w:rPr>
              <w:t>562</w:t>
            </w:r>
          </w:p>
        </w:tc>
        <w:tc>
          <w:tcPr>
            <w:tcW w:w="758" w:type="dxa"/>
          </w:tcPr>
          <w:p w14:paraId="4D059C35" w14:textId="77777777" w:rsidR="00A63D1D" w:rsidRPr="00FA4573" w:rsidRDefault="00A63D1D" w:rsidP="00A23C7D">
            <w:pPr>
              <w:keepLines/>
              <w:jc w:val="right"/>
              <w:cnfStyle w:val="000000100000" w:firstRow="0" w:lastRow="0" w:firstColumn="0" w:lastColumn="0" w:oddVBand="0" w:evenVBand="0" w:oddHBand="1" w:evenHBand="0" w:firstRowFirstColumn="0" w:firstRowLastColumn="0" w:lastRowFirstColumn="0" w:lastRowLastColumn="0"/>
              <w:rPr>
                <w:rFonts w:eastAsia="Malgun Gothic"/>
                <w:b/>
                <w:bCs/>
                <w:lang w:eastAsia="ko-KR"/>
              </w:rPr>
            </w:pPr>
            <w:r w:rsidRPr="00FA4573">
              <w:rPr>
                <w:rFonts w:eastAsia="Malgun Gothic"/>
                <w:b/>
                <w:bCs/>
                <w:lang w:eastAsia="ko-KR"/>
              </w:rPr>
              <w:t>7</w:t>
            </w:r>
            <w:r w:rsidRPr="00FA4573">
              <w:rPr>
                <w:rFonts w:eastAsia="Malgun Gothic" w:hint="eastAsia"/>
                <w:b/>
                <w:bCs/>
                <w:lang w:eastAsia="ko-KR"/>
              </w:rPr>
              <w:t>6</w:t>
            </w:r>
            <w:r w:rsidRPr="00FA4573">
              <w:rPr>
                <w:rFonts w:eastAsia="Malgun Gothic"/>
                <w:b/>
                <w:bCs/>
                <w:lang w:eastAsia="ko-KR"/>
              </w:rPr>
              <w:t>9</w:t>
            </w:r>
          </w:p>
        </w:tc>
      </w:tr>
    </w:tbl>
    <w:bookmarkEnd w:id="8"/>
    <w:p w14:paraId="0939C68F" w14:textId="77777777" w:rsidR="00A63D1D" w:rsidRPr="00FA4573" w:rsidRDefault="00A63D1D" w:rsidP="00A63D1D">
      <w:pPr>
        <w:jc w:val="center"/>
        <w:rPr>
          <w:rFonts w:eastAsia="Malgun Gothic"/>
          <w:b/>
          <w:lang w:eastAsia="ko-KR"/>
        </w:rPr>
      </w:pPr>
      <w:r w:rsidRPr="00FA4573">
        <w:rPr>
          <w:b/>
          <w:szCs w:val="24"/>
        </w:rPr>
        <w:t xml:space="preserve">Table 3: </w:t>
      </w:r>
      <w:r w:rsidRPr="00FA4573">
        <w:rPr>
          <w:b/>
        </w:rPr>
        <w:t>Number of contributions received per Study Group 2 Question</w:t>
      </w:r>
    </w:p>
    <w:p w14:paraId="08830DC8" w14:textId="77777777" w:rsidR="00A63D1D" w:rsidRPr="00FA4573" w:rsidRDefault="00A63D1D" w:rsidP="00A63D1D">
      <w:pPr>
        <w:spacing w:after="120"/>
        <w:rPr>
          <w:rFonts w:eastAsia="Malgun Gothic" w:cstheme="minorHAnsi"/>
          <w:noProof/>
          <w:szCs w:val="24"/>
          <w:lang w:eastAsia="ko-KR"/>
        </w:rPr>
      </w:pPr>
      <w:r w:rsidRPr="00FA4573">
        <w:rPr>
          <w:rFonts w:cstheme="minorHAnsi"/>
          <w:b/>
          <w:bCs/>
          <w:noProof/>
          <w:szCs w:val="24"/>
        </w:rPr>
        <w:t xml:space="preserve">Figure </w:t>
      </w:r>
      <w:r w:rsidRPr="00FA4573">
        <w:rPr>
          <w:rFonts w:eastAsia="Malgun Gothic" w:cstheme="minorHAnsi" w:hint="eastAsia"/>
          <w:b/>
          <w:bCs/>
          <w:noProof/>
          <w:szCs w:val="24"/>
          <w:lang w:eastAsia="ko-KR"/>
        </w:rPr>
        <w:t>7</w:t>
      </w:r>
      <w:r w:rsidRPr="00FA4573">
        <w:rPr>
          <w:rFonts w:cstheme="minorHAnsi"/>
          <w:noProof/>
          <w:szCs w:val="24"/>
        </w:rPr>
        <w:t xml:space="preserve"> illustrates the distribution of contributions per source type. Similar to the previous study period, Member States remain</w:t>
      </w:r>
      <w:r w:rsidRPr="00FA4573">
        <w:rPr>
          <w:rFonts w:eastAsia="Malgun Gothic" w:cstheme="minorHAnsi" w:hint="eastAsia"/>
          <w:noProof/>
          <w:szCs w:val="24"/>
          <w:lang w:eastAsia="ko-KR"/>
        </w:rPr>
        <w:t>ed</w:t>
      </w:r>
      <w:r w:rsidRPr="00FA4573">
        <w:rPr>
          <w:rFonts w:cstheme="minorHAnsi"/>
          <w:noProof/>
          <w:szCs w:val="24"/>
        </w:rPr>
        <w:t xml:space="preserve"> the highest contributor across all Questions, with more contributions submitted to Question</w:t>
      </w:r>
      <w:r w:rsidRPr="00FA4573">
        <w:rPr>
          <w:rFonts w:eastAsia="Malgun Gothic" w:cstheme="minorHAnsi" w:hint="eastAsia"/>
          <w:noProof/>
          <w:szCs w:val="24"/>
          <w:lang w:eastAsia="ko-KR"/>
        </w:rPr>
        <w:t>s</w:t>
      </w:r>
      <w:r w:rsidRPr="00FA4573">
        <w:rPr>
          <w:rFonts w:cstheme="minorHAnsi"/>
          <w:noProof/>
          <w:szCs w:val="24"/>
        </w:rPr>
        <w:t xml:space="preserve"> 3/2 (area: cybersecurity)</w:t>
      </w:r>
      <w:r w:rsidRPr="00FA4573">
        <w:rPr>
          <w:rFonts w:eastAsia="Malgun Gothic" w:cstheme="minorHAnsi" w:hint="eastAsia"/>
          <w:noProof/>
          <w:szCs w:val="24"/>
          <w:lang w:eastAsia="ko-KR"/>
        </w:rPr>
        <w:t xml:space="preserve"> and 5/2 (area: digital skills)</w:t>
      </w:r>
      <w:r w:rsidRPr="00FA4573">
        <w:rPr>
          <w:rFonts w:cstheme="minorHAnsi"/>
          <w:noProof/>
          <w:szCs w:val="24"/>
        </w:rPr>
        <w:t xml:space="preserve">. Sector members (which include regional/international organizations) followed suit with more contributions </w:t>
      </w:r>
      <w:r w:rsidRPr="00FA4573">
        <w:rPr>
          <w:rFonts w:eastAsia="Malgun Gothic" w:cstheme="minorHAnsi" w:hint="eastAsia"/>
          <w:noProof/>
          <w:szCs w:val="24"/>
          <w:lang w:eastAsia="ko-KR"/>
        </w:rPr>
        <w:t>submitted to</w:t>
      </w:r>
      <w:r w:rsidRPr="00FA4573">
        <w:rPr>
          <w:rFonts w:cstheme="minorHAnsi"/>
          <w:noProof/>
          <w:szCs w:val="24"/>
        </w:rPr>
        <w:t xml:space="preserve"> Questions </w:t>
      </w:r>
      <w:r w:rsidRPr="00FA4573">
        <w:rPr>
          <w:rFonts w:eastAsia="Malgun Gothic" w:cstheme="minorHAnsi" w:hint="eastAsia"/>
          <w:noProof/>
          <w:szCs w:val="24"/>
          <w:lang w:eastAsia="ko-KR"/>
        </w:rPr>
        <w:t>2</w:t>
      </w:r>
      <w:r w:rsidRPr="00FA4573">
        <w:rPr>
          <w:rFonts w:cstheme="minorHAnsi"/>
          <w:noProof/>
          <w:szCs w:val="24"/>
        </w:rPr>
        <w:t xml:space="preserve">/2 (area: </w:t>
      </w:r>
      <w:r w:rsidRPr="00FA4573">
        <w:rPr>
          <w:rFonts w:eastAsia="Malgun Gothic" w:cstheme="minorHAnsi" w:hint="eastAsia"/>
          <w:noProof/>
          <w:szCs w:val="24"/>
          <w:lang w:eastAsia="ko-KR"/>
        </w:rPr>
        <w:t>e-services and applications</w:t>
      </w:r>
      <w:r w:rsidRPr="00FA4573">
        <w:rPr>
          <w:rFonts w:cstheme="minorHAnsi"/>
          <w:noProof/>
          <w:szCs w:val="24"/>
        </w:rPr>
        <w:t xml:space="preserve">) and </w:t>
      </w:r>
      <w:r w:rsidRPr="00FA4573">
        <w:rPr>
          <w:rFonts w:eastAsia="Malgun Gothic" w:cstheme="minorHAnsi" w:hint="eastAsia"/>
          <w:noProof/>
          <w:szCs w:val="24"/>
          <w:lang w:eastAsia="ko-KR"/>
        </w:rPr>
        <w:t>5</w:t>
      </w:r>
      <w:r w:rsidRPr="00FA4573">
        <w:rPr>
          <w:rFonts w:cstheme="minorHAnsi"/>
          <w:noProof/>
          <w:szCs w:val="24"/>
        </w:rPr>
        <w:t xml:space="preserve">/2 (area: </w:t>
      </w:r>
      <w:r w:rsidRPr="00FA4573">
        <w:rPr>
          <w:rFonts w:eastAsia="Malgun Gothic" w:cstheme="minorHAnsi" w:hint="eastAsia"/>
          <w:noProof/>
          <w:szCs w:val="24"/>
          <w:lang w:eastAsia="ko-KR"/>
        </w:rPr>
        <w:t>digital skills</w:t>
      </w:r>
      <w:r w:rsidRPr="00FA4573">
        <w:rPr>
          <w:rFonts w:cstheme="minorHAnsi"/>
          <w:noProof/>
          <w:szCs w:val="24"/>
        </w:rPr>
        <w:t xml:space="preserve">). </w:t>
      </w:r>
      <w:r w:rsidRPr="00FA4573">
        <w:rPr>
          <w:rFonts w:eastAsia="Malgun Gothic" w:cstheme="minorHAnsi" w:hint="eastAsia"/>
          <w:noProof/>
          <w:szCs w:val="24"/>
          <w:lang w:eastAsia="ko-KR"/>
        </w:rPr>
        <w:t>Sector Members</w:t>
      </w:r>
      <w:r w:rsidRPr="00FA4573">
        <w:rPr>
          <w:rFonts w:eastAsia="Malgun Gothic" w:cstheme="minorHAnsi"/>
          <w:noProof/>
          <w:szCs w:val="24"/>
          <w:lang w:eastAsia="ko-KR"/>
        </w:rPr>
        <w:t>’</w:t>
      </w:r>
      <w:r w:rsidRPr="00FA4573">
        <w:rPr>
          <w:rFonts w:eastAsia="Malgun Gothic" w:cstheme="minorHAnsi" w:hint="eastAsia"/>
          <w:noProof/>
          <w:szCs w:val="24"/>
          <w:lang w:eastAsia="ko-KR"/>
        </w:rPr>
        <w:t xml:space="preserve"> contributions remained at good numbers, except for Questions 4/2 (area: C&amp;I, </w:t>
      </w:r>
      <w:r w:rsidRPr="00FA4573">
        <w:rPr>
          <w:rFonts w:eastAsia="Malgun Gothic" w:cstheme="minorHAnsi"/>
          <w:noProof/>
          <w:szCs w:val="24"/>
          <w:lang w:eastAsia="ko-KR"/>
        </w:rPr>
        <w:t>combating counterfeiting and theft of mobile devices</w:t>
      </w:r>
      <w:r w:rsidRPr="00FA4573">
        <w:rPr>
          <w:rFonts w:eastAsia="Malgun Gothic" w:cstheme="minorHAnsi" w:hint="eastAsia"/>
          <w:noProof/>
          <w:szCs w:val="24"/>
          <w:lang w:eastAsia="ko-KR"/>
        </w:rPr>
        <w:t>) and 6/2 (area: environment). More contributions</w:t>
      </w:r>
      <w:r w:rsidRPr="00FA4573">
        <w:rPr>
          <w:rFonts w:cstheme="minorHAnsi"/>
          <w:noProof/>
          <w:szCs w:val="24"/>
        </w:rPr>
        <w:t xml:space="preserve"> from </w:t>
      </w:r>
      <w:r w:rsidRPr="00FA4573">
        <w:rPr>
          <w:rFonts w:eastAsia="Malgun Gothic" w:cstheme="minorHAnsi" w:hint="eastAsia"/>
          <w:noProof/>
          <w:szCs w:val="24"/>
          <w:lang w:eastAsia="ko-KR"/>
        </w:rPr>
        <w:t>A</w:t>
      </w:r>
      <w:r w:rsidRPr="00FA4573">
        <w:rPr>
          <w:rFonts w:cstheme="minorHAnsi"/>
          <w:noProof/>
          <w:szCs w:val="24"/>
        </w:rPr>
        <w:t xml:space="preserve">cademia and </w:t>
      </w:r>
      <w:r w:rsidRPr="00FA4573">
        <w:rPr>
          <w:rFonts w:eastAsia="Malgun Gothic" w:cstheme="minorHAnsi" w:hint="eastAsia"/>
          <w:noProof/>
          <w:szCs w:val="24"/>
          <w:lang w:eastAsia="ko-KR"/>
        </w:rPr>
        <w:t>A</w:t>
      </w:r>
      <w:r w:rsidRPr="00FA4573">
        <w:rPr>
          <w:rFonts w:cstheme="minorHAnsi"/>
          <w:noProof/>
          <w:szCs w:val="24"/>
        </w:rPr>
        <w:t xml:space="preserve">ssociates remain desirable, </w:t>
      </w:r>
      <w:r w:rsidRPr="00FA4573">
        <w:rPr>
          <w:rFonts w:eastAsia="Malgun Gothic" w:cstheme="minorHAnsi" w:hint="eastAsia"/>
          <w:noProof/>
          <w:szCs w:val="24"/>
          <w:lang w:eastAsia="ko-KR"/>
        </w:rPr>
        <w:t>with nevertheless more contributions from Associates in Question 4/2.</w:t>
      </w:r>
    </w:p>
    <w:p w14:paraId="26B45D1E" w14:textId="77777777" w:rsidR="00A63D1D" w:rsidRPr="00FA4573" w:rsidRDefault="00A63D1D" w:rsidP="00A63D1D">
      <w:pPr>
        <w:keepNext/>
        <w:spacing w:before="240"/>
        <w:jc w:val="center"/>
        <w:rPr>
          <w:rFonts w:eastAsia="Malgun Gothic" w:cstheme="minorHAnsi"/>
          <w:b/>
          <w:bCs/>
          <w:noProof/>
          <w:szCs w:val="24"/>
          <w:lang w:eastAsia="ko-KR"/>
        </w:rPr>
      </w:pPr>
      <w:r w:rsidRPr="00FA4573">
        <w:rPr>
          <w:rFonts w:eastAsia="Malgun Gothic" w:cstheme="minorHAnsi"/>
          <w:b/>
          <w:bCs/>
          <w:noProof/>
          <w:szCs w:val="24"/>
          <w:lang w:eastAsia="ko-KR"/>
        </w:rPr>
        <w:drawing>
          <wp:inline distT="0" distB="0" distL="0" distR="0" wp14:anchorId="0D9B1797" wp14:editId="196C9E32">
            <wp:extent cx="3761783" cy="3076575"/>
            <wp:effectExtent l="0" t="0" r="0" b="0"/>
            <wp:docPr id="2094110717" name="Picture 6" descr="A graph of numbers and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10717" name="Picture 6" descr="A graph of numbers and columns&#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70906" cy="3084036"/>
                    </a:xfrm>
                    <a:prstGeom prst="rect">
                      <a:avLst/>
                    </a:prstGeom>
                    <a:noFill/>
                  </pic:spPr>
                </pic:pic>
              </a:graphicData>
            </a:graphic>
          </wp:inline>
        </w:drawing>
      </w:r>
    </w:p>
    <w:p w14:paraId="706508DC" w14:textId="77777777" w:rsidR="00A63D1D" w:rsidRPr="00474F78" w:rsidRDefault="00A63D1D" w:rsidP="00A63D1D">
      <w:pPr>
        <w:spacing w:before="0"/>
        <w:jc w:val="center"/>
        <w:rPr>
          <w:rFonts w:eastAsia="Malgun Gothic"/>
          <w:b/>
          <w:szCs w:val="24"/>
          <w:lang w:eastAsia="ko-KR"/>
        </w:rPr>
      </w:pPr>
      <w:r w:rsidRPr="00FA4573">
        <w:rPr>
          <w:rFonts w:cstheme="minorHAnsi"/>
          <w:b/>
          <w:bCs/>
          <w:noProof/>
          <w:szCs w:val="24"/>
        </w:rPr>
        <w:t xml:space="preserve">Figure </w:t>
      </w:r>
      <w:r w:rsidRPr="00FA4573">
        <w:rPr>
          <w:rFonts w:eastAsia="Malgun Gothic" w:cstheme="minorHAnsi" w:hint="eastAsia"/>
          <w:b/>
          <w:bCs/>
          <w:noProof/>
          <w:szCs w:val="24"/>
          <w:lang w:eastAsia="ko-KR"/>
        </w:rPr>
        <w:t>7</w:t>
      </w:r>
      <w:r w:rsidRPr="00FA4573">
        <w:rPr>
          <w:rFonts w:cstheme="minorHAnsi"/>
          <w:b/>
          <w:bCs/>
          <w:noProof/>
          <w:szCs w:val="24"/>
        </w:rPr>
        <w:t xml:space="preserve">: </w:t>
      </w:r>
      <w:r w:rsidRPr="00FA4573">
        <w:rPr>
          <w:rFonts w:eastAsia="Malgun Gothic" w:hint="eastAsia"/>
          <w:b/>
          <w:szCs w:val="24"/>
          <w:lang w:eastAsia="ko-KR"/>
        </w:rPr>
        <w:t>C</w:t>
      </w:r>
      <w:r w:rsidRPr="00FA4573">
        <w:rPr>
          <w:b/>
          <w:szCs w:val="24"/>
        </w:rPr>
        <w:t xml:space="preserve">ontributions received for Study Group 2 per Question and </w:t>
      </w:r>
      <w:r w:rsidRPr="00FA4573">
        <w:rPr>
          <w:rFonts w:eastAsia="Malgun Gothic" w:hint="eastAsia"/>
          <w:b/>
          <w:szCs w:val="24"/>
          <w:lang w:eastAsia="ko-KR"/>
        </w:rPr>
        <w:t>source type</w:t>
      </w:r>
    </w:p>
    <w:p w14:paraId="6F11CC44" w14:textId="77777777" w:rsidR="00A63D1D" w:rsidRPr="00FA4573" w:rsidRDefault="00A63D1D" w:rsidP="00A63D1D">
      <w:pPr>
        <w:pStyle w:val="Heading1"/>
        <w:spacing w:before="120" w:after="120"/>
        <w:ind w:left="448" w:hanging="448"/>
      </w:pPr>
      <w:r w:rsidRPr="00FA4573">
        <w:lastRenderedPageBreak/>
        <w:t>Meetings</w:t>
      </w:r>
    </w:p>
    <w:p w14:paraId="18D63FB9" w14:textId="77777777" w:rsidR="00A63D1D" w:rsidRPr="00FA4573" w:rsidRDefault="00A63D1D" w:rsidP="00A63D1D">
      <w:pPr>
        <w:pStyle w:val="Heading2"/>
        <w:spacing w:after="120"/>
      </w:pPr>
      <w:r w:rsidRPr="00FA4573">
        <w:t>Management team meetings</w:t>
      </w:r>
    </w:p>
    <w:p w14:paraId="6E5748C9" w14:textId="77777777" w:rsidR="00A63D1D" w:rsidRPr="00FA4573" w:rsidRDefault="00A63D1D" w:rsidP="00A63D1D">
      <w:pPr>
        <w:pStyle w:val="CEONormal"/>
        <w:rPr>
          <w:rFonts w:asciiTheme="minorHAnsi" w:hAnsiTheme="minorHAnsi" w:cstheme="minorHAnsi"/>
          <w:sz w:val="24"/>
          <w:szCs w:val="24"/>
        </w:rPr>
      </w:pPr>
      <w:r w:rsidRPr="00FA4573">
        <w:rPr>
          <w:rFonts w:asciiTheme="minorHAnsi" w:hAnsiTheme="minorHAnsi" w:cstheme="minorHAnsi"/>
          <w:sz w:val="24"/>
          <w:szCs w:val="24"/>
        </w:rPr>
        <w:t>During this study period, four annual Study Group 2 management team meetings with the Chair, Vice-Chair</w:t>
      </w:r>
      <w:r w:rsidRPr="00FA4573">
        <w:rPr>
          <w:rFonts w:asciiTheme="minorHAnsi" w:eastAsia="Malgun Gothic" w:hAnsiTheme="minorHAnsi" w:cstheme="minorHAnsi"/>
          <w:sz w:val="24"/>
          <w:szCs w:val="24"/>
          <w:lang w:eastAsia="ko-KR"/>
        </w:rPr>
        <w:t>s</w:t>
      </w:r>
      <w:r w:rsidRPr="00FA4573">
        <w:rPr>
          <w:rFonts w:asciiTheme="minorHAnsi" w:hAnsiTheme="minorHAnsi" w:cstheme="minorHAnsi"/>
          <w:sz w:val="24"/>
          <w:szCs w:val="24"/>
        </w:rPr>
        <w:t xml:space="preserve">, (Co-)Rapporteurs, Vice-Rapporteurs and BDT Focal Points were held on the day before each annual Study Group 2 meeting, in order to prepare for the meeting, approve the time-management plan, review the progress of each Question under study, discuss planned and on-going activities and come up with proposals on further improvements to the functioning of the </w:t>
      </w:r>
      <w:r w:rsidRPr="00FA4573">
        <w:rPr>
          <w:rFonts w:asciiTheme="minorHAnsi" w:eastAsia="Malgun Gothic" w:hAnsiTheme="minorHAnsi" w:cstheme="minorHAnsi"/>
          <w:sz w:val="24"/>
          <w:szCs w:val="24"/>
          <w:lang w:eastAsia="ko-KR"/>
        </w:rPr>
        <w:t>s</w:t>
      </w:r>
      <w:r w:rsidRPr="00FA4573">
        <w:rPr>
          <w:rFonts w:asciiTheme="minorHAnsi" w:hAnsiTheme="minorHAnsi" w:cstheme="minorHAnsi"/>
          <w:sz w:val="24"/>
          <w:szCs w:val="24"/>
        </w:rPr>
        <w:t xml:space="preserve">tudy </w:t>
      </w:r>
      <w:r w:rsidRPr="00FA4573">
        <w:rPr>
          <w:rFonts w:asciiTheme="minorHAnsi" w:eastAsia="Malgun Gothic" w:hAnsiTheme="minorHAnsi" w:cstheme="minorHAnsi"/>
          <w:sz w:val="24"/>
          <w:szCs w:val="24"/>
          <w:lang w:eastAsia="ko-KR"/>
        </w:rPr>
        <w:t>g</w:t>
      </w:r>
      <w:r w:rsidRPr="00FA4573">
        <w:rPr>
          <w:rFonts w:asciiTheme="minorHAnsi" w:hAnsiTheme="minorHAnsi" w:cstheme="minorHAnsi"/>
          <w:sz w:val="24"/>
          <w:szCs w:val="24"/>
        </w:rPr>
        <w:t xml:space="preserve">roups. </w:t>
      </w:r>
    </w:p>
    <w:p w14:paraId="25904A25" w14:textId="77777777" w:rsidR="00A63D1D" w:rsidRPr="00FA4573" w:rsidRDefault="00A63D1D" w:rsidP="00A63D1D">
      <w:pPr>
        <w:pStyle w:val="CEONormal"/>
        <w:rPr>
          <w:rFonts w:asciiTheme="minorHAnsi" w:eastAsia="Malgun Gothic" w:hAnsiTheme="minorHAnsi" w:cstheme="minorHAnsi"/>
          <w:sz w:val="24"/>
          <w:szCs w:val="24"/>
          <w:lang w:eastAsia="ko-KR"/>
        </w:rPr>
      </w:pPr>
      <w:r w:rsidRPr="00FA4573">
        <w:rPr>
          <w:rFonts w:asciiTheme="minorHAnsi" w:hAnsiTheme="minorHAnsi" w:cstheme="minorHAnsi"/>
          <w:sz w:val="24"/>
          <w:szCs w:val="24"/>
        </w:rPr>
        <w:t xml:space="preserve">In addition, </w:t>
      </w:r>
      <w:r w:rsidRPr="00FA4573">
        <w:rPr>
          <w:rFonts w:asciiTheme="minorHAnsi" w:eastAsia="Malgun Gothic" w:hAnsiTheme="minorHAnsi" w:cstheme="minorHAnsi"/>
          <w:sz w:val="24"/>
          <w:szCs w:val="24"/>
          <w:lang w:eastAsia="ko-KR"/>
        </w:rPr>
        <w:t>17</w:t>
      </w:r>
      <w:r w:rsidRPr="00FA4573">
        <w:rPr>
          <w:rFonts w:asciiTheme="minorHAnsi" w:hAnsiTheme="minorHAnsi" w:cstheme="minorHAnsi"/>
          <w:sz w:val="24"/>
          <w:szCs w:val="24"/>
        </w:rPr>
        <w:t xml:space="preserve"> additional</w:t>
      </w:r>
      <w:r w:rsidRPr="00FA4573">
        <w:rPr>
          <w:rFonts w:asciiTheme="minorHAnsi" w:eastAsia="Malgun Gothic" w:hAnsiTheme="minorHAnsi" w:cstheme="minorHAnsi"/>
          <w:sz w:val="24"/>
          <w:szCs w:val="24"/>
          <w:lang w:eastAsia="ko-KR"/>
        </w:rPr>
        <w:t xml:space="preserve"> </w:t>
      </w:r>
      <w:r w:rsidRPr="00FA4573">
        <w:rPr>
          <w:rFonts w:asciiTheme="minorHAnsi" w:hAnsiTheme="minorHAnsi" w:cstheme="minorHAnsi"/>
          <w:sz w:val="24"/>
          <w:szCs w:val="24"/>
        </w:rPr>
        <w:t>meetings (t</w:t>
      </w:r>
      <w:r w:rsidRPr="00FA4573">
        <w:rPr>
          <w:rFonts w:asciiTheme="minorHAnsi" w:eastAsia="Malgun Gothic" w:hAnsiTheme="minorHAnsi" w:cstheme="minorHAnsi"/>
          <w:sz w:val="24"/>
          <w:szCs w:val="24"/>
          <w:lang w:eastAsia="ko-KR"/>
        </w:rPr>
        <w:t>wo</w:t>
      </w:r>
      <w:r w:rsidRPr="00FA4573">
        <w:rPr>
          <w:rFonts w:asciiTheme="minorHAnsi" w:hAnsiTheme="minorHAnsi" w:cstheme="minorHAnsi"/>
          <w:sz w:val="24"/>
          <w:szCs w:val="24"/>
        </w:rPr>
        <w:t xml:space="preserve"> of which jointly with SG1) </w:t>
      </w:r>
      <w:r w:rsidRPr="00FA4573">
        <w:rPr>
          <w:rFonts w:asciiTheme="minorHAnsi" w:eastAsia="Malgun Gothic" w:hAnsiTheme="minorHAnsi" w:cstheme="minorHAnsi"/>
          <w:sz w:val="24"/>
          <w:szCs w:val="24"/>
          <w:lang w:eastAsia="ko-KR"/>
        </w:rPr>
        <w:t xml:space="preserve">between the SG2 Chair and management team members concerned were held </w:t>
      </w:r>
      <w:r w:rsidRPr="00FA4573">
        <w:rPr>
          <w:rFonts w:asciiTheme="minorHAnsi" w:hAnsiTheme="minorHAnsi" w:cstheme="minorHAnsi"/>
          <w:sz w:val="24"/>
          <w:szCs w:val="24"/>
        </w:rPr>
        <w:t>to</w:t>
      </w:r>
      <w:r w:rsidRPr="00FA4573">
        <w:rPr>
          <w:rFonts w:asciiTheme="minorHAnsi" w:eastAsia="Malgun Gothic" w:hAnsiTheme="minorHAnsi" w:cstheme="minorHAnsi"/>
          <w:sz w:val="24"/>
          <w:szCs w:val="24"/>
          <w:lang w:eastAsia="ko-KR"/>
        </w:rPr>
        <w:t xml:space="preserve"> </w:t>
      </w:r>
      <w:r w:rsidRPr="00FA4573">
        <w:rPr>
          <w:rFonts w:asciiTheme="minorHAnsi" w:hAnsiTheme="minorHAnsi" w:cstheme="minorHAnsi"/>
          <w:sz w:val="24"/>
          <w:szCs w:val="24"/>
        </w:rPr>
        <w:t xml:space="preserve">prepare </w:t>
      </w:r>
      <w:r w:rsidRPr="00FA4573">
        <w:rPr>
          <w:rFonts w:asciiTheme="minorHAnsi" w:eastAsia="Malgun Gothic" w:hAnsiTheme="minorHAnsi" w:cstheme="minorHAnsi"/>
          <w:sz w:val="24"/>
          <w:szCs w:val="24"/>
          <w:lang w:eastAsia="ko-KR"/>
        </w:rPr>
        <w:t>for workshops and information sessions, review the progress of interim</w:t>
      </w:r>
      <w:r w:rsidRPr="00FA4573">
        <w:rPr>
          <w:rFonts w:asciiTheme="minorHAnsi" w:hAnsiTheme="minorHAnsi" w:cstheme="minorHAnsi"/>
          <w:sz w:val="24"/>
          <w:szCs w:val="24"/>
        </w:rPr>
        <w:t xml:space="preserve"> and final deliverables</w:t>
      </w:r>
      <w:r w:rsidRPr="00FA4573">
        <w:rPr>
          <w:rFonts w:asciiTheme="minorHAnsi" w:eastAsia="Malgun Gothic" w:hAnsiTheme="minorHAnsi" w:cstheme="minorHAnsi"/>
          <w:sz w:val="24"/>
          <w:szCs w:val="24"/>
          <w:lang w:eastAsia="ko-KR"/>
        </w:rPr>
        <w:t xml:space="preserve">, and coordinate on other topics of interest in preparation for the next WTDC (e.g. future study Questions). </w:t>
      </w:r>
      <w:r w:rsidRPr="00FA4573">
        <w:rPr>
          <w:rFonts w:asciiTheme="minorHAnsi" w:eastAsia="Malgun Gothic" w:hAnsiTheme="minorHAnsi" w:cstheme="minorHAnsi" w:hint="eastAsia"/>
          <w:sz w:val="24"/>
          <w:szCs w:val="24"/>
          <w:lang w:eastAsia="ko-KR"/>
        </w:rPr>
        <w:t>Before the deadline of submission of the final reports, the SG2 Chair had a separate meeting with each Question management team</w:t>
      </w:r>
      <w:r w:rsidRPr="00FA4573">
        <w:rPr>
          <w:rStyle w:val="FootnoteReference"/>
          <w:rFonts w:eastAsia="Malgun Gothic" w:cstheme="minorHAnsi"/>
          <w:lang w:eastAsia="ko-KR"/>
        </w:rPr>
        <w:footnoteReference w:id="10"/>
      </w:r>
      <w:r w:rsidRPr="00FA4573">
        <w:rPr>
          <w:rFonts w:asciiTheme="minorHAnsi" w:eastAsia="Malgun Gothic" w:hAnsiTheme="minorHAnsi" w:cstheme="minorHAnsi" w:hint="eastAsia"/>
          <w:sz w:val="24"/>
          <w:szCs w:val="24"/>
          <w:lang w:eastAsia="ko-KR"/>
        </w:rPr>
        <w:t xml:space="preserve"> to review in detail their draft final reports and provide guidance to improve them.</w:t>
      </w:r>
    </w:p>
    <w:p w14:paraId="2B79427D" w14:textId="77777777" w:rsidR="00A63D1D" w:rsidRPr="00FA4573" w:rsidRDefault="00A63D1D" w:rsidP="00A63D1D">
      <w:pPr>
        <w:pStyle w:val="CEONormal"/>
        <w:rPr>
          <w:rFonts w:asciiTheme="minorHAnsi" w:eastAsia="Malgun Gothic" w:hAnsiTheme="minorHAnsi" w:cstheme="minorHAnsi"/>
          <w:sz w:val="24"/>
          <w:szCs w:val="24"/>
          <w:lang w:eastAsia="ko-KR"/>
        </w:rPr>
      </w:pPr>
      <w:r w:rsidRPr="00FA4573">
        <w:rPr>
          <w:rFonts w:asciiTheme="minorHAnsi" w:hAnsiTheme="minorHAnsi" w:cstheme="minorHAnsi"/>
          <w:sz w:val="24"/>
          <w:szCs w:val="24"/>
        </w:rPr>
        <w:t xml:space="preserve">Coordinators were appointed to facilitate the coordination on key topics. A list of these topics and names of the coordinators can be found in </w:t>
      </w:r>
      <w:r w:rsidRPr="00FA4573">
        <w:rPr>
          <w:rFonts w:asciiTheme="minorHAnsi" w:hAnsiTheme="minorHAnsi" w:cstheme="minorHAnsi"/>
          <w:b/>
          <w:bCs/>
          <w:sz w:val="24"/>
          <w:szCs w:val="24"/>
        </w:rPr>
        <w:t>Annex 2</w:t>
      </w:r>
      <w:r w:rsidRPr="00FA4573">
        <w:rPr>
          <w:rFonts w:asciiTheme="minorHAnsi" w:hAnsiTheme="minorHAnsi" w:cstheme="minorHAnsi"/>
          <w:sz w:val="24"/>
          <w:szCs w:val="24"/>
        </w:rPr>
        <w:t xml:space="preserve"> to this report.</w:t>
      </w:r>
    </w:p>
    <w:p w14:paraId="65F86F1A" w14:textId="77777777" w:rsidR="00A63D1D" w:rsidRPr="00FA4573" w:rsidRDefault="00A63D1D" w:rsidP="00A63D1D">
      <w:pPr>
        <w:pStyle w:val="CEONormal"/>
        <w:rPr>
          <w:rFonts w:asciiTheme="minorHAnsi" w:hAnsiTheme="minorHAnsi" w:cstheme="minorHAnsi"/>
          <w:sz w:val="24"/>
          <w:szCs w:val="24"/>
        </w:rPr>
      </w:pPr>
      <w:r w:rsidRPr="00FA4573">
        <w:rPr>
          <w:rFonts w:asciiTheme="minorHAnsi" w:hAnsiTheme="minorHAnsi" w:cstheme="minorHAnsi"/>
          <w:sz w:val="24"/>
          <w:szCs w:val="24"/>
        </w:rPr>
        <w:t>Finally, the seven Rapporteur Groups held management team meetings at their own level to ensure coordination and fulfil their Question mandates.</w:t>
      </w:r>
    </w:p>
    <w:p w14:paraId="06CB3368" w14:textId="77777777" w:rsidR="00A63D1D" w:rsidRPr="00FA4573" w:rsidRDefault="00A63D1D" w:rsidP="00A63D1D">
      <w:pPr>
        <w:pStyle w:val="Heading2"/>
        <w:spacing w:after="120"/>
      </w:pPr>
      <w:r w:rsidRPr="00FA4573">
        <w:t>Study Group 2 meetings</w:t>
      </w:r>
    </w:p>
    <w:p w14:paraId="3C7FD308" w14:textId="77777777" w:rsidR="00A63D1D" w:rsidRPr="00FA4573" w:rsidRDefault="00A63D1D" w:rsidP="00A63D1D">
      <w:pPr>
        <w:rPr>
          <w:rFonts w:eastAsia="Malgun Gothic"/>
          <w:lang w:eastAsia="ko-KR"/>
        </w:rPr>
      </w:pPr>
      <w:r w:rsidRPr="00FA4573">
        <w:rPr>
          <w:rStyle w:val="Appref"/>
        </w:rPr>
        <w:t>During the course of the study period, Study Group 2 met</w:t>
      </w:r>
      <w:r w:rsidRPr="00FA4573">
        <w:rPr>
          <w:rStyle w:val="Appref"/>
          <w:rFonts w:eastAsia="Malgun Gothic"/>
          <w:lang w:eastAsia="ko-KR"/>
        </w:rPr>
        <w:t xml:space="preserve"> six</w:t>
      </w:r>
      <w:r w:rsidRPr="00FA4573">
        <w:rPr>
          <w:rStyle w:val="Appref"/>
        </w:rPr>
        <w:t xml:space="preserve"> times.</w:t>
      </w:r>
      <w:r w:rsidRPr="00FA4573">
        <w:rPr>
          <w:rStyle w:val="Appref"/>
          <w:rFonts w:eastAsia="Malgun Gothic"/>
          <w:lang w:eastAsia="ko-KR"/>
        </w:rPr>
        <w:t xml:space="preserve"> Four</w:t>
      </w:r>
      <w:r w:rsidRPr="00FA4573">
        <w:rPr>
          <w:rStyle w:val="Appref"/>
        </w:rPr>
        <w:t xml:space="preserve"> annual meetings were held in </w:t>
      </w:r>
      <w:r w:rsidRPr="00FA4573">
        <w:rPr>
          <w:rStyle w:val="Appref"/>
          <w:rFonts w:eastAsia="Malgun Gothic"/>
          <w:lang w:eastAsia="ko-KR"/>
        </w:rPr>
        <w:t>December</w:t>
      </w:r>
      <w:r w:rsidRPr="00FA4573">
        <w:rPr>
          <w:rStyle w:val="Appref"/>
        </w:rPr>
        <w:t xml:space="preserve"> 20</w:t>
      </w:r>
      <w:r w:rsidRPr="00FA4573">
        <w:rPr>
          <w:rStyle w:val="Appref"/>
          <w:rFonts w:eastAsia="Malgun Gothic"/>
          <w:lang w:eastAsia="ko-KR"/>
        </w:rPr>
        <w:t>22</w:t>
      </w:r>
      <w:r w:rsidRPr="00FA4573">
        <w:rPr>
          <w:rStyle w:val="Appref"/>
        </w:rPr>
        <w:t xml:space="preserve">, </w:t>
      </w:r>
      <w:r w:rsidRPr="00FA4573">
        <w:rPr>
          <w:rStyle w:val="Appref"/>
          <w:rFonts w:eastAsia="Malgun Gothic"/>
          <w:lang w:eastAsia="ko-KR"/>
        </w:rPr>
        <w:t>October-November</w:t>
      </w:r>
      <w:r w:rsidRPr="00FA4573">
        <w:rPr>
          <w:rStyle w:val="Appref"/>
        </w:rPr>
        <w:t xml:space="preserve"> 20</w:t>
      </w:r>
      <w:r w:rsidRPr="00FA4573">
        <w:rPr>
          <w:rStyle w:val="Appref"/>
          <w:rFonts w:eastAsia="Malgun Gothic"/>
          <w:lang w:eastAsia="ko-KR"/>
        </w:rPr>
        <w:t>23, November 2024 and May 2025</w:t>
      </w:r>
      <w:r w:rsidRPr="00FA4573">
        <w:rPr>
          <w:rStyle w:val="Appref"/>
        </w:rPr>
        <w:t>.</w:t>
      </w:r>
      <w:r w:rsidRPr="00FA4573">
        <w:rPr>
          <w:rFonts w:eastAsia="Malgun Gothic"/>
          <w:lang w:eastAsia="ko-KR"/>
        </w:rPr>
        <w:t xml:space="preserve"> </w:t>
      </w:r>
      <w:r w:rsidRPr="00FA4573">
        <w:t xml:space="preserve">The </w:t>
      </w:r>
      <w:r w:rsidRPr="00FA4573">
        <w:rPr>
          <w:rStyle w:val="Appref"/>
        </w:rPr>
        <w:t xml:space="preserve">Rapporteur Groups met in total </w:t>
      </w:r>
      <w:r w:rsidRPr="00FA4573">
        <w:rPr>
          <w:rStyle w:val="Appref"/>
          <w:rFonts w:eastAsia="Malgun Gothic"/>
          <w:lang w:eastAsia="ko-KR"/>
        </w:rPr>
        <w:t>six</w:t>
      </w:r>
      <w:r w:rsidRPr="00FA4573">
        <w:rPr>
          <w:rStyle w:val="Appref"/>
        </w:rPr>
        <w:t xml:space="preserve"> times during this study period, both during each annual Study Group meeting and separately in </w:t>
      </w:r>
      <w:r w:rsidRPr="00FA4573">
        <w:rPr>
          <w:rStyle w:val="Appref"/>
          <w:rFonts w:eastAsia="Malgun Gothic"/>
          <w:lang w:eastAsia="ko-KR"/>
        </w:rPr>
        <w:t>May-June 2023</w:t>
      </w:r>
      <w:r w:rsidRPr="00FA4573">
        <w:rPr>
          <w:rStyle w:val="Appref"/>
        </w:rPr>
        <w:t xml:space="preserve"> and </w:t>
      </w:r>
      <w:r w:rsidRPr="00FA4573">
        <w:rPr>
          <w:rStyle w:val="Appref"/>
          <w:rFonts w:eastAsia="Malgun Gothic"/>
          <w:lang w:eastAsia="ko-KR"/>
        </w:rPr>
        <w:t>April-May 2024</w:t>
      </w:r>
      <w:r w:rsidRPr="00FA4573">
        <w:rPr>
          <w:rFonts w:eastAsia="Malgun Gothic"/>
          <w:lang w:eastAsia="ko-KR"/>
        </w:rPr>
        <w:t>.</w:t>
      </w:r>
      <w:r w:rsidRPr="00FA4573">
        <w:t xml:space="preserve">  </w:t>
      </w:r>
    </w:p>
    <w:p w14:paraId="0ECFA0DE" w14:textId="77777777" w:rsidR="00A63D1D" w:rsidRPr="00FA4573" w:rsidRDefault="00A63D1D" w:rsidP="00A63D1D">
      <w:pPr>
        <w:spacing w:after="120"/>
      </w:pPr>
      <w:r w:rsidRPr="00FA4573">
        <w:rPr>
          <w:rStyle w:val="Appref"/>
          <w:b/>
          <w:bCs/>
        </w:rPr>
        <w:t>Annex 3</w:t>
      </w:r>
      <w:r w:rsidRPr="00FA4573">
        <w:rPr>
          <w:rStyle w:val="Appref"/>
        </w:rPr>
        <w:t xml:space="preserve"> presents the dates of the Study Group and Rapporteur Group meetings held during this study period. A substantial amount of the work was also carried out electronically and by correspondence in between the physical meetings.</w:t>
      </w:r>
    </w:p>
    <w:p w14:paraId="4E5B18A6" w14:textId="77777777" w:rsidR="00A63D1D" w:rsidRPr="00FA4573" w:rsidRDefault="00A63D1D" w:rsidP="00A63D1D">
      <w:pPr>
        <w:pStyle w:val="Heading3"/>
        <w:rPr>
          <w:rFonts w:cstheme="minorHAnsi"/>
        </w:rPr>
      </w:pPr>
      <w:r w:rsidRPr="00FA4573">
        <w:t>First annual SG2 meeting</w:t>
      </w:r>
    </w:p>
    <w:p w14:paraId="17CD7465" w14:textId="77777777" w:rsidR="00A63D1D" w:rsidRPr="00FA4573" w:rsidRDefault="00A63D1D" w:rsidP="00A63D1D">
      <w:pPr>
        <w:pStyle w:val="CEONormal"/>
        <w:rPr>
          <w:rFonts w:asciiTheme="minorHAnsi" w:hAnsiTheme="minorHAnsi" w:cstheme="minorHAnsi"/>
          <w:sz w:val="24"/>
          <w:szCs w:val="24"/>
        </w:rPr>
      </w:pPr>
      <w:r w:rsidRPr="00FA4573">
        <w:rPr>
          <w:sz w:val="24"/>
          <w:szCs w:val="24"/>
        </w:rPr>
        <w:t xml:space="preserve">The meeting was held in Geneva from </w:t>
      </w:r>
      <w:r w:rsidRPr="00FA4573">
        <w:rPr>
          <w:rFonts w:eastAsia="Malgun Gothic"/>
          <w:sz w:val="24"/>
          <w:szCs w:val="24"/>
          <w:lang w:eastAsia="ko-KR"/>
        </w:rPr>
        <w:t>5</w:t>
      </w:r>
      <w:r w:rsidRPr="00FA4573">
        <w:rPr>
          <w:sz w:val="24"/>
          <w:szCs w:val="24"/>
        </w:rPr>
        <w:t xml:space="preserve"> to </w:t>
      </w:r>
      <w:r w:rsidRPr="00FA4573">
        <w:rPr>
          <w:rFonts w:eastAsia="Malgun Gothic"/>
          <w:sz w:val="24"/>
          <w:szCs w:val="24"/>
          <w:lang w:eastAsia="ko-KR"/>
        </w:rPr>
        <w:t>9</w:t>
      </w:r>
      <w:r w:rsidRPr="00FA4573">
        <w:rPr>
          <w:sz w:val="24"/>
          <w:szCs w:val="24"/>
        </w:rPr>
        <w:t xml:space="preserve"> </w:t>
      </w:r>
      <w:r w:rsidRPr="00FA4573">
        <w:rPr>
          <w:rFonts w:eastAsia="Malgun Gothic"/>
          <w:sz w:val="24"/>
          <w:szCs w:val="24"/>
          <w:lang w:eastAsia="ko-KR"/>
        </w:rPr>
        <w:t>December</w:t>
      </w:r>
      <w:r w:rsidRPr="00FA4573">
        <w:rPr>
          <w:sz w:val="24"/>
          <w:szCs w:val="24"/>
        </w:rPr>
        <w:t xml:space="preserve"> 20</w:t>
      </w:r>
      <w:r w:rsidRPr="00FA4573">
        <w:rPr>
          <w:rFonts w:eastAsia="Malgun Gothic"/>
          <w:sz w:val="24"/>
          <w:szCs w:val="24"/>
          <w:lang w:eastAsia="ko-KR"/>
        </w:rPr>
        <w:t>22</w:t>
      </w:r>
      <w:r w:rsidRPr="00FA4573">
        <w:rPr>
          <w:sz w:val="24"/>
          <w:szCs w:val="24"/>
        </w:rPr>
        <w:t>. The meeting took the following main actions and decisions</w:t>
      </w:r>
      <w:r w:rsidRPr="00FA4573">
        <w:rPr>
          <w:rFonts w:asciiTheme="minorHAnsi" w:hAnsiTheme="minorHAnsi" w:cstheme="minorHAnsi"/>
          <w:sz w:val="24"/>
          <w:szCs w:val="24"/>
        </w:rPr>
        <w:t>:</w:t>
      </w:r>
    </w:p>
    <w:p w14:paraId="3FF7033C" w14:textId="77777777" w:rsidR="00A63D1D" w:rsidRPr="00FA4573" w:rsidRDefault="00A63D1D" w:rsidP="00A63D1D">
      <w:pPr>
        <w:pStyle w:val="ListParagraph"/>
        <w:numPr>
          <w:ilvl w:val="0"/>
          <w:numId w:val="5"/>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bCs/>
        </w:rPr>
        <w:t>Reviewed the main outcomes from the previous 20</w:t>
      </w:r>
      <w:r w:rsidRPr="00FA4573">
        <w:rPr>
          <w:rFonts w:eastAsia="Malgun Gothic"/>
          <w:bCs/>
          <w:lang w:eastAsia="ko-KR"/>
        </w:rPr>
        <w:t>18</w:t>
      </w:r>
      <w:r w:rsidRPr="00FA4573">
        <w:rPr>
          <w:bCs/>
        </w:rPr>
        <w:t>-20</w:t>
      </w:r>
      <w:r w:rsidRPr="00FA4573">
        <w:rPr>
          <w:rFonts w:eastAsia="Malgun Gothic"/>
          <w:bCs/>
          <w:lang w:eastAsia="ko-KR"/>
        </w:rPr>
        <w:t>21</w:t>
      </w:r>
      <w:r w:rsidRPr="00FA4573">
        <w:rPr>
          <w:bCs/>
        </w:rPr>
        <w:t xml:space="preserve"> study period, SG2 work plan and expectations for the 20</w:t>
      </w:r>
      <w:r w:rsidRPr="00FA4573">
        <w:rPr>
          <w:rFonts w:eastAsia="Malgun Gothic"/>
          <w:bCs/>
          <w:lang w:eastAsia="ko-KR"/>
        </w:rPr>
        <w:t>22</w:t>
      </w:r>
      <w:r w:rsidRPr="00FA4573">
        <w:rPr>
          <w:bCs/>
        </w:rPr>
        <w:t>-202</w:t>
      </w:r>
      <w:r w:rsidRPr="00FA4573">
        <w:rPr>
          <w:rFonts w:eastAsia="Malgun Gothic"/>
          <w:bCs/>
          <w:lang w:eastAsia="ko-KR"/>
        </w:rPr>
        <w:t>5</w:t>
      </w:r>
      <w:r w:rsidRPr="00FA4573">
        <w:rPr>
          <w:bCs/>
        </w:rPr>
        <w:t xml:space="preserve"> study period;</w:t>
      </w:r>
    </w:p>
    <w:p w14:paraId="0243E5A6" w14:textId="77777777" w:rsidR="00A63D1D" w:rsidRPr="00FA4573" w:rsidRDefault="00A63D1D" w:rsidP="00A63D1D">
      <w:pPr>
        <w:pStyle w:val="ListParagraph"/>
        <w:numPr>
          <w:ilvl w:val="0"/>
          <w:numId w:val="5"/>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bCs/>
        </w:rPr>
        <w:t>Appointed new (Co-)Rapporteurs and Vice-Rapporteurs to lead the Questions under study;</w:t>
      </w:r>
    </w:p>
    <w:p w14:paraId="01CDC469" w14:textId="77777777" w:rsidR="00A63D1D" w:rsidRPr="00FA4573" w:rsidRDefault="00A63D1D" w:rsidP="00A63D1D">
      <w:pPr>
        <w:pStyle w:val="ListParagraph"/>
        <w:numPr>
          <w:ilvl w:val="0"/>
          <w:numId w:val="5"/>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rFonts w:eastAsia="Malgun Gothic"/>
          <w:bCs/>
          <w:lang w:eastAsia="ko-KR"/>
        </w:rPr>
        <w:t>Assigned coordinators (mostly Vice-Chairs) for specific topics of interest;</w:t>
      </w:r>
    </w:p>
    <w:p w14:paraId="4DF49EFA" w14:textId="77777777" w:rsidR="00A63D1D" w:rsidRPr="00FA4573" w:rsidRDefault="00A63D1D" w:rsidP="00A63D1D">
      <w:pPr>
        <w:pStyle w:val="ListParagraph"/>
        <w:numPr>
          <w:ilvl w:val="0"/>
          <w:numId w:val="5"/>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rFonts w:eastAsia="Malgun Gothic"/>
          <w:bCs/>
          <w:lang w:eastAsia="ko-KR"/>
        </w:rPr>
        <w:t>Developed</w:t>
      </w:r>
      <w:r w:rsidRPr="00FA4573">
        <w:rPr>
          <w:bCs/>
        </w:rPr>
        <w:t xml:space="preserve"> draft work plans and tables of contents for each Question to start the work;</w:t>
      </w:r>
    </w:p>
    <w:p w14:paraId="3C83BB73" w14:textId="77777777" w:rsidR="00A63D1D" w:rsidRPr="00FA4573" w:rsidRDefault="00A63D1D" w:rsidP="00A63D1D">
      <w:pPr>
        <w:pStyle w:val="ListParagraph"/>
        <w:numPr>
          <w:ilvl w:val="0"/>
          <w:numId w:val="5"/>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rFonts w:eastAsia="Malgun Gothic"/>
          <w:bCs/>
          <w:lang w:eastAsia="ko-KR"/>
        </w:rPr>
        <w:lastRenderedPageBreak/>
        <w:t xml:space="preserve">Organized an onboarding session which </w:t>
      </w:r>
      <w:r w:rsidRPr="00FA4573">
        <w:rPr>
          <w:bCs/>
        </w:rPr>
        <w:t>provid</w:t>
      </w:r>
      <w:r w:rsidRPr="00FA4573">
        <w:rPr>
          <w:rFonts w:eastAsia="Malgun Gothic"/>
          <w:bCs/>
          <w:lang w:eastAsia="ko-KR"/>
        </w:rPr>
        <w:t>ed</w:t>
      </w:r>
      <w:r w:rsidRPr="00FA4573">
        <w:rPr>
          <w:bCs/>
        </w:rPr>
        <w:t xml:space="preserve"> an overview of the study groups and information to help them </w:t>
      </w:r>
      <w:r w:rsidRPr="00FA4573">
        <w:rPr>
          <w:rFonts w:eastAsia="Malgun Gothic"/>
          <w:bCs/>
          <w:lang w:eastAsia="ko-KR"/>
        </w:rPr>
        <w:t>getting</w:t>
      </w:r>
      <w:r w:rsidRPr="00FA4573">
        <w:rPr>
          <w:bCs/>
        </w:rPr>
        <w:t xml:space="preserve"> involved in the activities of the study groups</w:t>
      </w:r>
      <w:r w:rsidRPr="00FA4573">
        <w:rPr>
          <w:rFonts w:eastAsia="Malgun Gothic"/>
          <w:bCs/>
          <w:lang w:eastAsia="ko-KR"/>
        </w:rPr>
        <w:t xml:space="preserve"> (</w:t>
      </w:r>
      <w:hyperlink r:id="rId29" w:history="1">
        <w:r w:rsidRPr="00FA4573">
          <w:rPr>
            <w:rStyle w:val="Hyperlink"/>
            <w:rFonts w:eastAsia="Malgun Gothic"/>
            <w:bCs/>
            <w:lang w:eastAsia="ko-KR"/>
          </w:rPr>
          <w:t>presentation</w:t>
        </w:r>
      </w:hyperlink>
      <w:r w:rsidRPr="00FA4573">
        <w:rPr>
          <w:rFonts w:eastAsia="Malgun Gothic"/>
          <w:bCs/>
          <w:lang w:eastAsia="ko-KR"/>
        </w:rPr>
        <w:t>);</w:t>
      </w:r>
    </w:p>
    <w:p w14:paraId="24BB0CC9" w14:textId="77777777" w:rsidR="00A63D1D" w:rsidRPr="00FA4573" w:rsidRDefault="00A63D1D" w:rsidP="00A63D1D">
      <w:pPr>
        <w:pStyle w:val="ListParagraph"/>
        <w:numPr>
          <w:ilvl w:val="0"/>
          <w:numId w:val="5"/>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rFonts w:eastAsia="Malgun Gothic"/>
          <w:bCs/>
          <w:lang w:eastAsia="ko-KR"/>
        </w:rPr>
        <w:t>E</w:t>
      </w:r>
      <w:r w:rsidRPr="00FA4573">
        <w:rPr>
          <w:bCs/>
        </w:rPr>
        <w:t>xplored</w:t>
      </w:r>
      <w:r w:rsidRPr="00FA4573">
        <w:rPr>
          <w:rFonts w:eastAsia="Malgun Gothic"/>
          <w:bCs/>
          <w:lang w:eastAsia="ko-KR"/>
        </w:rPr>
        <w:t xml:space="preserve"> several topics for future collaboration, including</w:t>
      </w:r>
      <w:r w:rsidRPr="00FA4573">
        <w:rPr>
          <w:bCs/>
        </w:rPr>
        <w:t xml:space="preserve"> with other ITU Sectors</w:t>
      </w:r>
      <w:r w:rsidRPr="00FA4573">
        <w:rPr>
          <w:rFonts w:eastAsia="Malgun Gothic"/>
          <w:bCs/>
          <w:lang w:eastAsia="ko-KR"/>
        </w:rPr>
        <w:t xml:space="preserve">, </w:t>
      </w:r>
      <w:r w:rsidRPr="00FA4573">
        <w:rPr>
          <w:bCs/>
        </w:rPr>
        <w:t xml:space="preserve">WTDC Resolution 9 (Rev. Kigali, 2022), </w:t>
      </w:r>
      <w:r w:rsidRPr="00FA4573">
        <w:rPr>
          <w:rFonts w:eastAsia="Malgun Gothic"/>
          <w:bCs/>
          <w:lang w:eastAsia="ko-KR"/>
        </w:rPr>
        <w:t xml:space="preserve">as well as </w:t>
      </w:r>
      <w:r w:rsidRPr="00FA4573">
        <w:rPr>
          <w:bCs/>
        </w:rPr>
        <w:t>synergi</w:t>
      </w:r>
      <w:r w:rsidRPr="00FA4573">
        <w:rPr>
          <w:rFonts w:eastAsia="Malgun Gothic"/>
          <w:bCs/>
          <w:lang w:eastAsia="ko-KR"/>
        </w:rPr>
        <w:t xml:space="preserve">es on statistics activities and </w:t>
      </w:r>
      <w:r w:rsidRPr="00FA4573">
        <w:rPr>
          <w:bCs/>
        </w:rPr>
        <w:t>BDT projects</w:t>
      </w:r>
      <w:r w:rsidRPr="00FA4573">
        <w:rPr>
          <w:rFonts w:eastAsia="Malgun Gothic"/>
          <w:bCs/>
          <w:lang w:eastAsia="ko-KR"/>
        </w:rPr>
        <w:t>.</w:t>
      </w:r>
    </w:p>
    <w:p w14:paraId="36E644FA" w14:textId="77777777" w:rsidR="00A63D1D" w:rsidRPr="00FA4573" w:rsidRDefault="00A63D1D" w:rsidP="00A63D1D">
      <w:pPr>
        <w:pStyle w:val="CEONormal"/>
        <w:rPr>
          <w:rFonts w:asciiTheme="minorHAnsi" w:hAnsiTheme="minorHAnsi" w:cstheme="minorHAnsi"/>
          <w:sz w:val="24"/>
          <w:szCs w:val="24"/>
        </w:rPr>
      </w:pPr>
      <w:r w:rsidRPr="00FA4573">
        <w:rPr>
          <w:sz w:val="24"/>
          <w:szCs w:val="24"/>
        </w:rPr>
        <w:t xml:space="preserve">The report of this meeting is available in Document </w:t>
      </w:r>
      <w:hyperlink r:id="rId30" w:history="1">
        <w:r w:rsidRPr="00FA4573">
          <w:rPr>
            <w:rStyle w:val="Hyperlink"/>
            <w:sz w:val="24"/>
            <w:szCs w:val="24"/>
          </w:rPr>
          <w:t>2/REP/8</w:t>
        </w:r>
      </w:hyperlink>
      <w:r w:rsidRPr="00FA4573">
        <w:rPr>
          <w:sz w:val="24"/>
          <w:szCs w:val="24"/>
        </w:rPr>
        <w:t>.</w:t>
      </w:r>
    </w:p>
    <w:p w14:paraId="3AF0E903" w14:textId="77777777" w:rsidR="00A63D1D" w:rsidRPr="00FA4573" w:rsidRDefault="00A63D1D" w:rsidP="00A63D1D">
      <w:pPr>
        <w:pStyle w:val="Heading3"/>
        <w:rPr>
          <w:rFonts w:cstheme="minorHAnsi"/>
        </w:rPr>
      </w:pPr>
      <w:r w:rsidRPr="00FA4573">
        <w:t>Second annual SG2 meeting</w:t>
      </w:r>
    </w:p>
    <w:p w14:paraId="4727E8CA" w14:textId="77777777" w:rsidR="00A63D1D" w:rsidRPr="00FA4573" w:rsidRDefault="00A63D1D" w:rsidP="00A63D1D">
      <w:pPr>
        <w:pStyle w:val="CEONormal"/>
        <w:rPr>
          <w:rFonts w:asciiTheme="minorHAnsi" w:hAnsiTheme="minorHAnsi" w:cstheme="minorHAnsi"/>
          <w:sz w:val="24"/>
          <w:szCs w:val="24"/>
        </w:rPr>
      </w:pPr>
      <w:r w:rsidRPr="00FA4573">
        <w:rPr>
          <w:sz w:val="24"/>
          <w:szCs w:val="24"/>
        </w:rPr>
        <w:t xml:space="preserve">The meeting was held in Geneva from </w:t>
      </w:r>
      <w:r w:rsidRPr="00FA4573">
        <w:rPr>
          <w:rFonts w:eastAsia="Malgun Gothic"/>
          <w:sz w:val="24"/>
          <w:szCs w:val="24"/>
          <w:lang w:eastAsia="ko-KR"/>
        </w:rPr>
        <w:t>30 October</w:t>
      </w:r>
      <w:r w:rsidRPr="00FA4573">
        <w:rPr>
          <w:sz w:val="24"/>
          <w:szCs w:val="24"/>
        </w:rPr>
        <w:t xml:space="preserve"> to </w:t>
      </w:r>
      <w:r w:rsidRPr="00FA4573">
        <w:rPr>
          <w:rFonts w:eastAsia="Malgun Gothic"/>
          <w:sz w:val="24"/>
          <w:szCs w:val="24"/>
          <w:lang w:eastAsia="ko-KR"/>
        </w:rPr>
        <w:t>3</w:t>
      </w:r>
      <w:r w:rsidRPr="00FA4573">
        <w:rPr>
          <w:sz w:val="24"/>
          <w:szCs w:val="24"/>
        </w:rPr>
        <w:t xml:space="preserve"> </w:t>
      </w:r>
      <w:r w:rsidRPr="00FA4573">
        <w:rPr>
          <w:rFonts w:eastAsia="Malgun Gothic"/>
          <w:sz w:val="24"/>
          <w:szCs w:val="24"/>
          <w:lang w:eastAsia="ko-KR"/>
        </w:rPr>
        <w:t>November</w:t>
      </w:r>
      <w:r w:rsidRPr="00FA4573">
        <w:rPr>
          <w:sz w:val="24"/>
          <w:szCs w:val="24"/>
        </w:rPr>
        <w:t xml:space="preserve"> 20</w:t>
      </w:r>
      <w:r w:rsidRPr="00FA4573">
        <w:rPr>
          <w:rFonts w:eastAsia="Malgun Gothic"/>
          <w:sz w:val="24"/>
          <w:szCs w:val="24"/>
          <w:lang w:eastAsia="ko-KR"/>
        </w:rPr>
        <w:t>23</w:t>
      </w:r>
      <w:r w:rsidRPr="00FA4573">
        <w:rPr>
          <w:sz w:val="24"/>
          <w:szCs w:val="24"/>
        </w:rPr>
        <w:t>, and took the following main actions</w:t>
      </w:r>
      <w:r w:rsidRPr="00FA4573">
        <w:rPr>
          <w:rFonts w:asciiTheme="minorHAnsi" w:hAnsiTheme="minorHAnsi" w:cstheme="minorHAnsi"/>
          <w:sz w:val="24"/>
          <w:szCs w:val="24"/>
        </w:rPr>
        <w:t>:</w:t>
      </w:r>
    </w:p>
    <w:p w14:paraId="611A58E9" w14:textId="77777777" w:rsidR="00A63D1D" w:rsidRPr="00FA4573" w:rsidRDefault="00A63D1D" w:rsidP="00A63D1D">
      <w:pPr>
        <w:pStyle w:val="ListParagraph"/>
        <w:numPr>
          <w:ilvl w:val="0"/>
          <w:numId w:val="5"/>
        </w:numPr>
        <w:tabs>
          <w:tab w:val="clear" w:pos="1134"/>
          <w:tab w:val="clear" w:pos="1871"/>
          <w:tab w:val="left" w:pos="794"/>
          <w:tab w:val="left" w:pos="1191"/>
          <w:tab w:val="left" w:pos="1588"/>
          <w:tab w:val="left" w:pos="1985"/>
        </w:tabs>
        <w:spacing w:before="60" w:after="60"/>
        <w:ind w:left="714" w:hanging="357"/>
        <w:contextualSpacing w:val="0"/>
        <w:textAlignment w:val="auto"/>
        <w:rPr>
          <w:bCs/>
        </w:rPr>
      </w:pPr>
      <w:r w:rsidRPr="00FA4573">
        <w:rPr>
          <w:bCs/>
        </w:rPr>
        <w:t xml:space="preserve">Appointed </w:t>
      </w:r>
      <w:r w:rsidRPr="00FA4573">
        <w:rPr>
          <w:rFonts w:eastAsia="Malgun Gothic"/>
          <w:bCs/>
          <w:lang w:eastAsia="ko-KR"/>
        </w:rPr>
        <w:t xml:space="preserve">1 Vice-Chair (Europe region), 3 </w:t>
      </w:r>
      <w:r w:rsidRPr="00FA4573">
        <w:rPr>
          <w:bCs/>
        </w:rPr>
        <w:t xml:space="preserve">Co-Rapporteurs and </w:t>
      </w:r>
      <w:r w:rsidRPr="00FA4573">
        <w:rPr>
          <w:rFonts w:eastAsia="Malgun Gothic"/>
          <w:bCs/>
          <w:lang w:eastAsia="ko-KR"/>
        </w:rPr>
        <w:t xml:space="preserve">1 </w:t>
      </w:r>
      <w:r w:rsidRPr="00FA4573">
        <w:rPr>
          <w:bCs/>
        </w:rPr>
        <w:t xml:space="preserve">Vice-Rapporteur to reinforce the management teams, </w:t>
      </w:r>
      <w:r w:rsidRPr="00FA4573">
        <w:rPr>
          <w:bCs/>
          <w:lang w:eastAsia="ko-KR"/>
        </w:rPr>
        <w:t xml:space="preserve">after </w:t>
      </w:r>
      <w:r w:rsidRPr="00FA4573">
        <w:rPr>
          <w:bCs/>
        </w:rPr>
        <w:t xml:space="preserve">the previous role bearers </w:t>
      </w:r>
      <w:r w:rsidRPr="00FA4573">
        <w:rPr>
          <w:bCs/>
          <w:lang w:eastAsia="ko-KR"/>
        </w:rPr>
        <w:t xml:space="preserve">stepped down </w:t>
      </w:r>
      <w:r w:rsidRPr="00FA4573">
        <w:rPr>
          <w:bCs/>
        </w:rPr>
        <w:t>due to career movements</w:t>
      </w:r>
      <w:r w:rsidRPr="00FA4573">
        <w:rPr>
          <w:rFonts w:eastAsia="Malgun Gothic"/>
          <w:bCs/>
          <w:lang w:eastAsia="ko-KR"/>
        </w:rPr>
        <w:t>;</w:t>
      </w:r>
    </w:p>
    <w:p w14:paraId="4AD1C014" w14:textId="77777777" w:rsidR="00A63D1D" w:rsidRPr="00FA4573" w:rsidRDefault="00A63D1D" w:rsidP="00A63D1D">
      <w:pPr>
        <w:pStyle w:val="ListParagraph"/>
        <w:numPr>
          <w:ilvl w:val="0"/>
          <w:numId w:val="5"/>
        </w:numPr>
        <w:tabs>
          <w:tab w:val="clear" w:pos="1134"/>
          <w:tab w:val="clear" w:pos="1871"/>
          <w:tab w:val="left" w:pos="794"/>
          <w:tab w:val="left" w:pos="1191"/>
          <w:tab w:val="left" w:pos="1588"/>
          <w:tab w:val="left" w:pos="1985"/>
        </w:tabs>
        <w:spacing w:before="60" w:after="60"/>
        <w:ind w:left="714" w:hanging="357"/>
        <w:contextualSpacing w:val="0"/>
        <w:textAlignment w:val="auto"/>
        <w:rPr>
          <w:bCs/>
        </w:rPr>
      </w:pPr>
      <w:r w:rsidRPr="00FA4573">
        <w:rPr>
          <w:bCs/>
        </w:rPr>
        <w:t xml:space="preserve">Approved </w:t>
      </w:r>
      <w:r w:rsidRPr="00FA4573">
        <w:rPr>
          <w:rFonts w:eastAsia="Malgun Gothic"/>
          <w:bCs/>
          <w:lang w:eastAsia="ko-KR"/>
        </w:rPr>
        <w:t>an interim</w:t>
      </w:r>
      <w:r w:rsidRPr="00FA4573">
        <w:rPr>
          <w:bCs/>
        </w:rPr>
        <w:t xml:space="preserve"> deliverable from Question </w:t>
      </w:r>
      <w:r w:rsidRPr="00FA4573">
        <w:rPr>
          <w:rFonts w:eastAsia="Malgun Gothic"/>
          <w:bCs/>
          <w:lang w:eastAsia="ko-KR"/>
        </w:rPr>
        <w:t>3</w:t>
      </w:r>
      <w:r w:rsidRPr="00FA4573">
        <w:rPr>
          <w:bCs/>
        </w:rPr>
        <w:t>/2 (“</w:t>
      </w:r>
      <w:r w:rsidRPr="00FA4573">
        <w:rPr>
          <w:rFonts w:eastAsia="Malgun Gothic"/>
          <w:bCs/>
          <w:i/>
          <w:iCs/>
          <w:lang w:eastAsia="ko-KR"/>
        </w:rPr>
        <w:t>Cybersecurity assurance practices</w:t>
      </w:r>
      <w:r w:rsidRPr="00FA4573">
        <w:rPr>
          <w:bCs/>
        </w:rPr>
        <w:t>”)</w:t>
      </w:r>
      <w:r w:rsidRPr="00FA4573">
        <w:rPr>
          <w:rFonts w:eastAsia="Malgun Gothic"/>
          <w:bCs/>
          <w:lang w:eastAsia="ko-KR"/>
        </w:rPr>
        <w:t>.</w:t>
      </w:r>
      <w:r w:rsidRPr="00FA4573">
        <w:rPr>
          <w:bCs/>
        </w:rPr>
        <w:t xml:space="preserve"> </w:t>
      </w:r>
      <w:r w:rsidRPr="00FA4573">
        <w:t>This interim deliverable examines the global landscape of cybersecurity assurance across various domains (IoT, telecoms, etc.) by presenting a diverse range of ongoing practices and perspectives from around the world</w:t>
      </w:r>
      <w:r w:rsidRPr="00FA4573">
        <w:rPr>
          <w:bCs/>
        </w:rPr>
        <w:t>;</w:t>
      </w:r>
    </w:p>
    <w:p w14:paraId="6BC2AC82" w14:textId="77777777" w:rsidR="00A63D1D" w:rsidRPr="00FA4573" w:rsidRDefault="00A63D1D" w:rsidP="00A63D1D">
      <w:pPr>
        <w:pStyle w:val="ListParagraph"/>
        <w:numPr>
          <w:ilvl w:val="0"/>
          <w:numId w:val="5"/>
        </w:numPr>
        <w:tabs>
          <w:tab w:val="clear" w:pos="1134"/>
          <w:tab w:val="clear" w:pos="1871"/>
          <w:tab w:val="left" w:pos="794"/>
          <w:tab w:val="left" w:pos="1191"/>
          <w:tab w:val="left" w:pos="1588"/>
          <w:tab w:val="left" w:pos="1985"/>
        </w:tabs>
        <w:spacing w:before="60" w:after="60"/>
        <w:ind w:left="714" w:hanging="357"/>
        <w:contextualSpacing w:val="0"/>
        <w:textAlignment w:val="auto"/>
        <w:rPr>
          <w:bCs/>
        </w:rPr>
      </w:pPr>
      <w:r w:rsidRPr="00FA4573">
        <w:rPr>
          <w:bCs/>
        </w:rPr>
        <w:t>Developed and stabilized mappings between ITU-D Questions and with other ITU Sectors;</w:t>
      </w:r>
    </w:p>
    <w:p w14:paraId="2660F0FD" w14:textId="77777777" w:rsidR="00A63D1D" w:rsidRPr="00FA4573" w:rsidRDefault="00A63D1D" w:rsidP="00A63D1D">
      <w:pPr>
        <w:pStyle w:val="ListParagraph"/>
        <w:numPr>
          <w:ilvl w:val="0"/>
          <w:numId w:val="5"/>
        </w:numPr>
        <w:tabs>
          <w:tab w:val="clear" w:pos="1134"/>
          <w:tab w:val="clear" w:pos="1871"/>
          <w:tab w:val="left" w:pos="794"/>
          <w:tab w:val="left" w:pos="1191"/>
          <w:tab w:val="left" w:pos="1588"/>
          <w:tab w:val="left" w:pos="1985"/>
        </w:tabs>
        <w:spacing w:before="60" w:after="60"/>
        <w:ind w:left="714" w:hanging="357"/>
        <w:contextualSpacing w:val="0"/>
        <w:textAlignment w:val="auto"/>
        <w:rPr>
          <w:bCs/>
        </w:rPr>
      </w:pPr>
      <w:r w:rsidRPr="00FA4573">
        <w:rPr>
          <w:rFonts w:eastAsia="Malgun Gothic" w:cs="Calibri"/>
          <w:bCs/>
          <w:lang w:eastAsia="ko-KR"/>
        </w:rPr>
        <w:t>Held t</w:t>
      </w:r>
      <w:r w:rsidRPr="00FA4573">
        <w:rPr>
          <w:rFonts w:cs="Calibri"/>
          <w:bCs/>
        </w:rPr>
        <w:t>wo information sessions: the first one to showcase the new interim deliverable on cybersecurity assurance practices</w:t>
      </w:r>
      <w:r w:rsidRPr="00FA4573">
        <w:rPr>
          <w:rFonts w:eastAsia="Malgun Gothic" w:cs="Calibri"/>
          <w:bCs/>
          <w:lang w:eastAsia="ko-KR"/>
        </w:rPr>
        <w:t xml:space="preserve"> (</w:t>
      </w:r>
      <w:hyperlink r:id="rId31" w:history="1">
        <w:r w:rsidRPr="00FA4573">
          <w:rPr>
            <w:rStyle w:val="Hyperlink"/>
            <w:rFonts w:eastAsia="Malgun Gothic" w:cs="Calibri"/>
            <w:bCs/>
            <w:lang w:eastAsia="ko-KR"/>
          </w:rPr>
          <w:t>programme</w:t>
        </w:r>
      </w:hyperlink>
      <w:r w:rsidRPr="00FA4573">
        <w:rPr>
          <w:rFonts w:eastAsia="Malgun Gothic" w:cs="Calibri"/>
          <w:bCs/>
          <w:lang w:eastAsia="ko-KR"/>
        </w:rPr>
        <w:t xml:space="preserve">, </w:t>
      </w:r>
      <w:hyperlink r:id="rId32" w:history="1">
        <w:r w:rsidRPr="00FA4573">
          <w:rPr>
            <w:rStyle w:val="Hyperlink"/>
            <w:rFonts w:eastAsia="Malgun Gothic" w:cs="Calibri"/>
            <w:bCs/>
            <w:lang w:eastAsia="ko-KR"/>
          </w:rPr>
          <w:t>report</w:t>
        </w:r>
      </w:hyperlink>
      <w:r w:rsidRPr="00FA4573">
        <w:rPr>
          <w:rFonts w:eastAsia="Malgun Gothic" w:cs="Calibri"/>
          <w:bCs/>
          <w:lang w:eastAsia="ko-KR"/>
        </w:rPr>
        <w:t xml:space="preserve"> (see Annex 5))</w:t>
      </w:r>
      <w:r w:rsidRPr="00FA4573">
        <w:rPr>
          <w:rFonts w:cs="Calibri"/>
          <w:bCs/>
        </w:rPr>
        <w:t xml:space="preserve">, </w:t>
      </w:r>
      <w:r w:rsidRPr="00FA4573">
        <w:rPr>
          <w:rFonts w:eastAsia="Malgun Gothic" w:cs="Calibri"/>
          <w:bCs/>
          <w:lang w:eastAsia="ko-KR"/>
        </w:rPr>
        <w:t xml:space="preserve">and </w:t>
      </w:r>
      <w:r w:rsidRPr="00FA4573">
        <w:rPr>
          <w:rFonts w:cs="Calibri"/>
          <w:bCs/>
        </w:rPr>
        <w:t xml:space="preserve">the second </w:t>
      </w:r>
      <w:r w:rsidRPr="00FA4573">
        <w:rPr>
          <w:rFonts w:eastAsia="Malgun Gothic" w:cs="Calibri"/>
          <w:bCs/>
          <w:lang w:eastAsia="ko-KR"/>
        </w:rPr>
        <w:t>one to present</w:t>
      </w:r>
      <w:r w:rsidRPr="00FA4573">
        <w:rPr>
          <w:rFonts w:cs="Calibri"/>
          <w:bCs/>
        </w:rPr>
        <w:t xml:space="preserve"> selected ITU projects related to digital transformation and their impacts in the field</w:t>
      </w:r>
      <w:r w:rsidRPr="00FA4573">
        <w:rPr>
          <w:rFonts w:eastAsia="Malgun Gothic" w:cs="Calibri"/>
          <w:bCs/>
          <w:lang w:eastAsia="ko-KR"/>
        </w:rPr>
        <w:t xml:space="preserve"> (</w:t>
      </w:r>
      <w:hyperlink r:id="rId33" w:history="1">
        <w:r w:rsidRPr="00FA4573">
          <w:rPr>
            <w:rStyle w:val="Hyperlink"/>
            <w:rFonts w:eastAsia="Malgun Gothic" w:cs="Calibri"/>
            <w:bCs/>
            <w:lang w:eastAsia="ko-KR"/>
          </w:rPr>
          <w:t>programme</w:t>
        </w:r>
      </w:hyperlink>
      <w:r w:rsidRPr="00FA4573">
        <w:rPr>
          <w:rFonts w:eastAsia="Malgun Gothic" w:cs="Calibri"/>
          <w:bCs/>
          <w:lang w:eastAsia="ko-KR"/>
        </w:rPr>
        <w:t xml:space="preserve">, </w:t>
      </w:r>
      <w:hyperlink r:id="rId34" w:history="1">
        <w:r w:rsidRPr="00FA4573">
          <w:rPr>
            <w:rStyle w:val="Hyperlink"/>
            <w:rFonts w:eastAsia="Malgun Gothic" w:cs="Calibri"/>
            <w:bCs/>
            <w:lang w:eastAsia="ko-KR"/>
          </w:rPr>
          <w:t>report</w:t>
        </w:r>
      </w:hyperlink>
      <w:r w:rsidRPr="00FA4573">
        <w:rPr>
          <w:rFonts w:eastAsia="Malgun Gothic" w:cs="Calibri"/>
          <w:bCs/>
          <w:lang w:eastAsia="ko-KR"/>
        </w:rPr>
        <w:t xml:space="preserve"> (see Annex 6))</w:t>
      </w:r>
      <w:r w:rsidRPr="00FA4573">
        <w:rPr>
          <w:rFonts w:cs="Calibri"/>
          <w:bCs/>
        </w:rPr>
        <w:t>.</w:t>
      </w:r>
    </w:p>
    <w:p w14:paraId="7009D3D4" w14:textId="77777777" w:rsidR="00A63D1D" w:rsidRPr="00FA4573" w:rsidRDefault="00A63D1D" w:rsidP="00A63D1D">
      <w:pPr>
        <w:pStyle w:val="ListParagraph"/>
        <w:numPr>
          <w:ilvl w:val="0"/>
          <w:numId w:val="5"/>
        </w:numPr>
        <w:tabs>
          <w:tab w:val="clear" w:pos="1134"/>
          <w:tab w:val="clear" w:pos="1871"/>
          <w:tab w:val="left" w:pos="794"/>
          <w:tab w:val="left" w:pos="1191"/>
          <w:tab w:val="left" w:pos="1588"/>
          <w:tab w:val="left" w:pos="1985"/>
        </w:tabs>
        <w:spacing w:before="60" w:after="60"/>
        <w:ind w:left="714" w:hanging="357"/>
        <w:contextualSpacing w:val="0"/>
        <w:textAlignment w:val="auto"/>
        <w:rPr>
          <w:bCs/>
        </w:rPr>
      </w:pPr>
      <w:r w:rsidRPr="00FA4573">
        <w:rPr>
          <w:rFonts w:eastAsia="Malgun Gothic" w:cs="Calibri"/>
          <w:bCs/>
          <w:lang w:eastAsia="ko-KR"/>
        </w:rPr>
        <w:t xml:space="preserve">Held an informal discussion </w:t>
      </w:r>
      <w:r w:rsidRPr="00FA4573">
        <w:rPr>
          <w:bCs/>
        </w:rPr>
        <w:t>on youth engagement was also held between some youth members and the SG2 management teams, in order to explore how young participants could become more involved in the work of study groups.</w:t>
      </w:r>
    </w:p>
    <w:p w14:paraId="44105584" w14:textId="77777777" w:rsidR="00A63D1D" w:rsidRPr="00FA4573" w:rsidRDefault="00A63D1D" w:rsidP="00A63D1D">
      <w:pPr>
        <w:pStyle w:val="ListParagraph"/>
        <w:numPr>
          <w:ilvl w:val="0"/>
          <w:numId w:val="5"/>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rFonts w:eastAsia="Malgun Gothic"/>
          <w:bCs/>
          <w:lang w:eastAsia="ko-KR"/>
        </w:rPr>
        <w:t>Continued to e</w:t>
      </w:r>
      <w:r w:rsidRPr="00FA4573">
        <w:rPr>
          <w:bCs/>
        </w:rPr>
        <w:t>xplore</w:t>
      </w:r>
      <w:r w:rsidRPr="00FA4573">
        <w:rPr>
          <w:rFonts w:eastAsia="Malgun Gothic"/>
          <w:bCs/>
          <w:lang w:eastAsia="ko-KR"/>
        </w:rPr>
        <w:t xml:space="preserve"> several topics for future collaboration, in particular with the </w:t>
      </w:r>
      <w:r w:rsidRPr="00FA4573">
        <w:t>TSAG rapporteur group on sustainable digital transformation (RG-DT)</w:t>
      </w:r>
      <w:r w:rsidRPr="00FA4573">
        <w:rPr>
          <w:rFonts w:eastAsia="Malgun Gothic"/>
          <w:lang w:eastAsia="ko-KR"/>
        </w:rPr>
        <w:t>, to which a response liaison statement was sent to inform about the activities of SG2.</w:t>
      </w:r>
    </w:p>
    <w:p w14:paraId="41AD7934" w14:textId="77777777" w:rsidR="00A63D1D" w:rsidRPr="00FA4573" w:rsidRDefault="00A63D1D" w:rsidP="00A63D1D">
      <w:pPr>
        <w:tabs>
          <w:tab w:val="clear" w:pos="1134"/>
          <w:tab w:val="clear" w:pos="1871"/>
          <w:tab w:val="clear" w:pos="2268"/>
          <w:tab w:val="left" w:pos="794"/>
          <w:tab w:val="left" w:pos="1191"/>
          <w:tab w:val="left" w:pos="1588"/>
          <w:tab w:val="left" w:pos="1985"/>
        </w:tabs>
        <w:spacing w:after="120"/>
        <w:textAlignment w:val="auto"/>
        <w:rPr>
          <w:bCs/>
        </w:rPr>
      </w:pPr>
      <w:r w:rsidRPr="00FA4573">
        <w:rPr>
          <w:szCs w:val="24"/>
        </w:rPr>
        <w:t xml:space="preserve">The report of this meeting is available in Document </w:t>
      </w:r>
      <w:hyperlink r:id="rId35" w:history="1">
        <w:r w:rsidRPr="00FA4573">
          <w:rPr>
            <w:rStyle w:val="Hyperlink"/>
            <w:szCs w:val="24"/>
          </w:rPr>
          <w:t>2/REP/</w:t>
        </w:r>
        <w:r w:rsidRPr="00FA4573">
          <w:rPr>
            <w:rStyle w:val="Hyperlink"/>
            <w:rFonts w:eastAsia="Malgun Gothic"/>
            <w:szCs w:val="24"/>
            <w:lang w:eastAsia="ko-KR"/>
          </w:rPr>
          <w:t>9</w:t>
        </w:r>
      </w:hyperlink>
      <w:r w:rsidRPr="00FA4573">
        <w:rPr>
          <w:szCs w:val="24"/>
        </w:rPr>
        <w:t>.</w:t>
      </w:r>
    </w:p>
    <w:p w14:paraId="370F87F9" w14:textId="77777777" w:rsidR="00A63D1D" w:rsidRPr="00FA4573" w:rsidRDefault="00A63D1D" w:rsidP="00A63D1D">
      <w:pPr>
        <w:pStyle w:val="Heading3"/>
        <w:rPr>
          <w:rFonts w:cstheme="minorHAnsi"/>
        </w:rPr>
      </w:pPr>
      <w:r w:rsidRPr="00FA4573">
        <w:t>Third annual SG2 meeting</w:t>
      </w:r>
    </w:p>
    <w:p w14:paraId="69E02B41" w14:textId="77777777" w:rsidR="00A63D1D" w:rsidRPr="00FA4573" w:rsidRDefault="00A63D1D" w:rsidP="00A63D1D">
      <w:pPr>
        <w:pStyle w:val="CEONormal"/>
        <w:rPr>
          <w:rFonts w:asciiTheme="minorHAnsi" w:hAnsiTheme="minorHAnsi" w:cstheme="minorHAnsi"/>
          <w:sz w:val="24"/>
          <w:szCs w:val="24"/>
        </w:rPr>
      </w:pPr>
      <w:r w:rsidRPr="00FA4573">
        <w:rPr>
          <w:sz w:val="24"/>
          <w:szCs w:val="24"/>
        </w:rPr>
        <w:t xml:space="preserve">The meeting was held in Geneva from </w:t>
      </w:r>
      <w:r w:rsidRPr="00FA4573">
        <w:rPr>
          <w:rFonts w:eastAsia="Malgun Gothic"/>
          <w:sz w:val="24"/>
          <w:szCs w:val="24"/>
          <w:lang w:eastAsia="ko-KR"/>
        </w:rPr>
        <w:t>11 to 15 November 2024</w:t>
      </w:r>
      <w:r w:rsidRPr="00FA4573">
        <w:rPr>
          <w:sz w:val="24"/>
          <w:szCs w:val="24"/>
        </w:rPr>
        <w:t>. The meeting took the following main actions and decisions</w:t>
      </w:r>
      <w:r w:rsidRPr="00FA4573">
        <w:rPr>
          <w:rFonts w:asciiTheme="minorHAnsi" w:hAnsiTheme="minorHAnsi" w:cstheme="minorHAnsi"/>
          <w:sz w:val="24"/>
          <w:szCs w:val="24"/>
        </w:rPr>
        <w:t>:</w:t>
      </w:r>
    </w:p>
    <w:p w14:paraId="57E8479C" w14:textId="77777777" w:rsidR="00A63D1D" w:rsidRPr="00FA4573"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bCs/>
        </w:rPr>
        <w:t xml:space="preserve">Appointed </w:t>
      </w:r>
      <w:r w:rsidRPr="00FA4573">
        <w:rPr>
          <w:rFonts w:eastAsia="Malgun Gothic"/>
          <w:bCs/>
          <w:lang w:eastAsia="ko-KR"/>
        </w:rPr>
        <w:t>1</w:t>
      </w:r>
      <w:r w:rsidRPr="00FA4573">
        <w:rPr>
          <w:bCs/>
        </w:rPr>
        <w:t xml:space="preserve"> Vice-Chair (CIS region), 1 Co-Rapporteur and </w:t>
      </w:r>
      <w:r w:rsidRPr="00FA4573">
        <w:rPr>
          <w:rFonts w:eastAsia="Malgun Gothic"/>
          <w:bCs/>
          <w:lang w:eastAsia="ko-KR"/>
        </w:rPr>
        <w:t>6</w:t>
      </w:r>
      <w:r w:rsidRPr="00FA4573">
        <w:rPr>
          <w:bCs/>
        </w:rPr>
        <w:t xml:space="preserve"> Vice-Rapporteurs to reinforce the management teams, </w:t>
      </w:r>
      <w:r w:rsidRPr="00FA4573">
        <w:rPr>
          <w:bCs/>
          <w:lang w:eastAsia="ko-KR"/>
        </w:rPr>
        <w:t xml:space="preserve">after </w:t>
      </w:r>
      <w:r w:rsidRPr="00FA4573">
        <w:rPr>
          <w:bCs/>
        </w:rPr>
        <w:t xml:space="preserve">the previous role bearers </w:t>
      </w:r>
      <w:r w:rsidRPr="00FA4573">
        <w:rPr>
          <w:bCs/>
          <w:lang w:eastAsia="ko-KR"/>
        </w:rPr>
        <w:t xml:space="preserve">stepped down </w:t>
      </w:r>
      <w:r w:rsidRPr="00FA4573">
        <w:rPr>
          <w:bCs/>
        </w:rPr>
        <w:t>due to career movements</w:t>
      </w:r>
      <w:r w:rsidRPr="00FA4573">
        <w:rPr>
          <w:rFonts w:eastAsia="Malgun Gothic"/>
          <w:bCs/>
          <w:lang w:eastAsia="ko-KR"/>
        </w:rPr>
        <w:t>;</w:t>
      </w:r>
    </w:p>
    <w:p w14:paraId="05101433" w14:textId="77777777" w:rsidR="00A63D1D" w:rsidRPr="00FA4573" w:rsidRDefault="00A63D1D" w:rsidP="00A63D1D">
      <w:pPr>
        <w:pStyle w:val="ListParagraph"/>
        <w:numPr>
          <w:ilvl w:val="0"/>
          <w:numId w:val="2"/>
        </w:numPr>
        <w:tabs>
          <w:tab w:val="clear" w:pos="1134"/>
          <w:tab w:val="clear" w:pos="1871"/>
          <w:tab w:val="left" w:pos="794"/>
          <w:tab w:val="left" w:pos="1191"/>
          <w:tab w:val="left" w:pos="1588"/>
          <w:tab w:val="left" w:pos="1985"/>
        </w:tabs>
        <w:spacing w:before="60" w:after="60"/>
        <w:ind w:left="714" w:hanging="357"/>
        <w:contextualSpacing w:val="0"/>
        <w:textAlignment w:val="auto"/>
        <w:rPr>
          <w:bCs/>
        </w:rPr>
      </w:pPr>
      <w:r w:rsidRPr="00FA4573">
        <w:rPr>
          <w:bCs/>
        </w:rPr>
        <w:t xml:space="preserve">Approved </w:t>
      </w:r>
      <w:r w:rsidRPr="00FA4573">
        <w:rPr>
          <w:rFonts w:eastAsia="Malgun Gothic"/>
          <w:bCs/>
          <w:lang w:eastAsia="ko-KR"/>
        </w:rPr>
        <w:t>an interim</w:t>
      </w:r>
      <w:r w:rsidRPr="00FA4573">
        <w:rPr>
          <w:bCs/>
        </w:rPr>
        <w:t xml:space="preserve"> deliverable from Question </w:t>
      </w:r>
      <w:r w:rsidRPr="00FA4573">
        <w:rPr>
          <w:rFonts w:eastAsia="Malgun Gothic"/>
          <w:bCs/>
          <w:lang w:eastAsia="ko-KR"/>
        </w:rPr>
        <w:t>3</w:t>
      </w:r>
      <w:r w:rsidRPr="00FA4573">
        <w:rPr>
          <w:bCs/>
        </w:rPr>
        <w:t>/2 (“</w:t>
      </w:r>
      <w:r w:rsidRPr="00FA4573">
        <w:rPr>
          <w:rFonts w:eastAsia="Malgun Gothic"/>
          <w:bCs/>
          <w:i/>
          <w:iCs/>
          <w:lang w:eastAsia="ko-KR"/>
        </w:rPr>
        <w:t>5G cybersecurity</w:t>
      </w:r>
      <w:r w:rsidRPr="00FA4573">
        <w:rPr>
          <w:bCs/>
        </w:rPr>
        <w:t>”)</w:t>
      </w:r>
      <w:r w:rsidRPr="00FA4573">
        <w:rPr>
          <w:rFonts w:eastAsia="Malgun Gothic"/>
          <w:bCs/>
          <w:lang w:eastAsia="ko-KR"/>
        </w:rPr>
        <w:t>.</w:t>
      </w:r>
      <w:r w:rsidRPr="00FA4573">
        <w:rPr>
          <w:bCs/>
        </w:rPr>
        <w:t xml:space="preserve"> </w:t>
      </w:r>
      <w:r w:rsidRPr="00FA4573">
        <w:t xml:space="preserve">This interim deliverable aims to share reflections and good practices on securing 5G networks to assist ITU </w:t>
      </w:r>
      <w:r w:rsidRPr="00FA4573">
        <w:rPr>
          <w:rFonts w:eastAsia="Malgun Gothic"/>
          <w:lang w:eastAsia="ko-KR"/>
        </w:rPr>
        <w:t>m</w:t>
      </w:r>
      <w:r w:rsidRPr="00FA4573">
        <w:t>embership in implementing cybersecurity measures in their national contexts</w:t>
      </w:r>
      <w:r w:rsidRPr="00FA4573">
        <w:rPr>
          <w:bCs/>
        </w:rPr>
        <w:t>;</w:t>
      </w:r>
    </w:p>
    <w:p w14:paraId="54E3AAEA" w14:textId="77777777" w:rsidR="00A63D1D" w:rsidRPr="00FA4573"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textAlignment w:val="auto"/>
        <w:rPr>
          <w:bCs/>
        </w:rPr>
      </w:pPr>
      <w:r w:rsidRPr="00FA4573">
        <w:rPr>
          <w:rFonts w:eastAsia="Malgun Gothic"/>
          <w:bCs/>
          <w:lang w:eastAsia="ko-KR"/>
        </w:rPr>
        <w:t>Reviewed in detail the draft output reports from the seven rapporteur groups, with comments to assist in their finalization and submission for approval;</w:t>
      </w:r>
    </w:p>
    <w:p w14:paraId="3D20AA4D" w14:textId="77777777" w:rsidR="00A63D1D" w:rsidRPr="00FA4573"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textAlignment w:val="auto"/>
        <w:rPr>
          <w:bCs/>
        </w:rPr>
      </w:pPr>
      <w:r w:rsidRPr="00FA4573">
        <w:rPr>
          <w:rFonts w:eastAsia="Malgun Gothic"/>
          <w:bCs/>
          <w:lang w:eastAsia="ko-KR"/>
        </w:rPr>
        <w:t>Continued to e</w:t>
      </w:r>
      <w:r w:rsidRPr="00FA4573">
        <w:rPr>
          <w:bCs/>
        </w:rPr>
        <w:t>xplore</w:t>
      </w:r>
      <w:r w:rsidRPr="00FA4573">
        <w:rPr>
          <w:rFonts w:eastAsia="Malgun Gothic"/>
          <w:bCs/>
          <w:lang w:eastAsia="ko-KR"/>
        </w:rPr>
        <w:t xml:space="preserve"> several topics for future collaboration, in particular with the Industry Advisory Group on Development Issues and Private Sector Chief Regulatory Officers (IAGDI-</w:t>
      </w:r>
      <w:r w:rsidRPr="00FA4573">
        <w:rPr>
          <w:rFonts w:eastAsia="Malgun Gothic"/>
          <w:bCs/>
          <w:lang w:eastAsia="ko-KR"/>
        </w:rPr>
        <w:lastRenderedPageBreak/>
        <w:t xml:space="preserve">CRO), with which SG2 agreed to collaborate in order </w:t>
      </w:r>
      <w:r w:rsidRPr="00FA4573">
        <w:rPr>
          <w:rFonts w:eastAsia="Malgun Gothic"/>
          <w:lang w:eastAsia="ko-KR"/>
        </w:rPr>
        <w:t>to organize a tech talk on the theme of digital transformation;</w:t>
      </w:r>
    </w:p>
    <w:p w14:paraId="293216E7" w14:textId="77777777" w:rsidR="00A63D1D" w:rsidRPr="00FA4573"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textAlignment w:val="auto"/>
        <w:rPr>
          <w:bCs/>
        </w:rPr>
      </w:pPr>
      <w:r w:rsidRPr="00FA4573">
        <w:rPr>
          <w:rFonts w:eastAsia="Malgun Gothic"/>
          <w:bCs/>
          <w:lang w:eastAsia="ko-KR"/>
        </w:rPr>
        <w:t>Reviewed the proposed questions of the end-of-cycle survey (joint with SG1), traditionally done in accordance with WTDC Resolution 1.</w:t>
      </w:r>
    </w:p>
    <w:p w14:paraId="01A567F9" w14:textId="77777777" w:rsidR="00A63D1D" w:rsidRPr="00FA4573" w:rsidRDefault="00A63D1D" w:rsidP="00A63D1D">
      <w:pPr>
        <w:tabs>
          <w:tab w:val="clear" w:pos="1134"/>
          <w:tab w:val="clear" w:pos="1871"/>
          <w:tab w:val="clear" w:pos="2268"/>
          <w:tab w:val="left" w:pos="794"/>
          <w:tab w:val="left" w:pos="1191"/>
          <w:tab w:val="left" w:pos="1588"/>
          <w:tab w:val="left" w:pos="1985"/>
        </w:tabs>
        <w:spacing w:after="120"/>
        <w:textAlignment w:val="auto"/>
        <w:rPr>
          <w:rFonts w:eastAsia="Malgun Gothic"/>
          <w:lang w:eastAsia="ko-KR"/>
        </w:rPr>
      </w:pPr>
      <w:r w:rsidRPr="00FA4573">
        <w:t xml:space="preserve">The report of this meeting is available in Document </w:t>
      </w:r>
      <w:hyperlink r:id="rId36" w:history="1">
        <w:r w:rsidRPr="00FA4573">
          <w:rPr>
            <w:rStyle w:val="Hyperlink"/>
            <w:bCs/>
          </w:rPr>
          <w:t>2/REP/17</w:t>
        </w:r>
      </w:hyperlink>
      <w:r w:rsidRPr="00FA4573">
        <w:t>.</w:t>
      </w:r>
    </w:p>
    <w:p w14:paraId="41927CF2" w14:textId="77777777" w:rsidR="00A63D1D" w:rsidRPr="00FA4573" w:rsidRDefault="00A63D1D" w:rsidP="00A63D1D">
      <w:pPr>
        <w:pStyle w:val="Heading3"/>
        <w:rPr>
          <w:rFonts w:cstheme="minorHAnsi"/>
        </w:rPr>
      </w:pPr>
      <w:r w:rsidRPr="00FA4573">
        <w:t>Fourth annual SG2 meeting</w:t>
      </w:r>
    </w:p>
    <w:p w14:paraId="2BD02051" w14:textId="77777777" w:rsidR="00A63D1D" w:rsidRPr="00FA4573" w:rsidRDefault="00A63D1D" w:rsidP="00A63D1D">
      <w:pPr>
        <w:pStyle w:val="CEONormal"/>
        <w:spacing w:before="60" w:after="0"/>
        <w:rPr>
          <w:rFonts w:asciiTheme="minorHAnsi" w:hAnsiTheme="minorHAnsi" w:cstheme="minorHAnsi"/>
          <w:sz w:val="24"/>
          <w:szCs w:val="24"/>
        </w:rPr>
      </w:pPr>
      <w:r w:rsidRPr="00FA4573">
        <w:rPr>
          <w:sz w:val="24"/>
          <w:szCs w:val="24"/>
        </w:rPr>
        <w:t xml:space="preserve">The meeting was held </w:t>
      </w:r>
      <w:r w:rsidRPr="00FA4573">
        <w:rPr>
          <w:rFonts w:eastAsia="Malgun Gothic"/>
          <w:sz w:val="24"/>
          <w:szCs w:val="24"/>
          <w:lang w:eastAsia="ko-KR"/>
        </w:rPr>
        <w:t>in Geneva from 5 to 9 May 2025</w:t>
      </w:r>
      <w:r w:rsidRPr="00FA4573">
        <w:rPr>
          <w:sz w:val="24"/>
          <w:szCs w:val="24"/>
        </w:rPr>
        <w:t>. The meeting took the following main actions</w:t>
      </w:r>
      <w:r w:rsidRPr="00FA4573">
        <w:rPr>
          <w:rFonts w:eastAsia="Malgun Gothic"/>
          <w:sz w:val="24"/>
          <w:szCs w:val="24"/>
          <w:lang w:eastAsia="ko-KR"/>
        </w:rPr>
        <w:t xml:space="preserve"> and decisions</w:t>
      </w:r>
      <w:r w:rsidRPr="00FA4573">
        <w:rPr>
          <w:rFonts w:asciiTheme="minorHAnsi" w:hAnsiTheme="minorHAnsi" w:cstheme="minorHAnsi"/>
          <w:sz w:val="24"/>
          <w:szCs w:val="24"/>
        </w:rPr>
        <w:t>:</w:t>
      </w:r>
    </w:p>
    <w:p w14:paraId="6A747E8B" w14:textId="77777777" w:rsidR="00A63D1D" w:rsidRPr="00474F78"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bCs/>
        </w:rPr>
        <w:t>Approved the output reports on the seven SG2 study Questions for the study period;</w:t>
      </w:r>
    </w:p>
    <w:p w14:paraId="12278067" w14:textId="77777777" w:rsidR="00A63D1D" w:rsidRPr="00FA4573"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474F78">
        <w:rPr>
          <w:bCs/>
        </w:rPr>
        <w:t xml:space="preserve">Appointed a new Vice-Rapporteur for Question 7/2, following the previous role bearer stepping down due to a career movement;  </w:t>
      </w:r>
    </w:p>
    <w:p w14:paraId="1075A419" w14:textId="77777777" w:rsidR="00A63D1D" w:rsidRPr="00474F78"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bCs/>
        </w:rPr>
        <w:t xml:space="preserve">Consolidated the views on </w:t>
      </w:r>
      <w:r w:rsidRPr="00474F78">
        <w:rPr>
          <w:bCs/>
        </w:rPr>
        <w:t xml:space="preserve">new ideas related to the topics of current study </w:t>
      </w:r>
      <w:r w:rsidRPr="00FA4573">
        <w:rPr>
          <w:bCs/>
        </w:rPr>
        <w:t>Question</w:t>
      </w:r>
      <w:r w:rsidRPr="00474F78">
        <w:rPr>
          <w:bCs/>
        </w:rPr>
        <w:t>s</w:t>
      </w:r>
      <w:r w:rsidRPr="00FA4573">
        <w:rPr>
          <w:bCs/>
        </w:rPr>
        <w:t>;</w:t>
      </w:r>
    </w:p>
    <w:p w14:paraId="0C24FACC" w14:textId="77777777" w:rsidR="00A63D1D" w:rsidRPr="00474F78"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474F78">
        <w:rPr>
          <w:bCs/>
        </w:rPr>
        <w:t xml:space="preserve">Reviewed two draft guidelines for composing rapporteur teams and on better use of ITU-D study group products (see Section </w:t>
      </w:r>
      <w:r w:rsidRPr="00FA4573">
        <w:rPr>
          <w:rFonts w:eastAsia="Malgun Gothic" w:hint="eastAsia"/>
          <w:bCs/>
          <w:lang w:eastAsia="ko-KR"/>
        </w:rPr>
        <w:t>4.1</w:t>
      </w:r>
      <w:r w:rsidRPr="00474F78">
        <w:rPr>
          <w:bCs/>
        </w:rPr>
        <w:t xml:space="preserve"> for more information), in collaboration with ITU-D Study Group 1;</w:t>
      </w:r>
    </w:p>
    <w:p w14:paraId="01B621EE" w14:textId="77777777" w:rsidR="00A63D1D" w:rsidRPr="00FA4573"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474F78">
        <w:rPr>
          <w:bCs/>
        </w:rPr>
        <w:t>Reviewed a compilation document</w:t>
      </w:r>
      <w:r w:rsidRPr="00FA4573">
        <w:rPr>
          <w:bCs/>
        </w:rPr>
        <w:t xml:space="preserve"> of reported case studies and practices</w:t>
      </w:r>
      <w:r w:rsidRPr="00FA4573">
        <w:rPr>
          <w:rFonts w:eastAsia="Malgun Gothic" w:hint="eastAsia"/>
          <w:bCs/>
          <w:lang w:eastAsia="ko-KR"/>
        </w:rPr>
        <w:t>,</w:t>
      </w:r>
      <w:r w:rsidRPr="00FA4573">
        <w:rPr>
          <w:bCs/>
        </w:rPr>
        <w:t xml:space="preserve"> represented individually or reflected in the final reports</w:t>
      </w:r>
      <w:r w:rsidRPr="00474F78">
        <w:rPr>
          <w:bCs/>
        </w:rPr>
        <w:t xml:space="preserve">. </w:t>
      </w:r>
      <w:r w:rsidRPr="00FA4573">
        <w:rPr>
          <w:rFonts w:eastAsia="Malgun Gothic" w:hint="eastAsia"/>
          <w:bCs/>
          <w:lang w:eastAsia="ko-KR"/>
        </w:rPr>
        <w:t>While this document was not agreed upon as an outcome report</w:t>
      </w:r>
      <w:r>
        <w:rPr>
          <w:rFonts w:eastAsia="Malgun Gothic" w:hint="eastAsia"/>
          <w:bCs/>
          <w:lang w:eastAsia="ko-KR"/>
        </w:rPr>
        <w:t>,</w:t>
      </w:r>
      <w:r w:rsidRPr="00FA4573">
        <w:rPr>
          <w:rFonts w:eastAsia="Malgun Gothic" w:hint="eastAsia"/>
          <w:bCs/>
          <w:lang w:eastAsia="ko-KR"/>
        </w:rPr>
        <w:t xml:space="preserve"> given current procedures, it</w:t>
      </w:r>
      <w:r w:rsidRPr="00474F78">
        <w:rPr>
          <w:bCs/>
        </w:rPr>
        <w:t xml:space="preserve"> may serve as a bas</w:t>
      </w:r>
      <w:r w:rsidRPr="00FA4573">
        <w:rPr>
          <w:rFonts w:eastAsia="Malgun Gothic" w:hint="eastAsia"/>
          <w:bCs/>
          <w:lang w:eastAsia="ko-KR"/>
        </w:rPr>
        <w:t xml:space="preserve">is </w:t>
      </w:r>
      <w:r w:rsidRPr="00474F78">
        <w:rPr>
          <w:bCs/>
        </w:rPr>
        <w:t xml:space="preserve">for further development </w:t>
      </w:r>
      <w:r w:rsidRPr="00FA4573">
        <w:rPr>
          <w:rFonts w:eastAsia="Malgun Gothic" w:hint="eastAsia"/>
          <w:bCs/>
          <w:lang w:eastAsia="ko-KR"/>
        </w:rPr>
        <w:t xml:space="preserve">to have outcomes </w:t>
      </w:r>
      <w:r w:rsidRPr="00474F78">
        <w:rPr>
          <w:bCs/>
        </w:rPr>
        <w:t xml:space="preserve">at </w:t>
      </w:r>
      <w:r w:rsidRPr="00FA4573">
        <w:rPr>
          <w:rFonts w:eastAsia="Malgun Gothic" w:hint="eastAsia"/>
          <w:bCs/>
          <w:lang w:eastAsia="ko-KR"/>
        </w:rPr>
        <w:t xml:space="preserve">the </w:t>
      </w:r>
      <w:r w:rsidRPr="00474F78">
        <w:rPr>
          <w:bCs/>
        </w:rPr>
        <w:t>SG</w:t>
      </w:r>
      <w:r w:rsidRPr="00FA4573">
        <w:rPr>
          <w:rFonts w:eastAsia="Malgun Gothic" w:hint="eastAsia"/>
          <w:bCs/>
          <w:lang w:eastAsia="ko-KR"/>
        </w:rPr>
        <w:t xml:space="preserve"> </w:t>
      </w:r>
      <w:r w:rsidRPr="00474F78">
        <w:rPr>
          <w:bCs/>
        </w:rPr>
        <w:t>level in th</w:t>
      </w:r>
      <w:r w:rsidRPr="00FA4573">
        <w:rPr>
          <w:rFonts w:eastAsia="Malgun Gothic" w:hint="eastAsia"/>
          <w:bCs/>
          <w:lang w:eastAsia="ko-KR"/>
        </w:rPr>
        <w:t>e future</w:t>
      </w:r>
      <w:r w:rsidRPr="00474F78">
        <w:rPr>
          <w:bCs/>
        </w:rPr>
        <w:t>, in coordination with the rapporteur groups;</w:t>
      </w:r>
    </w:p>
    <w:p w14:paraId="43405551" w14:textId="77777777" w:rsidR="00A63D1D" w:rsidRPr="00474F78"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474F78">
        <w:rPr>
          <w:bCs/>
        </w:rPr>
        <w:t xml:space="preserve">Reviewed the results of the end-of-cycle survey (see Section </w:t>
      </w:r>
      <w:r w:rsidRPr="00FA4573">
        <w:rPr>
          <w:rFonts w:eastAsia="Malgun Gothic" w:hint="eastAsia"/>
          <w:bCs/>
          <w:lang w:eastAsia="ko-KR"/>
        </w:rPr>
        <w:t>6</w:t>
      </w:r>
      <w:r w:rsidRPr="00474F78">
        <w:rPr>
          <w:bCs/>
        </w:rPr>
        <w:t xml:space="preserve"> for more information);</w:t>
      </w:r>
    </w:p>
    <w:p w14:paraId="1615E490" w14:textId="77777777" w:rsidR="00A63D1D" w:rsidRPr="00474F78"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FA4573">
        <w:rPr>
          <w:bCs/>
        </w:rPr>
        <w:t>Reviewed areas of relevance to ITU-D activities, including implementation of WTDC Resolution 9</w:t>
      </w:r>
      <w:r w:rsidRPr="00474F78">
        <w:rPr>
          <w:bCs/>
        </w:rPr>
        <w:t>,</w:t>
      </w:r>
      <w:r w:rsidRPr="00FA4573">
        <w:rPr>
          <w:bCs/>
        </w:rPr>
        <w:t xml:space="preserve"> </w:t>
      </w:r>
      <w:r w:rsidRPr="00474F78">
        <w:rPr>
          <w:bCs/>
        </w:rPr>
        <w:t xml:space="preserve">activities on statistics, collaboration with other ITU Sectors and </w:t>
      </w:r>
      <w:r w:rsidRPr="00FA4573">
        <w:rPr>
          <w:bCs/>
        </w:rPr>
        <w:t>the ITU Coordination Committee for Terminology (ITU CCT)</w:t>
      </w:r>
      <w:r w:rsidRPr="00474F78">
        <w:rPr>
          <w:bCs/>
        </w:rPr>
        <w:t>;</w:t>
      </w:r>
    </w:p>
    <w:p w14:paraId="60EE3483" w14:textId="77777777" w:rsidR="00A63D1D" w:rsidRPr="00FA4573" w:rsidRDefault="00A63D1D" w:rsidP="00A63D1D">
      <w:pPr>
        <w:pStyle w:val="ListParagraph"/>
        <w:numPr>
          <w:ilvl w:val="0"/>
          <w:numId w:val="2"/>
        </w:numPr>
        <w:tabs>
          <w:tab w:val="clear" w:pos="1134"/>
          <w:tab w:val="clear" w:pos="1871"/>
          <w:tab w:val="clear" w:pos="2268"/>
          <w:tab w:val="left" w:pos="794"/>
          <w:tab w:val="left" w:pos="1191"/>
          <w:tab w:val="left" w:pos="1588"/>
          <w:tab w:val="left" w:pos="1985"/>
        </w:tabs>
        <w:spacing w:before="60" w:after="60"/>
        <w:ind w:left="714" w:hanging="357"/>
        <w:contextualSpacing w:val="0"/>
        <w:textAlignment w:val="auto"/>
        <w:rPr>
          <w:bCs/>
        </w:rPr>
      </w:pPr>
      <w:r w:rsidRPr="00474F78">
        <w:rPr>
          <w:bCs/>
        </w:rPr>
        <w:t>Reviewed the outcomes of the tech talk on digital transformation organized by IAGDI-CRO in collaboration with SG2. The tech talk covered several topics which may serve as useful inputs for shaping future study Questions.</w:t>
      </w:r>
    </w:p>
    <w:p w14:paraId="2D617B61" w14:textId="77777777" w:rsidR="00A63D1D" w:rsidRPr="00FA4573" w:rsidRDefault="00A63D1D" w:rsidP="00A63D1D">
      <w:pPr>
        <w:tabs>
          <w:tab w:val="clear" w:pos="1134"/>
          <w:tab w:val="clear" w:pos="1871"/>
          <w:tab w:val="clear" w:pos="2268"/>
          <w:tab w:val="left" w:pos="794"/>
          <w:tab w:val="left" w:pos="1191"/>
          <w:tab w:val="left" w:pos="1588"/>
          <w:tab w:val="left" w:pos="1985"/>
        </w:tabs>
        <w:spacing w:after="120"/>
        <w:contextualSpacing/>
        <w:textAlignment w:val="auto"/>
        <w:rPr>
          <w:rFonts w:eastAsia="Malgun Gothic"/>
          <w:lang w:eastAsia="ko-KR"/>
        </w:rPr>
      </w:pPr>
      <w:r w:rsidRPr="00FA4573">
        <w:t xml:space="preserve">The report of this meeting </w:t>
      </w:r>
      <w:r w:rsidRPr="00FA4573">
        <w:rPr>
          <w:rFonts w:eastAsia="Malgun Gothic" w:hint="eastAsia"/>
          <w:lang w:eastAsia="ko-KR"/>
        </w:rPr>
        <w:t>is</w:t>
      </w:r>
      <w:r w:rsidRPr="00FA4573">
        <w:t xml:space="preserve"> available in Document </w:t>
      </w:r>
      <w:hyperlink r:id="rId37" w:history="1">
        <w:r w:rsidRPr="00FA4573">
          <w:rPr>
            <w:rStyle w:val="Hyperlink"/>
            <w:bCs/>
          </w:rPr>
          <w:t>2/REP/</w:t>
        </w:r>
        <w:r w:rsidRPr="00FA4573">
          <w:rPr>
            <w:rStyle w:val="Hyperlink"/>
            <w:rFonts w:eastAsia="Malgun Gothic"/>
            <w:bCs/>
            <w:lang w:eastAsia="ko-KR"/>
          </w:rPr>
          <w:t>25</w:t>
        </w:r>
      </w:hyperlink>
      <w:r w:rsidRPr="00FA4573">
        <w:t>.</w:t>
      </w:r>
    </w:p>
    <w:p w14:paraId="0FC70066" w14:textId="77777777" w:rsidR="00A63D1D" w:rsidRPr="00FA4573" w:rsidRDefault="00A63D1D" w:rsidP="00A63D1D">
      <w:pPr>
        <w:pStyle w:val="Heading1"/>
        <w:spacing w:before="120" w:after="120"/>
      </w:pPr>
      <w:r w:rsidRPr="00FA4573">
        <w:t>Summary of the key results achieved</w:t>
      </w:r>
    </w:p>
    <w:p w14:paraId="6066F975" w14:textId="77777777" w:rsidR="00A63D1D" w:rsidRPr="00FA4573" w:rsidRDefault="00A63D1D" w:rsidP="00A63D1D">
      <w:pPr>
        <w:pStyle w:val="Heading2"/>
        <w:spacing w:after="120"/>
      </w:pPr>
      <w:r w:rsidRPr="00FA4573">
        <w:t xml:space="preserve">Question 1/2 – </w:t>
      </w:r>
      <w:r w:rsidRPr="00FA4573">
        <w:rPr>
          <w:lang w:eastAsia="zh-CN"/>
        </w:rPr>
        <w:t>Smart sustainable cities and communities</w:t>
      </w:r>
    </w:p>
    <w:p w14:paraId="697CE461" w14:textId="77777777" w:rsidR="00A63D1D" w:rsidRPr="00FA4573" w:rsidRDefault="00A63D1D" w:rsidP="00A63D1D">
      <w:pPr>
        <w:spacing w:before="60"/>
      </w:pPr>
      <w:r w:rsidRPr="00FA4573">
        <w:t xml:space="preserve">The approved Output Report on Question 1/2 can be found in Document </w:t>
      </w:r>
      <w:hyperlink r:id="rId38" w:history="1">
        <w:r w:rsidRPr="00FA4573">
          <w:rPr>
            <w:rStyle w:val="Hyperlink"/>
          </w:rPr>
          <w:t>2/</w:t>
        </w:r>
        <w:r w:rsidRPr="00FA4573">
          <w:rPr>
            <w:rStyle w:val="Hyperlink"/>
            <w:rFonts w:eastAsia="Malgun Gothic" w:hint="eastAsia"/>
            <w:lang w:eastAsia="ko-KR"/>
          </w:rPr>
          <w:t>358</w:t>
        </w:r>
      </w:hyperlink>
      <w:r w:rsidRPr="00FA4573">
        <w:t>.</w:t>
      </w:r>
    </w:p>
    <w:p w14:paraId="77524623" w14:textId="77777777" w:rsidR="00A63D1D" w:rsidRPr="00FA4573" w:rsidRDefault="00A63D1D" w:rsidP="00A63D1D">
      <w:pPr>
        <w:spacing w:after="120"/>
      </w:pPr>
      <w:r w:rsidRPr="00FA4573">
        <w:t>The Rapporteur Group on Question 1/2 also organized the following workshops:</w:t>
      </w:r>
    </w:p>
    <w:p w14:paraId="2A5991F2"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digital public infrastructure and shared services for smart sustainable government, cities and communities, held on </w:t>
      </w:r>
      <w:r w:rsidRPr="00FA4573">
        <w:rPr>
          <w:rFonts w:eastAsia="Malgun Gothic"/>
          <w:lang w:eastAsia="ko-KR"/>
        </w:rPr>
        <w:t>25</w:t>
      </w:r>
      <w:r w:rsidRPr="00FA4573">
        <w:t xml:space="preserve"> </w:t>
      </w:r>
      <w:r w:rsidRPr="00FA4573">
        <w:rPr>
          <w:rFonts w:eastAsia="Malgun Gothic"/>
          <w:lang w:eastAsia="ko-KR"/>
        </w:rPr>
        <w:t>May</w:t>
      </w:r>
      <w:r w:rsidRPr="00FA4573">
        <w:t xml:space="preserve"> 20</w:t>
      </w:r>
      <w:r w:rsidRPr="00FA4573">
        <w:rPr>
          <w:rFonts w:eastAsia="Malgun Gothic"/>
          <w:lang w:eastAsia="ko-KR"/>
        </w:rPr>
        <w:t>23</w:t>
      </w:r>
      <w:r w:rsidRPr="00FA4573">
        <w:t xml:space="preserve"> (</w:t>
      </w:r>
      <w:hyperlink r:id="rId39" w:history="1">
        <w:r w:rsidRPr="00FA4573">
          <w:rPr>
            <w:rStyle w:val="Hyperlink"/>
          </w:rPr>
          <w:t>programme</w:t>
        </w:r>
      </w:hyperlink>
      <w:r w:rsidRPr="00FA4573">
        <w:t xml:space="preserve">, </w:t>
      </w:r>
      <w:hyperlink r:id="rId40" w:history="1">
        <w:r w:rsidRPr="00FA4573">
          <w:rPr>
            <w:rStyle w:val="Hyperlink"/>
          </w:rPr>
          <w:t>report</w:t>
        </w:r>
      </w:hyperlink>
      <w:r w:rsidRPr="00FA4573">
        <w:t xml:space="preserve"> (Annex </w:t>
      </w:r>
      <w:r w:rsidRPr="00FA4573">
        <w:rPr>
          <w:rFonts w:eastAsia="Malgun Gothic"/>
          <w:lang w:eastAsia="ko-KR"/>
        </w:rPr>
        <w:t>4</w:t>
      </w:r>
      <w:r w:rsidRPr="00FA4573">
        <w:t>));</w:t>
      </w:r>
    </w:p>
    <w:p w14:paraId="4940B3AD"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digital smart city/community policies and business models to ensure stakeholder involvement and yield sustainable development, held on </w:t>
      </w:r>
      <w:r w:rsidRPr="00FA4573">
        <w:rPr>
          <w:rFonts w:eastAsia="Malgun Gothic"/>
          <w:lang w:eastAsia="ko-KR"/>
        </w:rPr>
        <w:t>30</w:t>
      </w:r>
      <w:r w:rsidRPr="00FA4573">
        <w:t xml:space="preserve"> </w:t>
      </w:r>
      <w:r w:rsidRPr="00FA4573">
        <w:rPr>
          <w:rFonts w:eastAsia="Malgun Gothic"/>
          <w:lang w:eastAsia="ko-KR"/>
        </w:rPr>
        <w:t>April 2024</w:t>
      </w:r>
      <w:r w:rsidRPr="00FA4573">
        <w:t xml:space="preserve"> (</w:t>
      </w:r>
      <w:hyperlink r:id="rId41" w:history="1">
        <w:r w:rsidRPr="00FA4573">
          <w:rPr>
            <w:rStyle w:val="Hyperlink"/>
          </w:rPr>
          <w:t>programme</w:t>
        </w:r>
      </w:hyperlink>
      <w:r w:rsidRPr="00FA4573">
        <w:t xml:space="preserve">, </w:t>
      </w:r>
      <w:hyperlink r:id="rId42" w:history="1">
        <w:r w:rsidRPr="00FA4573">
          <w:rPr>
            <w:rStyle w:val="Hyperlink"/>
          </w:rPr>
          <w:t>report</w:t>
        </w:r>
      </w:hyperlink>
      <w:r w:rsidRPr="00FA4573">
        <w:t xml:space="preserve"> (Annex </w:t>
      </w:r>
      <w:r w:rsidRPr="00FA4573">
        <w:rPr>
          <w:rFonts w:eastAsia="Malgun Gothic"/>
          <w:lang w:eastAsia="ko-KR"/>
        </w:rPr>
        <w:t>3</w:t>
      </w:r>
      <w:r w:rsidRPr="00FA4573">
        <w:t>)).</w:t>
      </w:r>
    </w:p>
    <w:p w14:paraId="5239C79E" w14:textId="77777777" w:rsidR="00A63D1D" w:rsidRPr="00FA4573" w:rsidRDefault="00A63D1D" w:rsidP="00A63D1D">
      <w:pPr>
        <w:rPr>
          <w:rFonts w:eastAsia="Malgun Gothic" w:cstheme="minorHAnsi"/>
          <w:szCs w:val="24"/>
          <w:lang w:eastAsia="ko-KR"/>
        </w:rPr>
      </w:pPr>
      <w:r w:rsidRPr="00FA4573">
        <w:rPr>
          <w:rFonts w:cstheme="minorHAnsi"/>
          <w:szCs w:val="24"/>
        </w:rPr>
        <w:t>Topics for the next study period were proposed, including</w:t>
      </w:r>
      <w:r w:rsidRPr="00FA4573">
        <w:rPr>
          <w:rFonts w:eastAsia="Malgun Gothic" w:cstheme="minorHAnsi"/>
          <w:szCs w:val="24"/>
          <w:lang w:eastAsia="ko-KR"/>
        </w:rPr>
        <w:t>:</w:t>
      </w:r>
    </w:p>
    <w:p w14:paraId="0DABD517" w14:textId="77777777" w:rsidR="00A63D1D" w:rsidRPr="00FA4573" w:rsidRDefault="00A63D1D" w:rsidP="00A63D1D">
      <w:pPr>
        <w:pStyle w:val="ListParagraph"/>
        <w:numPr>
          <w:ilvl w:val="0"/>
          <w:numId w:val="33"/>
        </w:numPr>
        <w:spacing w:before="40" w:after="40"/>
        <w:contextualSpacing w:val="0"/>
        <w:rPr>
          <w:rFonts w:eastAsia="Malgun Gothic"/>
          <w:lang w:eastAsia="ko-KR"/>
        </w:rPr>
      </w:pPr>
      <w:r w:rsidRPr="00FA4573">
        <w:rPr>
          <w:rFonts w:eastAsia="Malgun Gothic"/>
          <w:lang w:eastAsia="ko-KR"/>
        </w:rPr>
        <w:t>T</w:t>
      </w:r>
      <w:r w:rsidRPr="00FA4573">
        <w:t xml:space="preserve">he </w:t>
      </w:r>
      <w:r w:rsidRPr="00FA4573">
        <w:rPr>
          <w:rFonts w:eastAsia="Malgun Gothic"/>
          <w:lang w:val="en" w:eastAsia="ko-KR"/>
        </w:rPr>
        <w:t>d</w:t>
      </w:r>
      <w:r w:rsidRPr="00FA4573">
        <w:rPr>
          <w:lang w:val="en"/>
        </w:rPr>
        <w:t>evelop</w:t>
      </w:r>
      <w:r w:rsidRPr="00FA4573">
        <w:rPr>
          <w:rFonts w:eastAsia="Malgun Gothic"/>
          <w:lang w:val="en" w:eastAsia="ko-KR"/>
        </w:rPr>
        <w:t>ment of</w:t>
      </w:r>
      <w:r w:rsidRPr="00FA4573">
        <w:rPr>
          <w:lang w:val="en"/>
        </w:rPr>
        <w:t xml:space="preserve"> mechanisms and tools for evaluating smart cities and communities</w:t>
      </w:r>
      <w:r w:rsidRPr="00FA4573">
        <w:t>,</w:t>
      </w:r>
    </w:p>
    <w:p w14:paraId="141A7AEC" w14:textId="77777777" w:rsidR="00A63D1D" w:rsidRPr="00FA4573" w:rsidRDefault="00A63D1D" w:rsidP="00A63D1D">
      <w:pPr>
        <w:pStyle w:val="ListParagraph"/>
        <w:numPr>
          <w:ilvl w:val="0"/>
          <w:numId w:val="33"/>
        </w:numPr>
        <w:spacing w:before="40" w:after="40"/>
        <w:contextualSpacing w:val="0"/>
        <w:rPr>
          <w:rFonts w:eastAsia="Malgun Gothic"/>
          <w:lang w:eastAsia="ko-KR"/>
        </w:rPr>
      </w:pPr>
      <w:r w:rsidRPr="00FA4573">
        <w:rPr>
          <w:rFonts w:eastAsia="Malgun Gothic"/>
          <w:lang w:eastAsia="ko-KR"/>
        </w:rPr>
        <w:t>E</w:t>
      </w:r>
      <w:r w:rsidRPr="00FA4573">
        <w:t>conomic models for the harmonious development of smart cities and communities</w:t>
      </w:r>
      <w:r w:rsidRPr="00FA4573">
        <w:rPr>
          <w:rFonts w:eastAsia="Malgun Gothic"/>
          <w:lang w:eastAsia="ko-KR"/>
        </w:rPr>
        <w:t xml:space="preserve">, and </w:t>
      </w:r>
    </w:p>
    <w:p w14:paraId="56EA5F9D" w14:textId="77777777" w:rsidR="00A63D1D" w:rsidRPr="00FA4573" w:rsidRDefault="00A63D1D" w:rsidP="00A63D1D">
      <w:pPr>
        <w:pStyle w:val="ListParagraph"/>
        <w:numPr>
          <w:ilvl w:val="0"/>
          <w:numId w:val="33"/>
        </w:numPr>
        <w:spacing w:before="40" w:after="40"/>
        <w:contextualSpacing w:val="0"/>
        <w:rPr>
          <w:rFonts w:eastAsia="Malgun Gothic"/>
          <w:lang w:eastAsia="ko-KR"/>
        </w:rPr>
      </w:pPr>
      <w:r w:rsidRPr="00FA4573">
        <w:rPr>
          <w:rFonts w:eastAsia="Malgun Gothic"/>
          <w:lang w:eastAsia="ko-KR"/>
        </w:rPr>
        <w:lastRenderedPageBreak/>
        <w:t>Best practices and guidelines for an appropriate legal framework in building smart cities and choosing/providing smart services and applications.</w:t>
      </w:r>
    </w:p>
    <w:p w14:paraId="7862E67E" w14:textId="77777777" w:rsidR="00A63D1D" w:rsidRPr="00FA4573" w:rsidRDefault="00A63D1D" w:rsidP="00A63D1D">
      <w:pPr>
        <w:rPr>
          <w:rFonts w:eastAsia="Malgun Gothic"/>
          <w:lang w:eastAsia="ko-KR"/>
        </w:rPr>
      </w:pPr>
      <w:r w:rsidRPr="00FA4573">
        <w:t xml:space="preserve">An updated draft terms of reference for Question </w:t>
      </w:r>
      <w:r w:rsidRPr="00FA4573">
        <w:rPr>
          <w:rFonts w:eastAsia="Malgun Gothic"/>
          <w:lang w:eastAsia="ko-KR"/>
        </w:rPr>
        <w:t>1</w:t>
      </w:r>
      <w:r w:rsidRPr="00FA4573">
        <w:t xml:space="preserve">/2 is available in Document </w:t>
      </w:r>
      <w:hyperlink r:id="rId43" w:history="1">
        <w:r w:rsidRPr="00FA4573">
          <w:rPr>
            <w:rStyle w:val="Hyperlink"/>
          </w:rPr>
          <w:t>TDAG-WG-futureSGQ/</w:t>
        </w:r>
        <w:r w:rsidRPr="00FA4573">
          <w:rPr>
            <w:rStyle w:val="Hyperlink"/>
            <w:rFonts w:eastAsia="Malgun Gothic"/>
            <w:lang w:eastAsia="ko-KR"/>
          </w:rPr>
          <w:t>48</w:t>
        </w:r>
      </w:hyperlink>
      <w:r w:rsidRPr="00FA4573">
        <w:t>.</w:t>
      </w:r>
    </w:p>
    <w:p w14:paraId="05317586" w14:textId="77777777" w:rsidR="00A63D1D" w:rsidRPr="00FA4573" w:rsidRDefault="00A63D1D" w:rsidP="00A63D1D">
      <w:pPr>
        <w:pStyle w:val="Heading2"/>
        <w:spacing w:after="120"/>
      </w:pPr>
      <w:r w:rsidRPr="00FA4573">
        <w:t xml:space="preserve">Question 2/2 – </w:t>
      </w:r>
      <w:r w:rsidRPr="00FA4573">
        <w:rPr>
          <w:lang w:eastAsia="zh-CN"/>
        </w:rPr>
        <w:t>Enabling technologies for e-services and applications, including e-health and e-education</w:t>
      </w:r>
    </w:p>
    <w:p w14:paraId="557651FF" w14:textId="77777777" w:rsidR="00A63D1D" w:rsidRPr="00FA4573" w:rsidRDefault="00A63D1D" w:rsidP="00A63D1D">
      <w:pPr>
        <w:spacing w:before="60"/>
      </w:pPr>
      <w:r w:rsidRPr="00FA4573">
        <w:t xml:space="preserve">The approved Output Report on Question 2/2 can be found in Document </w:t>
      </w:r>
      <w:hyperlink r:id="rId44" w:history="1">
        <w:r w:rsidRPr="00FA4573">
          <w:rPr>
            <w:rStyle w:val="Hyperlink"/>
          </w:rPr>
          <w:t>2/</w:t>
        </w:r>
        <w:r w:rsidRPr="00FA4573">
          <w:rPr>
            <w:rStyle w:val="Hyperlink"/>
            <w:rFonts w:eastAsia="Malgun Gothic" w:hint="eastAsia"/>
            <w:lang w:eastAsia="ko-KR"/>
          </w:rPr>
          <w:t>359</w:t>
        </w:r>
      </w:hyperlink>
      <w:r w:rsidRPr="00FA4573">
        <w:t>.</w:t>
      </w:r>
    </w:p>
    <w:p w14:paraId="373485F2" w14:textId="77777777" w:rsidR="00A63D1D" w:rsidRPr="00FA4573" w:rsidRDefault="00A63D1D" w:rsidP="00A63D1D">
      <w:pPr>
        <w:spacing w:after="120"/>
      </w:pPr>
      <w:r w:rsidRPr="00FA4573">
        <w:t>The Rapporteur Group on Question 2/2 also organized the following workshops:</w:t>
      </w:r>
    </w:p>
    <w:p w14:paraId="75035460"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adoption of new digital technology for e-health, e-learning and other e-services, held on </w:t>
      </w:r>
      <w:r w:rsidRPr="00FA4573">
        <w:rPr>
          <w:rFonts w:eastAsia="Malgun Gothic"/>
          <w:lang w:eastAsia="ko-KR"/>
        </w:rPr>
        <w:t>30</w:t>
      </w:r>
      <w:r w:rsidRPr="00FA4573">
        <w:t xml:space="preserve"> </w:t>
      </w:r>
      <w:r w:rsidRPr="00FA4573">
        <w:rPr>
          <w:rFonts w:eastAsia="Malgun Gothic"/>
          <w:lang w:eastAsia="ko-KR"/>
        </w:rPr>
        <w:t>May</w:t>
      </w:r>
      <w:r w:rsidRPr="00FA4573">
        <w:t xml:space="preserve"> 20</w:t>
      </w:r>
      <w:r w:rsidRPr="00FA4573">
        <w:rPr>
          <w:rFonts w:eastAsia="Malgun Gothic"/>
          <w:lang w:eastAsia="ko-KR"/>
        </w:rPr>
        <w:t>23</w:t>
      </w:r>
      <w:r w:rsidRPr="00FA4573">
        <w:t xml:space="preserve"> (</w:t>
      </w:r>
      <w:hyperlink r:id="rId45" w:history="1">
        <w:r w:rsidRPr="00FA4573">
          <w:rPr>
            <w:rStyle w:val="Hyperlink"/>
          </w:rPr>
          <w:t>programme</w:t>
        </w:r>
      </w:hyperlink>
      <w:r w:rsidRPr="00FA4573">
        <w:t xml:space="preserve">, </w:t>
      </w:r>
      <w:hyperlink r:id="rId46" w:history="1">
        <w:r w:rsidRPr="00FA4573">
          <w:rPr>
            <w:rStyle w:val="Hyperlink"/>
          </w:rPr>
          <w:t>report</w:t>
        </w:r>
      </w:hyperlink>
      <w:r w:rsidRPr="00FA4573">
        <w:t xml:space="preserve"> (Annex 5));</w:t>
      </w:r>
    </w:p>
    <w:p w14:paraId="1BC8E14F" w14:textId="77777777" w:rsidR="00A63D1D" w:rsidRPr="00FA4573" w:rsidRDefault="00A63D1D" w:rsidP="00A63D1D">
      <w:pPr>
        <w:pStyle w:val="ListParagraph"/>
        <w:numPr>
          <w:ilvl w:val="0"/>
          <w:numId w:val="6"/>
        </w:numPr>
        <w:spacing w:before="60" w:after="60"/>
        <w:ind w:left="714" w:hanging="357"/>
        <w:contextualSpacing w:val="0"/>
      </w:pPr>
      <w:r w:rsidRPr="00FA4573">
        <w:t>Workshop on best practice models and enabling technology for digital transformation in e-health, e-education, and other e-applications, held on</w:t>
      </w:r>
      <w:r w:rsidRPr="00FA4573">
        <w:rPr>
          <w:i/>
          <w:iCs/>
        </w:rPr>
        <w:t xml:space="preserve"> </w:t>
      </w:r>
      <w:r w:rsidRPr="00FA4573">
        <w:rPr>
          <w:rFonts w:eastAsia="Malgun Gothic"/>
          <w:lang w:eastAsia="ko-KR"/>
        </w:rPr>
        <w:t>29</w:t>
      </w:r>
      <w:r w:rsidRPr="00FA4573">
        <w:t xml:space="preserve"> </w:t>
      </w:r>
      <w:r w:rsidRPr="00FA4573">
        <w:rPr>
          <w:rFonts w:eastAsia="Malgun Gothic"/>
          <w:lang w:eastAsia="ko-KR"/>
        </w:rPr>
        <w:t>April</w:t>
      </w:r>
      <w:r w:rsidRPr="00FA4573">
        <w:t xml:space="preserve"> 20</w:t>
      </w:r>
      <w:r w:rsidRPr="00FA4573">
        <w:rPr>
          <w:rFonts w:eastAsia="Malgun Gothic"/>
          <w:lang w:eastAsia="ko-KR"/>
        </w:rPr>
        <w:t>24</w:t>
      </w:r>
      <w:r w:rsidRPr="00FA4573">
        <w:t xml:space="preserve"> (</w:t>
      </w:r>
      <w:hyperlink r:id="rId47" w:history="1">
        <w:r w:rsidRPr="00FA4573">
          <w:rPr>
            <w:rStyle w:val="Hyperlink"/>
          </w:rPr>
          <w:t>programme</w:t>
        </w:r>
      </w:hyperlink>
      <w:r w:rsidRPr="00FA4573">
        <w:t xml:space="preserve">, </w:t>
      </w:r>
      <w:hyperlink r:id="rId48" w:history="1">
        <w:r w:rsidRPr="00FA4573">
          <w:rPr>
            <w:rStyle w:val="Hyperlink"/>
          </w:rPr>
          <w:t>report</w:t>
        </w:r>
      </w:hyperlink>
      <w:r w:rsidRPr="00FA4573">
        <w:t xml:space="preserve"> (Annex </w:t>
      </w:r>
      <w:r w:rsidRPr="00FA4573">
        <w:rPr>
          <w:rFonts w:eastAsia="Malgun Gothic"/>
          <w:lang w:eastAsia="ko-KR"/>
        </w:rPr>
        <w:t>4</w:t>
      </w:r>
      <w:r w:rsidRPr="00FA4573">
        <w:t>));</w:t>
      </w:r>
    </w:p>
    <w:p w14:paraId="0478660D" w14:textId="77777777" w:rsidR="00A63D1D" w:rsidRPr="00FA4573" w:rsidRDefault="00A63D1D" w:rsidP="00A63D1D">
      <w:pPr>
        <w:spacing w:after="120"/>
        <w:rPr>
          <w:rFonts w:eastAsia="Malgun Gothic"/>
          <w:lang w:eastAsia="ko-KR"/>
        </w:rPr>
      </w:pPr>
      <w:r w:rsidRPr="00FA4573">
        <w:rPr>
          <w:rFonts w:cstheme="minorHAnsi"/>
          <w:szCs w:val="24"/>
        </w:rPr>
        <w:t xml:space="preserve">Topics for the next study period were proposed, </w:t>
      </w:r>
      <w:r w:rsidRPr="00FA4573">
        <w:rPr>
          <w:rFonts w:eastAsia="Malgun Gothic" w:cstheme="minorHAnsi" w:hint="eastAsia"/>
          <w:szCs w:val="24"/>
          <w:lang w:eastAsia="ko-KR"/>
        </w:rPr>
        <w:t>including</w:t>
      </w:r>
      <w:r w:rsidRPr="00FA4573">
        <w:rPr>
          <w:rFonts w:cstheme="minorHAnsi"/>
          <w:szCs w:val="24"/>
        </w:rPr>
        <w:t xml:space="preserve"> </w:t>
      </w:r>
      <w:r w:rsidRPr="00474F78">
        <w:rPr>
          <w:rFonts w:ascii="Calibri" w:eastAsia="Malgun Gothic" w:hAnsi="Calibri"/>
          <w:kern w:val="2"/>
          <w:szCs w:val="22"/>
          <w:lang w:eastAsia="ko-KR"/>
          <w14:ligatures w14:val="standardContextual"/>
        </w:rPr>
        <w:t>i</w:t>
      </w:r>
      <w:r w:rsidRPr="00474F78">
        <w:rPr>
          <w:rFonts w:ascii="Calibri" w:hAnsi="Calibri"/>
          <w:kern w:val="2"/>
          <w:szCs w:val="22"/>
          <w14:ligatures w14:val="standardContextual"/>
        </w:rPr>
        <w:t>mpact of</w:t>
      </w:r>
      <w:r w:rsidRPr="00474F78">
        <w:rPr>
          <w:rFonts w:ascii="Calibri" w:hAnsi="Calibri"/>
          <w:kern w:val="2"/>
          <w:szCs w:val="22"/>
          <w:lang w:eastAsia="ko-KR"/>
          <w14:ligatures w14:val="standardContextual"/>
        </w:rPr>
        <w:t xml:space="preserve"> </w:t>
      </w:r>
      <w:r w:rsidRPr="00474F78">
        <w:rPr>
          <w:rFonts w:ascii="Calibri" w:eastAsia="Malgun Gothic" w:hAnsi="Calibri"/>
          <w:kern w:val="2"/>
          <w:szCs w:val="22"/>
          <w:lang w:eastAsia="ko-KR"/>
          <w14:ligatures w14:val="standardContextual"/>
        </w:rPr>
        <w:t>artificial intelligence (AI)</w:t>
      </w:r>
      <w:r w:rsidRPr="00474F78">
        <w:rPr>
          <w:rFonts w:ascii="Calibri" w:hAnsi="Calibri"/>
          <w:kern w:val="2"/>
          <w:szCs w:val="22"/>
          <w:lang w:eastAsia="ko-KR"/>
          <w14:ligatures w14:val="standardContextual"/>
        </w:rPr>
        <w:t xml:space="preserve"> technologies in support of e-services and applications</w:t>
      </w:r>
      <w:r w:rsidRPr="00FA4573">
        <w:rPr>
          <w:rFonts w:cstheme="minorHAnsi"/>
          <w:szCs w:val="24"/>
        </w:rPr>
        <w:t xml:space="preserve">. </w:t>
      </w:r>
    </w:p>
    <w:p w14:paraId="19EFA5BD" w14:textId="77777777" w:rsidR="00A63D1D" w:rsidRPr="00FA4573" w:rsidRDefault="00A63D1D" w:rsidP="00A63D1D">
      <w:pPr>
        <w:spacing w:after="120"/>
        <w:rPr>
          <w:rFonts w:cstheme="minorHAnsi"/>
          <w:szCs w:val="24"/>
        </w:rPr>
      </w:pPr>
      <w:r w:rsidRPr="00FA4573">
        <w:t xml:space="preserve">An updated draft terms of reference for Question 2/2 is available in Document </w:t>
      </w:r>
      <w:hyperlink r:id="rId49" w:history="1">
        <w:r w:rsidRPr="00FA4573">
          <w:rPr>
            <w:rStyle w:val="Hyperlink"/>
          </w:rPr>
          <w:t>TDAG-WG-futureSGQ/</w:t>
        </w:r>
        <w:r w:rsidRPr="00FA4573">
          <w:rPr>
            <w:rStyle w:val="Hyperlink"/>
            <w:rFonts w:eastAsia="Malgun Gothic"/>
            <w:lang w:eastAsia="ko-KR"/>
          </w:rPr>
          <w:t>48</w:t>
        </w:r>
      </w:hyperlink>
      <w:r w:rsidRPr="00FA4573">
        <w:t>.</w:t>
      </w:r>
    </w:p>
    <w:p w14:paraId="19B61329" w14:textId="77777777" w:rsidR="00A63D1D" w:rsidRPr="00FA4573" w:rsidRDefault="00A63D1D" w:rsidP="00A63D1D">
      <w:pPr>
        <w:pStyle w:val="Heading2"/>
        <w:spacing w:after="120"/>
      </w:pPr>
      <w:r w:rsidRPr="00FA4573">
        <w:t xml:space="preserve">Question 3/2 – </w:t>
      </w:r>
      <w:r w:rsidRPr="00FA4573">
        <w:rPr>
          <w:lang w:eastAsia="zh-CN"/>
        </w:rPr>
        <w:t>Securing information and communication networks: Best practices for developing a culture of cybersecurity</w:t>
      </w:r>
    </w:p>
    <w:p w14:paraId="7909DB04" w14:textId="77777777" w:rsidR="00A63D1D" w:rsidRPr="00FA4573" w:rsidRDefault="00A63D1D" w:rsidP="00A63D1D">
      <w:pPr>
        <w:spacing w:before="60"/>
      </w:pPr>
      <w:r w:rsidRPr="00FA4573">
        <w:t xml:space="preserve">The approved Output Report on Question 3/2 can be found in Document </w:t>
      </w:r>
      <w:hyperlink r:id="rId50" w:history="1">
        <w:r w:rsidRPr="00FA4573">
          <w:rPr>
            <w:rStyle w:val="Hyperlink"/>
          </w:rPr>
          <w:t>2/</w:t>
        </w:r>
        <w:r w:rsidRPr="00FA4573">
          <w:rPr>
            <w:rStyle w:val="Hyperlink"/>
            <w:rFonts w:eastAsia="Malgun Gothic" w:hint="eastAsia"/>
            <w:lang w:eastAsia="ko-KR"/>
          </w:rPr>
          <w:t>360</w:t>
        </w:r>
      </w:hyperlink>
      <w:r w:rsidRPr="00FA4573">
        <w:t>.</w:t>
      </w:r>
    </w:p>
    <w:p w14:paraId="0A242177" w14:textId="77777777" w:rsidR="00A63D1D" w:rsidRPr="00FA4573" w:rsidRDefault="00A63D1D" w:rsidP="00A63D1D">
      <w:pPr>
        <w:spacing w:after="120"/>
      </w:pPr>
      <w:r w:rsidRPr="00FA4573">
        <w:t>The following</w:t>
      </w:r>
      <w:r w:rsidRPr="00FA4573">
        <w:rPr>
          <w:rFonts w:eastAsia="Malgun Gothic"/>
          <w:lang w:eastAsia="ko-KR"/>
        </w:rPr>
        <w:t xml:space="preserve"> interim</w:t>
      </w:r>
      <w:r w:rsidRPr="00FA4573">
        <w:t xml:space="preserve"> deliverables on Question </w:t>
      </w:r>
      <w:r w:rsidRPr="00FA4573">
        <w:rPr>
          <w:rFonts w:eastAsia="Malgun Gothic"/>
          <w:lang w:eastAsia="ko-KR"/>
        </w:rPr>
        <w:t>3</w:t>
      </w:r>
      <w:r w:rsidRPr="00FA4573">
        <w:t>/2 were approved for release</w:t>
      </w:r>
      <w:r w:rsidRPr="00FA4573">
        <w:rPr>
          <w:rStyle w:val="FootnoteReference"/>
        </w:rPr>
        <w:footnoteReference w:id="11"/>
      </w:r>
      <w:r w:rsidRPr="00FA4573">
        <w:t>:</w:t>
      </w:r>
    </w:p>
    <w:p w14:paraId="27249332" w14:textId="77777777" w:rsidR="00A63D1D" w:rsidRPr="00FA4573" w:rsidRDefault="00A63D1D" w:rsidP="00A63D1D">
      <w:pPr>
        <w:pStyle w:val="ListParagraph"/>
        <w:spacing w:before="60" w:after="60"/>
        <w:ind w:left="714" w:hanging="357"/>
        <w:contextualSpacing w:val="0"/>
      </w:pPr>
      <w:r w:rsidRPr="00FA4573">
        <w:rPr>
          <w:rFonts w:eastAsia="Malgun Gothic"/>
          <w:i/>
          <w:iCs/>
          <w:lang w:eastAsia="ko-KR"/>
        </w:rPr>
        <w:t>Cybersecurity assurance practices</w:t>
      </w:r>
      <w:r w:rsidRPr="00FA4573">
        <w:rPr>
          <w:i/>
          <w:iCs/>
        </w:rPr>
        <w:t xml:space="preserve"> </w:t>
      </w:r>
      <w:r w:rsidRPr="00FA4573">
        <w:t>(</w:t>
      </w:r>
      <w:r w:rsidRPr="00FA4573">
        <w:rPr>
          <w:rFonts w:eastAsia="Malgun Gothic"/>
          <w:lang w:eastAsia="ko-KR"/>
        </w:rPr>
        <w:t>interim</w:t>
      </w:r>
      <w:r w:rsidRPr="00FA4573">
        <w:t xml:space="preserve"> deliverable 20</w:t>
      </w:r>
      <w:r w:rsidRPr="00FA4573">
        <w:rPr>
          <w:rFonts w:eastAsia="Malgun Gothic"/>
          <w:lang w:eastAsia="ko-KR"/>
        </w:rPr>
        <w:t>23</w:t>
      </w:r>
      <w:r w:rsidRPr="00FA4573">
        <w:t xml:space="preserve">, </w:t>
      </w:r>
      <w:hyperlink r:id="rId51" w:history="1">
        <w:r w:rsidRPr="00FA4573">
          <w:rPr>
            <w:rStyle w:val="Hyperlink"/>
          </w:rPr>
          <w:t>link</w:t>
        </w:r>
      </w:hyperlink>
      <w:r w:rsidRPr="00FA4573">
        <w:t xml:space="preserve">). A dedicated panel session presented the key findings of this deliverable </w:t>
      </w:r>
      <w:r w:rsidRPr="00FA4573">
        <w:rPr>
          <w:rFonts w:eastAsia="Malgun Gothic" w:cs="Calibri"/>
          <w:bCs/>
          <w:lang w:eastAsia="ko-KR"/>
        </w:rPr>
        <w:t>(</w:t>
      </w:r>
      <w:hyperlink r:id="rId52" w:history="1">
        <w:r w:rsidRPr="00FA4573">
          <w:rPr>
            <w:rStyle w:val="Hyperlink"/>
            <w:rFonts w:eastAsia="Malgun Gothic" w:cs="Calibri"/>
            <w:bCs/>
            <w:lang w:eastAsia="ko-KR"/>
          </w:rPr>
          <w:t>programme</w:t>
        </w:r>
      </w:hyperlink>
      <w:r w:rsidRPr="00FA4573">
        <w:rPr>
          <w:rFonts w:eastAsia="Malgun Gothic" w:cs="Calibri"/>
          <w:bCs/>
          <w:lang w:eastAsia="ko-KR"/>
        </w:rPr>
        <w:t xml:space="preserve">, </w:t>
      </w:r>
      <w:hyperlink r:id="rId53" w:history="1">
        <w:r w:rsidRPr="00FA4573">
          <w:rPr>
            <w:rStyle w:val="Hyperlink"/>
            <w:rFonts w:eastAsia="Malgun Gothic" w:cs="Calibri"/>
            <w:bCs/>
            <w:lang w:eastAsia="ko-KR"/>
          </w:rPr>
          <w:t>report</w:t>
        </w:r>
      </w:hyperlink>
      <w:r w:rsidRPr="00FA4573">
        <w:rPr>
          <w:rFonts w:eastAsia="Malgun Gothic" w:cs="Calibri"/>
          <w:bCs/>
          <w:lang w:eastAsia="ko-KR"/>
        </w:rPr>
        <w:t xml:space="preserve"> (Annex 5)</w:t>
      </w:r>
      <w:r w:rsidRPr="00FA4573">
        <w:t>).</w:t>
      </w:r>
    </w:p>
    <w:p w14:paraId="412FAB26" w14:textId="77777777" w:rsidR="00A63D1D" w:rsidRPr="00FA4573" w:rsidRDefault="00A63D1D" w:rsidP="00A63D1D">
      <w:pPr>
        <w:pStyle w:val="ListParagraph"/>
        <w:spacing w:before="60" w:after="60"/>
        <w:ind w:left="714" w:hanging="357"/>
        <w:contextualSpacing w:val="0"/>
      </w:pPr>
      <w:r w:rsidRPr="00FA4573">
        <w:rPr>
          <w:rFonts w:eastAsia="Malgun Gothic"/>
          <w:i/>
          <w:iCs/>
          <w:lang w:eastAsia="ko-KR"/>
        </w:rPr>
        <w:t>5G cybersecurity</w:t>
      </w:r>
      <w:r w:rsidRPr="00FA4573">
        <w:rPr>
          <w:i/>
          <w:iCs/>
        </w:rPr>
        <w:t xml:space="preserve"> </w:t>
      </w:r>
      <w:r w:rsidRPr="00FA4573">
        <w:t>(</w:t>
      </w:r>
      <w:r w:rsidRPr="00FA4573">
        <w:rPr>
          <w:rFonts w:eastAsia="Malgun Gothic"/>
          <w:lang w:eastAsia="ko-KR"/>
        </w:rPr>
        <w:t>interim</w:t>
      </w:r>
      <w:r w:rsidRPr="00FA4573">
        <w:t xml:space="preserve"> deliverable 202</w:t>
      </w:r>
      <w:r w:rsidRPr="00FA4573">
        <w:rPr>
          <w:rFonts w:eastAsia="Malgun Gothic"/>
          <w:lang w:eastAsia="ko-KR"/>
        </w:rPr>
        <w:t>4</w:t>
      </w:r>
      <w:r w:rsidRPr="00FA4573">
        <w:t>,</w:t>
      </w:r>
      <w:r w:rsidRPr="00FA4573">
        <w:rPr>
          <w:rFonts w:eastAsia="Malgun Gothic"/>
          <w:lang w:eastAsia="ko-KR"/>
        </w:rPr>
        <w:t xml:space="preserve"> </w:t>
      </w:r>
      <w:hyperlink r:id="rId54" w:history="1">
        <w:r w:rsidRPr="00474F78">
          <w:rPr>
            <w:rStyle w:val="Hyperlink"/>
            <w:rFonts w:eastAsia="Malgun Gothic"/>
            <w:lang w:eastAsia="ko-KR"/>
          </w:rPr>
          <w:t>link</w:t>
        </w:r>
      </w:hyperlink>
      <w:r w:rsidRPr="00FA4573">
        <w:t xml:space="preserve">). </w:t>
      </w:r>
    </w:p>
    <w:p w14:paraId="5CC59D4E" w14:textId="77777777" w:rsidR="00A63D1D" w:rsidRPr="00FA4573" w:rsidRDefault="00A63D1D" w:rsidP="00A63D1D">
      <w:pPr>
        <w:spacing w:after="120"/>
        <w:rPr>
          <w:rFonts w:eastAsia="Malgun Gothic"/>
          <w:lang w:eastAsia="ko-KR"/>
        </w:rPr>
      </w:pPr>
      <w:r w:rsidRPr="00FA4573">
        <w:t xml:space="preserve">The Rapporteur Group on Question 3/2 also organized </w:t>
      </w:r>
      <w:r w:rsidRPr="00FA4573">
        <w:rPr>
          <w:rFonts w:eastAsia="Malgun Gothic"/>
          <w:lang w:eastAsia="ko-KR"/>
        </w:rPr>
        <w:t>the following workshops:</w:t>
      </w:r>
    </w:p>
    <w:p w14:paraId="2430A4A3" w14:textId="77777777" w:rsidR="00A63D1D" w:rsidRPr="00FA4573" w:rsidRDefault="00A63D1D" w:rsidP="00A63D1D">
      <w:pPr>
        <w:pStyle w:val="ListParagraph"/>
        <w:numPr>
          <w:ilvl w:val="0"/>
          <w:numId w:val="12"/>
        </w:numPr>
        <w:spacing w:before="60" w:after="60"/>
        <w:ind w:left="714" w:hanging="357"/>
        <w:contextualSpacing w:val="0"/>
      </w:pPr>
      <w:r w:rsidRPr="00FA4573">
        <w:t>Workshop on cybersecurity assurance practices</w:t>
      </w:r>
      <w:r w:rsidRPr="00FA4573">
        <w:rPr>
          <w:rFonts w:eastAsia="Malgun Gothic"/>
          <w:lang w:eastAsia="ko-KR"/>
        </w:rPr>
        <w:t>,</w:t>
      </w:r>
      <w:r w:rsidRPr="00FA4573">
        <w:t xml:space="preserve"> held on </w:t>
      </w:r>
      <w:r w:rsidRPr="00FA4573">
        <w:rPr>
          <w:rFonts w:eastAsia="Malgun Gothic"/>
          <w:lang w:eastAsia="ko-KR"/>
        </w:rPr>
        <w:t>23</w:t>
      </w:r>
      <w:r w:rsidRPr="00FA4573">
        <w:t xml:space="preserve"> </w:t>
      </w:r>
      <w:r w:rsidRPr="00FA4573">
        <w:rPr>
          <w:rFonts w:eastAsia="Malgun Gothic"/>
          <w:lang w:eastAsia="ko-KR"/>
        </w:rPr>
        <w:t>May</w:t>
      </w:r>
      <w:r w:rsidRPr="00FA4573">
        <w:t xml:space="preserve"> 20</w:t>
      </w:r>
      <w:r w:rsidRPr="00FA4573">
        <w:rPr>
          <w:rFonts w:eastAsia="Malgun Gothic"/>
          <w:lang w:eastAsia="ko-KR"/>
        </w:rPr>
        <w:t>23</w:t>
      </w:r>
      <w:r w:rsidRPr="00FA4573">
        <w:t xml:space="preserve"> (</w:t>
      </w:r>
      <w:hyperlink r:id="rId55" w:history="1">
        <w:r w:rsidRPr="00FA4573">
          <w:rPr>
            <w:rStyle w:val="Hyperlink"/>
          </w:rPr>
          <w:t>programme</w:t>
        </w:r>
      </w:hyperlink>
      <w:r w:rsidRPr="00FA4573">
        <w:t xml:space="preserve">, </w:t>
      </w:r>
      <w:hyperlink r:id="rId56" w:history="1">
        <w:r w:rsidRPr="00FA4573">
          <w:rPr>
            <w:rStyle w:val="Hyperlink"/>
          </w:rPr>
          <w:t>report</w:t>
        </w:r>
      </w:hyperlink>
      <w:r w:rsidRPr="00FA4573">
        <w:t xml:space="preserve"> (Annex </w:t>
      </w:r>
      <w:r w:rsidRPr="00FA4573">
        <w:rPr>
          <w:rFonts w:eastAsia="Malgun Gothic"/>
          <w:lang w:eastAsia="ko-KR"/>
        </w:rPr>
        <w:t>4</w:t>
      </w:r>
      <w:r w:rsidRPr="00FA4573">
        <w:t>));</w:t>
      </w:r>
    </w:p>
    <w:p w14:paraId="7928B8E2" w14:textId="77777777" w:rsidR="00A63D1D" w:rsidRPr="00FA4573" w:rsidRDefault="00A63D1D" w:rsidP="00A63D1D">
      <w:pPr>
        <w:pStyle w:val="ListParagraph"/>
        <w:numPr>
          <w:ilvl w:val="0"/>
          <w:numId w:val="12"/>
        </w:numPr>
        <w:spacing w:before="60" w:after="60"/>
        <w:ind w:left="714" w:hanging="357"/>
        <w:contextualSpacing w:val="0"/>
      </w:pPr>
      <w:r w:rsidRPr="00FA4573">
        <w:t>Workshop on 5G cybersecurity</w:t>
      </w:r>
      <w:r w:rsidRPr="00FA4573">
        <w:rPr>
          <w:rFonts w:eastAsia="Malgun Gothic"/>
          <w:lang w:eastAsia="ko-KR"/>
        </w:rPr>
        <w:t>, held on 2 May 2024 (</w:t>
      </w:r>
      <w:hyperlink r:id="rId57" w:history="1">
        <w:r w:rsidRPr="00FA4573">
          <w:rPr>
            <w:rStyle w:val="Hyperlink"/>
            <w:rFonts w:eastAsia="Malgun Gothic"/>
            <w:lang w:eastAsia="ko-KR"/>
          </w:rPr>
          <w:t>programme</w:t>
        </w:r>
      </w:hyperlink>
      <w:r w:rsidRPr="00FA4573">
        <w:rPr>
          <w:rFonts w:eastAsia="Malgun Gothic"/>
          <w:lang w:eastAsia="ko-KR"/>
        </w:rPr>
        <w:t xml:space="preserve">, </w:t>
      </w:r>
      <w:hyperlink r:id="rId58" w:history="1">
        <w:r w:rsidRPr="00FA4573">
          <w:rPr>
            <w:rStyle w:val="Hyperlink"/>
            <w:rFonts w:eastAsia="Malgun Gothic"/>
            <w:lang w:eastAsia="ko-KR"/>
          </w:rPr>
          <w:t>report</w:t>
        </w:r>
      </w:hyperlink>
      <w:r w:rsidRPr="00FA4573">
        <w:rPr>
          <w:rFonts w:eastAsia="Malgun Gothic"/>
          <w:lang w:eastAsia="ko-KR"/>
        </w:rPr>
        <w:t xml:space="preserve"> (Annex 4)).</w:t>
      </w:r>
    </w:p>
    <w:p w14:paraId="2A49B4BB" w14:textId="77777777" w:rsidR="00A63D1D" w:rsidRPr="00FA4573" w:rsidRDefault="00A63D1D" w:rsidP="00A63D1D">
      <w:pPr>
        <w:rPr>
          <w:rFonts w:eastAsia="Malgun Gothic" w:cstheme="minorHAnsi"/>
          <w:szCs w:val="24"/>
          <w:lang w:eastAsia="ko-KR"/>
        </w:rPr>
      </w:pPr>
      <w:r w:rsidRPr="00FA4573">
        <w:rPr>
          <w:rFonts w:cstheme="minorHAnsi"/>
          <w:szCs w:val="24"/>
        </w:rPr>
        <w:t>Topics for the next study period were proposed</w:t>
      </w:r>
      <w:r w:rsidRPr="00FA4573">
        <w:rPr>
          <w:rFonts w:eastAsia="Malgun Gothic" w:cstheme="minorHAnsi" w:hint="eastAsia"/>
          <w:szCs w:val="24"/>
          <w:lang w:eastAsia="ko-KR"/>
        </w:rPr>
        <w:t xml:space="preserve"> on how to</w:t>
      </w:r>
      <w:r w:rsidRPr="00FA4573">
        <w:rPr>
          <w:rFonts w:eastAsia="Malgun Gothic" w:cstheme="minorHAnsi"/>
          <w:szCs w:val="24"/>
          <w:lang w:eastAsia="ko-KR"/>
        </w:rPr>
        <w:t xml:space="preserve"> promote cybersecurity and cyber resilience for the telecommunications/ICTs sector, including:</w:t>
      </w:r>
    </w:p>
    <w:p w14:paraId="68A742DF" w14:textId="77777777" w:rsidR="00A63D1D" w:rsidRPr="00FA4573" w:rsidRDefault="00A63D1D" w:rsidP="00A63D1D">
      <w:pPr>
        <w:pStyle w:val="ListParagraph"/>
        <w:numPr>
          <w:ilvl w:val="0"/>
          <w:numId w:val="34"/>
        </w:numPr>
        <w:spacing w:before="40" w:after="40"/>
        <w:contextualSpacing w:val="0"/>
        <w:rPr>
          <w:rFonts w:eastAsia="Malgun Gothic"/>
          <w:lang w:eastAsia="ko-KR"/>
        </w:rPr>
      </w:pPr>
      <w:r w:rsidRPr="00FA4573">
        <w:rPr>
          <w:rFonts w:eastAsia="Malgun Gothic"/>
          <w:lang w:eastAsia="ko-KR"/>
        </w:rPr>
        <w:t>Cybersecurity public policies and regulations that applies to the telecommunications/ICTs sector, including obligations and assurance practices.</w:t>
      </w:r>
    </w:p>
    <w:p w14:paraId="73BD5627" w14:textId="77777777" w:rsidR="00A63D1D" w:rsidRPr="00FA4573" w:rsidRDefault="00A63D1D" w:rsidP="00A63D1D">
      <w:pPr>
        <w:pStyle w:val="ListParagraph"/>
        <w:numPr>
          <w:ilvl w:val="0"/>
          <w:numId w:val="34"/>
        </w:numPr>
        <w:spacing w:before="40" w:after="40"/>
        <w:contextualSpacing w:val="0"/>
        <w:rPr>
          <w:rFonts w:eastAsia="Malgun Gothic"/>
          <w:lang w:eastAsia="ko-KR"/>
        </w:rPr>
      </w:pPr>
      <w:r w:rsidRPr="00FA4573">
        <w:rPr>
          <w:rFonts w:eastAsia="Malgun Gothic"/>
          <w:lang w:eastAsia="ko-KR"/>
        </w:rPr>
        <w:t xml:space="preserve">Specific measures, initiatives and projects to improve the cybersecurity and cyber resilience of small and medium telecommunications service providers. </w:t>
      </w:r>
    </w:p>
    <w:p w14:paraId="419EFAA6" w14:textId="77777777" w:rsidR="00A63D1D" w:rsidRPr="00FA4573" w:rsidRDefault="00A63D1D" w:rsidP="00A63D1D">
      <w:pPr>
        <w:pStyle w:val="ListParagraph"/>
        <w:numPr>
          <w:ilvl w:val="0"/>
          <w:numId w:val="34"/>
        </w:numPr>
        <w:spacing w:before="40" w:after="40"/>
        <w:contextualSpacing w:val="0"/>
        <w:rPr>
          <w:rFonts w:eastAsia="Malgun Gothic"/>
          <w:lang w:eastAsia="ko-KR"/>
        </w:rPr>
      </w:pPr>
      <w:r w:rsidRPr="00FA4573">
        <w:rPr>
          <w:rFonts w:eastAsia="Malgun Gothic"/>
          <w:lang w:eastAsia="ko-KR"/>
        </w:rPr>
        <w:t>How ITU membership is addressing the cybersecurity challenges and opportunities of the new and emerging telecommunications/ICT technologies and services in the sector.</w:t>
      </w:r>
    </w:p>
    <w:p w14:paraId="0B027C1D" w14:textId="77777777" w:rsidR="00A63D1D" w:rsidRPr="00FA4573" w:rsidRDefault="00A63D1D" w:rsidP="00A63D1D">
      <w:r w:rsidRPr="00FA4573">
        <w:lastRenderedPageBreak/>
        <w:t xml:space="preserve">An updated draft terms of reference for Question </w:t>
      </w:r>
      <w:r w:rsidRPr="00FA4573">
        <w:rPr>
          <w:rFonts w:eastAsia="Malgun Gothic"/>
          <w:lang w:eastAsia="ko-KR"/>
        </w:rPr>
        <w:t>3</w:t>
      </w:r>
      <w:r w:rsidRPr="00FA4573">
        <w:t xml:space="preserve">/2 is available in Document </w:t>
      </w:r>
      <w:hyperlink r:id="rId59" w:history="1">
        <w:r w:rsidRPr="00FA4573">
          <w:rPr>
            <w:rStyle w:val="Hyperlink"/>
          </w:rPr>
          <w:t>TDAG-WG-futureSGQ/</w:t>
        </w:r>
        <w:r w:rsidRPr="00FA4573">
          <w:rPr>
            <w:rStyle w:val="Hyperlink"/>
            <w:rFonts w:eastAsia="Malgun Gothic" w:hint="eastAsia"/>
            <w:lang w:eastAsia="ko-KR"/>
          </w:rPr>
          <w:t>48</w:t>
        </w:r>
      </w:hyperlink>
      <w:r w:rsidRPr="00FA4573">
        <w:t>.</w:t>
      </w:r>
    </w:p>
    <w:p w14:paraId="796014C9" w14:textId="77777777" w:rsidR="00A63D1D" w:rsidRPr="00FA4573" w:rsidRDefault="00A63D1D" w:rsidP="00A63D1D">
      <w:pPr>
        <w:pStyle w:val="Heading2"/>
        <w:spacing w:after="120"/>
      </w:pPr>
      <w:r w:rsidRPr="00FA4573">
        <w:t>Question 4/2 – Telecommunication/ICT equipment: Conformance and interoperability, combating counterfeiting and theft of mobile devices</w:t>
      </w:r>
    </w:p>
    <w:p w14:paraId="760A6252" w14:textId="77777777" w:rsidR="00A63D1D" w:rsidRPr="00FA4573" w:rsidRDefault="00A63D1D" w:rsidP="00A63D1D">
      <w:pPr>
        <w:spacing w:before="60"/>
      </w:pPr>
      <w:r w:rsidRPr="00FA4573">
        <w:t xml:space="preserve">The approved Output Report on Question 4/2 can be found in Document </w:t>
      </w:r>
      <w:hyperlink r:id="rId60" w:history="1">
        <w:r w:rsidRPr="00FA4573">
          <w:rPr>
            <w:rStyle w:val="Hyperlink"/>
          </w:rPr>
          <w:t>2/</w:t>
        </w:r>
        <w:r w:rsidRPr="00FA4573">
          <w:rPr>
            <w:rStyle w:val="Hyperlink"/>
            <w:rFonts w:eastAsia="Malgun Gothic" w:hint="eastAsia"/>
            <w:lang w:eastAsia="ko-KR"/>
          </w:rPr>
          <w:t>361</w:t>
        </w:r>
      </w:hyperlink>
      <w:r w:rsidRPr="00FA4573">
        <w:t>.</w:t>
      </w:r>
    </w:p>
    <w:p w14:paraId="076AD502" w14:textId="77777777" w:rsidR="00A63D1D" w:rsidRPr="00FA4573" w:rsidRDefault="00A63D1D" w:rsidP="00A63D1D">
      <w:pPr>
        <w:spacing w:after="120"/>
      </w:pPr>
      <w:r w:rsidRPr="00FA4573">
        <w:t>The Rapporteur Group on Question 4/2 also organized the following workshops:</w:t>
      </w:r>
    </w:p>
    <w:p w14:paraId="287A72E3"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conformance and interoperability challenges for digital transformation, held on </w:t>
      </w:r>
      <w:r w:rsidRPr="00FA4573">
        <w:rPr>
          <w:rFonts w:eastAsia="Malgun Gothic"/>
          <w:lang w:eastAsia="ko-KR"/>
        </w:rPr>
        <w:t>2 June 2023</w:t>
      </w:r>
      <w:r w:rsidRPr="00FA4573">
        <w:t xml:space="preserve"> (</w:t>
      </w:r>
      <w:hyperlink r:id="rId61" w:history="1">
        <w:r w:rsidRPr="00FA4573">
          <w:rPr>
            <w:rStyle w:val="Hyperlink"/>
          </w:rPr>
          <w:t>programme</w:t>
        </w:r>
      </w:hyperlink>
      <w:r w:rsidRPr="00FA4573">
        <w:t xml:space="preserve">, </w:t>
      </w:r>
      <w:hyperlink r:id="rId62" w:history="1">
        <w:r w:rsidRPr="00FA4573">
          <w:rPr>
            <w:rStyle w:val="Hyperlink"/>
          </w:rPr>
          <w:t>report</w:t>
        </w:r>
      </w:hyperlink>
      <w:r w:rsidRPr="00FA4573">
        <w:t xml:space="preserve"> (Annex </w:t>
      </w:r>
      <w:r w:rsidRPr="00FA4573">
        <w:rPr>
          <w:rFonts w:eastAsia="Malgun Gothic"/>
          <w:lang w:eastAsia="ko-KR"/>
        </w:rPr>
        <w:t>4</w:t>
      </w:r>
      <w:r w:rsidRPr="00FA4573">
        <w:t>));</w:t>
      </w:r>
    </w:p>
    <w:p w14:paraId="7C963B0A"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techniques designed to promote harmonization of </w:t>
      </w:r>
      <w:r w:rsidRPr="00FA4573">
        <w:rPr>
          <w:rFonts w:eastAsia="Malgun Gothic"/>
          <w:lang w:eastAsia="ko-KR"/>
        </w:rPr>
        <w:t>conformance and interoperability (</w:t>
      </w:r>
      <w:r w:rsidRPr="00FA4573">
        <w:t>C&amp;I</w:t>
      </w:r>
      <w:r w:rsidRPr="00FA4573">
        <w:rPr>
          <w:rFonts w:eastAsia="Malgun Gothic"/>
          <w:lang w:eastAsia="ko-KR"/>
        </w:rPr>
        <w:t>)</w:t>
      </w:r>
      <w:r w:rsidRPr="00FA4573">
        <w:t xml:space="preserve"> regimes, held on</w:t>
      </w:r>
      <w:r w:rsidRPr="00FA4573">
        <w:rPr>
          <w:i/>
          <w:iCs/>
        </w:rPr>
        <w:t xml:space="preserve"> </w:t>
      </w:r>
      <w:r w:rsidRPr="00FA4573">
        <w:rPr>
          <w:rFonts w:eastAsia="Malgun Gothic"/>
          <w:lang w:eastAsia="ko-KR"/>
        </w:rPr>
        <w:t>10</w:t>
      </w:r>
      <w:r w:rsidRPr="00FA4573">
        <w:t xml:space="preserve"> </w:t>
      </w:r>
      <w:r w:rsidRPr="00FA4573">
        <w:rPr>
          <w:rFonts w:eastAsia="Malgun Gothic"/>
          <w:lang w:eastAsia="ko-KR"/>
        </w:rPr>
        <w:t>May 2024</w:t>
      </w:r>
      <w:r w:rsidRPr="00FA4573">
        <w:t xml:space="preserve"> (</w:t>
      </w:r>
      <w:hyperlink r:id="rId63" w:history="1">
        <w:r w:rsidRPr="00FA4573">
          <w:rPr>
            <w:rStyle w:val="Hyperlink"/>
          </w:rPr>
          <w:t>programme</w:t>
        </w:r>
      </w:hyperlink>
      <w:r w:rsidRPr="00FA4573">
        <w:t xml:space="preserve">, </w:t>
      </w:r>
      <w:hyperlink r:id="rId64" w:history="1">
        <w:r w:rsidRPr="00FA4573">
          <w:rPr>
            <w:rStyle w:val="Hyperlink"/>
          </w:rPr>
          <w:t>report</w:t>
        </w:r>
      </w:hyperlink>
      <w:r w:rsidRPr="00FA4573">
        <w:t xml:space="preserve"> (Annex </w:t>
      </w:r>
      <w:r w:rsidRPr="00FA4573">
        <w:rPr>
          <w:rFonts w:eastAsia="Malgun Gothic"/>
          <w:lang w:eastAsia="ko-KR"/>
        </w:rPr>
        <w:t>3</w:t>
      </w:r>
      <w:r w:rsidRPr="00FA4573">
        <w:t>)).</w:t>
      </w:r>
    </w:p>
    <w:p w14:paraId="2A63E0E6" w14:textId="77777777" w:rsidR="00A63D1D" w:rsidRPr="00FA4573" w:rsidRDefault="00A63D1D" w:rsidP="00A63D1D">
      <w:pPr>
        <w:spacing w:after="120"/>
        <w:rPr>
          <w:rFonts w:eastAsia="Malgun Gothic" w:cstheme="minorHAnsi"/>
          <w:szCs w:val="24"/>
          <w:lang w:eastAsia="ko-KR"/>
        </w:rPr>
      </w:pPr>
      <w:r w:rsidRPr="00FA4573">
        <w:rPr>
          <w:rFonts w:cstheme="minorHAnsi"/>
          <w:szCs w:val="24"/>
        </w:rPr>
        <w:t xml:space="preserve">Topics for the next study period were proposed, for example </w:t>
      </w:r>
      <w:r w:rsidRPr="00FA4573">
        <w:rPr>
          <w:rFonts w:eastAsia="Malgun Gothic" w:cstheme="minorHAnsi"/>
          <w:szCs w:val="24"/>
          <w:lang w:eastAsia="ko-KR"/>
        </w:rPr>
        <w:t>establishing collaborative platforms for</w:t>
      </w:r>
      <w:r w:rsidRPr="00FA4573">
        <w:rPr>
          <w:rFonts w:cstheme="minorHAnsi"/>
          <w:szCs w:val="24"/>
        </w:rPr>
        <w:t xml:space="preserve"> C&amp;I</w:t>
      </w:r>
      <w:r w:rsidRPr="00FA4573">
        <w:rPr>
          <w:rFonts w:eastAsia="Malgun Gothic" w:cstheme="minorHAnsi"/>
          <w:szCs w:val="24"/>
          <w:lang w:eastAsia="ko-KR"/>
        </w:rPr>
        <w:t xml:space="preserve">, establishing centralized databases to combat counterfeit of ICT equipment, and establishing harmonized legal frameworks to combat theft of mobile devices. More information can be found in Document </w:t>
      </w:r>
      <w:hyperlink r:id="rId65" w:history="1">
        <w:r w:rsidRPr="00FA4573">
          <w:rPr>
            <w:rStyle w:val="Hyperlink"/>
          </w:rPr>
          <w:t>TDAG-WG-futureSGQ/</w:t>
        </w:r>
        <w:r w:rsidRPr="00FA4573">
          <w:rPr>
            <w:rStyle w:val="Hyperlink"/>
            <w:rFonts w:eastAsia="Malgun Gothic"/>
            <w:lang w:eastAsia="ko-KR"/>
          </w:rPr>
          <w:t>48</w:t>
        </w:r>
      </w:hyperlink>
      <w:r w:rsidRPr="00FA4573">
        <w:rPr>
          <w:rFonts w:eastAsia="Malgun Gothic"/>
          <w:lang w:eastAsia="ko-KR"/>
        </w:rPr>
        <w:t>.</w:t>
      </w:r>
    </w:p>
    <w:p w14:paraId="54B7B18B" w14:textId="77777777" w:rsidR="00A63D1D" w:rsidRPr="00FA4573" w:rsidRDefault="00A63D1D" w:rsidP="00A63D1D">
      <w:pPr>
        <w:pStyle w:val="Heading2"/>
        <w:spacing w:after="120"/>
        <w:ind w:left="426" w:hanging="426"/>
      </w:pPr>
      <w:r w:rsidRPr="00FA4573">
        <w:t xml:space="preserve">Question 5/2 – </w:t>
      </w:r>
      <w:r w:rsidRPr="00FA4573">
        <w:rPr>
          <w:lang w:eastAsia="zh-CN"/>
        </w:rPr>
        <w:t>Adoption of telecommunications/ICTs and improving digital skills</w:t>
      </w:r>
    </w:p>
    <w:p w14:paraId="2623011B" w14:textId="77777777" w:rsidR="00A63D1D" w:rsidRPr="00FA4573" w:rsidRDefault="00A63D1D" w:rsidP="00A63D1D">
      <w:pPr>
        <w:spacing w:before="60"/>
      </w:pPr>
      <w:r w:rsidRPr="00FA4573">
        <w:t xml:space="preserve">The approved Output Report on Question 5/2 can be found in Document </w:t>
      </w:r>
      <w:hyperlink r:id="rId66" w:history="1">
        <w:r w:rsidRPr="00FA4573">
          <w:rPr>
            <w:rStyle w:val="Hyperlink"/>
          </w:rPr>
          <w:t>2/</w:t>
        </w:r>
        <w:r w:rsidRPr="00FA4573">
          <w:rPr>
            <w:rStyle w:val="Hyperlink"/>
            <w:rFonts w:eastAsia="Malgun Gothic" w:hint="eastAsia"/>
            <w:lang w:eastAsia="ko-KR"/>
          </w:rPr>
          <w:t>362</w:t>
        </w:r>
      </w:hyperlink>
      <w:r w:rsidRPr="00FA4573">
        <w:t>.</w:t>
      </w:r>
    </w:p>
    <w:p w14:paraId="27EE39F5" w14:textId="77777777" w:rsidR="00A63D1D" w:rsidRPr="00FA4573" w:rsidRDefault="00A63D1D" w:rsidP="00A63D1D">
      <w:pPr>
        <w:spacing w:after="120"/>
      </w:pPr>
      <w:r w:rsidRPr="00FA4573">
        <w:t>The Rapporteur Group on Question 5/2 also organized the following workshops:</w:t>
      </w:r>
    </w:p>
    <w:p w14:paraId="79323AFA"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adoption of ICTs and digital skills development, held on </w:t>
      </w:r>
      <w:r w:rsidRPr="00FA4573">
        <w:rPr>
          <w:rFonts w:eastAsia="Malgun Gothic"/>
          <w:lang w:eastAsia="ko-KR"/>
        </w:rPr>
        <w:t>1</w:t>
      </w:r>
      <w:r w:rsidRPr="00FA4573">
        <w:t xml:space="preserve"> </w:t>
      </w:r>
      <w:r w:rsidRPr="00FA4573">
        <w:rPr>
          <w:rFonts w:eastAsia="Malgun Gothic"/>
          <w:lang w:eastAsia="ko-KR"/>
        </w:rPr>
        <w:t>June</w:t>
      </w:r>
      <w:r w:rsidRPr="00FA4573">
        <w:t xml:space="preserve"> 20</w:t>
      </w:r>
      <w:r w:rsidRPr="00FA4573">
        <w:rPr>
          <w:rFonts w:eastAsia="Malgun Gothic"/>
          <w:lang w:eastAsia="ko-KR"/>
        </w:rPr>
        <w:t>23</w:t>
      </w:r>
      <w:r w:rsidRPr="00FA4573">
        <w:t xml:space="preserve"> (</w:t>
      </w:r>
      <w:hyperlink r:id="rId67" w:history="1">
        <w:r w:rsidRPr="00FA4573">
          <w:rPr>
            <w:rStyle w:val="Hyperlink"/>
          </w:rPr>
          <w:t>programme</w:t>
        </w:r>
      </w:hyperlink>
      <w:r w:rsidRPr="00FA4573">
        <w:t xml:space="preserve">, </w:t>
      </w:r>
      <w:hyperlink r:id="rId68" w:history="1">
        <w:r w:rsidRPr="00FA4573">
          <w:rPr>
            <w:rStyle w:val="Hyperlink"/>
          </w:rPr>
          <w:t>report</w:t>
        </w:r>
      </w:hyperlink>
      <w:r w:rsidRPr="00FA4573">
        <w:t xml:space="preserve"> (Annex </w:t>
      </w:r>
      <w:r w:rsidRPr="00FA4573">
        <w:rPr>
          <w:rFonts w:eastAsia="Malgun Gothic"/>
          <w:lang w:eastAsia="ko-KR"/>
        </w:rPr>
        <w:t>3</w:t>
      </w:r>
      <w:r w:rsidRPr="00FA4573">
        <w:t>));</w:t>
      </w:r>
    </w:p>
    <w:p w14:paraId="170D73E5"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digital skills development: policies, strategies, and national experiences for a better future, held on </w:t>
      </w:r>
      <w:r w:rsidRPr="00FA4573">
        <w:rPr>
          <w:rFonts w:eastAsia="Malgun Gothic"/>
          <w:lang w:eastAsia="ko-KR"/>
        </w:rPr>
        <w:t>8</w:t>
      </w:r>
      <w:r w:rsidRPr="00FA4573">
        <w:t xml:space="preserve"> </w:t>
      </w:r>
      <w:r w:rsidRPr="00FA4573">
        <w:rPr>
          <w:rFonts w:eastAsia="Malgun Gothic"/>
          <w:lang w:eastAsia="ko-KR"/>
        </w:rPr>
        <w:t>May</w:t>
      </w:r>
      <w:r w:rsidRPr="00FA4573">
        <w:t xml:space="preserve"> 20</w:t>
      </w:r>
      <w:r w:rsidRPr="00FA4573">
        <w:rPr>
          <w:rFonts w:eastAsia="Malgun Gothic"/>
          <w:lang w:eastAsia="ko-KR"/>
        </w:rPr>
        <w:t>24</w:t>
      </w:r>
      <w:r w:rsidRPr="00FA4573">
        <w:t xml:space="preserve"> (</w:t>
      </w:r>
      <w:hyperlink r:id="rId69" w:history="1">
        <w:r w:rsidRPr="00FA4573">
          <w:rPr>
            <w:rStyle w:val="Hyperlink"/>
          </w:rPr>
          <w:t>programme</w:t>
        </w:r>
      </w:hyperlink>
      <w:r w:rsidRPr="00FA4573">
        <w:t xml:space="preserve">, </w:t>
      </w:r>
      <w:hyperlink r:id="rId70" w:history="1">
        <w:r w:rsidRPr="00FA4573">
          <w:rPr>
            <w:rStyle w:val="Hyperlink"/>
          </w:rPr>
          <w:t>report</w:t>
        </w:r>
      </w:hyperlink>
      <w:r w:rsidRPr="00FA4573">
        <w:t xml:space="preserve"> (Annex 4));</w:t>
      </w:r>
    </w:p>
    <w:p w14:paraId="7A23E165" w14:textId="77777777" w:rsidR="00A63D1D" w:rsidRPr="00FA4573" w:rsidRDefault="00A63D1D" w:rsidP="00A63D1D">
      <w:pPr>
        <w:spacing w:after="120"/>
        <w:rPr>
          <w:rFonts w:cstheme="minorHAnsi"/>
          <w:color w:val="000000"/>
          <w:szCs w:val="24"/>
        </w:rPr>
      </w:pPr>
      <w:r w:rsidRPr="00FA4573">
        <w:rPr>
          <w:rFonts w:cstheme="minorHAnsi"/>
          <w:szCs w:val="24"/>
        </w:rPr>
        <w:t>Regarding future topics,</w:t>
      </w:r>
      <w:r w:rsidRPr="00FA4573">
        <w:rPr>
          <w:rFonts w:eastAsia="Malgun Gothic" w:cstheme="minorHAnsi"/>
          <w:szCs w:val="24"/>
          <w:lang w:eastAsia="ko-KR"/>
        </w:rPr>
        <w:t xml:space="preserve"> considering that this study area was introduced for the first time during this study period, it was considered that all items included in the current terms of reference of this Question were not fully explored and need further studies.</w:t>
      </w:r>
    </w:p>
    <w:p w14:paraId="4D8ACB4A" w14:textId="77777777" w:rsidR="00A63D1D" w:rsidRPr="00FA4573" w:rsidRDefault="00A63D1D" w:rsidP="00A63D1D">
      <w:pPr>
        <w:pStyle w:val="Heading2"/>
        <w:spacing w:after="120"/>
      </w:pPr>
      <w:r w:rsidRPr="00FA4573">
        <w:t xml:space="preserve">Question 6/2 – </w:t>
      </w:r>
      <w:r w:rsidRPr="00FA4573">
        <w:rPr>
          <w:lang w:eastAsia="zh-CN"/>
        </w:rPr>
        <w:t xml:space="preserve">ICTs </w:t>
      </w:r>
      <w:r w:rsidRPr="00FA4573">
        <w:rPr>
          <w:rFonts w:eastAsia="Malgun Gothic"/>
          <w:lang w:eastAsia="ko-KR"/>
        </w:rPr>
        <w:t>for</w:t>
      </w:r>
      <w:r w:rsidRPr="00FA4573">
        <w:rPr>
          <w:lang w:eastAsia="zh-CN"/>
        </w:rPr>
        <w:t xml:space="preserve"> the environment</w:t>
      </w:r>
    </w:p>
    <w:p w14:paraId="60A5A96D" w14:textId="77777777" w:rsidR="00A63D1D" w:rsidRPr="00FA4573" w:rsidRDefault="00A63D1D" w:rsidP="00A63D1D">
      <w:pPr>
        <w:spacing w:before="60"/>
      </w:pPr>
      <w:r w:rsidRPr="00FA4573">
        <w:t xml:space="preserve">The approved Output Report on Question 6/2 can be found in Document </w:t>
      </w:r>
      <w:hyperlink r:id="rId71" w:history="1">
        <w:r w:rsidRPr="00FA4573">
          <w:rPr>
            <w:rStyle w:val="Hyperlink"/>
          </w:rPr>
          <w:t>2/3</w:t>
        </w:r>
        <w:r w:rsidRPr="00FA4573">
          <w:rPr>
            <w:rStyle w:val="Hyperlink"/>
            <w:rFonts w:eastAsia="Malgun Gothic" w:hint="eastAsia"/>
            <w:lang w:eastAsia="ko-KR"/>
          </w:rPr>
          <w:t>63</w:t>
        </w:r>
      </w:hyperlink>
      <w:r w:rsidRPr="00FA4573">
        <w:t>.</w:t>
      </w:r>
    </w:p>
    <w:p w14:paraId="4E61A8BE" w14:textId="77777777" w:rsidR="00A63D1D" w:rsidRPr="00FA4573" w:rsidRDefault="00A63D1D" w:rsidP="00A63D1D">
      <w:pPr>
        <w:spacing w:after="120"/>
      </w:pPr>
      <w:r w:rsidRPr="00FA4573">
        <w:t>The Rapporteur Group on Question 6/2 also organized the following workshops:</w:t>
      </w:r>
    </w:p>
    <w:p w14:paraId="13935B51"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green ICT and emerging technologies towards climate change mitigation, held on </w:t>
      </w:r>
      <w:r w:rsidRPr="00FA4573">
        <w:rPr>
          <w:rFonts w:eastAsia="Malgun Gothic"/>
          <w:lang w:eastAsia="ko-KR"/>
        </w:rPr>
        <w:t>29</w:t>
      </w:r>
      <w:r w:rsidRPr="00FA4573">
        <w:t xml:space="preserve"> </w:t>
      </w:r>
      <w:r w:rsidRPr="00FA4573">
        <w:rPr>
          <w:rFonts w:eastAsia="Malgun Gothic"/>
          <w:lang w:eastAsia="ko-KR"/>
        </w:rPr>
        <w:t>May</w:t>
      </w:r>
      <w:r w:rsidRPr="00FA4573">
        <w:t xml:space="preserve"> 20</w:t>
      </w:r>
      <w:r w:rsidRPr="00FA4573">
        <w:rPr>
          <w:rFonts w:eastAsia="Malgun Gothic"/>
          <w:lang w:eastAsia="ko-KR"/>
        </w:rPr>
        <w:t>23</w:t>
      </w:r>
      <w:r w:rsidRPr="00FA4573">
        <w:t xml:space="preserve"> (</w:t>
      </w:r>
      <w:hyperlink r:id="rId72" w:history="1">
        <w:r w:rsidRPr="00FA4573">
          <w:rPr>
            <w:rStyle w:val="Hyperlink"/>
          </w:rPr>
          <w:t>programme</w:t>
        </w:r>
      </w:hyperlink>
      <w:r w:rsidRPr="00FA4573">
        <w:t xml:space="preserve">, </w:t>
      </w:r>
      <w:hyperlink r:id="rId73" w:history="1">
        <w:r w:rsidRPr="00FA4573">
          <w:rPr>
            <w:rStyle w:val="Hyperlink"/>
          </w:rPr>
          <w:t>report</w:t>
        </w:r>
      </w:hyperlink>
      <w:r w:rsidRPr="00FA4573">
        <w:t xml:space="preserve"> (Annex </w:t>
      </w:r>
      <w:r w:rsidRPr="00FA4573">
        <w:rPr>
          <w:rFonts w:eastAsia="Malgun Gothic"/>
          <w:lang w:eastAsia="ko-KR"/>
        </w:rPr>
        <w:t>4</w:t>
      </w:r>
      <w:r w:rsidRPr="00FA4573">
        <w:t>));</w:t>
      </w:r>
    </w:p>
    <w:p w14:paraId="1722E12F" w14:textId="77777777" w:rsidR="00A63D1D" w:rsidRPr="00FA4573" w:rsidRDefault="00A63D1D" w:rsidP="00A63D1D">
      <w:pPr>
        <w:pStyle w:val="ListParagraph"/>
        <w:numPr>
          <w:ilvl w:val="0"/>
          <w:numId w:val="6"/>
        </w:numPr>
        <w:spacing w:before="60" w:after="60"/>
        <w:ind w:left="714" w:hanging="357"/>
        <w:contextualSpacing w:val="0"/>
      </w:pPr>
      <w:r w:rsidRPr="00FA4573">
        <w:t xml:space="preserve">Workshop on circular economy considerations and new technologies for combatting climate change, held on </w:t>
      </w:r>
      <w:r w:rsidRPr="00FA4573">
        <w:rPr>
          <w:rFonts w:eastAsia="Malgun Gothic"/>
          <w:lang w:eastAsia="ko-KR"/>
        </w:rPr>
        <w:t>6</w:t>
      </w:r>
      <w:r w:rsidRPr="00FA4573">
        <w:t xml:space="preserve"> </w:t>
      </w:r>
      <w:r w:rsidRPr="00FA4573">
        <w:rPr>
          <w:rFonts w:eastAsia="Malgun Gothic"/>
          <w:lang w:eastAsia="ko-KR"/>
        </w:rPr>
        <w:t>May</w:t>
      </w:r>
      <w:r w:rsidRPr="00FA4573">
        <w:t xml:space="preserve"> 20</w:t>
      </w:r>
      <w:r w:rsidRPr="00FA4573">
        <w:rPr>
          <w:rFonts w:eastAsia="Malgun Gothic"/>
          <w:lang w:eastAsia="ko-KR"/>
        </w:rPr>
        <w:t>24</w:t>
      </w:r>
      <w:r w:rsidRPr="00FA4573">
        <w:t xml:space="preserve"> (</w:t>
      </w:r>
      <w:hyperlink r:id="rId74" w:history="1">
        <w:r w:rsidRPr="00FA4573">
          <w:rPr>
            <w:rStyle w:val="Hyperlink"/>
          </w:rPr>
          <w:t>programme</w:t>
        </w:r>
      </w:hyperlink>
      <w:r w:rsidRPr="00FA4573">
        <w:t xml:space="preserve">, </w:t>
      </w:r>
      <w:hyperlink r:id="rId75" w:history="1">
        <w:r w:rsidRPr="00FA4573">
          <w:rPr>
            <w:rStyle w:val="Hyperlink"/>
          </w:rPr>
          <w:t>report</w:t>
        </w:r>
      </w:hyperlink>
      <w:r w:rsidRPr="00FA4573">
        <w:t xml:space="preserve"> (Annex 4)).</w:t>
      </w:r>
    </w:p>
    <w:p w14:paraId="302588BD" w14:textId="77777777" w:rsidR="00A63D1D" w:rsidRPr="00FA4573" w:rsidRDefault="00A63D1D" w:rsidP="00A63D1D">
      <w:pPr>
        <w:tabs>
          <w:tab w:val="clear" w:pos="1134"/>
          <w:tab w:val="clear" w:pos="1871"/>
          <w:tab w:val="clear" w:pos="2268"/>
          <w:tab w:val="left" w:pos="794"/>
          <w:tab w:val="left" w:pos="1191"/>
          <w:tab w:val="left" w:pos="1588"/>
          <w:tab w:val="left" w:pos="1985"/>
        </w:tabs>
        <w:spacing w:after="120"/>
        <w:rPr>
          <w:rFonts w:eastAsia="Malgun Gothic" w:cstheme="minorHAnsi"/>
          <w:szCs w:val="24"/>
          <w:lang w:eastAsia="ko-KR"/>
        </w:rPr>
      </w:pPr>
      <w:r w:rsidRPr="00FA4573">
        <w:rPr>
          <w:rFonts w:cstheme="minorHAnsi"/>
          <w:szCs w:val="24"/>
        </w:rPr>
        <w:t xml:space="preserve">Topics for the next study period were proposed, </w:t>
      </w:r>
      <w:r w:rsidRPr="00FA4573">
        <w:rPr>
          <w:rFonts w:eastAsia="Malgun Gothic" w:cstheme="minorHAnsi" w:hint="eastAsia"/>
          <w:szCs w:val="24"/>
          <w:lang w:eastAsia="ko-KR"/>
        </w:rPr>
        <w:t>including:</w:t>
      </w:r>
    </w:p>
    <w:p w14:paraId="2AFB8B22" w14:textId="77777777" w:rsidR="00A63D1D" w:rsidRPr="00FA4573" w:rsidRDefault="00A63D1D" w:rsidP="00A63D1D">
      <w:pPr>
        <w:pStyle w:val="ListParagraph"/>
        <w:numPr>
          <w:ilvl w:val="0"/>
          <w:numId w:val="35"/>
        </w:numPr>
        <w:tabs>
          <w:tab w:val="clear" w:pos="1134"/>
          <w:tab w:val="clear" w:pos="1871"/>
          <w:tab w:val="clear" w:pos="2268"/>
          <w:tab w:val="left" w:pos="794"/>
          <w:tab w:val="left" w:pos="1191"/>
          <w:tab w:val="left" w:pos="1588"/>
          <w:tab w:val="left" w:pos="1985"/>
        </w:tabs>
        <w:spacing w:before="40" w:after="120"/>
        <w:contextualSpacing w:val="0"/>
        <w:rPr>
          <w:rFonts w:eastAsia="Malgun Gothic"/>
          <w:lang w:eastAsia="ko-KR"/>
        </w:rPr>
      </w:pPr>
      <w:r w:rsidRPr="00FA4573">
        <w:rPr>
          <w:rFonts w:eastAsia="Malgun Gothic" w:hint="eastAsia"/>
          <w:lang w:eastAsia="ko-KR"/>
        </w:rPr>
        <w:t>T</w:t>
      </w:r>
      <w:r w:rsidRPr="00FA4573">
        <w:rPr>
          <w:rFonts w:eastAsia="Malgun Gothic"/>
          <w:lang w:eastAsia="ko-KR"/>
        </w:rPr>
        <w:t xml:space="preserve">he </w:t>
      </w:r>
      <w:r w:rsidRPr="00FA4573">
        <w:rPr>
          <w:lang w:eastAsia="ko-KR"/>
        </w:rPr>
        <w:t>role of ICTs and cutting-edge intelligent technologies like AI in reducing climate change-related disasters like flash floods and large-scale fires (in collaboration with Q3/1)</w:t>
      </w:r>
      <w:r w:rsidRPr="00FA4573">
        <w:rPr>
          <w:rFonts w:eastAsia="Malgun Gothic" w:hint="eastAsia"/>
          <w:lang w:eastAsia="ko-KR"/>
        </w:rPr>
        <w:t>,</w:t>
      </w:r>
    </w:p>
    <w:p w14:paraId="0F157457" w14:textId="77777777" w:rsidR="00A63D1D" w:rsidRPr="00FA4573" w:rsidRDefault="00A63D1D" w:rsidP="00A63D1D">
      <w:pPr>
        <w:pStyle w:val="ListParagraph"/>
        <w:numPr>
          <w:ilvl w:val="0"/>
          <w:numId w:val="35"/>
        </w:numPr>
        <w:tabs>
          <w:tab w:val="clear" w:pos="1134"/>
          <w:tab w:val="clear" w:pos="1871"/>
          <w:tab w:val="clear" w:pos="2268"/>
          <w:tab w:val="left" w:pos="794"/>
          <w:tab w:val="left" w:pos="1191"/>
          <w:tab w:val="left" w:pos="1588"/>
          <w:tab w:val="left" w:pos="1985"/>
        </w:tabs>
        <w:spacing w:before="40" w:after="120"/>
        <w:contextualSpacing w:val="0"/>
        <w:rPr>
          <w:rFonts w:eastAsia="Malgun Gothic"/>
          <w:lang w:eastAsia="ko-KR"/>
        </w:rPr>
      </w:pPr>
      <w:r w:rsidRPr="00FA4573">
        <w:rPr>
          <w:lang w:eastAsia="ko-KR"/>
        </w:rPr>
        <w:t xml:space="preserve">The role of ICTs in monitoring and protecting </w:t>
      </w:r>
      <w:r w:rsidRPr="00FA4573">
        <w:rPr>
          <w:rFonts w:eastAsia="Malgun Gothic"/>
          <w:lang w:eastAsia="ko-KR"/>
        </w:rPr>
        <w:t>b</w:t>
      </w:r>
      <w:r w:rsidRPr="00FA4573">
        <w:rPr>
          <w:lang w:eastAsia="ko-KR"/>
        </w:rPr>
        <w:t xml:space="preserve">iodiversity worldwide and, in particular, in </w:t>
      </w:r>
      <w:r w:rsidRPr="00FA4573">
        <w:rPr>
          <w:rFonts w:eastAsia="Malgun Gothic"/>
          <w:lang w:eastAsia="ko-KR"/>
        </w:rPr>
        <w:t>b</w:t>
      </w:r>
      <w:r w:rsidRPr="00FA4573">
        <w:rPr>
          <w:lang w:eastAsia="ko-KR"/>
        </w:rPr>
        <w:t>iodiversity hotspots where the variety and richness of ecosystems is particularly high.</w:t>
      </w:r>
    </w:p>
    <w:p w14:paraId="451CF10A" w14:textId="77777777" w:rsidR="00A63D1D" w:rsidRPr="00FA4573" w:rsidRDefault="00A63D1D" w:rsidP="00A63D1D">
      <w:pPr>
        <w:tabs>
          <w:tab w:val="clear" w:pos="1134"/>
          <w:tab w:val="clear" w:pos="1871"/>
          <w:tab w:val="clear" w:pos="2268"/>
          <w:tab w:val="left" w:pos="794"/>
          <w:tab w:val="left" w:pos="1191"/>
          <w:tab w:val="left" w:pos="1588"/>
          <w:tab w:val="left" w:pos="1985"/>
        </w:tabs>
        <w:spacing w:after="120"/>
        <w:rPr>
          <w:rFonts w:eastAsia="Malgun Gothic"/>
          <w:lang w:eastAsia="ko-KR"/>
        </w:rPr>
      </w:pPr>
      <w:r w:rsidRPr="00FA4573">
        <w:rPr>
          <w:rFonts w:cstheme="minorHAnsi"/>
          <w:szCs w:val="24"/>
        </w:rPr>
        <w:t xml:space="preserve">An updated draft terms of reference for Question 6/2 is available in </w:t>
      </w:r>
      <w:r w:rsidRPr="00FA4573">
        <w:rPr>
          <w:rFonts w:eastAsia="Malgun Gothic" w:cstheme="minorHAnsi"/>
          <w:szCs w:val="24"/>
          <w:lang w:eastAsia="ko-KR"/>
        </w:rPr>
        <w:t xml:space="preserve">Document </w:t>
      </w:r>
      <w:hyperlink r:id="rId76" w:history="1">
        <w:r w:rsidRPr="00FA4573">
          <w:rPr>
            <w:rStyle w:val="Hyperlink"/>
          </w:rPr>
          <w:t>TDAG-WG-futureSGQ/</w:t>
        </w:r>
        <w:r w:rsidRPr="00FA4573">
          <w:rPr>
            <w:rStyle w:val="Hyperlink"/>
            <w:rFonts w:eastAsia="Malgun Gothic"/>
            <w:lang w:eastAsia="ko-KR"/>
          </w:rPr>
          <w:t>48</w:t>
        </w:r>
      </w:hyperlink>
      <w:r w:rsidRPr="00FA4573">
        <w:rPr>
          <w:rFonts w:eastAsia="Malgun Gothic"/>
          <w:lang w:eastAsia="ko-KR"/>
        </w:rPr>
        <w:t>.</w:t>
      </w:r>
    </w:p>
    <w:p w14:paraId="0257F8C2" w14:textId="77777777" w:rsidR="00A63D1D" w:rsidRPr="00FA4573" w:rsidRDefault="00A63D1D" w:rsidP="00A63D1D">
      <w:pPr>
        <w:pStyle w:val="Heading2"/>
        <w:spacing w:after="120"/>
      </w:pPr>
      <w:r w:rsidRPr="00FA4573">
        <w:lastRenderedPageBreak/>
        <w:t xml:space="preserve">Question 7/2 – </w:t>
      </w:r>
      <w:r w:rsidRPr="00FA4573">
        <w:rPr>
          <w:lang w:eastAsia="zh-CN"/>
        </w:rPr>
        <w:t>Strategies and policies concerning human exposure to electromagnetic fields</w:t>
      </w:r>
    </w:p>
    <w:p w14:paraId="03EEE214" w14:textId="77777777" w:rsidR="00A63D1D" w:rsidRPr="00FA4573" w:rsidRDefault="00A63D1D" w:rsidP="00A63D1D">
      <w:pPr>
        <w:spacing w:before="60"/>
      </w:pPr>
      <w:r w:rsidRPr="00FA4573">
        <w:t xml:space="preserve">The approved Output Report on Question 7/2 can be found in Document </w:t>
      </w:r>
      <w:hyperlink r:id="rId77" w:history="1">
        <w:r w:rsidRPr="00FA4573">
          <w:rPr>
            <w:rStyle w:val="Hyperlink"/>
          </w:rPr>
          <w:t>2/3</w:t>
        </w:r>
        <w:r w:rsidRPr="00FA4573">
          <w:rPr>
            <w:rStyle w:val="Hyperlink"/>
            <w:rFonts w:eastAsia="Malgun Gothic" w:hint="eastAsia"/>
            <w:lang w:eastAsia="ko-KR"/>
          </w:rPr>
          <w:t>64</w:t>
        </w:r>
      </w:hyperlink>
      <w:r w:rsidRPr="00FA4573">
        <w:t>.</w:t>
      </w:r>
    </w:p>
    <w:p w14:paraId="7E63C433" w14:textId="77777777" w:rsidR="00A63D1D" w:rsidRPr="00FA4573" w:rsidRDefault="00A63D1D" w:rsidP="00A63D1D">
      <w:pPr>
        <w:spacing w:after="120"/>
        <w:rPr>
          <w:rFonts w:eastAsia="Malgun Gothic"/>
          <w:lang w:eastAsia="ko-KR"/>
        </w:rPr>
      </w:pPr>
      <w:r w:rsidRPr="00FA4573">
        <w:t xml:space="preserve">The Rapporteur Group on Question 7/2 also organized </w:t>
      </w:r>
      <w:r w:rsidRPr="00FA4573">
        <w:rPr>
          <w:rFonts w:eastAsia="Malgun Gothic"/>
          <w:lang w:eastAsia="ko-KR"/>
        </w:rPr>
        <w:t>the following</w:t>
      </w:r>
      <w:r w:rsidRPr="00FA4573">
        <w:t xml:space="preserve"> workshop</w:t>
      </w:r>
      <w:r w:rsidRPr="00FA4573">
        <w:rPr>
          <w:rFonts w:eastAsia="Malgun Gothic"/>
          <w:lang w:eastAsia="ko-KR"/>
        </w:rPr>
        <w:t>s:</w:t>
      </w:r>
    </w:p>
    <w:p w14:paraId="546ACC6E" w14:textId="77777777" w:rsidR="00A63D1D" w:rsidRPr="00FA4573" w:rsidRDefault="00A63D1D" w:rsidP="00A63D1D">
      <w:pPr>
        <w:pStyle w:val="ListParagraph"/>
        <w:numPr>
          <w:ilvl w:val="0"/>
          <w:numId w:val="6"/>
        </w:numPr>
        <w:spacing w:before="60" w:after="60"/>
        <w:ind w:left="714" w:hanging="357"/>
        <w:contextualSpacing w:val="0"/>
      </w:pPr>
      <w:r w:rsidRPr="00FA4573">
        <w:t>Workshop on international, regional and national policies concerning human exposure to electromagnetic fields</w:t>
      </w:r>
      <w:r w:rsidRPr="00FA4573">
        <w:rPr>
          <w:rFonts w:eastAsia="Malgun Gothic"/>
          <w:lang w:eastAsia="ko-KR"/>
        </w:rPr>
        <w:t xml:space="preserve"> (EMFs)</w:t>
      </w:r>
      <w:r w:rsidRPr="00FA4573">
        <w:t xml:space="preserve">, held on </w:t>
      </w:r>
      <w:r w:rsidRPr="00FA4573">
        <w:rPr>
          <w:rFonts w:eastAsia="Malgun Gothic"/>
          <w:lang w:eastAsia="ko-KR"/>
        </w:rPr>
        <w:t>25</w:t>
      </w:r>
      <w:r w:rsidRPr="00FA4573">
        <w:t xml:space="preserve"> </w:t>
      </w:r>
      <w:r w:rsidRPr="00FA4573">
        <w:rPr>
          <w:rFonts w:eastAsia="Malgun Gothic"/>
          <w:lang w:eastAsia="ko-KR"/>
        </w:rPr>
        <w:t>May</w:t>
      </w:r>
      <w:r w:rsidRPr="00FA4573">
        <w:t xml:space="preserve"> 20</w:t>
      </w:r>
      <w:r w:rsidRPr="00FA4573">
        <w:rPr>
          <w:rFonts w:eastAsia="Malgun Gothic"/>
          <w:lang w:eastAsia="ko-KR"/>
        </w:rPr>
        <w:t>23</w:t>
      </w:r>
      <w:r w:rsidRPr="00FA4573">
        <w:t xml:space="preserve"> (</w:t>
      </w:r>
      <w:hyperlink r:id="rId78" w:history="1">
        <w:r w:rsidRPr="00FA4573">
          <w:rPr>
            <w:rStyle w:val="Hyperlink"/>
          </w:rPr>
          <w:t>programme</w:t>
        </w:r>
      </w:hyperlink>
      <w:r w:rsidRPr="00FA4573">
        <w:t xml:space="preserve">, </w:t>
      </w:r>
      <w:hyperlink r:id="rId79" w:history="1">
        <w:r w:rsidRPr="00FA4573">
          <w:rPr>
            <w:rStyle w:val="Hyperlink"/>
          </w:rPr>
          <w:t>report</w:t>
        </w:r>
      </w:hyperlink>
      <w:r w:rsidRPr="00FA4573">
        <w:t xml:space="preserve"> (Annex </w:t>
      </w:r>
      <w:r w:rsidRPr="00FA4573">
        <w:rPr>
          <w:rFonts w:eastAsia="Malgun Gothic"/>
          <w:lang w:eastAsia="ko-KR"/>
        </w:rPr>
        <w:t>4</w:t>
      </w:r>
      <w:r w:rsidRPr="00FA4573">
        <w:t>));</w:t>
      </w:r>
    </w:p>
    <w:p w14:paraId="203188E1" w14:textId="77777777" w:rsidR="00A63D1D" w:rsidRPr="00FA4573" w:rsidRDefault="00A63D1D" w:rsidP="00A63D1D">
      <w:pPr>
        <w:pStyle w:val="ListParagraph"/>
        <w:numPr>
          <w:ilvl w:val="0"/>
          <w:numId w:val="6"/>
        </w:numPr>
        <w:spacing w:before="60" w:after="60"/>
        <w:ind w:left="714" w:hanging="357"/>
        <w:contextualSpacing w:val="0"/>
      </w:pPr>
      <w:r w:rsidRPr="00FA4573">
        <w:t>Workshop on recent developments relevant to EMF policy formulation</w:t>
      </w:r>
      <w:r w:rsidRPr="00FA4573">
        <w:rPr>
          <w:rFonts w:eastAsia="Malgun Gothic"/>
          <w:lang w:eastAsia="ko-KR"/>
        </w:rPr>
        <w:t>, held on 8 May 2024</w:t>
      </w:r>
      <w:r w:rsidRPr="00FA4573">
        <w:t xml:space="preserve"> (</w:t>
      </w:r>
      <w:hyperlink r:id="rId80" w:history="1">
        <w:r w:rsidRPr="00FA4573">
          <w:rPr>
            <w:rStyle w:val="Hyperlink"/>
          </w:rPr>
          <w:t>programme</w:t>
        </w:r>
      </w:hyperlink>
      <w:r w:rsidRPr="00FA4573">
        <w:t xml:space="preserve">, </w:t>
      </w:r>
      <w:hyperlink r:id="rId81" w:history="1">
        <w:r w:rsidRPr="00FA4573">
          <w:rPr>
            <w:rStyle w:val="Hyperlink"/>
          </w:rPr>
          <w:t>report</w:t>
        </w:r>
      </w:hyperlink>
      <w:r w:rsidRPr="00FA4573">
        <w:t xml:space="preserve"> (Annex </w:t>
      </w:r>
      <w:r w:rsidRPr="00FA4573">
        <w:rPr>
          <w:rFonts w:eastAsia="Malgun Gothic"/>
          <w:lang w:eastAsia="ko-KR"/>
        </w:rPr>
        <w:t>5</w:t>
      </w:r>
      <w:r w:rsidRPr="00FA4573">
        <w:t>)).</w:t>
      </w:r>
    </w:p>
    <w:p w14:paraId="275CEF50" w14:textId="77777777" w:rsidR="00A63D1D" w:rsidRPr="00FA4573" w:rsidRDefault="00A63D1D" w:rsidP="00A63D1D">
      <w:pPr>
        <w:spacing w:after="120"/>
        <w:rPr>
          <w:rFonts w:eastAsia="Malgun Gothic" w:cstheme="minorHAnsi"/>
          <w:szCs w:val="24"/>
          <w:lang w:eastAsia="ko-KR"/>
        </w:rPr>
      </w:pPr>
      <w:r w:rsidRPr="00FA4573">
        <w:rPr>
          <w:rFonts w:eastAsia="Malgun Gothic" w:cstheme="minorHAnsi"/>
          <w:szCs w:val="24"/>
          <w:lang w:eastAsia="ko-KR"/>
        </w:rPr>
        <w:t>The following t</w:t>
      </w:r>
      <w:r w:rsidRPr="00FA4573">
        <w:rPr>
          <w:rFonts w:cstheme="minorHAnsi"/>
          <w:szCs w:val="24"/>
        </w:rPr>
        <w:t>opics for the next study period were proposed</w:t>
      </w:r>
      <w:r w:rsidRPr="00FA4573">
        <w:rPr>
          <w:rFonts w:eastAsia="Malgun Gothic" w:cstheme="minorHAnsi"/>
          <w:szCs w:val="24"/>
          <w:lang w:eastAsia="ko-KR"/>
        </w:rPr>
        <w:t xml:space="preserve"> at this stage: 5G EMF, EMF in low-altitude airspace and drone, AI in EMF evaluation, EMF in smart wearable devices </w:t>
      </w:r>
    </w:p>
    <w:p w14:paraId="3355A628" w14:textId="77777777" w:rsidR="00A63D1D" w:rsidRPr="00FA4573" w:rsidRDefault="00A63D1D" w:rsidP="00A63D1D">
      <w:pPr>
        <w:spacing w:after="120"/>
        <w:rPr>
          <w:rFonts w:eastAsia="Malgun Gothic" w:cstheme="minorHAnsi"/>
          <w:szCs w:val="24"/>
          <w:lang w:eastAsia="ko-KR"/>
        </w:rPr>
      </w:pPr>
      <w:r w:rsidRPr="00FA4573">
        <w:rPr>
          <w:rFonts w:cstheme="minorHAnsi"/>
          <w:szCs w:val="24"/>
        </w:rPr>
        <w:t xml:space="preserve">An updated draft terms of reference for Question </w:t>
      </w:r>
      <w:r w:rsidRPr="00FA4573">
        <w:rPr>
          <w:rFonts w:eastAsia="Malgun Gothic" w:cstheme="minorHAnsi"/>
          <w:szCs w:val="24"/>
          <w:lang w:eastAsia="ko-KR"/>
        </w:rPr>
        <w:t>7</w:t>
      </w:r>
      <w:r w:rsidRPr="00FA4573">
        <w:rPr>
          <w:rFonts w:cstheme="minorHAnsi"/>
          <w:szCs w:val="24"/>
        </w:rPr>
        <w:t>/2 is available in</w:t>
      </w:r>
      <w:r w:rsidRPr="00FA4573">
        <w:rPr>
          <w:rFonts w:eastAsia="Malgun Gothic" w:cstheme="minorHAnsi" w:hint="eastAsia"/>
          <w:szCs w:val="24"/>
          <w:lang w:eastAsia="ko-KR"/>
        </w:rPr>
        <w:t xml:space="preserve"> </w:t>
      </w:r>
      <w:r w:rsidRPr="00FA4573">
        <w:rPr>
          <w:rFonts w:eastAsia="Malgun Gothic" w:cstheme="minorHAnsi"/>
          <w:szCs w:val="24"/>
          <w:lang w:eastAsia="ko-KR"/>
        </w:rPr>
        <w:t xml:space="preserve">Document </w:t>
      </w:r>
      <w:hyperlink r:id="rId82" w:history="1">
        <w:r w:rsidRPr="00FA4573">
          <w:rPr>
            <w:rStyle w:val="Hyperlink"/>
          </w:rPr>
          <w:t>TDAG-WG-futureSGQ/</w:t>
        </w:r>
        <w:r w:rsidRPr="00FA4573">
          <w:rPr>
            <w:rStyle w:val="Hyperlink"/>
            <w:rFonts w:eastAsia="Malgun Gothic"/>
            <w:lang w:eastAsia="ko-KR"/>
          </w:rPr>
          <w:t>48</w:t>
        </w:r>
      </w:hyperlink>
      <w:r w:rsidRPr="00FA4573">
        <w:rPr>
          <w:rFonts w:eastAsia="Malgun Gothic"/>
          <w:lang w:eastAsia="ko-KR"/>
        </w:rPr>
        <w:t>.</w:t>
      </w:r>
    </w:p>
    <w:p w14:paraId="77D41B0E" w14:textId="77777777" w:rsidR="00A63D1D" w:rsidRPr="00FA4573" w:rsidRDefault="00A63D1D" w:rsidP="00A63D1D">
      <w:pPr>
        <w:pStyle w:val="Heading1"/>
        <w:spacing w:before="120" w:after="120"/>
        <w:rPr>
          <w:rFonts w:eastAsia="Malgun Gothic"/>
          <w:lang w:eastAsia="ko-KR"/>
        </w:rPr>
      </w:pPr>
      <w:r w:rsidRPr="00FA4573">
        <w:t>Collaboration with other groups</w:t>
      </w:r>
    </w:p>
    <w:p w14:paraId="1F1ECFB7" w14:textId="77777777" w:rsidR="00A63D1D" w:rsidRPr="00FA4573" w:rsidRDefault="00A63D1D" w:rsidP="00A63D1D">
      <w:pPr>
        <w:pStyle w:val="Heading2"/>
        <w:spacing w:after="120"/>
      </w:pPr>
      <w:r w:rsidRPr="00FA4573">
        <w:t xml:space="preserve">ITU-D </w:t>
      </w:r>
      <w:r w:rsidRPr="00FA4573">
        <w:rPr>
          <w:rFonts w:eastAsia="Malgun Gothic" w:hint="eastAsia"/>
        </w:rPr>
        <w:t>s</w:t>
      </w:r>
      <w:r w:rsidRPr="00FA4573">
        <w:t xml:space="preserve">tudy Questions and ITU-D </w:t>
      </w:r>
      <w:r w:rsidRPr="00FA4573">
        <w:rPr>
          <w:rFonts w:eastAsia="Malgun Gothic" w:hint="eastAsia"/>
        </w:rPr>
        <w:t>s</w:t>
      </w:r>
      <w:r w:rsidRPr="00FA4573">
        <w:t xml:space="preserve">tudy </w:t>
      </w:r>
      <w:r w:rsidRPr="00FA4573">
        <w:rPr>
          <w:rFonts w:eastAsia="Malgun Gothic" w:hint="eastAsia"/>
        </w:rPr>
        <w:t>g</w:t>
      </w:r>
      <w:r w:rsidRPr="00FA4573">
        <w:t xml:space="preserve">roups </w:t>
      </w:r>
    </w:p>
    <w:p w14:paraId="7C135B0C" w14:textId="77777777" w:rsidR="00A63D1D" w:rsidRPr="00FA4573" w:rsidRDefault="00A63D1D" w:rsidP="00A63D1D">
      <w:pPr>
        <w:tabs>
          <w:tab w:val="clear" w:pos="1134"/>
          <w:tab w:val="clear" w:pos="1871"/>
          <w:tab w:val="clear" w:pos="2268"/>
          <w:tab w:val="left" w:pos="794"/>
          <w:tab w:val="left" w:pos="1191"/>
          <w:tab w:val="left" w:pos="1588"/>
          <w:tab w:val="left" w:pos="1985"/>
        </w:tabs>
        <w:spacing w:after="120"/>
        <w:textAlignment w:val="auto"/>
        <w:rPr>
          <w:rFonts w:eastAsia="Malgun Gothic" w:cstheme="minorHAnsi"/>
          <w:szCs w:val="24"/>
          <w:lang w:val="en-US" w:eastAsia="ko-KR"/>
        </w:rPr>
      </w:pPr>
      <w:r w:rsidRPr="00FA4573">
        <w:rPr>
          <w:rFonts w:cstheme="minorHAnsi"/>
          <w:szCs w:val="24"/>
          <w:lang w:val="en-US"/>
        </w:rPr>
        <w:t>Synergies between Question in SG</w:t>
      </w:r>
      <w:r w:rsidRPr="00FA4573">
        <w:rPr>
          <w:rFonts w:eastAsia="Malgun Gothic" w:cstheme="minorHAnsi" w:hint="eastAsia"/>
          <w:szCs w:val="24"/>
          <w:lang w:val="en-US" w:eastAsia="ko-KR"/>
        </w:rPr>
        <w:t>2</w:t>
      </w:r>
      <w:r w:rsidRPr="00FA4573">
        <w:rPr>
          <w:rFonts w:cstheme="minorHAnsi"/>
          <w:szCs w:val="24"/>
          <w:lang w:val="en-US"/>
        </w:rPr>
        <w:t>, and with SG</w:t>
      </w:r>
      <w:r w:rsidRPr="00FA4573">
        <w:rPr>
          <w:rFonts w:eastAsia="Malgun Gothic" w:cstheme="minorHAnsi" w:hint="eastAsia"/>
          <w:szCs w:val="24"/>
          <w:lang w:val="en-US" w:eastAsia="ko-KR"/>
        </w:rPr>
        <w:t>1</w:t>
      </w:r>
      <w:r w:rsidRPr="00FA4573">
        <w:rPr>
          <w:rFonts w:cstheme="minorHAnsi"/>
          <w:szCs w:val="24"/>
          <w:lang w:val="en-US"/>
        </w:rPr>
        <w:t xml:space="preserve"> </w:t>
      </w:r>
      <w:r w:rsidRPr="00FA4573">
        <w:rPr>
          <w:rFonts w:eastAsia="Malgun Gothic" w:cstheme="minorHAnsi" w:hint="eastAsia"/>
          <w:szCs w:val="24"/>
          <w:lang w:val="en-US" w:eastAsia="ko-KR"/>
        </w:rPr>
        <w:t>were</w:t>
      </w:r>
      <w:r w:rsidRPr="00FA4573">
        <w:rPr>
          <w:rFonts w:cstheme="minorHAnsi"/>
          <w:szCs w:val="24"/>
          <w:lang w:val="en-US"/>
        </w:rPr>
        <w:t xml:space="preserve"> continuously sought. </w:t>
      </w:r>
    </w:p>
    <w:p w14:paraId="0D98C4B6" w14:textId="77777777" w:rsidR="00A63D1D" w:rsidRPr="00FA4573" w:rsidRDefault="00A63D1D" w:rsidP="00A63D1D">
      <w:pPr>
        <w:tabs>
          <w:tab w:val="clear" w:pos="1134"/>
          <w:tab w:val="clear" w:pos="1871"/>
          <w:tab w:val="clear" w:pos="2268"/>
          <w:tab w:val="left" w:pos="794"/>
          <w:tab w:val="left" w:pos="1191"/>
          <w:tab w:val="left" w:pos="1588"/>
          <w:tab w:val="left" w:pos="1985"/>
        </w:tabs>
        <w:spacing w:after="120"/>
        <w:textAlignment w:val="auto"/>
        <w:rPr>
          <w:rFonts w:cstheme="minorHAnsi"/>
          <w:szCs w:val="24"/>
          <w:lang w:val="en-US"/>
        </w:rPr>
      </w:pPr>
      <w:r w:rsidRPr="00FA4573">
        <w:rPr>
          <w:rFonts w:cstheme="minorHAnsi"/>
          <w:szCs w:val="24"/>
          <w:lang w:val="en-US"/>
        </w:rPr>
        <w:t>A joint Q6/1 and Q3/2 workshop on Increasing Consumer Awareness</w:t>
      </w:r>
      <w:r w:rsidRPr="00FA4573">
        <w:rPr>
          <w:rStyle w:val="FootnoteReference"/>
          <w:rFonts w:cstheme="minorHAnsi"/>
          <w:szCs w:val="24"/>
          <w:lang w:val="en-US"/>
        </w:rPr>
        <w:footnoteReference w:id="12"/>
      </w:r>
      <w:r w:rsidRPr="00FA4573">
        <w:rPr>
          <w:rFonts w:cstheme="minorHAnsi"/>
          <w:szCs w:val="24"/>
          <w:lang w:val="en-US"/>
        </w:rPr>
        <w:t xml:space="preserve"> was held from 18 to 20 June 2024 in Brasilia</w:t>
      </w:r>
      <w:r w:rsidRPr="00FA4573">
        <w:rPr>
          <w:rFonts w:eastAsia="Malgun Gothic" w:cstheme="minorHAnsi" w:hint="eastAsia"/>
          <w:szCs w:val="24"/>
          <w:lang w:val="en-US" w:eastAsia="ko-KR"/>
        </w:rPr>
        <w:t>,</w:t>
      </w:r>
      <w:r w:rsidRPr="00FA4573">
        <w:rPr>
          <w:rFonts w:cstheme="minorHAnsi"/>
          <w:szCs w:val="24"/>
          <w:lang w:val="en-US"/>
        </w:rPr>
        <w:t xml:space="preserve"> hosted by ANATEL in collaboration with </w:t>
      </w:r>
      <w:r w:rsidRPr="00FA4573">
        <w:rPr>
          <w:rFonts w:eastAsia="Malgun Gothic" w:cstheme="minorHAnsi" w:hint="eastAsia"/>
          <w:szCs w:val="24"/>
          <w:lang w:val="en-US" w:eastAsia="ko-KR"/>
        </w:rPr>
        <w:t xml:space="preserve">the </w:t>
      </w:r>
      <w:r w:rsidRPr="00FA4573">
        <w:rPr>
          <w:rFonts w:cstheme="minorHAnsi"/>
          <w:szCs w:val="24"/>
          <w:lang w:val="en-US"/>
        </w:rPr>
        <w:t xml:space="preserve">ITU Regional Office for Americas. </w:t>
      </w:r>
    </w:p>
    <w:p w14:paraId="38BF3C94" w14:textId="77777777" w:rsidR="00A63D1D" w:rsidRPr="00FA4573" w:rsidRDefault="00A63D1D" w:rsidP="00A63D1D">
      <w:pPr>
        <w:pStyle w:val="CEONormal"/>
        <w:rPr>
          <w:rFonts w:asciiTheme="minorHAnsi" w:eastAsia="Malgun Gothic" w:hAnsiTheme="minorHAnsi" w:cstheme="minorHAnsi"/>
          <w:sz w:val="24"/>
          <w:szCs w:val="24"/>
          <w:lang w:val="en-US" w:eastAsia="ko-KR"/>
        </w:rPr>
      </w:pPr>
      <w:r w:rsidRPr="00FA4573">
        <w:rPr>
          <w:rFonts w:asciiTheme="minorHAnsi" w:eastAsia="Malgun Gothic" w:hAnsiTheme="minorHAnsi" w:cstheme="minorHAnsi" w:hint="eastAsia"/>
          <w:sz w:val="24"/>
          <w:szCs w:val="24"/>
          <w:lang w:eastAsia="ko-KR"/>
        </w:rPr>
        <w:t>Four</w:t>
      </w:r>
      <w:r w:rsidRPr="00FA4573">
        <w:rPr>
          <w:rFonts w:asciiTheme="minorHAnsi" w:hAnsiTheme="minorHAnsi" w:cstheme="minorHAnsi"/>
          <w:sz w:val="24"/>
          <w:szCs w:val="24"/>
        </w:rPr>
        <w:t xml:space="preserve"> joint SG1 and SG2 management team meetings were held on the Sunday </w:t>
      </w:r>
      <w:r w:rsidRPr="00FA4573">
        <w:rPr>
          <w:rFonts w:asciiTheme="minorHAnsi" w:hAnsiTheme="minorHAnsi" w:cstheme="minorHAnsi"/>
          <w:sz w:val="24"/>
          <w:szCs w:val="24"/>
          <w:lang w:val="en-US"/>
        </w:rPr>
        <w:t>before start of SG2 annual meetings</w:t>
      </w:r>
      <w:r w:rsidRPr="00FA4573">
        <w:rPr>
          <w:rFonts w:asciiTheme="minorHAnsi" w:hAnsiTheme="minorHAnsi" w:cstheme="minorHAnsi"/>
          <w:sz w:val="24"/>
          <w:szCs w:val="24"/>
        </w:rPr>
        <w:t xml:space="preserve"> under the chairmanship of the </w:t>
      </w:r>
      <w:r w:rsidRPr="00FA4573">
        <w:rPr>
          <w:rFonts w:asciiTheme="minorHAnsi" w:eastAsia="Malgun Gothic" w:hAnsiTheme="minorHAnsi" w:cstheme="minorHAnsi" w:hint="eastAsia"/>
          <w:sz w:val="24"/>
          <w:szCs w:val="24"/>
          <w:lang w:eastAsia="ko-KR"/>
        </w:rPr>
        <w:t xml:space="preserve">BDT </w:t>
      </w:r>
      <w:r w:rsidRPr="00FA4573">
        <w:rPr>
          <w:rFonts w:asciiTheme="minorHAnsi" w:hAnsiTheme="minorHAnsi" w:cstheme="minorHAnsi"/>
          <w:sz w:val="24"/>
          <w:szCs w:val="24"/>
        </w:rPr>
        <w:t>Director</w:t>
      </w:r>
      <w:r w:rsidRPr="00FA4573">
        <w:rPr>
          <w:rFonts w:asciiTheme="minorHAnsi" w:hAnsiTheme="minorHAnsi" w:cstheme="minorHAnsi"/>
          <w:sz w:val="24"/>
          <w:szCs w:val="24"/>
          <w:lang w:val="en-US"/>
        </w:rPr>
        <w:t>. These meetings ensure</w:t>
      </w:r>
      <w:r w:rsidRPr="00FA4573">
        <w:rPr>
          <w:rFonts w:asciiTheme="minorHAnsi" w:eastAsia="Malgun Gothic" w:hAnsiTheme="minorHAnsi" w:cstheme="minorHAnsi" w:hint="eastAsia"/>
          <w:sz w:val="24"/>
          <w:szCs w:val="24"/>
          <w:lang w:val="en-US" w:eastAsia="ko-KR"/>
        </w:rPr>
        <w:t>d</w:t>
      </w:r>
      <w:r w:rsidRPr="00FA4573">
        <w:rPr>
          <w:rFonts w:asciiTheme="minorHAnsi" w:hAnsiTheme="minorHAnsi" w:cstheme="minorHAnsi"/>
          <w:sz w:val="24"/>
          <w:szCs w:val="24"/>
          <w:lang w:val="en-US"/>
        </w:rPr>
        <w:t xml:space="preserve"> coordination and collaborative work between </w:t>
      </w:r>
      <w:r w:rsidRPr="00FA4573">
        <w:rPr>
          <w:rFonts w:asciiTheme="minorHAnsi" w:eastAsia="Malgun Gothic" w:hAnsiTheme="minorHAnsi" w:cstheme="minorHAnsi" w:hint="eastAsia"/>
          <w:sz w:val="24"/>
          <w:szCs w:val="24"/>
          <w:lang w:val="en-US" w:eastAsia="ko-KR"/>
        </w:rPr>
        <w:t xml:space="preserve">the two </w:t>
      </w:r>
      <w:r w:rsidRPr="00FA4573">
        <w:rPr>
          <w:rFonts w:asciiTheme="minorHAnsi" w:hAnsiTheme="minorHAnsi" w:cstheme="minorHAnsi"/>
          <w:sz w:val="24"/>
          <w:szCs w:val="24"/>
          <w:lang w:val="en-US"/>
        </w:rPr>
        <w:t xml:space="preserve">ITU-D </w:t>
      </w:r>
      <w:r w:rsidRPr="00FA4573">
        <w:rPr>
          <w:rFonts w:asciiTheme="minorHAnsi" w:eastAsia="Malgun Gothic" w:hAnsiTheme="minorHAnsi" w:cstheme="minorHAnsi" w:hint="eastAsia"/>
          <w:sz w:val="24"/>
          <w:szCs w:val="24"/>
          <w:lang w:val="en-US" w:eastAsia="ko-KR"/>
        </w:rPr>
        <w:t>s</w:t>
      </w:r>
      <w:r w:rsidRPr="00FA4573">
        <w:rPr>
          <w:rFonts w:asciiTheme="minorHAnsi" w:hAnsiTheme="minorHAnsi" w:cstheme="minorHAnsi"/>
          <w:sz w:val="24"/>
          <w:szCs w:val="24"/>
          <w:lang w:val="en-US"/>
        </w:rPr>
        <w:t xml:space="preserve">tudy </w:t>
      </w:r>
      <w:r w:rsidRPr="00FA4573">
        <w:rPr>
          <w:rFonts w:asciiTheme="minorHAnsi" w:eastAsia="Malgun Gothic" w:hAnsiTheme="minorHAnsi" w:cstheme="minorHAnsi" w:hint="eastAsia"/>
          <w:sz w:val="24"/>
          <w:szCs w:val="24"/>
          <w:lang w:val="en-US" w:eastAsia="ko-KR"/>
        </w:rPr>
        <w:t>g</w:t>
      </w:r>
      <w:r w:rsidRPr="00FA4573">
        <w:rPr>
          <w:rFonts w:asciiTheme="minorHAnsi" w:hAnsiTheme="minorHAnsi" w:cstheme="minorHAnsi"/>
          <w:sz w:val="24"/>
          <w:szCs w:val="24"/>
          <w:lang w:val="en-US"/>
        </w:rPr>
        <w:t xml:space="preserve">roups. </w:t>
      </w:r>
    </w:p>
    <w:p w14:paraId="1B83D807" w14:textId="77777777" w:rsidR="00A63D1D" w:rsidRPr="00FA4573" w:rsidRDefault="00A63D1D" w:rsidP="00A63D1D">
      <w:pPr>
        <w:pStyle w:val="CEONormal"/>
        <w:rPr>
          <w:rFonts w:asciiTheme="minorHAnsi" w:hAnsiTheme="minorHAnsi" w:cstheme="minorHAnsi"/>
          <w:sz w:val="24"/>
          <w:szCs w:val="24"/>
          <w:lang w:val="en-US"/>
        </w:rPr>
      </w:pPr>
      <w:r w:rsidRPr="00FA4573">
        <w:rPr>
          <w:rFonts w:asciiTheme="minorHAnsi" w:hAnsiTheme="minorHAnsi" w:cstheme="minorHAnsi"/>
          <w:sz w:val="24"/>
          <w:szCs w:val="24"/>
          <w:lang w:val="en-US"/>
        </w:rPr>
        <w:t xml:space="preserve">Two </w:t>
      </w:r>
      <w:r w:rsidRPr="00FA4573">
        <w:rPr>
          <w:rFonts w:asciiTheme="minorHAnsi" w:eastAsia="Malgun Gothic" w:hAnsiTheme="minorHAnsi" w:cstheme="minorHAnsi" w:hint="eastAsia"/>
          <w:sz w:val="24"/>
          <w:szCs w:val="24"/>
          <w:lang w:val="en-US" w:eastAsia="ko-KR"/>
        </w:rPr>
        <w:t xml:space="preserve">draft </w:t>
      </w:r>
      <w:r w:rsidRPr="00FA4573">
        <w:rPr>
          <w:rFonts w:asciiTheme="minorHAnsi" w:hAnsiTheme="minorHAnsi" w:cstheme="minorHAnsi"/>
          <w:sz w:val="24"/>
          <w:szCs w:val="24"/>
          <w:lang w:val="en-US"/>
        </w:rPr>
        <w:t xml:space="preserve">guiding documents </w:t>
      </w:r>
      <w:r w:rsidRPr="00FA4573">
        <w:rPr>
          <w:rFonts w:asciiTheme="minorHAnsi" w:eastAsia="Malgun Gothic" w:hAnsiTheme="minorHAnsi" w:cstheme="minorHAnsi" w:hint="eastAsia"/>
          <w:sz w:val="24"/>
          <w:szCs w:val="24"/>
          <w:lang w:val="en-US" w:eastAsia="ko-KR"/>
        </w:rPr>
        <w:t>were</w:t>
      </w:r>
      <w:r w:rsidRPr="00FA4573">
        <w:rPr>
          <w:rFonts w:asciiTheme="minorHAnsi" w:hAnsiTheme="minorHAnsi" w:cstheme="minorHAnsi"/>
          <w:sz w:val="24"/>
          <w:szCs w:val="24"/>
          <w:lang w:val="en-US"/>
        </w:rPr>
        <w:t xml:space="preserve"> prepar</w:t>
      </w:r>
      <w:r w:rsidRPr="00FA4573">
        <w:rPr>
          <w:rFonts w:asciiTheme="minorHAnsi" w:eastAsia="Malgun Gothic" w:hAnsiTheme="minorHAnsi" w:cstheme="minorHAnsi" w:hint="eastAsia"/>
          <w:sz w:val="24"/>
          <w:szCs w:val="24"/>
          <w:lang w:val="en-US" w:eastAsia="ko-KR"/>
        </w:rPr>
        <w:t>ed</w:t>
      </w:r>
      <w:r w:rsidRPr="00FA4573">
        <w:rPr>
          <w:rFonts w:asciiTheme="minorHAnsi" w:hAnsiTheme="minorHAnsi" w:cstheme="minorHAnsi"/>
          <w:sz w:val="24"/>
          <w:szCs w:val="24"/>
          <w:lang w:val="en-US"/>
        </w:rPr>
        <w:t xml:space="preserve"> </w:t>
      </w:r>
      <w:r w:rsidRPr="00FA4573">
        <w:rPr>
          <w:rFonts w:asciiTheme="minorHAnsi" w:eastAsia="Malgun Gothic" w:hAnsiTheme="minorHAnsi" w:cstheme="minorHAnsi" w:hint="eastAsia"/>
          <w:sz w:val="24"/>
          <w:szCs w:val="24"/>
          <w:lang w:val="en-US" w:eastAsia="ko-KR"/>
        </w:rPr>
        <w:t xml:space="preserve">in collaboration with SG1 </w:t>
      </w:r>
      <w:r w:rsidRPr="00FA4573">
        <w:rPr>
          <w:rFonts w:asciiTheme="minorHAnsi" w:hAnsiTheme="minorHAnsi" w:cstheme="minorHAnsi"/>
          <w:sz w:val="24"/>
          <w:szCs w:val="24"/>
          <w:lang w:val="en-US"/>
        </w:rPr>
        <w:t xml:space="preserve">on the following items that require a joint reflection to make study group work more efficient and effective: </w:t>
      </w:r>
    </w:p>
    <w:p w14:paraId="2C034B5A" w14:textId="77777777" w:rsidR="00A63D1D" w:rsidRPr="00FA4573" w:rsidRDefault="00A63D1D" w:rsidP="00A63D1D">
      <w:pPr>
        <w:pStyle w:val="CEONormal"/>
        <w:numPr>
          <w:ilvl w:val="0"/>
          <w:numId w:val="14"/>
        </w:numPr>
        <w:spacing w:before="60" w:after="60"/>
        <w:ind w:left="714" w:hanging="357"/>
        <w:rPr>
          <w:rFonts w:asciiTheme="minorHAnsi" w:hAnsiTheme="minorHAnsi" w:cstheme="minorHAnsi"/>
          <w:sz w:val="24"/>
          <w:szCs w:val="24"/>
          <w:lang w:val="en-US"/>
        </w:rPr>
      </w:pPr>
      <w:r w:rsidRPr="00FA4573">
        <w:rPr>
          <w:rFonts w:asciiTheme="minorHAnsi" w:hAnsiTheme="minorHAnsi" w:cstheme="minorHAnsi"/>
          <w:sz w:val="24"/>
          <w:szCs w:val="24"/>
          <w:lang w:val="en-US"/>
        </w:rPr>
        <w:t>Guidelines for</w:t>
      </w:r>
      <w:r w:rsidRPr="00FA4573">
        <w:rPr>
          <w:rFonts w:asciiTheme="minorHAnsi" w:eastAsia="Malgun Gothic" w:hAnsiTheme="minorHAnsi" w:cstheme="minorHAnsi" w:hint="eastAsia"/>
          <w:sz w:val="24"/>
          <w:szCs w:val="24"/>
          <w:lang w:val="en-US" w:eastAsia="ko-KR"/>
        </w:rPr>
        <w:t xml:space="preserve"> </w:t>
      </w:r>
      <w:r w:rsidRPr="00FA4573">
        <w:rPr>
          <w:rFonts w:asciiTheme="minorHAnsi" w:hAnsiTheme="minorHAnsi" w:cstheme="minorHAnsi"/>
          <w:sz w:val="24"/>
          <w:szCs w:val="24"/>
          <w:lang w:val="en-US"/>
        </w:rPr>
        <w:t>submit</w:t>
      </w:r>
      <w:r w:rsidRPr="00FA4573">
        <w:rPr>
          <w:rFonts w:asciiTheme="minorHAnsi" w:eastAsia="Malgun Gothic" w:hAnsiTheme="minorHAnsi" w:cstheme="minorHAnsi" w:hint="eastAsia"/>
          <w:sz w:val="24"/>
          <w:szCs w:val="24"/>
          <w:lang w:val="en-US" w:eastAsia="ko-KR"/>
        </w:rPr>
        <w:t>ting</w:t>
      </w:r>
      <w:r w:rsidRPr="00FA4573">
        <w:rPr>
          <w:rFonts w:asciiTheme="minorHAnsi" w:hAnsiTheme="minorHAnsi" w:cstheme="minorHAnsi"/>
          <w:sz w:val="24"/>
          <w:szCs w:val="24"/>
          <w:lang w:val="en-US"/>
        </w:rPr>
        <w:t xml:space="preserve"> candidatures</w:t>
      </w:r>
      <w:r w:rsidRPr="00FA4573">
        <w:rPr>
          <w:rFonts w:asciiTheme="minorHAnsi" w:eastAsia="Malgun Gothic" w:hAnsiTheme="minorHAnsi" w:cstheme="minorHAnsi" w:hint="eastAsia"/>
          <w:sz w:val="24"/>
          <w:szCs w:val="24"/>
          <w:lang w:val="en-US" w:eastAsia="ko-KR"/>
        </w:rPr>
        <w:t xml:space="preserve"> for positions of rapporteurs and vice-rapporteurs</w:t>
      </w:r>
      <w:r w:rsidRPr="00FA4573">
        <w:rPr>
          <w:rFonts w:asciiTheme="minorHAnsi" w:hAnsiTheme="minorHAnsi" w:cstheme="minorHAnsi"/>
          <w:sz w:val="24"/>
          <w:szCs w:val="24"/>
          <w:lang w:val="en-US"/>
        </w:rPr>
        <w:t xml:space="preserve"> and </w:t>
      </w:r>
      <w:r w:rsidRPr="00FA4573">
        <w:rPr>
          <w:rFonts w:asciiTheme="minorHAnsi" w:eastAsia="Malgun Gothic" w:hAnsiTheme="minorHAnsi" w:cstheme="minorHAnsi" w:hint="eastAsia"/>
          <w:sz w:val="24"/>
          <w:szCs w:val="24"/>
          <w:lang w:val="en-US" w:eastAsia="ko-KR"/>
        </w:rPr>
        <w:t>for evaluating the candidates</w:t>
      </w:r>
    </w:p>
    <w:p w14:paraId="156E8820" w14:textId="77777777" w:rsidR="00A63D1D" w:rsidRPr="00FA4573" w:rsidRDefault="00A63D1D" w:rsidP="00A63D1D">
      <w:pPr>
        <w:pStyle w:val="CEONormal"/>
        <w:numPr>
          <w:ilvl w:val="0"/>
          <w:numId w:val="14"/>
        </w:numPr>
        <w:spacing w:before="60" w:after="60"/>
        <w:ind w:left="714" w:hanging="357"/>
        <w:rPr>
          <w:rFonts w:asciiTheme="minorHAnsi" w:hAnsiTheme="minorHAnsi" w:cstheme="minorHAnsi"/>
          <w:sz w:val="24"/>
          <w:szCs w:val="24"/>
          <w:lang w:val="en-US"/>
        </w:rPr>
      </w:pPr>
      <w:r w:rsidRPr="00FA4573">
        <w:rPr>
          <w:rFonts w:asciiTheme="minorHAnsi" w:eastAsia="Malgun Gothic" w:hAnsiTheme="minorHAnsi" w:cstheme="minorHAnsi" w:hint="eastAsia"/>
          <w:sz w:val="24"/>
          <w:szCs w:val="24"/>
          <w:lang w:val="en-US" w:eastAsia="ko-KR"/>
        </w:rPr>
        <w:t>Guidelines to a</w:t>
      </w:r>
      <w:r w:rsidRPr="00FA4573">
        <w:rPr>
          <w:rFonts w:asciiTheme="minorHAnsi" w:hAnsiTheme="minorHAnsi" w:cstheme="minorHAnsi"/>
          <w:sz w:val="24"/>
          <w:szCs w:val="24"/>
          <w:lang w:val="en-US"/>
        </w:rPr>
        <w:t>ddress challenges that impact on the effective use of ITU-D study group products</w:t>
      </w:r>
      <w:r w:rsidRPr="00FA4573">
        <w:rPr>
          <w:rFonts w:asciiTheme="minorHAnsi" w:eastAsia="Malgun Gothic" w:hAnsiTheme="minorHAnsi" w:cstheme="minorHAnsi" w:hint="eastAsia"/>
          <w:sz w:val="24"/>
          <w:szCs w:val="24"/>
          <w:lang w:val="en-US" w:eastAsia="ko-KR"/>
        </w:rPr>
        <w:t>.</w:t>
      </w:r>
    </w:p>
    <w:p w14:paraId="4C68F197" w14:textId="77777777" w:rsidR="00A63D1D" w:rsidRPr="00474F78" w:rsidRDefault="00A63D1D" w:rsidP="00A63D1D">
      <w:pPr>
        <w:pStyle w:val="CEONormal"/>
        <w:spacing w:before="60" w:after="60"/>
        <w:rPr>
          <w:rFonts w:asciiTheme="minorHAnsi" w:eastAsia="Malgun Gothic" w:hAnsiTheme="minorHAnsi" w:cstheme="minorHAnsi"/>
          <w:sz w:val="24"/>
          <w:szCs w:val="24"/>
          <w:lang w:val="en-US" w:eastAsia="ko-KR"/>
        </w:rPr>
      </w:pPr>
      <w:r w:rsidRPr="00FA4573">
        <w:rPr>
          <w:rFonts w:asciiTheme="minorHAnsi" w:eastAsia="Malgun Gothic" w:hAnsiTheme="minorHAnsi" w:cstheme="minorHAnsi" w:hint="eastAsia"/>
          <w:sz w:val="24"/>
          <w:szCs w:val="24"/>
          <w:lang w:val="en-US" w:eastAsia="ko-KR"/>
        </w:rPr>
        <w:t xml:space="preserve">These documents are currently work in progress and are available in Document </w:t>
      </w:r>
      <w:hyperlink r:id="rId83" w:history="1">
        <w:r w:rsidRPr="00FA4573">
          <w:rPr>
            <w:rStyle w:val="Hyperlink"/>
            <w:rFonts w:asciiTheme="minorHAnsi" w:eastAsia="Malgun Gothic" w:hAnsiTheme="minorHAnsi" w:cstheme="minorHAnsi" w:hint="eastAsia"/>
            <w:sz w:val="24"/>
            <w:szCs w:val="24"/>
            <w:lang w:val="en-US" w:eastAsia="ko-KR"/>
          </w:rPr>
          <w:t>2/403</w:t>
        </w:r>
      </w:hyperlink>
      <w:r w:rsidRPr="00FA4573">
        <w:rPr>
          <w:rFonts w:asciiTheme="minorHAnsi" w:eastAsia="Malgun Gothic" w:hAnsiTheme="minorHAnsi" w:cstheme="minorHAnsi" w:hint="eastAsia"/>
          <w:sz w:val="24"/>
          <w:szCs w:val="24"/>
          <w:lang w:val="en-US" w:eastAsia="ko-KR"/>
        </w:rPr>
        <w:t xml:space="preserve"> and in </w:t>
      </w:r>
      <w:r w:rsidRPr="00474F78">
        <w:rPr>
          <w:rFonts w:asciiTheme="minorHAnsi" w:eastAsia="Malgun Gothic" w:hAnsiTheme="minorHAnsi" w:cstheme="minorHAnsi"/>
          <w:b/>
          <w:bCs/>
          <w:sz w:val="24"/>
          <w:szCs w:val="24"/>
          <w:lang w:val="en-US" w:eastAsia="ko-KR"/>
        </w:rPr>
        <w:t>Annexes 4</w:t>
      </w:r>
      <w:r w:rsidRPr="00FA4573">
        <w:rPr>
          <w:rFonts w:asciiTheme="minorHAnsi" w:eastAsia="Malgun Gothic" w:hAnsiTheme="minorHAnsi" w:cstheme="minorHAnsi" w:hint="eastAsia"/>
          <w:sz w:val="24"/>
          <w:szCs w:val="24"/>
          <w:lang w:val="en-US" w:eastAsia="ko-KR"/>
        </w:rPr>
        <w:t xml:space="preserve"> and </w:t>
      </w:r>
      <w:r w:rsidRPr="00474F78">
        <w:rPr>
          <w:rFonts w:asciiTheme="minorHAnsi" w:eastAsia="Malgun Gothic" w:hAnsiTheme="minorHAnsi" w:cstheme="minorHAnsi"/>
          <w:b/>
          <w:bCs/>
          <w:sz w:val="24"/>
          <w:szCs w:val="24"/>
          <w:lang w:val="en-US" w:eastAsia="ko-KR"/>
        </w:rPr>
        <w:t>5</w:t>
      </w:r>
      <w:r w:rsidRPr="00FA4573">
        <w:rPr>
          <w:rFonts w:asciiTheme="minorHAnsi" w:eastAsia="Malgun Gothic" w:hAnsiTheme="minorHAnsi" w:cstheme="minorHAnsi" w:hint="eastAsia"/>
          <w:sz w:val="24"/>
          <w:szCs w:val="24"/>
          <w:lang w:val="en-US" w:eastAsia="ko-KR"/>
        </w:rPr>
        <w:t xml:space="preserve"> of this report. They are shared with TDAG for information and guidance as appropriate.</w:t>
      </w:r>
    </w:p>
    <w:p w14:paraId="71091002" w14:textId="77777777" w:rsidR="00A63D1D" w:rsidRPr="00FA4573" w:rsidRDefault="00A63D1D" w:rsidP="00A63D1D">
      <w:pPr>
        <w:pStyle w:val="Heading2"/>
        <w:spacing w:after="120"/>
        <w:rPr>
          <w:rFonts w:eastAsia="Malgun Gothic"/>
          <w:lang w:eastAsia="ko-KR"/>
        </w:rPr>
      </w:pPr>
      <w:r w:rsidRPr="00FA4573">
        <w:t xml:space="preserve">Collaboration with </w:t>
      </w:r>
      <w:r w:rsidRPr="00FA4573">
        <w:rPr>
          <w:rFonts w:eastAsia="Malgun Gothic"/>
          <w:lang w:eastAsia="ko-KR"/>
        </w:rPr>
        <w:t>the TDAG Working Group on future Study Group Questions</w:t>
      </w:r>
    </w:p>
    <w:p w14:paraId="03B81AFC" w14:textId="77777777" w:rsidR="00A63D1D" w:rsidRPr="00FA4573" w:rsidRDefault="00A63D1D" w:rsidP="00A63D1D">
      <w:pPr>
        <w:spacing w:after="120"/>
        <w:rPr>
          <w:rFonts w:eastAsia="Malgun Gothic"/>
          <w:bCs/>
          <w:lang w:eastAsia="ko-KR"/>
        </w:rPr>
      </w:pPr>
      <w:r w:rsidRPr="00FA4573">
        <w:rPr>
          <w:rFonts w:eastAsia="Malgun Gothic"/>
          <w:bCs/>
          <w:lang w:eastAsia="ko-KR"/>
        </w:rPr>
        <w:t>An important collaboration in preparation for the next WTDC has been with the TDAG Working Group on future Study Group Questions (TDAG-WG-futureSGQ). For this purpose, SG2 assigned Vice-Chair Mr Abdelaziz Alzarooni (United Arab Emirates), succeeded by Vice-Chair Mr Victor Martinez (Paraguay) from 2025, to ensure coordination on future study Questions. Mr Ahmad Reza Sharafat, Chair of the TDAG-WG-futureSGQ, was also regularly invited in study group meetings to ensure that the study group receives regular updates and provides meaningful inputs to this TDAG WG.</w:t>
      </w:r>
    </w:p>
    <w:p w14:paraId="48EFEB92" w14:textId="77777777" w:rsidR="00A63D1D" w:rsidRPr="00FA4573" w:rsidRDefault="00A63D1D" w:rsidP="00A63D1D">
      <w:pPr>
        <w:spacing w:after="120"/>
        <w:rPr>
          <w:rFonts w:eastAsia="Malgun Gothic"/>
          <w:bCs/>
          <w:lang w:eastAsia="ko-KR"/>
        </w:rPr>
      </w:pPr>
      <w:r w:rsidRPr="00FA4573">
        <w:rPr>
          <w:rFonts w:eastAsia="Malgun Gothic"/>
          <w:bCs/>
          <w:lang w:eastAsia="ko-KR"/>
        </w:rPr>
        <w:lastRenderedPageBreak/>
        <w:t>Following coordination between the Coordinator and the SG2 (Co-)Rapporteurs, preliminary views on possible new items for future study Questions were submitted to the TDAG WG for consideration.</w:t>
      </w:r>
    </w:p>
    <w:p w14:paraId="372D1875" w14:textId="77777777" w:rsidR="00A63D1D" w:rsidRPr="00FA4573" w:rsidRDefault="00A63D1D" w:rsidP="00A63D1D">
      <w:pPr>
        <w:spacing w:after="120"/>
      </w:pPr>
      <w:r w:rsidRPr="00FA4573">
        <w:t>Documents for more information:</w:t>
      </w:r>
    </w:p>
    <w:p w14:paraId="581000DE" w14:textId="77777777" w:rsidR="00A63D1D" w:rsidRPr="00FA4573" w:rsidRDefault="00A63D1D" w:rsidP="00A63D1D">
      <w:pPr>
        <w:pStyle w:val="ListParagraph"/>
        <w:numPr>
          <w:ilvl w:val="0"/>
          <w:numId w:val="4"/>
        </w:numPr>
        <w:spacing w:before="60" w:after="60"/>
        <w:ind w:left="714" w:hanging="357"/>
        <w:contextualSpacing w:val="0"/>
      </w:pPr>
      <w:r w:rsidRPr="00FA4573">
        <w:rPr>
          <w:rFonts w:eastAsia="Malgun Gothic"/>
          <w:lang w:eastAsia="ko-KR"/>
        </w:rPr>
        <w:t xml:space="preserve">Web page of the TDAG-WG-futureSGQ: </w:t>
      </w:r>
      <w:hyperlink r:id="rId84" w:history="1">
        <w:r w:rsidRPr="00FA4573">
          <w:rPr>
            <w:rStyle w:val="Hyperlink"/>
            <w:rFonts w:eastAsia="Malgun Gothic"/>
            <w:lang w:eastAsia="ko-KR"/>
          </w:rPr>
          <w:t>link</w:t>
        </w:r>
      </w:hyperlink>
    </w:p>
    <w:p w14:paraId="78FE1F9C" w14:textId="77777777" w:rsidR="00A63D1D" w:rsidRPr="00474F78" w:rsidRDefault="00A63D1D" w:rsidP="00A63D1D">
      <w:pPr>
        <w:pStyle w:val="ListParagraph"/>
        <w:numPr>
          <w:ilvl w:val="0"/>
          <w:numId w:val="4"/>
        </w:numPr>
        <w:spacing w:before="60" w:after="60"/>
        <w:ind w:left="714" w:hanging="357"/>
        <w:contextualSpacing w:val="0"/>
      </w:pPr>
      <w:r w:rsidRPr="00FA4573">
        <w:rPr>
          <w:rFonts w:eastAsia="Malgun Gothic"/>
          <w:lang w:eastAsia="ko-KR"/>
        </w:rPr>
        <w:t>Preliminary views on future SG2 Questions:</w:t>
      </w:r>
      <w:r w:rsidRPr="00FA4573">
        <w:t xml:space="preserve"> </w:t>
      </w:r>
      <w:hyperlink r:id="rId85" w:history="1">
        <w:r w:rsidRPr="00FA4573">
          <w:rPr>
            <w:rStyle w:val="Hyperlink"/>
          </w:rPr>
          <w:t>TDAG-WG-futureSGQ/22</w:t>
        </w:r>
      </w:hyperlink>
      <w:r w:rsidRPr="00FA4573">
        <w:rPr>
          <w:rFonts w:eastAsia="Malgun Gothic" w:cs="Calibri"/>
          <w:bCs/>
          <w:lang w:eastAsia="ko-KR"/>
        </w:rPr>
        <w:t>.</w:t>
      </w:r>
    </w:p>
    <w:p w14:paraId="480F9124" w14:textId="77777777" w:rsidR="00A63D1D" w:rsidRPr="00FA4573" w:rsidRDefault="00A63D1D" w:rsidP="00A63D1D">
      <w:pPr>
        <w:pStyle w:val="ListParagraph"/>
        <w:numPr>
          <w:ilvl w:val="0"/>
          <w:numId w:val="4"/>
        </w:numPr>
        <w:spacing w:before="60" w:after="60"/>
        <w:ind w:left="714" w:hanging="357"/>
        <w:contextualSpacing w:val="0"/>
      </w:pPr>
      <w:r w:rsidRPr="00FA4573">
        <w:rPr>
          <w:rFonts w:eastAsia="Malgun Gothic" w:cs="Calibri" w:hint="eastAsia"/>
          <w:bCs/>
          <w:lang w:eastAsia="ko-KR"/>
        </w:rPr>
        <w:t xml:space="preserve">Updated views on future SG2 Questions: </w:t>
      </w:r>
      <w:hyperlink r:id="rId86" w:history="1">
        <w:r w:rsidRPr="00FA4573">
          <w:rPr>
            <w:rStyle w:val="Hyperlink"/>
          </w:rPr>
          <w:t>TDAG-WG-futureSGQ/</w:t>
        </w:r>
        <w:r w:rsidRPr="00FA4573">
          <w:rPr>
            <w:rStyle w:val="Hyperlink"/>
            <w:rFonts w:eastAsia="Malgun Gothic"/>
            <w:lang w:eastAsia="ko-KR"/>
          </w:rPr>
          <w:t>48</w:t>
        </w:r>
      </w:hyperlink>
      <w:r w:rsidRPr="00FA4573">
        <w:rPr>
          <w:rFonts w:eastAsia="Malgun Gothic" w:hint="eastAsia"/>
          <w:lang w:eastAsia="ko-KR"/>
        </w:rPr>
        <w:t>.</w:t>
      </w:r>
      <w:r w:rsidRPr="00FA4573">
        <w:rPr>
          <w:rFonts w:eastAsia="Malgun Gothic" w:cs="Calibri" w:hint="eastAsia"/>
          <w:bCs/>
          <w:lang w:eastAsia="ko-KR"/>
        </w:rPr>
        <w:t xml:space="preserve"> </w:t>
      </w:r>
    </w:p>
    <w:p w14:paraId="183FFA75" w14:textId="77777777" w:rsidR="00A63D1D" w:rsidRPr="00FA4573" w:rsidRDefault="00A63D1D" w:rsidP="00A63D1D">
      <w:pPr>
        <w:pStyle w:val="Heading2"/>
        <w:spacing w:after="120"/>
      </w:pPr>
      <w:r w:rsidRPr="00FA4573">
        <w:t>Mapping of activities between ITU-D study Questions and with other ITU sectors</w:t>
      </w:r>
    </w:p>
    <w:p w14:paraId="69780EF4" w14:textId="77777777" w:rsidR="00A63D1D" w:rsidRPr="00FA4573" w:rsidRDefault="00A63D1D" w:rsidP="00A63D1D">
      <w:pPr>
        <w:spacing w:after="120"/>
        <w:rPr>
          <w:rFonts w:cs="Calibri"/>
          <w:bCs/>
        </w:rPr>
      </w:pPr>
      <w:r w:rsidRPr="00FA4573">
        <w:t xml:space="preserve">During this study period, mapping of activities </w:t>
      </w:r>
      <w:r w:rsidRPr="00FA4573">
        <w:rPr>
          <w:rFonts w:eastAsia="Malgun Gothic"/>
          <w:lang w:eastAsia="ko-KR"/>
        </w:rPr>
        <w:t>with</w:t>
      </w:r>
      <w:r w:rsidRPr="00FA4573">
        <w:t xml:space="preserve"> other ITU sectors were </w:t>
      </w:r>
      <w:r w:rsidRPr="00FA4573">
        <w:rPr>
          <w:rFonts w:eastAsia="Malgun Gothic"/>
          <w:lang w:eastAsia="ko-KR"/>
        </w:rPr>
        <w:t>maintained i</w:t>
      </w:r>
      <w:r w:rsidRPr="00FA4573">
        <w:t xml:space="preserve">n order to identify potential areas of common interest, </w:t>
      </w:r>
      <w:r w:rsidRPr="00FA4573">
        <w:rPr>
          <w:rFonts w:cs="Calibri"/>
          <w:bCs/>
        </w:rPr>
        <w:t xml:space="preserve">facilitate coordination and further strengthen collaboration. </w:t>
      </w:r>
      <w:r w:rsidRPr="00FA4573">
        <w:rPr>
          <w:rFonts w:cs="Calibri"/>
          <w:bCs/>
          <w:lang w:eastAsia="ko-KR"/>
        </w:rPr>
        <w:t>SG2</w:t>
      </w:r>
      <w:r w:rsidRPr="00FA4573">
        <w:rPr>
          <w:rFonts w:cs="Calibri"/>
          <w:bCs/>
        </w:rPr>
        <w:t xml:space="preserve"> a</w:t>
      </w:r>
      <w:r w:rsidRPr="00FA4573">
        <w:rPr>
          <w:rFonts w:cs="Calibri"/>
          <w:bCs/>
          <w:lang w:eastAsia="ko-KR"/>
        </w:rPr>
        <w:t>ssigned</w:t>
      </w:r>
      <w:r w:rsidRPr="00FA4573">
        <w:rPr>
          <w:rFonts w:cs="Calibri"/>
          <w:bCs/>
        </w:rPr>
        <w:t xml:space="preserve"> two </w:t>
      </w:r>
      <w:r w:rsidRPr="00FA4573">
        <w:rPr>
          <w:rFonts w:cs="Calibri"/>
          <w:bCs/>
          <w:lang w:eastAsia="ko-KR"/>
        </w:rPr>
        <w:t xml:space="preserve">management team members as </w:t>
      </w:r>
      <w:r w:rsidRPr="00FA4573">
        <w:rPr>
          <w:rFonts w:cs="Calibri"/>
          <w:bCs/>
        </w:rPr>
        <w:t>coordinators to facilitate development and exchange of these mapping tables: Mr Arseny Plossky (Russian Federation), Rapporteur for Question 4/1, and Mr Haim Mazar (</w:t>
      </w:r>
      <w:r w:rsidRPr="00FA4573">
        <w:rPr>
          <w:rFonts w:cs="Calibri"/>
          <w:bCs/>
          <w:lang w:eastAsia="ko-KR"/>
        </w:rPr>
        <w:t>Israel</w:t>
      </w:r>
      <w:r w:rsidRPr="00FA4573">
        <w:rPr>
          <w:rFonts w:cs="Calibri"/>
          <w:bCs/>
        </w:rPr>
        <w:t>)</w:t>
      </w:r>
      <w:r w:rsidRPr="00FA4573">
        <w:rPr>
          <w:rFonts w:cs="Calibri"/>
          <w:bCs/>
          <w:lang w:eastAsia="ko-KR"/>
        </w:rPr>
        <w:t>, Co-Rapporteur for Question 7/2</w:t>
      </w:r>
      <w:r w:rsidRPr="00FA4573">
        <w:rPr>
          <w:rFonts w:cs="Calibri"/>
          <w:bCs/>
        </w:rPr>
        <w:t>.</w:t>
      </w:r>
    </w:p>
    <w:p w14:paraId="3DE2862D" w14:textId="77777777" w:rsidR="00A63D1D" w:rsidRPr="00FA4573" w:rsidRDefault="00A63D1D" w:rsidP="00A63D1D">
      <w:pPr>
        <w:spacing w:after="120"/>
      </w:pPr>
      <w:r w:rsidRPr="00FA4573">
        <w:rPr>
          <w:rFonts w:cs="Calibri"/>
          <w:bCs/>
          <w:lang w:eastAsia="ko-KR"/>
        </w:rPr>
        <w:t xml:space="preserve">The </w:t>
      </w:r>
      <w:r w:rsidRPr="00FA4573">
        <w:rPr>
          <w:rFonts w:cs="Calibri"/>
          <w:bCs/>
        </w:rPr>
        <w:t xml:space="preserve">inter-sector mapping tables were updated </w:t>
      </w:r>
      <w:r w:rsidRPr="00FA4573">
        <w:rPr>
          <w:rFonts w:cs="Calibri"/>
          <w:bCs/>
          <w:lang w:eastAsia="ko-KR"/>
        </w:rPr>
        <w:t>from</w:t>
      </w:r>
      <w:r w:rsidRPr="00FA4573">
        <w:rPr>
          <w:rFonts w:cs="Calibri"/>
          <w:bCs/>
        </w:rPr>
        <w:t xml:space="preserve"> th</w:t>
      </w:r>
      <w:r w:rsidRPr="00FA4573">
        <w:rPr>
          <w:rFonts w:cs="Calibri"/>
          <w:bCs/>
          <w:lang w:eastAsia="ko-KR"/>
        </w:rPr>
        <w:t>e previous</w:t>
      </w:r>
      <w:r w:rsidRPr="00FA4573">
        <w:rPr>
          <w:rFonts w:cs="Calibri"/>
          <w:bCs/>
        </w:rPr>
        <w:t xml:space="preserve"> study period</w:t>
      </w:r>
      <w:r w:rsidRPr="00FA4573">
        <w:rPr>
          <w:rFonts w:cs="Calibri"/>
          <w:bCs/>
          <w:lang w:eastAsia="ko-KR"/>
        </w:rPr>
        <w:t xml:space="preserve"> in order to take into account the evolution of activities in the three ITU Sectors</w:t>
      </w:r>
      <w:r w:rsidRPr="00FA4573">
        <w:rPr>
          <w:rFonts w:cs="Calibri"/>
          <w:bCs/>
        </w:rPr>
        <w:t xml:space="preserve">. </w:t>
      </w:r>
      <w:r w:rsidRPr="00FA4573">
        <w:rPr>
          <w:rFonts w:eastAsia="Malgun Gothic"/>
          <w:lang w:eastAsia="ko-KR"/>
        </w:rPr>
        <w:t>A</w:t>
      </w:r>
      <w:r w:rsidRPr="00FA4573">
        <w:t xml:space="preserve">ll documents related to inter-sector mappings </w:t>
      </w:r>
      <w:r w:rsidRPr="00FA4573">
        <w:rPr>
          <w:rFonts w:eastAsia="Malgun Gothic"/>
          <w:lang w:eastAsia="ko-KR"/>
        </w:rPr>
        <w:t>continued to</w:t>
      </w:r>
      <w:r w:rsidRPr="00FA4573">
        <w:t xml:space="preserve"> be </w:t>
      </w:r>
      <w:r w:rsidRPr="00FA4573">
        <w:rPr>
          <w:rFonts w:eastAsia="Malgun Gothic"/>
          <w:lang w:eastAsia="ko-KR"/>
        </w:rPr>
        <w:t>maintained</w:t>
      </w:r>
      <w:r w:rsidRPr="00FA4573">
        <w:t xml:space="preserve"> as living documents in a common repository, currently maintained by the Inter-Sector Coordination Group (ISCG) on issues of mutual interest. </w:t>
      </w:r>
      <w:r w:rsidRPr="00FA4573">
        <w:rPr>
          <w:rFonts w:eastAsia="Malgun Gothic"/>
          <w:lang w:eastAsia="ko-KR"/>
        </w:rPr>
        <w:t>F</w:t>
      </w:r>
      <w:r w:rsidRPr="00FA4573">
        <w:t xml:space="preserve">urther updates will be maintained through coordination between the ISCG and representatives of the three ITU </w:t>
      </w:r>
      <w:r w:rsidRPr="00FA4573">
        <w:rPr>
          <w:rFonts w:eastAsia="Malgun Gothic"/>
          <w:lang w:eastAsia="ko-KR"/>
        </w:rPr>
        <w:t>Sectors</w:t>
      </w:r>
      <w:r w:rsidRPr="00FA4573">
        <w:t>.</w:t>
      </w:r>
    </w:p>
    <w:p w14:paraId="36423687" w14:textId="77777777" w:rsidR="00A63D1D" w:rsidRPr="00FA4573" w:rsidRDefault="00A63D1D" w:rsidP="00A63D1D">
      <w:pPr>
        <w:spacing w:after="120"/>
        <w:rPr>
          <w:lang w:eastAsia="zh-CN"/>
        </w:rPr>
      </w:pPr>
      <w:r w:rsidRPr="00FA4573">
        <w:rPr>
          <w:lang w:eastAsia="zh-CN"/>
        </w:rPr>
        <w:t>Documents for more information:</w:t>
      </w:r>
    </w:p>
    <w:p w14:paraId="2532AC24" w14:textId="77777777" w:rsidR="00A63D1D" w:rsidRPr="00FA4573" w:rsidRDefault="00A63D1D" w:rsidP="00A63D1D">
      <w:pPr>
        <w:pStyle w:val="ListParagraph"/>
        <w:numPr>
          <w:ilvl w:val="0"/>
          <w:numId w:val="7"/>
        </w:numPr>
        <w:spacing w:before="60" w:after="60"/>
        <w:ind w:left="714" w:hanging="357"/>
        <w:contextualSpacing w:val="0"/>
      </w:pPr>
      <w:r w:rsidRPr="00FA4573">
        <w:t xml:space="preserve">Mapping of ITU-D SG1 and SG2 Questions to ITU-R Working Parties: </w:t>
      </w:r>
      <w:hyperlink r:id="rId87" w:history="1">
        <w:r w:rsidRPr="00FA4573">
          <w:rPr>
            <w:rStyle w:val="Hyperlink"/>
            <w:rFonts w:eastAsia="Malgun Gothic"/>
            <w:lang w:eastAsia="ko-KR"/>
          </w:rPr>
          <w:t>link</w:t>
        </w:r>
      </w:hyperlink>
    </w:p>
    <w:p w14:paraId="2402A56A" w14:textId="77777777" w:rsidR="00A63D1D" w:rsidRPr="00FA4573" w:rsidRDefault="00A63D1D" w:rsidP="00A63D1D">
      <w:pPr>
        <w:pStyle w:val="ListParagraph"/>
        <w:numPr>
          <w:ilvl w:val="0"/>
          <w:numId w:val="7"/>
        </w:numPr>
        <w:spacing w:before="60" w:after="60"/>
        <w:ind w:left="714" w:hanging="357"/>
        <w:contextualSpacing w:val="0"/>
      </w:pPr>
      <w:r w:rsidRPr="00FA4573">
        <w:t>Mapping of ITU-D SG1 and SG2 Questions to ITU-T Questions</w:t>
      </w:r>
      <w:r w:rsidRPr="00FA4573">
        <w:rPr>
          <w:rFonts w:eastAsia="Malgun Gothic"/>
          <w:lang w:eastAsia="ko-KR"/>
        </w:rPr>
        <w:t xml:space="preserve">: </w:t>
      </w:r>
      <w:hyperlink r:id="rId88" w:history="1">
        <w:r w:rsidRPr="00FA4573">
          <w:rPr>
            <w:rStyle w:val="Hyperlink"/>
            <w:rFonts w:eastAsia="Malgun Gothic"/>
            <w:lang w:eastAsia="ko-KR"/>
          </w:rPr>
          <w:t>link</w:t>
        </w:r>
      </w:hyperlink>
    </w:p>
    <w:p w14:paraId="1490A02A" w14:textId="77777777" w:rsidR="00A63D1D" w:rsidRPr="00FA4573" w:rsidRDefault="00A63D1D" w:rsidP="00A63D1D">
      <w:pPr>
        <w:pStyle w:val="Heading2"/>
        <w:spacing w:after="120"/>
      </w:pPr>
      <w:r w:rsidRPr="00FA4573">
        <w:t xml:space="preserve">WTDC Resolution 9 (Rev. </w:t>
      </w:r>
      <w:r w:rsidRPr="00FA4573">
        <w:rPr>
          <w:rFonts w:eastAsia="Malgun Gothic"/>
          <w:lang w:eastAsia="ko-KR"/>
        </w:rPr>
        <w:t>Kigali</w:t>
      </w:r>
      <w:r w:rsidRPr="00FA4573">
        <w:t>, 20</w:t>
      </w:r>
      <w:r w:rsidRPr="00FA4573">
        <w:rPr>
          <w:rFonts w:eastAsia="Malgun Gothic"/>
          <w:lang w:eastAsia="ko-KR"/>
        </w:rPr>
        <w:t>22</w:t>
      </w:r>
      <w:r w:rsidRPr="00FA4573">
        <w:t>)</w:t>
      </w:r>
    </w:p>
    <w:p w14:paraId="0B5D17C5" w14:textId="77777777" w:rsidR="00A63D1D" w:rsidRPr="00FA4573" w:rsidRDefault="00A63D1D" w:rsidP="00A63D1D">
      <w:pPr>
        <w:spacing w:after="120"/>
        <w:rPr>
          <w:rFonts w:eastAsia="Malgun Gothic"/>
          <w:lang w:eastAsia="ko-KR"/>
        </w:rPr>
      </w:pPr>
      <w:r w:rsidRPr="00FA4573">
        <w:t xml:space="preserve">In an effort to implement WTDC Resolution 9 (Rev. </w:t>
      </w:r>
      <w:r w:rsidRPr="00FA4573">
        <w:rPr>
          <w:rFonts w:eastAsia="Malgun Gothic" w:hint="eastAsia"/>
          <w:lang w:eastAsia="ko-KR"/>
        </w:rPr>
        <w:t>Kigali</w:t>
      </w:r>
      <w:r w:rsidRPr="00FA4573">
        <w:t>, 20</w:t>
      </w:r>
      <w:r w:rsidRPr="00FA4573">
        <w:rPr>
          <w:rFonts w:eastAsia="Malgun Gothic"/>
          <w:lang w:eastAsia="ko-KR"/>
        </w:rPr>
        <w:t>22</w:t>
      </w:r>
      <w:r w:rsidRPr="00FA4573">
        <w:t xml:space="preserve">), and in particular to fulfil the needs of the developing countries stated therein, </w:t>
      </w:r>
      <w:r w:rsidRPr="00FA4573">
        <w:rPr>
          <w:rFonts w:eastAsia="Malgun Gothic"/>
          <w:lang w:eastAsia="ko-KR"/>
        </w:rPr>
        <w:t>SG2 adopted the following approach:</w:t>
      </w:r>
    </w:p>
    <w:p w14:paraId="0D659000" w14:textId="77777777" w:rsidR="00A63D1D" w:rsidRPr="00FA4573" w:rsidRDefault="00A63D1D" w:rsidP="00A63D1D">
      <w:pPr>
        <w:pStyle w:val="ListParagraph"/>
        <w:numPr>
          <w:ilvl w:val="0"/>
          <w:numId w:val="10"/>
        </w:numPr>
        <w:spacing w:after="120"/>
        <w:ind w:left="714" w:hanging="357"/>
        <w:contextualSpacing w:val="0"/>
        <w:rPr>
          <w:rFonts w:eastAsia="Malgun Gothic"/>
          <w:lang w:eastAsia="ko-KR"/>
        </w:rPr>
      </w:pPr>
      <w:r w:rsidRPr="00FA4573">
        <w:rPr>
          <w:rFonts w:eastAsia="Malgun Gothic"/>
          <w:lang w:eastAsia="ko-KR"/>
        </w:rPr>
        <w:t>SG2</w:t>
      </w:r>
      <w:r w:rsidRPr="00FA4573">
        <w:t xml:space="preserve"> a</w:t>
      </w:r>
      <w:r w:rsidRPr="00FA4573">
        <w:rPr>
          <w:rFonts w:eastAsia="Malgun Gothic"/>
          <w:lang w:eastAsia="ko-KR"/>
        </w:rPr>
        <w:t>ssigned</w:t>
      </w:r>
      <w:r w:rsidRPr="00FA4573">
        <w:t xml:space="preserve"> two coordinators to ensure continuous update on this topic: Mr </w:t>
      </w:r>
      <w:r w:rsidRPr="00FA4573">
        <w:rPr>
          <w:rFonts w:eastAsia="Malgun Gothic"/>
          <w:lang w:eastAsia="ko-KR"/>
        </w:rPr>
        <w:t>Hideo Imanaka</w:t>
      </w:r>
      <w:r w:rsidRPr="00FA4573">
        <w:t xml:space="preserve"> (</w:t>
      </w:r>
      <w:r w:rsidRPr="00FA4573">
        <w:rPr>
          <w:rFonts w:eastAsia="Malgun Gothic"/>
          <w:lang w:eastAsia="ko-KR"/>
        </w:rPr>
        <w:t>Japan</w:t>
      </w:r>
      <w:r w:rsidRPr="00FA4573">
        <w:t>), Vice-Chai</w:t>
      </w:r>
      <w:r w:rsidRPr="00FA4573">
        <w:rPr>
          <w:rFonts w:eastAsia="Malgun Gothic"/>
          <w:lang w:eastAsia="ko-KR"/>
        </w:rPr>
        <w:t>r</w:t>
      </w:r>
      <w:r w:rsidRPr="00FA4573">
        <w:t xml:space="preserve"> of </w:t>
      </w:r>
      <w:r w:rsidRPr="00FA4573">
        <w:rPr>
          <w:rFonts w:eastAsia="Malgun Gothic"/>
          <w:lang w:eastAsia="ko-KR"/>
        </w:rPr>
        <w:t>ITU-D SG2</w:t>
      </w:r>
      <w:r w:rsidRPr="00FA4573">
        <w:t>, and Mr Haim Mazar (Israel), Co-Rapporteur for Question 7/2</w:t>
      </w:r>
      <w:r w:rsidRPr="00FA4573">
        <w:rPr>
          <w:rFonts w:eastAsia="Malgun Gothic"/>
          <w:lang w:eastAsia="ko-KR"/>
        </w:rPr>
        <w:t>;</w:t>
      </w:r>
    </w:p>
    <w:p w14:paraId="0C5202A8" w14:textId="77777777" w:rsidR="00A63D1D" w:rsidRPr="00FA4573" w:rsidRDefault="00A63D1D" w:rsidP="00A63D1D">
      <w:pPr>
        <w:pStyle w:val="ListParagraph"/>
        <w:numPr>
          <w:ilvl w:val="0"/>
          <w:numId w:val="10"/>
        </w:numPr>
        <w:spacing w:after="120"/>
        <w:ind w:left="714" w:hanging="357"/>
        <w:contextualSpacing w:val="0"/>
        <w:rPr>
          <w:rFonts w:eastAsia="Malgun Gothic"/>
          <w:lang w:eastAsia="ko-KR"/>
        </w:rPr>
      </w:pPr>
      <w:r w:rsidRPr="00FA4573">
        <w:rPr>
          <w:rFonts w:eastAsia="Malgun Gothic"/>
          <w:lang w:eastAsia="ko-KR"/>
        </w:rPr>
        <w:t>S</w:t>
      </w:r>
      <w:r w:rsidRPr="00FA4573">
        <w:t>ince not all Questions necessarily have linkages with Resolution 9, rapporteur group</w:t>
      </w:r>
      <w:r w:rsidRPr="00FA4573">
        <w:rPr>
          <w:rFonts w:eastAsia="Malgun Gothic"/>
          <w:lang w:eastAsia="ko-KR"/>
        </w:rPr>
        <w:t xml:space="preserve"> management teams were requested </w:t>
      </w:r>
      <w:r w:rsidRPr="00FA4573">
        <w:t>to review the relevance of their mandates with this Resolution</w:t>
      </w:r>
      <w:r w:rsidRPr="00FA4573">
        <w:rPr>
          <w:rFonts w:eastAsia="Malgun Gothic"/>
          <w:lang w:eastAsia="ko-KR"/>
        </w:rPr>
        <w:t>;</w:t>
      </w:r>
    </w:p>
    <w:p w14:paraId="413C926A" w14:textId="77777777" w:rsidR="00A63D1D" w:rsidRPr="00FA4573" w:rsidRDefault="00A63D1D" w:rsidP="00A63D1D">
      <w:pPr>
        <w:pStyle w:val="ListParagraph"/>
        <w:numPr>
          <w:ilvl w:val="0"/>
          <w:numId w:val="10"/>
        </w:numPr>
        <w:spacing w:after="120"/>
        <w:ind w:left="714" w:hanging="357"/>
        <w:contextualSpacing w:val="0"/>
      </w:pPr>
      <w:r w:rsidRPr="00FA4573">
        <w:rPr>
          <w:rFonts w:eastAsia="Malgun Gothic"/>
          <w:lang w:eastAsia="ko-KR"/>
        </w:rPr>
        <w:t>R</w:t>
      </w:r>
      <w:r w:rsidRPr="00FA4573">
        <w:t xml:space="preserve">apporteur groups </w:t>
      </w:r>
      <w:r w:rsidRPr="00FA4573">
        <w:rPr>
          <w:rFonts w:eastAsia="Malgun Gothic"/>
          <w:lang w:eastAsia="ko-KR"/>
        </w:rPr>
        <w:t xml:space="preserve">were invited </w:t>
      </w:r>
      <w:r w:rsidRPr="00FA4573">
        <w:t xml:space="preserve">to </w:t>
      </w:r>
      <w:r w:rsidRPr="00FA4573">
        <w:rPr>
          <w:rFonts w:eastAsia="Malgun Gothic"/>
          <w:lang w:eastAsia="ko-KR"/>
        </w:rPr>
        <w:t xml:space="preserve">analyse their contributions received and </w:t>
      </w:r>
      <w:r w:rsidRPr="00FA4573">
        <w:t>leverage regular information provided by ITU-R (presentations in plenaries, incoming liaison statements) to identify items of relevance for further collaboration</w:t>
      </w:r>
      <w:r w:rsidRPr="00FA4573">
        <w:rPr>
          <w:rFonts w:eastAsia="Malgun Gothic"/>
          <w:lang w:eastAsia="ko-KR"/>
        </w:rPr>
        <w:t>.</w:t>
      </w:r>
    </w:p>
    <w:p w14:paraId="4BC9CCDD" w14:textId="77777777" w:rsidR="00A63D1D" w:rsidRPr="00FA4573" w:rsidRDefault="00A63D1D" w:rsidP="00A63D1D">
      <w:pPr>
        <w:spacing w:after="120"/>
        <w:rPr>
          <w:rFonts w:eastAsia="Malgun Gothic" w:cstheme="minorHAnsi"/>
          <w:bCs/>
          <w:lang w:eastAsia="ko-KR"/>
        </w:rPr>
      </w:pPr>
      <w:r w:rsidRPr="00FA4573">
        <w:rPr>
          <w:rFonts w:eastAsia="Malgun Gothic" w:hint="eastAsia"/>
          <w:lang w:eastAsia="ko-KR"/>
        </w:rPr>
        <w:t xml:space="preserve">As a result of this exercise, </w:t>
      </w:r>
      <w:r w:rsidRPr="00FA4573">
        <w:rPr>
          <w:rFonts w:eastAsia="Malgun Gothic" w:cstheme="minorHAnsi" w:hint="eastAsia"/>
          <w:bCs/>
          <w:lang w:eastAsia="ko-KR"/>
        </w:rPr>
        <w:t>a</w:t>
      </w:r>
      <w:r w:rsidRPr="00FA4573">
        <w:rPr>
          <w:rFonts w:cstheme="minorHAnsi"/>
          <w:bCs/>
        </w:rPr>
        <w:t xml:space="preserve"> mapping </w:t>
      </w:r>
      <w:r w:rsidRPr="00FA4573">
        <w:rPr>
          <w:rFonts w:eastAsia="Malgun Gothic" w:cstheme="minorHAnsi" w:hint="eastAsia"/>
          <w:bCs/>
          <w:lang w:eastAsia="ko-KR"/>
        </w:rPr>
        <w:t xml:space="preserve">table of SG2 contributions received to the types of assistance described in Resolution 9 </w:t>
      </w:r>
      <w:r w:rsidRPr="00FA4573">
        <w:rPr>
          <w:rFonts w:cstheme="minorHAnsi"/>
          <w:bCs/>
        </w:rPr>
        <w:t xml:space="preserve">has been </w:t>
      </w:r>
      <w:r w:rsidRPr="00FA4573">
        <w:rPr>
          <w:rFonts w:eastAsia="Malgun Gothic" w:cstheme="minorHAnsi" w:hint="eastAsia"/>
          <w:bCs/>
          <w:lang w:eastAsia="ko-KR"/>
        </w:rPr>
        <w:t xml:space="preserve">developed and is available in </w:t>
      </w:r>
      <w:r w:rsidRPr="00474F78">
        <w:rPr>
          <w:rFonts w:eastAsia="Malgun Gothic" w:cstheme="minorHAnsi"/>
          <w:b/>
          <w:lang w:eastAsia="ko-KR"/>
        </w:rPr>
        <w:t>Annex 6</w:t>
      </w:r>
      <w:r w:rsidRPr="00FA4573">
        <w:rPr>
          <w:rFonts w:eastAsia="Malgun Gothic" w:cstheme="minorHAnsi" w:hint="eastAsia"/>
          <w:bCs/>
          <w:lang w:eastAsia="ko-KR"/>
        </w:rPr>
        <w:t xml:space="preserve">. A </w:t>
      </w:r>
      <w:r w:rsidRPr="00FA4573">
        <w:rPr>
          <w:rFonts w:cstheme="minorHAnsi" w:hint="eastAsia"/>
          <w:bCs/>
          <w:lang w:eastAsia="ko-KR"/>
        </w:rPr>
        <w:t>c</w:t>
      </w:r>
      <w:r w:rsidRPr="00FA4573">
        <w:rPr>
          <w:rFonts w:cstheme="minorHAnsi"/>
          <w:bCs/>
          <w:lang w:eastAsia="ko-KR"/>
        </w:rPr>
        <w:t xml:space="preserve">ompilation table with the total numbers of possible topics of interest </w:t>
      </w:r>
      <w:r w:rsidRPr="00FA4573">
        <w:rPr>
          <w:rFonts w:eastAsia="Malgun Gothic" w:cstheme="minorHAnsi" w:hint="eastAsia"/>
          <w:bCs/>
          <w:lang w:eastAsia="ko-KR"/>
        </w:rPr>
        <w:t>for each type of assistance described in Resolution</w:t>
      </w:r>
      <w:r w:rsidRPr="00FA4573">
        <w:rPr>
          <w:rFonts w:eastAsia="Malgun Gothic" w:cstheme="minorHAnsi"/>
          <w:bCs/>
          <w:lang w:val="en-US" w:eastAsia="ko-KR"/>
        </w:rPr>
        <w:t> </w:t>
      </w:r>
      <w:r w:rsidRPr="00FA4573">
        <w:rPr>
          <w:rFonts w:eastAsia="Malgun Gothic" w:cstheme="minorHAnsi" w:hint="eastAsia"/>
          <w:bCs/>
          <w:lang w:eastAsia="ko-KR"/>
        </w:rPr>
        <w:t xml:space="preserve">9 can be found in </w:t>
      </w:r>
      <w:r w:rsidRPr="00474F78">
        <w:rPr>
          <w:rFonts w:eastAsia="Malgun Gothic" w:cstheme="minorHAnsi"/>
          <w:b/>
          <w:lang w:eastAsia="ko-KR"/>
        </w:rPr>
        <w:t>Annex 7</w:t>
      </w:r>
      <w:r w:rsidRPr="00FA4573">
        <w:rPr>
          <w:rFonts w:eastAsia="Malgun Gothic" w:cstheme="minorHAnsi" w:hint="eastAsia"/>
          <w:bCs/>
          <w:lang w:eastAsia="ko-KR"/>
        </w:rPr>
        <w:t>.</w:t>
      </w:r>
    </w:p>
    <w:p w14:paraId="17C52AC1" w14:textId="77777777" w:rsidR="00A63D1D" w:rsidRPr="00FA4573" w:rsidRDefault="00A63D1D" w:rsidP="00A63D1D">
      <w:pPr>
        <w:spacing w:after="120"/>
      </w:pPr>
      <w:r w:rsidRPr="00FA4573">
        <w:t>Documents for more information:</w:t>
      </w:r>
    </w:p>
    <w:p w14:paraId="0205FA3F" w14:textId="77777777" w:rsidR="00A63D1D" w:rsidRPr="00FA4573" w:rsidRDefault="00A63D1D" w:rsidP="00A63D1D">
      <w:pPr>
        <w:pStyle w:val="ListParagraph"/>
        <w:spacing w:before="60" w:after="60"/>
        <w:ind w:left="714" w:hanging="357"/>
        <w:contextualSpacing w:val="0"/>
      </w:pPr>
      <w:r w:rsidRPr="00FA4573">
        <w:t xml:space="preserve">Report from the Chair of SG2 to TDAG (2020): Section </w:t>
      </w:r>
      <w:r w:rsidRPr="00FA4573">
        <w:rPr>
          <w:rFonts w:eastAsia="Malgun Gothic"/>
          <w:lang w:eastAsia="ko-KR"/>
        </w:rPr>
        <w:t>3</w:t>
      </w:r>
      <w:r w:rsidRPr="00FA4573">
        <w:t xml:space="preserve">.2 of </w:t>
      </w:r>
      <w:hyperlink r:id="rId89" w:history="1">
        <w:r w:rsidRPr="00FA4573">
          <w:rPr>
            <w:rStyle w:val="Hyperlink"/>
          </w:rPr>
          <w:t>TDAG-2</w:t>
        </w:r>
        <w:r w:rsidRPr="00FA4573">
          <w:rPr>
            <w:rStyle w:val="Hyperlink"/>
            <w:rFonts w:eastAsia="Malgun Gothic"/>
            <w:lang w:eastAsia="ko-KR"/>
          </w:rPr>
          <w:t>3</w:t>
        </w:r>
        <w:r w:rsidRPr="00FA4573">
          <w:rPr>
            <w:rStyle w:val="Hyperlink"/>
          </w:rPr>
          <w:t>/</w:t>
        </w:r>
        <w:r w:rsidRPr="00FA4573">
          <w:rPr>
            <w:rStyle w:val="Hyperlink"/>
            <w:rFonts w:eastAsia="Malgun Gothic"/>
            <w:lang w:eastAsia="ko-KR"/>
          </w:rPr>
          <w:t>6</w:t>
        </w:r>
      </w:hyperlink>
      <w:r w:rsidRPr="00FA4573">
        <w:t>;</w:t>
      </w:r>
    </w:p>
    <w:p w14:paraId="3A5DE4FB" w14:textId="77777777" w:rsidR="00A63D1D" w:rsidRPr="00474F78" w:rsidRDefault="00A63D1D" w:rsidP="00A63D1D">
      <w:pPr>
        <w:pStyle w:val="ListParagraph"/>
        <w:spacing w:before="60" w:after="60"/>
        <w:ind w:left="714" w:hanging="357"/>
        <w:contextualSpacing w:val="0"/>
      </w:pPr>
      <w:r w:rsidRPr="00FA4573">
        <w:rPr>
          <w:rFonts w:eastAsia="Malgun Gothic"/>
          <w:lang w:eastAsia="ko-KR"/>
        </w:rPr>
        <w:lastRenderedPageBreak/>
        <w:t>Proposed actions</w:t>
      </w:r>
      <w:r w:rsidRPr="00FA4573">
        <w:t xml:space="preserve"> from the Coordinators:</w:t>
      </w:r>
      <w:r w:rsidRPr="00FA4573">
        <w:rPr>
          <w:rFonts w:eastAsia="Malgun Gothic"/>
          <w:lang w:eastAsia="ko-KR"/>
        </w:rPr>
        <w:t xml:space="preserve"> </w:t>
      </w:r>
      <w:hyperlink r:id="rId90" w:history="1">
        <w:r w:rsidRPr="00FA4573">
          <w:rPr>
            <w:rStyle w:val="Hyperlink"/>
            <w:rFonts w:eastAsia="Malgun Gothic"/>
            <w:lang w:eastAsia="ko-KR"/>
          </w:rPr>
          <w:t>2/161</w:t>
        </w:r>
      </w:hyperlink>
      <w:r w:rsidRPr="00FA4573">
        <w:t>.</w:t>
      </w:r>
    </w:p>
    <w:p w14:paraId="3F263D77" w14:textId="77777777" w:rsidR="00A63D1D" w:rsidRPr="00FA4573" w:rsidRDefault="00A63D1D" w:rsidP="00A63D1D">
      <w:pPr>
        <w:pStyle w:val="ListParagraph"/>
        <w:spacing w:before="60" w:after="60"/>
        <w:ind w:left="714" w:hanging="357"/>
        <w:contextualSpacing w:val="0"/>
      </w:pPr>
      <w:r w:rsidRPr="00FA4573">
        <w:rPr>
          <w:rFonts w:hint="eastAsia"/>
          <w:bCs/>
          <w:lang w:eastAsia="ko-KR"/>
        </w:rPr>
        <w:t xml:space="preserve">Report from the </w:t>
      </w:r>
      <w:r w:rsidRPr="00FA4573">
        <w:rPr>
          <w:bCs/>
          <w:lang w:eastAsia="ko-KR"/>
        </w:rPr>
        <w:t xml:space="preserve">Coordinators </w:t>
      </w:r>
      <w:r w:rsidRPr="00FA4573">
        <w:rPr>
          <w:rFonts w:eastAsia="Malgun Gothic" w:hint="eastAsia"/>
          <w:bCs/>
          <w:lang w:eastAsia="ko-KR"/>
        </w:rPr>
        <w:t xml:space="preserve">(with mapping table): </w:t>
      </w:r>
      <w:hyperlink r:id="rId91" w:history="1">
        <w:r w:rsidRPr="00FA4573">
          <w:rPr>
            <w:rStyle w:val="Hyperlink"/>
            <w:bCs/>
          </w:rPr>
          <w:t>2/</w:t>
        </w:r>
        <w:r w:rsidRPr="00FA4573">
          <w:rPr>
            <w:rStyle w:val="Hyperlink"/>
            <w:bCs/>
            <w:lang w:eastAsia="ko-KR"/>
          </w:rPr>
          <w:t>402</w:t>
        </w:r>
      </w:hyperlink>
      <w:r w:rsidRPr="00FA4573">
        <w:rPr>
          <w:rFonts w:eastAsia="Malgun Gothic" w:hint="eastAsia"/>
          <w:lang w:eastAsia="ko-KR"/>
        </w:rPr>
        <w:t>.</w:t>
      </w:r>
    </w:p>
    <w:p w14:paraId="3910C543" w14:textId="77777777" w:rsidR="00A63D1D" w:rsidRPr="00FA4573" w:rsidRDefault="00A63D1D" w:rsidP="00A63D1D">
      <w:pPr>
        <w:pStyle w:val="Heading2"/>
        <w:spacing w:after="120"/>
      </w:pPr>
      <w:r w:rsidRPr="00FA4573">
        <w:t xml:space="preserve">ITU Coordination Committee for Terminology (ITU CCT) </w:t>
      </w:r>
    </w:p>
    <w:p w14:paraId="536C7CAC" w14:textId="77777777" w:rsidR="00A63D1D" w:rsidRPr="00FA4573" w:rsidRDefault="00A63D1D" w:rsidP="00A63D1D">
      <w:pPr>
        <w:spacing w:after="120"/>
        <w:rPr>
          <w:rFonts w:ascii="Calibri" w:eastAsia="Malgun Gothic" w:hAnsi="Calibri" w:cs="Calibri"/>
          <w:lang w:eastAsia="ko-KR"/>
        </w:rPr>
      </w:pPr>
      <w:r w:rsidRPr="00FA4573">
        <w:rPr>
          <w:bCs/>
          <w:iCs/>
          <w:lang w:bidi="en-US"/>
        </w:rPr>
        <w:t xml:space="preserve">Resolution 154 (Rev. Bucharest, 2022) of the Plenipotentiary Conference on the use of the six official languages of the Union on an equal footing, notes the importance of the work of ITU </w:t>
      </w:r>
      <w:r w:rsidRPr="00FA4573">
        <w:t>Coordination Committee for Terminology</w:t>
      </w:r>
      <w:r w:rsidRPr="00FA4573">
        <w:rPr>
          <w:bCs/>
          <w:iCs/>
          <w:lang w:bidi="en-US"/>
        </w:rPr>
        <w:t xml:space="preserve"> </w:t>
      </w:r>
      <w:r w:rsidRPr="00FA4573">
        <w:rPr>
          <w:rFonts w:eastAsia="Malgun Gothic"/>
          <w:bCs/>
          <w:iCs/>
          <w:lang w:eastAsia="ko-KR" w:bidi="en-US"/>
        </w:rPr>
        <w:t>(</w:t>
      </w:r>
      <w:r w:rsidRPr="00FA4573">
        <w:rPr>
          <w:bCs/>
          <w:iCs/>
          <w:lang w:bidi="en-US"/>
        </w:rPr>
        <w:t>CCT</w:t>
      </w:r>
      <w:r w:rsidRPr="00FA4573">
        <w:rPr>
          <w:rFonts w:eastAsia="Malgun Gothic"/>
          <w:bCs/>
          <w:iCs/>
          <w:lang w:eastAsia="ko-KR" w:bidi="en-US"/>
        </w:rPr>
        <w:t>)</w:t>
      </w:r>
      <w:r w:rsidRPr="00FA4573">
        <w:rPr>
          <w:bCs/>
          <w:iCs/>
          <w:lang w:bidi="en-US"/>
        </w:rPr>
        <w:t>, which agrees on and adopts terms and definitions in the field of telecommunications/ICTs</w:t>
      </w:r>
      <w:r w:rsidRPr="00FA4573">
        <w:rPr>
          <w:rFonts w:eastAsia="Malgun Gothic"/>
          <w:bCs/>
          <w:iCs/>
          <w:lang w:eastAsia="ko-KR" w:bidi="en-US"/>
        </w:rPr>
        <w:t xml:space="preserve"> across the three ITU Sectors</w:t>
      </w:r>
      <w:r w:rsidRPr="00FA4573">
        <w:rPr>
          <w:bCs/>
          <w:iCs/>
          <w:lang w:bidi="en-US"/>
        </w:rPr>
        <w:t>.</w:t>
      </w:r>
      <w:r w:rsidRPr="00FA4573">
        <w:rPr>
          <w:rFonts w:eastAsia="Malgun Gothic"/>
          <w:bCs/>
          <w:iCs/>
          <w:lang w:eastAsia="ko-KR" w:bidi="en-US"/>
        </w:rPr>
        <w:t xml:space="preserve"> </w:t>
      </w:r>
      <w:r w:rsidRPr="00FA4573">
        <w:rPr>
          <w:rFonts w:ascii="Calibri" w:eastAsia="Calibri" w:hAnsi="Calibri" w:cs="Calibri"/>
        </w:rPr>
        <w:t xml:space="preserve">In accordance with provision 12.3 of WTDC Resolution 1, SG2 </w:t>
      </w:r>
      <w:r w:rsidRPr="00FA4573">
        <w:rPr>
          <w:rFonts w:ascii="Calibri" w:eastAsia="Malgun Gothic" w:hAnsi="Calibri" w:cs="Calibri"/>
          <w:lang w:eastAsia="ko-KR"/>
        </w:rPr>
        <w:t>assigned</w:t>
      </w:r>
      <w:r w:rsidRPr="00FA4573">
        <w:rPr>
          <w:rFonts w:ascii="Calibri" w:eastAsia="Calibri" w:hAnsi="Calibri" w:cs="Calibri"/>
        </w:rPr>
        <w:t xml:space="preserve"> </w:t>
      </w:r>
      <w:r w:rsidRPr="00FA4573">
        <w:rPr>
          <w:rFonts w:ascii="Calibri" w:eastAsia="Malgun Gothic" w:hAnsi="Calibri" w:cs="Calibri"/>
          <w:lang w:eastAsia="ko-KR"/>
        </w:rPr>
        <w:t xml:space="preserve">Vice-Chair Mr Tongning Wu (China) </w:t>
      </w:r>
      <w:r w:rsidRPr="00FA4573">
        <w:rPr>
          <w:rFonts w:ascii="Calibri" w:eastAsia="Calibri" w:hAnsi="Calibri" w:cs="Calibri"/>
        </w:rPr>
        <w:t>as an ITU-D representative to</w:t>
      </w:r>
      <w:r w:rsidRPr="00FA4573">
        <w:t xml:space="preserve"> the </w:t>
      </w:r>
      <w:r w:rsidRPr="00FA4573">
        <w:rPr>
          <w:rFonts w:ascii="Calibri" w:eastAsia="Calibri" w:hAnsi="Calibri" w:cs="Calibri"/>
        </w:rPr>
        <w:t>ITU-CCT.</w:t>
      </w:r>
    </w:p>
    <w:p w14:paraId="03F7AA74" w14:textId="77777777" w:rsidR="00A63D1D" w:rsidRPr="00FA4573" w:rsidRDefault="00A63D1D" w:rsidP="00A63D1D">
      <w:pPr>
        <w:spacing w:after="120"/>
        <w:rPr>
          <w:rFonts w:eastAsia="Malgun Gothic"/>
          <w:lang w:eastAsia="ko-KR"/>
        </w:rPr>
      </w:pPr>
      <w:r w:rsidRPr="00FA4573">
        <w:t>During the 20</w:t>
      </w:r>
      <w:r w:rsidRPr="00FA4573">
        <w:rPr>
          <w:rFonts w:eastAsia="Malgun Gothic"/>
          <w:lang w:eastAsia="ko-KR"/>
        </w:rPr>
        <w:t>22</w:t>
      </w:r>
      <w:r w:rsidRPr="00FA4573">
        <w:t>-202</w:t>
      </w:r>
      <w:r w:rsidRPr="00FA4573">
        <w:rPr>
          <w:rFonts w:eastAsia="Malgun Gothic"/>
          <w:lang w:eastAsia="ko-KR"/>
        </w:rPr>
        <w:t>5</w:t>
      </w:r>
      <w:r w:rsidRPr="00FA4573">
        <w:t xml:space="preserve"> study period, ITU CCT met </w:t>
      </w:r>
      <w:r w:rsidRPr="00FA4573">
        <w:rPr>
          <w:rFonts w:eastAsia="Malgun Gothic"/>
          <w:lang w:eastAsia="ko-KR"/>
        </w:rPr>
        <w:t>nine</w:t>
      </w:r>
      <w:r w:rsidRPr="00FA4573">
        <w:t xml:space="preserve"> times. The meeting considered liaison statements and contributions with matters concerning terminology and agreed on the updates to the ITU terminology database, especially what is called Part 3 with the Terms, acronyms and definitions. </w:t>
      </w:r>
    </w:p>
    <w:p w14:paraId="4F52E10F" w14:textId="77777777" w:rsidR="00A63D1D" w:rsidRPr="00FA4573" w:rsidRDefault="00A63D1D" w:rsidP="00A63D1D">
      <w:pPr>
        <w:spacing w:after="120"/>
        <w:rPr>
          <w:rFonts w:eastAsia="Malgun Gothic"/>
          <w:lang w:eastAsia="ko-KR"/>
        </w:rPr>
      </w:pPr>
      <w:r w:rsidRPr="00FA4573">
        <w:rPr>
          <w:rFonts w:eastAsia="Malgun Gothic"/>
          <w:lang w:eastAsia="ko-KR"/>
        </w:rPr>
        <w:t>While no additional term was proposed by SG2 during this study period, s</w:t>
      </w:r>
      <w:r w:rsidRPr="00FA4573">
        <w:t xml:space="preserve">ome </w:t>
      </w:r>
      <w:r w:rsidRPr="00FA4573">
        <w:rPr>
          <w:rFonts w:eastAsia="Malgun Gothic"/>
          <w:lang w:eastAsia="ko-KR"/>
        </w:rPr>
        <w:t xml:space="preserve">potential candidate terms (e.g. </w:t>
      </w:r>
      <w:r w:rsidRPr="00FA4573">
        <w:t>digital security</w:t>
      </w:r>
      <w:r w:rsidRPr="00FA4573">
        <w:rPr>
          <w:rFonts w:eastAsia="Malgun Gothic"/>
          <w:lang w:eastAsia="ko-KR"/>
        </w:rPr>
        <w:t>) for possible future proposal were discussed</w:t>
      </w:r>
      <w:r w:rsidRPr="00FA4573">
        <w:t>. Several terms and definitions proposed by ITU-R and ITU-T study groups</w:t>
      </w:r>
      <w:r w:rsidRPr="00FA4573">
        <w:rPr>
          <w:rFonts w:eastAsia="Malgun Gothic"/>
          <w:lang w:eastAsia="ko-KR"/>
        </w:rPr>
        <w:t xml:space="preserve"> included also</w:t>
      </w:r>
      <w:r w:rsidRPr="00FA4573">
        <w:t xml:space="preserve"> </w:t>
      </w:r>
      <w:r w:rsidRPr="00FA4573">
        <w:rPr>
          <w:rFonts w:eastAsia="Malgun Gothic"/>
          <w:lang w:eastAsia="ko-KR"/>
        </w:rPr>
        <w:t>general</w:t>
      </w:r>
      <w:r w:rsidRPr="00FA4573">
        <w:t xml:space="preserve"> </w:t>
      </w:r>
      <w:r w:rsidRPr="00FA4573">
        <w:rPr>
          <w:rFonts w:eastAsia="Malgun Gothic"/>
          <w:lang w:eastAsia="ko-KR"/>
        </w:rPr>
        <w:t xml:space="preserve">terms that could be used in the context of </w:t>
      </w:r>
      <w:r w:rsidRPr="00FA4573">
        <w:t xml:space="preserve">ITU-D study Questions, such as </w:t>
      </w:r>
      <w:r w:rsidRPr="00FA4573">
        <w:rPr>
          <w:rFonts w:eastAsia="Malgun Gothic"/>
          <w:lang w:eastAsia="ko-KR"/>
        </w:rPr>
        <w:t>“AI application/service”, “blockchain”, “digital financial services” and “smartphone”, among others.</w:t>
      </w:r>
    </w:p>
    <w:p w14:paraId="3990C9C7" w14:textId="77777777" w:rsidR="00A63D1D" w:rsidRPr="00FA4573" w:rsidRDefault="00A63D1D" w:rsidP="00A63D1D">
      <w:pPr>
        <w:spacing w:after="120"/>
        <w:rPr>
          <w:rFonts w:eastAsia="Malgun Gothic"/>
          <w:lang w:eastAsia="ko-KR"/>
        </w:rPr>
      </w:pPr>
      <w:r w:rsidRPr="00FA4573">
        <w:t>All rapporteur groups were invited to discuss any new terms and follow-up through liaison statements with ITU-CCT as appropriate.</w:t>
      </w:r>
      <w:r w:rsidRPr="00FA4573">
        <w:rPr>
          <w:rFonts w:eastAsia="Malgun Gothic"/>
          <w:lang w:eastAsia="ko-KR"/>
        </w:rPr>
        <w:t xml:space="preserve"> SG2 participants were regularly invited to stay </w:t>
      </w:r>
      <w:r w:rsidRPr="00FA4573">
        <w:t>updated on meeting progress and encouraged them to participate in the ITU</w:t>
      </w:r>
      <w:r w:rsidRPr="00FA4573">
        <w:noBreakHyphen/>
        <w:t xml:space="preserve">CCT's work to achieve better harmonization of vocabulary across </w:t>
      </w:r>
      <w:r w:rsidRPr="00FA4573">
        <w:rPr>
          <w:rFonts w:eastAsia="Malgun Gothic"/>
          <w:lang w:eastAsia="ko-KR"/>
        </w:rPr>
        <w:t>the ITU</w:t>
      </w:r>
      <w:r w:rsidRPr="00FA4573">
        <w:t>.</w:t>
      </w:r>
    </w:p>
    <w:p w14:paraId="02999C28" w14:textId="77777777" w:rsidR="00A63D1D" w:rsidRPr="00FA4573" w:rsidRDefault="00A63D1D" w:rsidP="00A63D1D">
      <w:pPr>
        <w:keepNext/>
        <w:spacing w:after="120"/>
        <w:rPr>
          <w:lang w:eastAsia="zh-CN"/>
        </w:rPr>
      </w:pPr>
      <w:r w:rsidRPr="00FA4573">
        <w:rPr>
          <w:lang w:eastAsia="zh-CN"/>
        </w:rPr>
        <w:t>Documents for more information:</w:t>
      </w:r>
    </w:p>
    <w:p w14:paraId="5A085B3C" w14:textId="77777777" w:rsidR="00A63D1D" w:rsidRPr="00FA4573" w:rsidRDefault="00A63D1D" w:rsidP="00A63D1D">
      <w:pPr>
        <w:pStyle w:val="ListParagraph"/>
        <w:numPr>
          <w:ilvl w:val="0"/>
          <w:numId w:val="4"/>
        </w:numPr>
        <w:spacing w:before="60" w:after="60"/>
        <w:ind w:left="714" w:hanging="357"/>
        <w:contextualSpacing w:val="0"/>
        <w:rPr>
          <w:lang w:eastAsia="zh-CN"/>
        </w:rPr>
      </w:pPr>
      <w:r w:rsidRPr="00FA4573">
        <w:rPr>
          <w:lang w:eastAsia="zh-CN"/>
        </w:rPr>
        <w:t>Summary records of ITU-CCT meetings (period 20</w:t>
      </w:r>
      <w:r w:rsidRPr="00FA4573">
        <w:rPr>
          <w:rFonts w:eastAsia="Malgun Gothic"/>
          <w:lang w:eastAsia="ko-KR"/>
        </w:rPr>
        <w:t>22</w:t>
      </w:r>
      <w:r w:rsidRPr="00FA4573">
        <w:rPr>
          <w:lang w:eastAsia="zh-CN"/>
        </w:rPr>
        <w:t>-202</w:t>
      </w:r>
      <w:r w:rsidRPr="00FA4573">
        <w:rPr>
          <w:rFonts w:eastAsia="Malgun Gothic"/>
          <w:lang w:eastAsia="ko-KR"/>
        </w:rPr>
        <w:t>5</w:t>
      </w:r>
      <w:r w:rsidRPr="00FA4573">
        <w:rPr>
          <w:lang w:eastAsia="zh-CN"/>
        </w:rPr>
        <w:t xml:space="preserve">): </w:t>
      </w:r>
      <w:hyperlink r:id="rId92" w:history="1">
        <w:r w:rsidRPr="00FA4573">
          <w:rPr>
            <w:rStyle w:val="Hyperlink"/>
            <w:lang w:eastAsia="zh-CN"/>
          </w:rPr>
          <w:t>R1</w:t>
        </w:r>
        <w:r w:rsidRPr="00FA4573">
          <w:rPr>
            <w:rStyle w:val="Hyperlink"/>
            <w:rFonts w:eastAsia="Malgun Gothic"/>
            <w:lang w:eastAsia="ko-KR"/>
          </w:rPr>
          <w:t>9</w:t>
        </w:r>
        <w:r w:rsidRPr="00FA4573">
          <w:rPr>
            <w:rStyle w:val="Hyperlink"/>
            <w:lang w:eastAsia="zh-CN"/>
          </w:rPr>
          <w:t>-CCV/</w:t>
        </w:r>
        <w:r w:rsidRPr="00FA4573">
          <w:rPr>
            <w:rStyle w:val="Hyperlink"/>
            <w:rFonts w:eastAsia="Malgun Gothic"/>
            <w:lang w:eastAsia="ko-KR"/>
          </w:rPr>
          <w:t>51</w:t>
        </w:r>
      </w:hyperlink>
      <w:r w:rsidRPr="00FA4573">
        <w:rPr>
          <w:lang w:eastAsia="zh-CN"/>
        </w:rPr>
        <w:t xml:space="preserve"> (</w:t>
      </w:r>
      <w:r w:rsidRPr="00FA4573">
        <w:rPr>
          <w:rFonts w:eastAsia="Malgun Gothic"/>
          <w:lang w:eastAsia="ko-KR"/>
        </w:rPr>
        <w:t>10</w:t>
      </w:r>
      <w:r w:rsidRPr="00FA4573">
        <w:rPr>
          <w:lang w:eastAsia="zh-CN"/>
        </w:rPr>
        <w:t xml:space="preserve"> </w:t>
      </w:r>
      <w:r w:rsidRPr="00FA4573">
        <w:rPr>
          <w:rFonts w:eastAsia="Malgun Gothic"/>
          <w:lang w:eastAsia="ko-KR"/>
        </w:rPr>
        <w:t>Nov.</w:t>
      </w:r>
      <w:r w:rsidRPr="00FA4573">
        <w:rPr>
          <w:lang w:eastAsia="zh-CN"/>
        </w:rPr>
        <w:t xml:space="preserve"> 20</w:t>
      </w:r>
      <w:r w:rsidRPr="00FA4573">
        <w:rPr>
          <w:rFonts w:eastAsia="Malgun Gothic"/>
          <w:lang w:eastAsia="ko-KR"/>
        </w:rPr>
        <w:t>22</w:t>
      </w:r>
      <w:r w:rsidRPr="00FA4573">
        <w:rPr>
          <w:lang w:eastAsia="zh-CN"/>
        </w:rPr>
        <w:t xml:space="preserve">), </w:t>
      </w:r>
      <w:hyperlink r:id="rId93" w:history="1">
        <w:r w:rsidRPr="00FA4573">
          <w:rPr>
            <w:rStyle w:val="Hyperlink"/>
            <w:rFonts w:eastAsia="Malgun Gothic"/>
            <w:lang w:eastAsia="ko-KR"/>
          </w:rPr>
          <w:t>CCT/1</w:t>
        </w:r>
      </w:hyperlink>
      <w:r w:rsidRPr="00FA4573">
        <w:rPr>
          <w:rFonts w:eastAsia="Malgun Gothic"/>
          <w:lang w:eastAsia="ko-KR"/>
        </w:rPr>
        <w:t xml:space="preserve"> </w:t>
      </w:r>
      <w:r w:rsidRPr="00FA4573">
        <w:rPr>
          <w:lang w:eastAsia="zh-CN"/>
        </w:rPr>
        <w:t>(</w:t>
      </w:r>
      <w:r w:rsidRPr="00FA4573">
        <w:rPr>
          <w:rFonts w:eastAsia="Malgun Gothic"/>
          <w:lang w:eastAsia="ko-KR"/>
        </w:rPr>
        <w:t>18</w:t>
      </w:r>
      <w:r w:rsidRPr="00FA4573">
        <w:rPr>
          <w:lang w:eastAsia="zh-CN"/>
        </w:rPr>
        <w:t xml:space="preserve"> </w:t>
      </w:r>
      <w:r w:rsidRPr="00FA4573">
        <w:rPr>
          <w:rFonts w:eastAsia="Malgun Gothic"/>
          <w:lang w:eastAsia="ko-KR"/>
        </w:rPr>
        <w:t>April</w:t>
      </w:r>
      <w:r w:rsidRPr="00FA4573">
        <w:rPr>
          <w:lang w:eastAsia="zh-CN"/>
        </w:rPr>
        <w:t xml:space="preserve"> 20</w:t>
      </w:r>
      <w:r w:rsidRPr="00FA4573">
        <w:rPr>
          <w:rFonts w:eastAsia="Malgun Gothic"/>
          <w:lang w:eastAsia="ko-KR"/>
        </w:rPr>
        <w:t>23</w:t>
      </w:r>
      <w:r w:rsidRPr="00FA4573">
        <w:rPr>
          <w:lang w:eastAsia="zh-CN"/>
        </w:rPr>
        <w:t xml:space="preserve">), </w:t>
      </w:r>
      <w:hyperlink r:id="rId94" w:history="1">
        <w:r w:rsidRPr="00FA4573">
          <w:rPr>
            <w:rStyle w:val="Hyperlink"/>
            <w:rFonts w:eastAsia="Malgun Gothic"/>
            <w:lang w:eastAsia="ko-KR"/>
          </w:rPr>
          <w:t>CCT/37</w:t>
        </w:r>
      </w:hyperlink>
      <w:r w:rsidRPr="00FA4573">
        <w:rPr>
          <w:rFonts w:eastAsia="Malgun Gothic"/>
          <w:lang w:eastAsia="ko-KR"/>
        </w:rPr>
        <w:t xml:space="preserve"> </w:t>
      </w:r>
      <w:r w:rsidRPr="00FA4573">
        <w:rPr>
          <w:lang w:eastAsia="zh-CN"/>
        </w:rPr>
        <w:t>(2</w:t>
      </w:r>
      <w:r w:rsidRPr="00FA4573">
        <w:rPr>
          <w:rFonts w:eastAsia="Malgun Gothic"/>
          <w:lang w:eastAsia="ko-KR"/>
        </w:rPr>
        <w:t>6</w:t>
      </w:r>
      <w:r w:rsidRPr="00FA4573">
        <w:rPr>
          <w:lang w:eastAsia="zh-CN"/>
        </w:rPr>
        <w:t xml:space="preserve"> </w:t>
      </w:r>
      <w:r w:rsidRPr="00FA4573">
        <w:rPr>
          <w:rFonts w:eastAsia="Malgun Gothic"/>
          <w:lang w:eastAsia="ko-KR"/>
        </w:rPr>
        <w:t>Sep.</w:t>
      </w:r>
      <w:r w:rsidRPr="00FA4573">
        <w:rPr>
          <w:lang w:eastAsia="zh-CN"/>
        </w:rPr>
        <w:t xml:space="preserve"> 20</w:t>
      </w:r>
      <w:r w:rsidRPr="00FA4573">
        <w:rPr>
          <w:rFonts w:eastAsia="Malgun Gothic"/>
          <w:lang w:eastAsia="ko-KR"/>
        </w:rPr>
        <w:t>23</w:t>
      </w:r>
      <w:r w:rsidRPr="00FA4573">
        <w:rPr>
          <w:lang w:eastAsia="zh-CN"/>
        </w:rPr>
        <w:t xml:space="preserve">), </w:t>
      </w:r>
      <w:hyperlink r:id="rId95" w:history="1">
        <w:r w:rsidRPr="00FA4573">
          <w:rPr>
            <w:rStyle w:val="Hyperlink"/>
            <w:rFonts w:eastAsia="Malgun Gothic"/>
            <w:lang w:eastAsia="ko-KR"/>
          </w:rPr>
          <w:t>CCT/60</w:t>
        </w:r>
      </w:hyperlink>
      <w:r w:rsidRPr="00FA4573">
        <w:rPr>
          <w:rFonts w:eastAsia="Malgun Gothic"/>
          <w:lang w:eastAsia="ko-KR"/>
        </w:rPr>
        <w:t xml:space="preserve"> </w:t>
      </w:r>
      <w:r w:rsidRPr="00FA4573">
        <w:rPr>
          <w:lang w:eastAsia="zh-CN"/>
        </w:rPr>
        <w:t>(1</w:t>
      </w:r>
      <w:r w:rsidRPr="00FA4573">
        <w:rPr>
          <w:rFonts w:eastAsia="Malgun Gothic"/>
          <w:lang w:eastAsia="ko-KR"/>
        </w:rPr>
        <w:t>6</w:t>
      </w:r>
      <w:r w:rsidRPr="00FA4573">
        <w:rPr>
          <w:lang w:eastAsia="zh-CN"/>
        </w:rPr>
        <w:t xml:space="preserve"> </w:t>
      </w:r>
      <w:r w:rsidRPr="00FA4573">
        <w:rPr>
          <w:rFonts w:eastAsia="Malgun Gothic"/>
          <w:lang w:eastAsia="ko-KR"/>
        </w:rPr>
        <w:t>April</w:t>
      </w:r>
      <w:r w:rsidRPr="00FA4573">
        <w:rPr>
          <w:lang w:eastAsia="zh-CN"/>
        </w:rPr>
        <w:t xml:space="preserve"> 20</w:t>
      </w:r>
      <w:r w:rsidRPr="00FA4573">
        <w:rPr>
          <w:rFonts w:eastAsia="Malgun Gothic"/>
          <w:lang w:eastAsia="ko-KR"/>
        </w:rPr>
        <w:t>24</w:t>
      </w:r>
      <w:r w:rsidRPr="00FA4573">
        <w:rPr>
          <w:lang w:eastAsia="zh-CN"/>
        </w:rPr>
        <w:t xml:space="preserve">), </w:t>
      </w:r>
      <w:hyperlink r:id="rId96" w:history="1">
        <w:r w:rsidRPr="00FA4573">
          <w:rPr>
            <w:rStyle w:val="Hyperlink"/>
            <w:rFonts w:eastAsia="Malgun Gothic"/>
            <w:lang w:eastAsia="ko-KR"/>
          </w:rPr>
          <w:t>CCT/73</w:t>
        </w:r>
      </w:hyperlink>
      <w:r w:rsidRPr="00FA4573">
        <w:rPr>
          <w:rFonts w:eastAsia="Malgun Gothic"/>
          <w:lang w:eastAsia="ko-KR"/>
        </w:rPr>
        <w:t xml:space="preserve"> (25 June 2024), </w:t>
      </w:r>
      <w:hyperlink r:id="rId97" w:history="1">
        <w:r w:rsidRPr="00FA4573">
          <w:rPr>
            <w:rStyle w:val="Hyperlink"/>
            <w:rFonts w:eastAsia="Malgun Gothic"/>
            <w:lang w:eastAsia="ko-KR"/>
          </w:rPr>
          <w:t>CCT/87</w:t>
        </w:r>
      </w:hyperlink>
      <w:r w:rsidRPr="00FA4573">
        <w:rPr>
          <w:rFonts w:eastAsia="Malgun Gothic"/>
          <w:lang w:eastAsia="ko-KR"/>
        </w:rPr>
        <w:t xml:space="preserve"> (17 Sep. 2024), </w:t>
      </w:r>
      <w:hyperlink r:id="rId98" w:history="1">
        <w:r w:rsidRPr="00FA4573">
          <w:rPr>
            <w:rStyle w:val="Hyperlink"/>
            <w:rFonts w:eastAsia="Malgun Gothic"/>
            <w:lang w:eastAsia="ko-KR"/>
          </w:rPr>
          <w:t>CCT/97</w:t>
        </w:r>
      </w:hyperlink>
      <w:r w:rsidRPr="00FA4573">
        <w:rPr>
          <w:rFonts w:eastAsia="Malgun Gothic"/>
          <w:lang w:eastAsia="ko-KR"/>
        </w:rPr>
        <w:t xml:space="preserve"> (10 Dec. 2024), </w:t>
      </w:r>
      <w:hyperlink r:id="rId99" w:history="1">
        <w:r w:rsidRPr="00FA4573">
          <w:rPr>
            <w:rStyle w:val="Hyperlink"/>
            <w:rFonts w:eastAsia="Malgun Gothic"/>
            <w:lang w:eastAsia="ko-KR"/>
          </w:rPr>
          <w:t>CCT/110</w:t>
        </w:r>
      </w:hyperlink>
      <w:r w:rsidRPr="00FA4573">
        <w:rPr>
          <w:rFonts w:eastAsia="Malgun Gothic"/>
          <w:lang w:eastAsia="ko-KR"/>
        </w:rPr>
        <w:t xml:space="preserve"> (30 Jan. 2025)</w:t>
      </w:r>
      <w:r w:rsidRPr="00FA4573">
        <w:rPr>
          <w:rFonts w:eastAsia="Malgun Gothic" w:hint="eastAsia"/>
          <w:lang w:eastAsia="ko-KR"/>
        </w:rPr>
        <w:t xml:space="preserve">, </w:t>
      </w:r>
      <w:hyperlink r:id="rId100" w:history="1">
        <w:r w:rsidRPr="00FA4573">
          <w:rPr>
            <w:rStyle w:val="Hyperlink"/>
            <w:rFonts w:eastAsia="Malgun Gothic" w:hint="eastAsia"/>
            <w:lang w:eastAsia="ko-KR"/>
          </w:rPr>
          <w:t>CCT/137</w:t>
        </w:r>
      </w:hyperlink>
      <w:r w:rsidRPr="00FA4573">
        <w:rPr>
          <w:rFonts w:eastAsia="Malgun Gothic" w:hint="eastAsia"/>
          <w:lang w:eastAsia="ko-KR"/>
        </w:rPr>
        <w:t xml:space="preserve"> (11 Mar. 2025)</w:t>
      </w:r>
      <w:r w:rsidRPr="00FA4573">
        <w:rPr>
          <w:lang w:eastAsia="zh-CN"/>
        </w:rPr>
        <w:t>.</w:t>
      </w:r>
    </w:p>
    <w:p w14:paraId="0DA0E930" w14:textId="77777777" w:rsidR="00A63D1D" w:rsidRPr="00FA4573" w:rsidRDefault="00A63D1D" w:rsidP="00A63D1D">
      <w:pPr>
        <w:pStyle w:val="ListParagraph"/>
        <w:numPr>
          <w:ilvl w:val="0"/>
          <w:numId w:val="4"/>
        </w:numPr>
        <w:spacing w:before="60" w:after="60"/>
        <w:ind w:left="714" w:hanging="357"/>
        <w:contextualSpacing w:val="0"/>
        <w:rPr>
          <w:lang w:eastAsia="zh-CN"/>
        </w:rPr>
      </w:pPr>
      <w:r w:rsidRPr="00FA4573">
        <w:rPr>
          <w:lang w:eastAsia="zh-CN"/>
        </w:rPr>
        <w:t>Report</w:t>
      </w:r>
      <w:r w:rsidRPr="00FA4573">
        <w:rPr>
          <w:rFonts w:eastAsia="Malgun Gothic"/>
          <w:lang w:eastAsia="ko-KR"/>
        </w:rPr>
        <w:t>s</w:t>
      </w:r>
      <w:r w:rsidRPr="00FA4573">
        <w:rPr>
          <w:lang w:eastAsia="zh-CN"/>
        </w:rPr>
        <w:t xml:space="preserve"> from the Coordinator: </w:t>
      </w:r>
      <w:hyperlink r:id="rId101" w:history="1">
        <w:r w:rsidRPr="00FA4573">
          <w:rPr>
            <w:rStyle w:val="Hyperlink"/>
            <w:rFonts w:eastAsia="Malgun Gothic"/>
            <w:lang w:eastAsia="ko-KR"/>
          </w:rPr>
          <w:t>2/159</w:t>
        </w:r>
      </w:hyperlink>
      <w:r w:rsidRPr="00FA4573">
        <w:rPr>
          <w:rFonts w:eastAsia="Malgun Gothic"/>
          <w:lang w:eastAsia="ko-KR"/>
        </w:rPr>
        <w:t xml:space="preserve"> (2023), </w:t>
      </w:r>
      <w:hyperlink r:id="rId102" w:history="1">
        <w:r w:rsidRPr="00FA4573">
          <w:rPr>
            <w:rStyle w:val="Hyperlink"/>
            <w:rFonts w:eastAsia="Malgun Gothic"/>
            <w:lang w:eastAsia="ko-KR"/>
          </w:rPr>
          <w:t>2/286</w:t>
        </w:r>
      </w:hyperlink>
      <w:r w:rsidRPr="00FA4573">
        <w:rPr>
          <w:rFonts w:eastAsia="Malgun Gothic"/>
          <w:lang w:eastAsia="ko-KR"/>
        </w:rPr>
        <w:t xml:space="preserve"> (2024)</w:t>
      </w:r>
      <w:r w:rsidRPr="00FA4573">
        <w:rPr>
          <w:rFonts w:eastAsia="Malgun Gothic" w:hint="eastAsia"/>
          <w:lang w:eastAsia="ko-KR"/>
        </w:rPr>
        <w:t xml:space="preserve">, </w:t>
      </w:r>
      <w:hyperlink r:id="rId103" w:history="1">
        <w:r w:rsidRPr="00FA4573">
          <w:rPr>
            <w:rStyle w:val="Hyperlink"/>
            <w:bCs/>
            <w:lang w:val="en-US"/>
          </w:rPr>
          <w:t>2/372</w:t>
        </w:r>
      </w:hyperlink>
      <w:r w:rsidRPr="00FA4573">
        <w:rPr>
          <w:rFonts w:eastAsia="Malgun Gothic" w:hint="eastAsia"/>
          <w:lang w:eastAsia="ko-KR"/>
        </w:rPr>
        <w:t xml:space="preserve"> (2025)</w:t>
      </w:r>
      <w:r w:rsidRPr="00FA4573">
        <w:rPr>
          <w:rStyle w:val="Hyperlink"/>
          <w:bCs/>
        </w:rPr>
        <w:t>.</w:t>
      </w:r>
    </w:p>
    <w:p w14:paraId="711E9F7D" w14:textId="77777777" w:rsidR="00A63D1D" w:rsidRPr="00FA4573" w:rsidRDefault="00A63D1D" w:rsidP="00A63D1D">
      <w:pPr>
        <w:pStyle w:val="Heading2"/>
        <w:spacing w:after="120"/>
      </w:pPr>
      <w:r w:rsidRPr="00FA4573">
        <w:t>Expert Group on ICT Household Indicators (EGH) and Expert Group on Telecommunication/ICT Indicators (EGTI)</w:t>
      </w:r>
    </w:p>
    <w:p w14:paraId="3ED9826F" w14:textId="77777777" w:rsidR="00A63D1D" w:rsidRPr="00FA4573" w:rsidRDefault="00A63D1D" w:rsidP="00A63D1D">
      <w:pPr>
        <w:spacing w:after="120"/>
        <w:rPr>
          <w:rFonts w:eastAsia="Malgun Gothic"/>
          <w:lang w:eastAsia="ko-KR"/>
        </w:rPr>
      </w:pPr>
      <w:r w:rsidRPr="00FA4573">
        <w:t xml:space="preserve">In order to implement Resolution 131 (Rev. </w:t>
      </w:r>
      <w:r w:rsidRPr="00FA4573">
        <w:rPr>
          <w:rFonts w:eastAsia="Malgun Gothic"/>
          <w:lang w:eastAsia="ko-KR"/>
        </w:rPr>
        <w:t>Bucharest</w:t>
      </w:r>
      <w:r w:rsidRPr="00FA4573">
        <w:t xml:space="preserve">, 2018) </w:t>
      </w:r>
      <w:r w:rsidRPr="00FA4573">
        <w:rPr>
          <w:rFonts w:eastAsia="Malgun Gothic"/>
          <w:lang w:eastAsia="ko-KR"/>
        </w:rPr>
        <w:t xml:space="preserve">of the </w:t>
      </w:r>
      <w:r w:rsidRPr="00FA4573">
        <w:t>Plenipotentiary Conference</w:t>
      </w:r>
      <w:r w:rsidRPr="00FA4573">
        <w:rPr>
          <w:rFonts w:eastAsia="Malgun Gothic"/>
          <w:lang w:eastAsia="ko-KR"/>
        </w:rPr>
        <w:t xml:space="preserve"> (PP) </w:t>
      </w:r>
      <w:r w:rsidRPr="00FA4573">
        <w:t>on Measuring information and communication technologies to build an integrating and inclusive information society</w:t>
      </w:r>
      <w:r w:rsidRPr="00FA4573">
        <w:rPr>
          <w:rFonts w:eastAsia="Malgun Gothic"/>
          <w:lang w:eastAsia="ko-KR"/>
        </w:rPr>
        <w:t>,</w:t>
      </w:r>
      <w:r w:rsidRPr="00FA4573">
        <w:t xml:space="preserve"> and WTDC Resolution 8 (Rev. </w:t>
      </w:r>
      <w:r w:rsidRPr="00FA4573">
        <w:rPr>
          <w:rFonts w:eastAsia="Malgun Gothic"/>
          <w:lang w:eastAsia="ko-KR"/>
        </w:rPr>
        <w:t>Kigali</w:t>
      </w:r>
      <w:r w:rsidRPr="00FA4573">
        <w:t>, 20</w:t>
      </w:r>
      <w:r w:rsidRPr="00FA4573">
        <w:rPr>
          <w:rFonts w:eastAsia="Malgun Gothic"/>
          <w:lang w:eastAsia="ko-KR"/>
        </w:rPr>
        <w:t>22</w:t>
      </w:r>
      <w:r w:rsidRPr="00FA4573">
        <w:t xml:space="preserve">) on “Collection and dissemination of information and statistics”, </w:t>
      </w:r>
      <w:r w:rsidRPr="00FA4573">
        <w:rPr>
          <w:rFonts w:eastAsia="Malgun Gothic"/>
          <w:lang w:eastAsia="ko-KR"/>
        </w:rPr>
        <w:t xml:space="preserve">SG2 assigned Vice-Chair </w:t>
      </w:r>
      <w:r w:rsidRPr="00FA4573">
        <w:t>Ms Mina Seonmin J</w:t>
      </w:r>
      <w:r w:rsidRPr="00FA4573">
        <w:rPr>
          <w:rFonts w:eastAsia="Malgun Gothic"/>
          <w:lang w:eastAsia="ko-KR"/>
        </w:rPr>
        <w:t>un</w:t>
      </w:r>
      <w:r w:rsidRPr="00FA4573">
        <w:t xml:space="preserve"> (Rep. of Korea)</w:t>
      </w:r>
      <w:r w:rsidRPr="00FA4573">
        <w:rPr>
          <w:rFonts w:eastAsia="Malgun Gothic"/>
          <w:lang w:eastAsia="ko-KR"/>
        </w:rPr>
        <w:t xml:space="preserve"> as Coordinator to explore possible synergies with ITU-D statistics activities in ITU-D, namely </w:t>
      </w:r>
      <w:r w:rsidRPr="00FA4573">
        <w:rPr>
          <w:bCs/>
        </w:rPr>
        <w:t xml:space="preserve">the Expert Group on ICT Household Indicators (EGH) </w:t>
      </w:r>
      <w:r w:rsidRPr="00FA4573">
        <w:t>and t</w:t>
      </w:r>
      <w:r w:rsidRPr="00FA4573">
        <w:rPr>
          <w:bCs/>
        </w:rPr>
        <w:t>he Expert Group on Telecommunication/ICT Indicators (EGTI)</w:t>
      </w:r>
      <w:r w:rsidRPr="00FA4573">
        <w:rPr>
          <w:rFonts w:eastAsia="Malgun Gothic"/>
          <w:bCs/>
          <w:lang w:eastAsia="ko-KR"/>
        </w:rPr>
        <w:t>.</w:t>
      </w:r>
    </w:p>
    <w:p w14:paraId="396DB843" w14:textId="77777777" w:rsidR="00A63D1D" w:rsidRPr="00FA4573" w:rsidRDefault="00A63D1D" w:rsidP="00A63D1D">
      <w:pPr>
        <w:spacing w:after="120"/>
        <w:rPr>
          <w:rFonts w:eastAsia="Malgun Gothic"/>
          <w:lang w:eastAsia="ko-KR"/>
        </w:rPr>
      </w:pPr>
      <w:r w:rsidRPr="00FA4573">
        <w:rPr>
          <w:rFonts w:eastAsia="Malgun Gothic"/>
          <w:lang w:eastAsia="ko-KR"/>
        </w:rPr>
        <w:t>SG2 received regular updates</w:t>
      </w:r>
      <w:r w:rsidRPr="00FA4573">
        <w:t xml:space="preserve"> </w:t>
      </w:r>
      <w:r w:rsidRPr="00FA4573">
        <w:rPr>
          <w:rFonts w:eastAsia="Malgun Gothic"/>
          <w:lang w:eastAsia="ko-KR"/>
        </w:rPr>
        <w:t>from the Coordinator on related activities and progress. It noted several topics of</w:t>
      </w:r>
      <w:r w:rsidRPr="00FA4573">
        <w:t xml:space="preserve"> interest to </w:t>
      </w:r>
      <w:r w:rsidRPr="00FA4573">
        <w:rPr>
          <w:rFonts w:eastAsia="Malgun Gothic"/>
          <w:lang w:eastAsia="ko-KR"/>
        </w:rPr>
        <w:t>its study</w:t>
      </w:r>
      <w:r w:rsidRPr="00FA4573">
        <w:t xml:space="preserve"> Questions, such as </w:t>
      </w:r>
      <w:r w:rsidRPr="00FA4573">
        <w:rPr>
          <w:rFonts w:eastAsia="Malgun Gothic"/>
          <w:lang w:eastAsia="ko-KR"/>
        </w:rPr>
        <w:t>measurement of ICT skills, OTT and e</w:t>
      </w:r>
      <w:r w:rsidRPr="00FA4573">
        <w:rPr>
          <w:rFonts w:eastAsia="Malgun Gothic"/>
          <w:lang w:eastAsia="ko-KR"/>
        </w:rPr>
        <w:noBreakHyphen/>
        <w:t>waste, as well as the creation of a new subgroup</w:t>
      </w:r>
      <w:r w:rsidRPr="00FA4573">
        <w:t xml:space="preserve"> on measuring the use of AI through household surveys</w:t>
      </w:r>
      <w:r w:rsidRPr="00FA4573">
        <w:rPr>
          <w:rFonts w:eastAsia="Malgun Gothic"/>
          <w:lang w:eastAsia="ko-KR"/>
        </w:rPr>
        <w:t>. SG2 received also regular complementary updates from BDT on its ongoing project and publications for further consideration and incorporation in the current studies as appropriate.</w:t>
      </w:r>
    </w:p>
    <w:p w14:paraId="4142B74F" w14:textId="77777777" w:rsidR="00A63D1D" w:rsidRPr="00FA4573" w:rsidRDefault="00A63D1D" w:rsidP="00A63D1D">
      <w:pPr>
        <w:spacing w:after="120"/>
      </w:pPr>
      <w:r w:rsidRPr="00FA4573">
        <w:lastRenderedPageBreak/>
        <w:t xml:space="preserve">Documents for more information: </w:t>
      </w:r>
    </w:p>
    <w:p w14:paraId="377F2ACA" w14:textId="77777777" w:rsidR="00A63D1D" w:rsidRPr="00FA4573" w:rsidRDefault="00A63D1D" w:rsidP="00A63D1D">
      <w:pPr>
        <w:pStyle w:val="ListParagraph"/>
        <w:numPr>
          <w:ilvl w:val="0"/>
          <w:numId w:val="4"/>
        </w:numPr>
        <w:spacing w:before="60" w:after="60"/>
        <w:ind w:left="714" w:hanging="357"/>
        <w:contextualSpacing w:val="0"/>
      </w:pPr>
      <w:r w:rsidRPr="00FA4573">
        <w:t>Report</w:t>
      </w:r>
      <w:r w:rsidRPr="00FA4573">
        <w:rPr>
          <w:rFonts w:eastAsia="Malgun Gothic"/>
          <w:lang w:eastAsia="ko-KR"/>
        </w:rPr>
        <w:t>s</w:t>
      </w:r>
      <w:r w:rsidRPr="00FA4573">
        <w:t xml:space="preserve"> from </w:t>
      </w:r>
      <w:r w:rsidRPr="00FA4573">
        <w:rPr>
          <w:rFonts w:eastAsia="Malgun Gothic"/>
          <w:lang w:eastAsia="ko-KR"/>
        </w:rPr>
        <w:t>the C</w:t>
      </w:r>
      <w:r w:rsidRPr="00FA4573">
        <w:t xml:space="preserve">oordinator: </w:t>
      </w:r>
      <w:hyperlink r:id="rId104" w:history="1">
        <w:r w:rsidRPr="00FA4573">
          <w:rPr>
            <w:rStyle w:val="Hyperlink"/>
            <w:rFonts w:eastAsia="Malgun Gothic"/>
            <w:lang w:eastAsia="ko-KR"/>
          </w:rPr>
          <w:t>2/174</w:t>
        </w:r>
      </w:hyperlink>
      <w:r w:rsidRPr="00FA4573">
        <w:rPr>
          <w:rFonts w:eastAsia="Malgun Gothic"/>
          <w:lang w:eastAsia="ko-KR"/>
        </w:rPr>
        <w:t xml:space="preserve"> (2023), </w:t>
      </w:r>
      <w:hyperlink r:id="rId105" w:history="1">
        <w:r w:rsidRPr="00FA4573">
          <w:rPr>
            <w:rStyle w:val="Hyperlink"/>
            <w:rFonts w:eastAsia="Malgun Gothic"/>
            <w:lang w:eastAsia="ko-KR"/>
          </w:rPr>
          <w:t>2/323</w:t>
        </w:r>
      </w:hyperlink>
      <w:r w:rsidRPr="00FA4573">
        <w:rPr>
          <w:rFonts w:eastAsia="Malgun Gothic"/>
          <w:lang w:eastAsia="ko-KR"/>
        </w:rPr>
        <w:t xml:space="preserve"> (2024).</w:t>
      </w:r>
    </w:p>
    <w:p w14:paraId="2499601A" w14:textId="77777777" w:rsidR="00A63D1D" w:rsidRPr="00FA4573" w:rsidRDefault="00A63D1D" w:rsidP="00A63D1D">
      <w:pPr>
        <w:pStyle w:val="ListParagraph"/>
        <w:numPr>
          <w:ilvl w:val="0"/>
          <w:numId w:val="4"/>
        </w:numPr>
        <w:spacing w:before="60" w:after="60"/>
        <w:ind w:left="714" w:hanging="357"/>
        <w:contextualSpacing w:val="0"/>
      </w:pPr>
      <w:r w:rsidRPr="00FA4573">
        <w:rPr>
          <w:rFonts w:eastAsia="Malgun Gothic"/>
          <w:lang w:eastAsia="ko-KR"/>
        </w:rPr>
        <w:t xml:space="preserve">Contributions from BDT: </w:t>
      </w:r>
      <w:hyperlink r:id="rId106" w:history="1">
        <w:r w:rsidRPr="00FA4573">
          <w:rPr>
            <w:rStyle w:val="Hyperlink"/>
            <w:rFonts w:eastAsia="Malgun Gothic"/>
            <w:lang w:eastAsia="ko-KR"/>
          </w:rPr>
          <w:t>2/57</w:t>
        </w:r>
      </w:hyperlink>
      <w:r w:rsidRPr="00FA4573">
        <w:rPr>
          <w:rFonts w:eastAsia="Malgun Gothic"/>
          <w:lang w:eastAsia="ko-KR"/>
        </w:rPr>
        <w:t xml:space="preserve"> (2022), </w:t>
      </w:r>
      <w:hyperlink r:id="rId107" w:history="1">
        <w:r w:rsidRPr="00FA4573">
          <w:rPr>
            <w:rStyle w:val="Hyperlink"/>
            <w:rFonts w:eastAsia="Malgun Gothic"/>
            <w:lang w:eastAsia="ko-KR"/>
          </w:rPr>
          <w:t>2/168</w:t>
        </w:r>
      </w:hyperlink>
      <w:r w:rsidRPr="00FA4573">
        <w:rPr>
          <w:rFonts w:eastAsia="Malgun Gothic"/>
          <w:lang w:eastAsia="ko-KR"/>
        </w:rPr>
        <w:t xml:space="preserve"> (2023), </w:t>
      </w:r>
      <w:hyperlink r:id="rId108" w:history="1">
        <w:r w:rsidRPr="00FA4573">
          <w:rPr>
            <w:rStyle w:val="Hyperlink"/>
            <w:rFonts w:eastAsia="Malgun Gothic"/>
            <w:lang w:eastAsia="ko-KR"/>
          </w:rPr>
          <w:t>2/292</w:t>
        </w:r>
      </w:hyperlink>
      <w:r w:rsidRPr="00FA4573">
        <w:rPr>
          <w:rFonts w:eastAsia="Malgun Gothic"/>
          <w:lang w:eastAsia="ko-KR"/>
        </w:rPr>
        <w:t xml:space="preserve"> (2024). </w:t>
      </w:r>
    </w:p>
    <w:p w14:paraId="2B087B52" w14:textId="77777777" w:rsidR="00A63D1D" w:rsidRPr="00FA4573" w:rsidRDefault="00A63D1D" w:rsidP="00A63D1D">
      <w:pPr>
        <w:pStyle w:val="Heading2"/>
        <w:spacing w:after="120"/>
      </w:pPr>
      <w:r w:rsidRPr="00FA4573">
        <w:t>Synergies with BDT projects</w:t>
      </w:r>
    </w:p>
    <w:p w14:paraId="7F6FC344" w14:textId="77777777" w:rsidR="00A63D1D" w:rsidRPr="00FA4573" w:rsidRDefault="00A63D1D" w:rsidP="00A63D1D">
      <w:pPr>
        <w:spacing w:after="120"/>
        <w:rPr>
          <w:rFonts w:eastAsia="Malgun Gothic"/>
          <w:lang w:eastAsia="ko-KR"/>
        </w:rPr>
      </w:pPr>
      <w:r w:rsidRPr="00FA4573">
        <w:t xml:space="preserve">With the aim to strengthen synergies between the study groups and BDT initiatives, </w:t>
      </w:r>
      <w:r w:rsidRPr="00FA4573">
        <w:rPr>
          <w:rFonts w:eastAsia="Malgun Gothic"/>
          <w:lang w:eastAsia="ko-KR"/>
        </w:rPr>
        <w:t xml:space="preserve">SG2 assigned Vice-Chairs Ms Zainab Ardo (Nigeria) and Mr Mushfig Guluyev (Azerbaijan) as Coordinators on </w:t>
      </w:r>
      <w:r w:rsidRPr="00FA4573">
        <w:t>Synergies of study Questions with ITU actions</w:t>
      </w:r>
      <w:r w:rsidRPr="00FA4573">
        <w:rPr>
          <w:rFonts w:eastAsia="Malgun Gothic"/>
          <w:lang w:eastAsia="ko-KR"/>
        </w:rPr>
        <w:t>, such as BDT projects.</w:t>
      </w:r>
    </w:p>
    <w:p w14:paraId="7DA2F6AB" w14:textId="77777777" w:rsidR="00A63D1D" w:rsidRPr="00FA4573" w:rsidRDefault="00A63D1D" w:rsidP="00A63D1D">
      <w:pPr>
        <w:spacing w:after="120"/>
        <w:rPr>
          <w:rFonts w:eastAsia="Malgun Gothic"/>
          <w:lang w:eastAsia="ko-KR"/>
        </w:rPr>
      </w:pPr>
      <w:r w:rsidRPr="00FA4573">
        <w:rPr>
          <w:rFonts w:eastAsia="Malgun Gothic"/>
          <w:lang w:eastAsia="ko-KR"/>
        </w:rPr>
        <w:t>To facilitate such synergies, the following activities were held:</w:t>
      </w:r>
    </w:p>
    <w:p w14:paraId="6FDDFEC5" w14:textId="77777777" w:rsidR="00A63D1D" w:rsidRPr="00FA4573" w:rsidRDefault="00A63D1D" w:rsidP="00A63D1D">
      <w:pPr>
        <w:pStyle w:val="ListParagraph"/>
        <w:numPr>
          <w:ilvl w:val="0"/>
          <w:numId w:val="13"/>
        </w:numPr>
        <w:spacing w:before="60" w:after="60"/>
        <w:ind w:left="714" w:hanging="357"/>
        <w:contextualSpacing w:val="0"/>
      </w:pPr>
      <w:r w:rsidRPr="00FA4573">
        <w:rPr>
          <w:rFonts w:eastAsia="Malgun Gothic"/>
          <w:lang w:eastAsia="ko-KR"/>
        </w:rPr>
        <w:t>SG2 received regular updates from BDT on its ongoing projects and the introduction of a project dashboard. The contributions presented also a mapping of these projects with the current study Questions, which facilitated the identification of relevant projects for inclusion in current studies.</w:t>
      </w:r>
    </w:p>
    <w:p w14:paraId="3283C720" w14:textId="77777777" w:rsidR="00A63D1D" w:rsidRPr="00FA4573" w:rsidRDefault="00A63D1D" w:rsidP="00A63D1D">
      <w:pPr>
        <w:pStyle w:val="ListParagraph"/>
        <w:numPr>
          <w:ilvl w:val="0"/>
          <w:numId w:val="13"/>
        </w:numPr>
        <w:spacing w:before="60" w:after="60"/>
        <w:ind w:left="714" w:hanging="357"/>
        <w:contextualSpacing w:val="0"/>
      </w:pPr>
      <w:r w:rsidRPr="00FA4573">
        <w:rPr>
          <w:rFonts w:eastAsia="Malgun Gothic"/>
          <w:lang w:eastAsia="ko-KR"/>
        </w:rPr>
        <w:t>SG2 organized an “Information session on BDT projects for digital transformation”, chaired by the two SG2 Coordinators, and which presented some selected ITU projects related to digital transformation and their impacts in the field in more detail.</w:t>
      </w:r>
    </w:p>
    <w:p w14:paraId="047ADE56" w14:textId="77777777" w:rsidR="00A63D1D" w:rsidRPr="00FA4573" w:rsidRDefault="00A63D1D" w:rsidP="00A63D1D">
      <w:pPr>
        <w:spacing w:after="120"/>
      </w:pPr>
      <w:r w:rsidRPr="00FA4573">
        <w:rPr>
          <w:rFonts w:eastAsia="Malgun Gothic"/>
          <w:lang w:eastAsia="ko-KR"/>
        </w:rPr>
        <w:t>These initiatives were widely appreciated by the membership, and rapporteur group m</w:t>
      </w:r>
      <w:r w:rsidRPr="00FA4573">
        <w:t>anagement teams</w:t>
      </w:r>
      <w:r w:rsidRPr="00FA4573">
        <w:rPr>
          <w:rFonts w:eastAsia="Malgun Gothic"/>
          <w:lang w:eastAsia="ko-KR"/>
        </w:rPr>
        <w:t xml:space="preserve"> took these projects and their linkages to study Questions into account for inclusion in their studies.</w:t>
      </w:r>
    </w:p>
    <w:p w14:paraId="78B03632" w14:textId="77777777" w:rsidR="00A63D1D" w:rsidRPr="00FA4573" w:rsidRDefault="00A63D1D" w:rsidP="00A63D1D">
      <w:pPr>
        <w:spacing w:after="120"/>
      </w:pPr>
      <w:r w:rsidRPr="00FA4573">
        <w:t>Documents for more information:</w:t>
      </w:r>
    </w:p>
    <w:p w14:paraId="1B1C1BC5" w14:textId="77777777" w:rsidR="00A63D1D" w:rsidRPr="00FA4573" w:rsidRDefault="00A63D1D" w:rsidP="00A63D1D">
      <w:pPr>
        <w:pStyle w:val="ListParagraph"/>
        <w:numPr>
          <w:ilvl w:val="0"/>
          <w:numId w:val="4"/>
        </w:numPr>
        <w:spacing w:before="60" w:after="60"/>
        <w:ind w:left="714" w:hanging="357"/>
        <w:contextualSpacing w:val="0"/>
      </w:pPr>
      <w:r w:rsidRPr="00FA4573">
        <w:rPr>
          <w:rFonts w:eastAsia="Malgun Gothic"/>
          <w:lang w:eastAsia="ko-KR"/>
        </w:rPr>
        <w:t xml:space="preserve">Contributions from BDT: </w:t>
      </w:r>
      <w:hyperlink r:id="rId109" w:history="1">
        <w:r w:rsidRPr="00FA4573">
          <w:rPr>
            <w:rStyle w:val="Hyperlink"/>
            <w:rFonts w:eastAsia="Malgun Gothic"/>
            <w:lang w:eastAsia="ko-KR"/>
          </w:rPr>
          <w:t>2/61</w:t>
        </w:r>
      </w:hyperlink>
      <w:r w:rsidRPr="00FA4573">
        <w:rPr>
          <w:rFonts w:eastAsia="Malgun Gothic"/>
          <w:lang w:eastAsia="ko-KR"/>
        </w:rPr>
        <w:t xml:space="preserve"> (2022), </w:t>
      </w:r>
      <w:hyperlink r:id="rId110" w:history="1">
        <w:r w:rsidRPr="00FA4573">
          <w:rPr>
            <w:rStyle w:val="Hyperlink"/>
            <w:rFonts w:eastAsia="Malgun Gothic"/>
            <w:lang w:eastAsia="ko-KR"/>
          </w:rPr>
          <w:t>2/170</w:t>
        </w:r>
      </w:hyperlink>
      <w:r w:rsidRPr="00FA4573">
        <w:rPr>
          <w:rFonts w:eastAsia="Malgun Gothic"/>
          <w:lang w:eastAsia="ko-KR"/>
        </w:rPr>
        <w:t xml:space="preserve"> (2023), </w:t>
      </w:r>
      <w:hyperlink r:id="rId111" w:history="1">
        <w:r w:rsidRPr="00FA4573">
          <w:rPr>
            <w:rStyle w:val="Hyperlink"/>
            <w:rFonts w:eastAsia="Malgun Gothic"/>
            <w:lang w:eastAsia="ko-KR"/>
          </w:rPr>
          <w:t>2/305</w:t>
        </w:r>
      </w:hyperlink>
      <w:r w:rsidRPr="00FA4573">
        <w:rPr>
          <w:rFonts w:eastAsia="Malgun Gothic"/>
          <w:lang w:eastAsia="ko-KR"/>
        </w:rPr>
        <w:t xml:space="preserve"> (2024)</w:t>
      </w:r>
    </w:p>
    <w:p w14:paraId="206214EF" w14:textId="77777777" w:rsidR="00A63D1D" w:rsidRPr="00FA4573" w:rsidRDefault="00A63D1D" w:rsidP="00A63D1D">
      <w:pPr>
        <w:pStyle w:val="ListParagraph"/>
        <w:numPr>
          <w:ilvl w:val="0"/>
          <w:numId w:val="4"/>
        </w:numPr>
        <w:spacing w:before="60" w:after="60"/>
        <w:ind w:left="714" w:hanging="357"/>
        <w:contextualSpacing w:val="0"/>
        <w:rPr>
          <w:rStyle w:val="Hyperlink"/>
        </w:rPr>
      </w:pPr>
      <w:r w:rsidRPr="00FA4573">
        <w:rPr>
          <w:rFonts w:eastAsia="Malgun Gothic"/>
          <w:lang w:eastAsia="ko-KR"/>
        </w:rPr>
        <w:t>Information session on BDT projects for digital transformation:</w:t>
      </w:r>
      <w:r w:rsidRPr="00FA4573">
        <w:t xml:space="preserve"> </w:t>
      </w:r>
      <w:hyperlink r:id="rId112" w:history="1">
        <w:r w:rsidRPr="00FA4573">
          <w:rPr>
            <w:rStyle w:val="Hyperlink"/>
            <w:rFonts w:eastAsia="Malgun Gothic" w:cs="Calibri"/>
            <w:bCs/>
            <w:lang w:eastAsia="ko-KR"/>
          </w:rPr>
          <w:t>programme</w:t>
        </w:r>
      </w:hyperlink>
      <w:r w:rsidRPr="00FA4573">
        <w:rPr>
          <w:rFonts w:eastAsia="Malgun Gothic" w:cs="Calibri"/>
          <w:bCs/>
          <w:lang w:eastAsia="ko-KR"/>
        </w:rPr>
        <w:t xml:space="preserve">, </w:t>
      </w:r>
      <w:hyperlink r:id="rId113" w:history="1">
        <w:r w:rsidRPr="00FA4573">
          <w:rPr>
            <w:rStyle w:val="Hyperlink"/>
            <w:rFonts w:eastAsia="Malgun Gothic" w:cs="Calibri"/>
            <w:bCs/>
            <w:lang w:eastAsia="ko-KR"/>
          </w:rPr>
          <w:t>report</w:t>
        </w:r>
      </w:hyperlink>
      <w:r w:rsidRPr="00FA4573">
        <w:rPr>
          <w:rFonts w:eastAsia="Malgun Gothic" w:cs="Calibri"/>
          <w:bCs/>
          <w:lang w:eastAsia="ko-KR"/>
        </w:rPr>
        <w:t xml:space="preserve"> (Annex 6).</w:t>
      </w:r>
    </w:p>
    <w:p w14:paraId="6DC9C96C" w14:textId="77777777" w:rsidR="00A63D1D" w:rsidRPr="00FA4573" w:rsidRDefault="00A63D1D" w:rsidP="00A63D1D">
      <w:pPr>
        <w:pStyle w:val="Heading2"/>
        <w:spacing w:after="120"/>
        <w:rPr>
          <w:rFonts w:eastAsia="Malgun Gothic"/>
          <w:lang w:eastAsia="ko-KR"/>
        </w:rPr>
      </w:pPr>
      <w:r w:rsidRPr="00FA4573">
        <w:rPr>
          <w:rFonts w:eastAsia="Malgun Gothic"/>
          <w:lang w:eastAsia="ko-KR"/>
        </w:rPr>
        <w:t>Engagement of youth and women in the work of ITU-D study groups</w:t>
      </w:r>
    </w:p>
    <w:p w14:paraId="714121B4" w14:textId="77777777" w:rsidR="00A63D1D" w:rsidRPr="00FA4573" w:rsidRDefault="00A63D1D" w:rsidP="00A63D1D">
      <w:pPr>
        <w:spacing w:after="120"/>
        <w:rPr>
          <w:rFonts w:eastAsia="Malgun Gothic"/>
          <w:bCs/>
          <w:lang w:eastAsia="ko-KR"/>
        </w:rPr>
      </w:pPr>
      <w:r w:rsidRPr="00FA4573">
        <w:rPr>
          <w:rFonts w:eastAsia="Malgun Gothic"/>
          <w:bCs/>
          <w:lang w:eastAsia="ko-KR"/>
        </w:rPr>
        <w:t xml:space="preserve">In line with WTDC Resolutions 55 and 76 (Rev. Kigali, 2022), and with the aim to organize inclusive and gender-responsive study group meetings, the membership was regularly invited to support and encourage the participation of women and young people in their delegation. </w:t>
      </w:r>
    </w:p>
    <w:p w14:paraId="6AB6DEC3" w14:textId="77777777" w:rsidR="00A63D1D" w:rsidRPr="00FA4573" w:rsidRDefault="00A63D1D" w:rsidP="00A63D1D">
      <w:pPr>
        <w:spacing w:after="120"/>
        <w:rPr>
          <w:rFonts w:eastAsia="Malgun Gothic"/>
          <w:bCs/>
          <w:lang w:eastAsia="ko-KR"/>
        </w:rPr>
      </w:pPr>
      <w:r w:rsidRPr="00FA4573">
        <w:rPr>
          <w:rFonts w:eastAsia="Malgun Gothic"/>
          <w:bCs/>
          <w:lang w:eastAsia="ko-KR"/>
        </w:rPr>
        <w:t>To facilitate their engagement, SG2 assigned Vice-Chair Ms Alina Modan (Romania), succeeded by Vice-Chair Ms Madaline Clapon (Romania) from 2023, as Coordinator. The following actions were namely performed:</w:t>
      </w:r>
    </w:p>
    <w:p w14:paraId="048CE018" w14:textId="77777777" w:rsidR="00A63D1D" w:rsidRPr="00FA4573" w:rsidRDefault="00A63D1D" w:rsidP="00A63D1D">
      <w:pPr>
        <w:pStyle w:val="ListParagraph"/>
        <w:numPr>
          <w:ilvl w:val="0"/>
          <w:numId w:val="8"/>
        </w:numPr>
        <w:spacing w:before="60" w:after="60"/>
        <w:ind w:left="714" w:hanging="357"/>
        <w:contextualSpacing w:val="0"/>
      </w:pPr>
      <w:r w:rsidRPr="00FA4573">
        <w:rPr>
          <w:rFonts w:eastAsia="Malgun Gothic"/>
          <w:lang w:eastAsia="ko-KR"/>
        </w:rPr>
        <w:t xml:space="preserve">During the first annual meeting of SG2 (2022), several Generation Connect Youth Envoys participated as part of the delegations of their respective countries in the meeting to follow discussions and ongoing issues. They also organized a side-event (intergenerational dialogue) during the meeting week and were provided the opportunity </w:t>
      </w:r>
      <w:r w:rsidRPr="00FA4573">
        <w:t>to share their overall impression, along with a few ideas for consideration by the rapporteur groups.</w:t>
      </w:r>
    </w:p>
    <w:p w14:paraId="2B7DB8DC" w14:textId="77777777" w:rsidR="00A63D1D" w:rsidRPr="00FA4573" w:rsidRDefault="00A63D1D" w:rsidP="00A63D1D">
      <w:pPr>
        <w:pStyle w:val="ListParagraph"/>
        <w:numPr>
          <w:ilvl w:val="0"/>
          <w:numId w:val="8"/>
        </w:numPr>
        <w:spacing w:before="60" w:after="60"/>
        <w:ind w:left="714" w:hanging="357"/>
        <w:contextualSpacing w:val="0"/>
      </w:pPr>
      <w:r w:rsidRPr="00FA4573">
        <w:rPr>
          <w:rFonts w:eastAsia="Malgun Gothic" w:cs="Calibri"/>
          <w:bCs/>
          <w:lang w:eastAsia="ko-KR"/>
        </w:rPr>
        <w:t xml:space="preserve">An informal discussion </w:t>
      </w:r>
      <w:r w:rsidRPr="00FA4573">
        <w:rPr>
          <w:bCs/>
        </w:rPr>
        <w:t xml:space="preserve">on youth engagement </w:t>
      </w:r>
      <w:r w:rsidRPr="00FA4573">
        <w:rPr>
          <w:rFonts w:eastAsia="Malgun Gothic"/>
          <w:bCs/>
          <w:lang w:eastAsia="ko-KR"/>
        </w:rPr>
        <w:t>was organized during the second annual meeting of SG2 (2023)</w:t>
      </w:r>
      <w:r w:rsidRPr="00FA4573">
        <w:rPr>
          <w:bCs/>
        </w:rPr>
        <w:t xml:space="preserve"> between some youth members and the SG2 management teams, </w:t>
      </w:r>
      <w:r w:rsidRPr="00FA4573">
        <w:rPr>
          <w:rFonts w:eastAsia="Malgun Gothic"/>
          <w:bCs/>
          <w:lang w:eastAsia="ko-KR"/>
        </w:rPr>
        <w:t xml:space="preserve">and led by the Coordinator, </w:t>
      </w:r>
      <w:r w:rsidRPr="00FA4573">
        <w:rPr>
          <w:bCs/>
        </w:rPr>
        <w:t>in order to explore how young participants could become more involved in the work of study groups</w:t>
      </w:r>
      <w:r w:rsidRPr="00FA4573">
        <w:rPr>
          <w:rFonts w:eastAsia="Malgun Gothic"/>
          <w:bCs/>
          <w:lang w:eastAsia="ko-KR"/>
        </w:rPr>
        <w:t xml:space="preserve">, </w:t>
      </w:r>
      <w:r w:rsidRPr="00FA4573">
        <w:rPr>
          <w:bCs/>
        </w:rPr>
        <w:t>while respecting the existing rules and procedures. Several practical ideas were discussed, which the management teams considered for further exploration.</w:t>
      </w:r>
    </w:p>
    <w:p w14:paraId="112995FC" w14:textId="77777777" w:rsidR="00A63D1D" w:rsidRPr="00FA4573" w:rsidRDefault="00A63D1D" w:rsidP="00A63D1D">
      <w:pPr>
        <w:pStyle w:val="ListParagraph"/>
        <w:numPr>
          <w:ilvl w:val="0"/>
          <w:numId w:val="8"/>
        </w:numPr>
        <w:spacing w:before="60" w:after="60"/>
        <w:ind w:left="714" w:hanging="357"/>
        <w:contextualSpacing w:val="0"/>
      </w:pPr>
      <w:r w:rsidRPr="00FA4573">
        <w:rPr>
          <w:rFonts w:eastAsia="Malgun Gothic"/>
          <w:bCs/>
          <w:lang w:eastAsia="ko-KR"/>
        </w:rPr>
        <w:lastRenderedPageBreak/>
        <w:t xml:space="preserve">As a follow-up to this informal discussion, the Coordinator worked with the BDT Digital Inclusion Division and interested rapporteur group management teams to engage three young people either as moderator or speaker during the workshops organized in conjunction with the rapporteur group meetings in April-May 2024. </w:t>
      </w:r>
    </w:p>
    <w:p w14:paraId="036B91A8" w14:textId="77777777" w:rsidR="00A63D1D" w:rsidRPr="00FA4573" w:rsidRDefault="00A63D1D" w:rsidP="00A63D1D">
      <w:pPr>
        <w:pStyle w:val="ListParagraph"/>
        <w:numPr>
          <w:ilvl w:val="0"/>
          <w:numId w:val="8"/>
        </w:numPr>
        <w:spacing w:before="60" w:after="60"/>
        <w:ind w:left="714" w:hanging="357"/>
        <w:contextualSpacing w:val="0"/>
      </w:pPr>
      <w:r w:rsidRPr="00FA4573">
        <w:rPr>
          <w:rFonts w:eastAsia="Malgun Gothic"/>
          <w:lang w:eastAsia="ko-KR"/>
        </w:rPr>
        <w:t>BDT and the membership submitted regularly contributions with actions and proposals to promote the engagement of youth and women, and which received support from the meeting participants.</w:t>
      </w:r>
    </w:p>
    <w:p w14:paraId="50BF9AD8" w14:textId="77777777" w:rsidR="00A63D1D" w:rsidRPr="00FA4573" w:rsidRDefault="00A63D1D" w:rsidP="00A63D1D">
      <w:pPr>
        <w:spacing w:after="120"/>
        <w:rPr>
          <w:rFonts w:eastAsia="Malgun Gothic"/>
          <w:bCs/>
          <w:lang w:eastAsia="ko-KR"/>
        </w:rPr>
      </w:pPr>
      <w:r w:rsidRPr="00FA4573">
        <w:rPr>
          <w:rFonts w:eastAsia="Malgun Gothic"/>
          <w:bCs/>
          <w:lang w:eastAsia="ko-KR"/>
        </w:rPr>
        <w:t>Each of these engagements above provided fresh perspectives that contributed to the work of study Questions.</w:t>
      </w:r>
    </w:p>
    <w:p w14:paraId="61A42EE0" w14:textId="77777777" w:rsidR="00A63D1D" w:rsidRPr="00FA4573" w:rsidRDefault="00A63D1D" w:rsidP="00A63D1D">
      <w:pPr>
        <w:spacing w:after="120"/>
      </w:pPr>
      <w:r w:rsidRPr="00FA4573">
        <w:t>Documents for more information:</w:t>
      </w:r>
    </w:p>
    <w:p w14:paraId="72A7427B" w14:textId="77777777" w:rsidR="00A63D1D" w:rsidRPr="00FA4573" w:rsidRDefault="00A63D1D" w:rsidP="00A63D1D">
      <w:pPr>
        <w:pStyle w:val="ListParagraph"/>
        <w:numPr>
          <w:ilvl w:val="0"/>
          <w:numId w:val="4"/>
        </w:numPr>
        <w:spacing w:before="60" w:after="60"/>
        <w:ind w:left="714" w:hanging="357"/>
        <w:contextualSpacing w:val="0"/>
      </w:pPr>
      <w:r w:rsidRPr="00FA4573">
        <w:rPr>
          <w:rFonts w:eastAsia="Malgun Gothic"/>
          <w:lang w:eastAsia="ko-KR"/>
        </w:rPr>
        <w:t xml:space="preserve">Report from the Coordinator: </w:t>
      </w:r>
      <w:hyperlink r:id="rId114" w:history="1">
        <w:r w:rsidRPr="00FA4573">
          <w:rPr>
            <w:rStyle w:val="Hyperlink"/>
            <w:rFonts w:eastAsia="Malgun Gothic"/>
            <w:lang w:eastAsia="ko-KR"/>
          </w:rPr>
          <w:t>2/288</w:t>
        </w:r>
      </w:hyperlink>
    </w:p>
    <w:p w14:paraId="15AE533C" w14:textId="77777777" w:rsidR="00A63D1D" w:rsidRPr="00FA4573" w:rsidRDefault="00A63D1D" w:rsidP="00A63D1D">
      <w:pPr>
        <w:pStyle w:val="ListParagraph"/>
        <w:numPr>
          <w:ilvl w:val="0"/>
          <w:numId w:val="4"/>
        </w:numPr>
        <w:spacing w:before="60" w:after="60"/>
        <w:ind w:left="714" w:hanging="357"/>
        <w:contextualSpacing w:val="0"/>
      </w:pPr>
      <w:r w:rsidRPr="00FA4573">
        <w:rPr>
          <w:rFonts w:eastAsia="Malgun Gothic"/>
          <w:lang w:eastAsia="ko-KR"/>
        </w:rPr>
        <w:t xml:space="preserve">Contributions from BDT: </w:t>
      </w:r>
      <w:hyperlink r:id="rId115" w:history="1">
        <w:r w:rsidRPr="00FA4573">
          <w:rPr>
            <w:rStyle w:val="Hyperlink"/>
            <w:rFonts w:eastAsia="Malgun Gothic"/>
            <w:lang w:eastAsia="ko-KR"/>
          </w:rPr>
          <w:t>2/60</w:t>
        </w:r>
      </w:hyperlink>
      <w:r w:rsidRPr="00FA4573">
        <w:rPr>
          <w:rFonts w:eastAsia="Malgun Gothic"/>
          <w:lang w:eastAsia="ko-KR"/>
        </w:rPr>
        <w:t xml:space="preserve"> (2022), </w:t>
      </w:r>
      <w:hyperlink r:id="rId116" w:history="1">
        <w:r w:rsidRPr="00FA4573">
          <w:rPr>
            <w:rStyle w:val="Hyperlink"/>
            <w:rFonts w:eastAsia="Malgun Gothic"/>
            <w:lang w:eastAsia="ko-KR"/>
          </w:rPr>
          <w:t>2/160</w:t>
        </w:r>
      </w:hyperlink>
      <w:r w:rsidRPr="00FA4573">
        <w:rPr>
          <w:rFonts w:eastAsia="Malgun Gothic"/>
          <w:lang w:eastAsia="ko-KR"/>
        </w:rPr>
        <w:t xml:space="preserve"> (2023), </w:t>
      </w:r>
      <w:hyperlink r:id="rId117" w:history="1">
        <w:r w:rsidRPr="00FA4573">
          <w:rPr>
            <w:rStyle w:val="Hyperlink"/>
            <w:rFonts w:eastAsia="Malgun Gothic"/>
            <w:lang w:eastAsia="ko-KR"/>
          </w:rPr>
          <w:t>2/178</w:t>
        </w:r>
      </w:hyperlink>
      <w:r w:rsidRPr="00FA4573">
        <w:rPr>
          <w:rFonts w:eastAsia="Malgun Gothic"/>
          <w:lang w:eastAsia="ko-KR"/>
        </w:rPr>
        <w:t xml:space="preserve"> (2023)</w:t>
      </w:r>
    </w:p>
    <w:p w14:paraId="5BBBE3A9" w14:textId="77777777" w:rsidR="00A63D1D" w:rsidRPr="00FA4573" w:rsidRDefault="00A63D1D" w:rsidP="00A63D1D">
      <w:pPr>
        <w:pStyle w:val="ListParagraph"/>
        <w:numPr>
          <w:ilvl w:val="0"/>
          <w:numId w:val="4"/>
        </w:numPr>
        <w:spacing w:before="60" w:after="60"/>
        <w:ind w:left="714" w:hanging="357"/>
        <w:contextualSpacing w:val="0"/>
      </w:pPr>
      <w:r w:rsidRPr="00FA4573">
        <w:rPr>
          <w:rFonts w:eastAsia="Malgun Gothic"/>
          <w:lang w:eastAsia="ko-KR"/>
        </w:rPr>
        <w:t>Contributions from the membership to SG2 plenaries</w:t>
      </w:r>
      <w:r w:rsidRPr="00FA4573">
        <w:rPr>
          <w:rStyle w:val="FootnoteReference"/>
          <w:rFonts w:eastAsia="Malgun Gothic"/>
          <w:lang w:eastAsia="ko-KR"/>
        </w:rPr>
        <w:footnoteReference w:id="13"/>
      </w:r>
      <w:r w:rsidRPr="00FA4573">
        <w:rPr>
          <w:rFonts w:eastAsia="Malgun Gothic"/>
          <w:lang w:eastAsia="ko-KR"/>
        </w:rPr>
        <w:t xml:space="preserve">: </w:t>
      </w:r>
      <w:hyperlink r:id="rId118" w:history="1">
        <w:r w:rsidRPr="00FA4573">
          <w:rPr>
            <w:rStyle w:val="Hyperlink"/>
            <w:rFonts w:eastAsia="Malgun Gothic"/>
            <w:lang w:eastAsia="ko-KR"/>
          </w:rPr>
          <w:t>2/250</w:t>
        </w:r>
      </w:hyperlink>
      <w:r w:rsidRPr="00FA4573">
        <w:rPr>
          <w:rFonts w:eastAsia="Malgun Gothic"/>
          <w:lang w:eastAsia="ko-KR"/>
        </w:rPr>
        <w:t xml:space="preserve"> (2024), </w:t>
      </w:r>
      <w:hyperlink r:id="rId119" w:history="1">
        <w:r w:rsidRPr="00FA4573">
          <w:rPr>
            <w:rStyle w:val="Hyperlink"/>
            <w:rFonts w:eastAsia="Malgun Gothic"/>
            <w:lang w:eastAsia="ko-KR"/>
          </w:rPr>
          <w:t>2/256</w:t>
        </w:r>
      </w:hyperlink>
      <w:r w:rsidRPr="00FA4573">
        <w:rPr>
          <w:rFonts w:eastAsia="Malgun Gothic"/>
          <w:lang w:eastAsia="ko-KR"/>
        </w:rPr>
        <w:t xml:space="preserve"> (2024)</w:t>
      </w:r>
    </w:p>
    <w:p w14:paraId="5219B371" w14:textId="77777777" w:rsidR="00A63D1D" w:rsidRPr="00FA4573" w:rsidRDefault="00A63D1D" w:rsidP="00A63D1D">
      <w:pPr>
        <w:pStyle w:val="Heading2"/>
        <w:spacing w:after="120"/>
      </w:pPr>
      <w:r w:rsidRPr="00FA4573">
        <w:t>Collaboration with WSIS</w:t>
      </w:r>
    </w:p>
    <w:p w14:paraId="3F05E937" w14:textId="77777777" w:rsidR="00A63D1D" w:rsidRPr="00FA4573" w:rsidRDefault="00A63D1D" w:rsidP="00A63D1D">
      <w:pPr>
        <w:spacing w:after="120"/>
        <w:rPr>
          <w:rFonts w:eastAsia="Malgun Gothic" w:cs="Calibri"/>
          <w:lang w:eastAsia="ko-KR"/>
        </w:rPr>
      </w:pPr>
      <w:r w:rsidRPr="00FA4573">
        <w:t xml:space="preserve">In order to seek a close alignment </w:t>
      </w:r>
      <w:r w:rsidRPr="00FA4573">
        <w:rPr>
          <w:rFonts w:cs="Calibri"/>
        </w:rPr>
        <w:t>between WSIS Process and 2030 Agenda for Sustainable Development as called by the United Nations General Assembly Overall Review on WSIS</w:t>
      </w:r>
      <w:r w:rsidRPr="00FA4573">
        <w:rPr>
          <w:rStyle w:val="FootnoteReference"/>
          <w:rFonts w:cs="Calibri"/>
        </w:rPr>
        <w:footnoteReference w:id="14"/>
      </w:r>
      <w:r w:rsidRPr="00FA4573">
        <w:rPr>
          <w:rFonts w:cs="Calibri"/>
        </w:rPr>
        <w:t xml:space="preserve">, and as encouraged by the Council Working Group on WSIS&amp;SDG (CWG-WSIS&amp;SDG) to closely work between ITU study groups and WSIS Secretariat for contribution to the WSIS and SDG Process, </w:t>
      </w:r>
      <w:r w:rsidRPr="00FA4573">
        <w:rPr>
          <w:rFonts w:eastAsia="Malgun Gothic" w:cs="Calibri"/>
          <w:lang w:eastAsia="ko-KR"/>
        </w:rPr>
        <w:t xml:space="preserve">the WSIS secretariat was regularly invited to provide updates on the latest activities on the WSIS events and other activities, including the </w:t>
      </w:r>
      <w:r w:rsidRPr="00FA4573">
        <w:t xml:space="preserve">WSIS process, Forum, </w:t>
      </w:r>
      <w:r w:rsidRPr="00FA4573">
        <w:rPr>
          <w:rFonts w:eastAsia="Malgun Gothic"/>
          <w:lang w:eastAsia="ko-KR"/>
        </w:rPr>
        <w:t>Stocktaking,</w:t>
      </w:r>
      <w:r w:rsidRPr="00FA4573">
        <w:t xml:space="preserve"> Prizes, emphasizing ITU-D study groups' engagement and potential for future collaboration. It highlighted the WSIS process's coordination with UN agencies to implement action lines and advance the Sustainable Development Goals. It also included outcomes from the WSIS Foru</w:t>
      </w:r>
      <w:r w:rsidRPr="00FA4573">
        <w:rPr>
          <w:rFonts w:eastAsia="Malgun Gothic"/>
          <w:lang w:eastAsia="ko-KR"/>
        </w:rPr>
        <w:t>ms</w:t>
      </w:r>
      <w:r w:rsidRPr="00FA4573">
        <w:t>, in particular regarding the WSIS+20 review process.</w:t>
      </w:r>
    </w:p>
    <w:p w14:paraId="60D0C3C9" w14:textId="77777777" w:rsidR="00A63D1D" w:rsidRPr="00FA4573" w:rsidRDefault="00A63D1D" w:rsidP="00A63D1D">
      <w:pPr>
        <w:spacing w:after="120"/>
        <w:rPr>
          <w:bCs/>
        </w:rPr>
      </w:pPr>
      <w:r w:rsidRPr="00FA4573">
        <w:rPr>
          <w:bCs/>
        </w:rPr>
        <w:t>As all study Questions have linkages with WSIS Action Lines, SG2 will continue to seek opportunities for synergies with WSIS by leveraging the collaborations explored and achieved during th</w:t>
      </w:r>
      <w:r w:rsidRPr="00FA4573">
        <w:rPr>
          <w:rFonts w:eastAsia="Malgun Gothic"/>
          <w:bCs/>
          <w:lang w:eastAsia="ko-KR"/>
        </w:rPr>
        <w:t>is</w:t>
      </w:r>
      <w:r w:rsidRPr="00FA4573">
        <w:rPr>
          <w:bCs/>
        </w:rPr>
        <w:t xml:space="preserve"> study period.</w:t>
      </w:r>
    </w:p>
    <w:p w14:paraId="43F3E9EF" w14:textId="77777777" w:rsidR="00A63D1D" w:rsidRPr="00FA4573" w:rsidRDefault="00A63D1D" w:rsidP="00A63D1D">
      <w:pPr>
        <w:spacing w:after="120"/>
        <w:rPr>
          <w:rFonts w:eastAsia="Malgun Gothic"/>
          <w:lang w:eastAsia="ko-KR"/>
        </w:rPr>
      </w:pPr>
      <w:r w:rsidRPr="00FA4573">
        <w:t>Documents for more information:</w:t>
      </w:r>
    </w:p>
    <w:p w14:paraId="7F624F96" w14:textId="77777777" w:rsidR="00A63D1D" w:rsidRPr="00FA4573" w:rsidRDefault="00A63D1D" w:rsidP="00A63D1D">
      <w:pPr>
        <w:pStyle w:val="ListParagraph"/>
        <w:numPr>
          <w:ilvl w:val="0"/>
          <w:numId w:val="8"/>
        </w:numPr>
        <w:spacing w:before="60" w:after="60"/>
        <w:ind w:left="714" w:hanging="357"/>
        <w:contextualSpacing w:val="0"/>
      </w:pPr>
      <w:r w:rsidRPr="00FA4573">
        <w:rPr>
          <w:rFonts w:eastAsia="Malgun Gothic"/>
          <w:lang w:eastAsia="ko-KR"/>
        </w:rPr>
        <w:t xml:space="preserve">Contributions from the WSIS Secretariat: </w:t>
      </w:r>
      <w:hyperlink r:id="rId120" w:history="1">
        <w:r w:rsidRPr="00FA4573">
          <w:rPr>
            <w:rStyle w:val="Hyperlink"/>
            <w:rFonts w:eastAsia="Malgun Gothic"/>
            <w:lang w:eastAsia="ko-KR"/>
          </w:rPr>
          <w:t>2/62</w:t>
        </w:r>
      </w:hyperlink>
      <w:r w:rsidRPr="00FA4573">
        <w:rPr>
          <w:rFonts w:eastAsia="Malgun Gothic"/>
          <w:lang w:eastAsia="ko-KR"/>
        </w:rPr>
        <w:t xml:space="preserve"> (2022), </w:t>
      </w:r>
      <w:hyperlink r:id="rId121" w:history="1">
        <w:r w:rsidRPr="00FA4573">
          <w:rPr>
            <w:rStyle w:val="Hyperlink"/>
            <w:rFonts w:eastAsia="Malgun Gothic"/>
            <w:lang w:eastAsia="ko-KR"/>
          </w:rPr>
          <w:t>2/63</w:t>
        </w:r>
      </w:hyperlink>
      <w:r w:rsidRPr="00FA4573">
        <w:rPr>
          <w:rFonts w:eastAsia="Malgun Gothic"/>
          <w:lang w:eastAsia="ko-KR"/>
        </w:rPr>
        <w:t xml:space="preserve"> (2022), </w:t>
      </w:r>
      <w:hyperlink r:id="rId122" w:history="1">
        <w:r w:rsidRPr="00FA4573">
          <w:rPr>
            <w:rStyle w:val="Hyperlink"/>
            <w:rFonts w:eastAsia="Malgun Gothic"/>
            <w:lang w:eastAsia="ko-KR"/>
          </w:rPr>
          <w:t>2/64</w:t>
        </w:r>
      </w:hyperlink>
      <w:r w:rsidRPr="00FA4573">
        <w:rPr>
          <w:rFonts w:eastAsia="Malgun Gothic"/>
          <w:lang w:eastAsia="ko-KR"/>
        </w:rPr>
        <w:t xml:space="preserve"> (2022), </w:t>
      </w:r>
      <w:hyperlink r:id="rId123" w:history="1">
        <w:r w:rsidRPr="00FA4573">
          <w:rPr>
            <w:rStyle w:val="Hyperlink"/>
            <w:rFonts w:eastAsia="Malgun Gothic"/>
            <w:lang w:eastAsia="ko-KR"/>
          </w:rPr>
          <w:t>2/65</w:t>
        </w:r>
      </w:hyperlink>
      <w:r w:rsidRPr="00FA4573">
        <w:rPr>
          <w:rFonts w:eastAsia="Malgun Gothic"/>
          <w:lang w:eastAsia="ko-KR"/>
        </w:rPr>
        <w:t xml:space="preserve"> (2022), </w:t>
      </w:r>
      <w:hyperlink r:id="rId124" w:history="1">
        <w:r w:rsidRPr="00FA4573">
          <w:rPr>
            <w:rStyle w:val="Hyperlink"/>
            <w:rFonts w:eastAsia="Malgun Gothic"/>
            <w:lang w:eastAsia="ko-KR"/>
          </w:rPr>
          <w:t>2/66</w:t>
        </w:r>
      </w:hyperlink>
      <w:r w:rsidRPr="00FA4573">
        <w:rPr>
          <w:rFonts w:eastAsia="Malgun Gothic"/>
          <w:lang w:eastAsia="ko-KR"/>
        </w:rPr>
        <w:t xml:space="preserve"> (2022), </w:t>
      </w:r>
      <w:hyperlink r:id="rId125" w:history="1">
        <w:r w:rsidRPr="00FA4573">
          <w:rPr>
            <w:rStyle w:val="Hyperlink"/>
            <w:rFonts w:eastAsia="Malgun Gothic"/>
            <w:lang w:eastAsia="ko-KR"/>
          </w:rPr>
          <w:t>2/176</w:t>
        </w:r>
      </w:hyperlink>
      <w:r w:rsidRPr="00FA4573">
        <w:rPr>
          <w:rFonts w:eastAsia="Malgun Gothic"/>
          <w:lang w:eastAsia="ko-KR"/>
        </w:rPr>
        <w:t xml:space="preserve"> (2023), </w:t>
      </w:r>
      <w:hyperlink r:id="rId126" w:history="1">
        <w:r w:rsidRPr="00FA4573">
          <w:rPr>
            <w:rStyle w:val="Hyperlink"/>
            <w:rFonts w:eastAsia="Malgun Gothic"/>
            <w:lang w:eastAsia="ko-KR"/>
          </w:rPr>
          <w:t>2/308</w:t>
        </w:r>
      </w:hyperlink>
      <w:r w:rsidRPr="00FA4573">
        <w:rPr>
          <w:rFonts w:eastAsia="Malgun Gothic"/>
          <w:lang w:eastAsia="ko-KR"/>
        </w:rPr>
        <w:t xml:space="preserve"> (2024)</w:t>
      </w:r>
      <w:r w:rsidRPr="00FA4573">
        <w:rPr>
          <w:rFonts w:eastAsia="Malgun Gothic" w:hint="eastAsia"/>
          <w:lang w:eastAsia="ko-KR"/>
        </w:rPr>
        <w:t xml:space="preserve">, </w:t>
      </w:r>
      <w:hyperlink r:id="rId127" w:history="1">
        <w:r w:rsidRPr="00FA4573">
          <w:rPr>
            <w:rStyle w:val="Hyperlink"/>
            <w:bCs/>
            <w:lang w:val="en-US"/>
          </w:rPr>
          <w:t>2/412</w:t>
        </w:r>
      </w:hyperlink>
      <w:r w:rsidRPr="00FA4573">
        <w:rPr>
          <w:rFonts w:eastAsia="Malgun Gothic" w:hint="eastAsia"/>
          <w:lang w:eastAsia="ko-KR"/>
        </w:rPr>
        <w:t xml:space="preserve"> (2025).</w:t>
      </w:r>
    </w:p>
    <w:p w14:paraId="79941E8E" w14:textId="77777777" w:rsidR="00A63D1D" w:rsidRPr="00FA4573" w:rsidRDefault="00A63D1D" w:rsidP="00A63D1D">
      <w:pPr>
        <w:pStyle w:val="Heading1"/>
        <w:spacing w:before="120" w:after="120"/>
      </w:pPr>
      <w:r w:rsidRPr="00FA4573">
        <w:t xml:space="preserve">Collaborative tools </w:t>
      </w:r>
    </w:p>
    <w:p w14:paraId="42653189" w14:textId="77777777" w:rsidR="00A63D1D" w:rsidRPr="00FA4573" w:rsidRDefault="00A63D1D" w:rsidP="00A63D1D">
      <w:pPr>
        <w:spacing w:after="120"/>
        <w:rPr>
          <w:rFonts w:eastAsia="Malgun Gothic" w:cstheme="minorBidi"/>
          <w:lang w:eastAsia="ko-KR"/>
        </w:rPr>
      </w:pPr>
      <w:hyperlink r:id="rId128">
        <w:r w:rsidRPr="00FA4573">
          <w:rPr>
            <w:rStyle w:val="Hyperlink"/>
            <w:rFonts w:cstheme="minorBidi"/>
          </w:rPr>
          <w:t>Collaborative tools</w:t>
        </w:r>
      </w:hyperlink>
      <w:r w:rsidRPr="00FA4573">
        <w:rPr>
          <w:rFonts w:cstheme="minorBidi"/>
        </w:rPr>
        <w:t xml:space="preserve"> to facilitate electronic participation in the work of the ITU-D study groups is evolving. In addition to remote participation services and the webcast in the languages of the respective meeting, mailing lists are made available to participants and management team members. </w:t>
      </w:r>
    </w:p>
    <w:p w14:paraId="3F2A29AA" w14:textId="77777777" w:rsidR="00A63D1D" w:rsidRPr="00FA4573" w:rsidRDefault="00A63D1D" w:rsidP="00A63D1D">
      <w:pPr>
        <w:spacing w:after="120"/>
        <w:rPr>
          <w:rFonts w:eastAsia="Malgun Gothic" w:cstheme="minorBidi"/>
          <w:lang w:eastAsia="ko-KR"/>
        </w:rPr>
      </w:pPr>
      <w:r w:rsidRPr="00FA4573">
        <w:rPr>
          <w:rFonts w:cstheme="minorBidi"/>
        </w:rPr>
        <w:lastRenderedPageBreak/>
        <w:t>M</w:t>
      </w:r>
      <w:r w:rsidRPr="00FA4573">
        <w:rPr>
          <w:rFonts w:eastAsia="Malgun Gothic" w:cstheme="minorBidi"/>
          <w:lang w:eastAsia="ko-KR"/>
        </w:rPr>
        <w:t>icrosoft</w:t>
      </w:r>
      <w:r w:rsidRPr="00FA4573">
        <w:rPr>
          <w:rFonts w:cstheme="minorBidi"/>
        </w:rPr>
        <w:t xml:space="preserve"> </w:t>
      </w:r>
      <w:r w:rsidRPr="00FA4573">
        <w:rPr>
          <w:rFonts w:eastAsia="Malgun Gothic" w:cstheme="minorBidi" w:hint="eastAsia"/>
          <w:lang w:eastAsia="ko-KR"/>
        </w:rPr>
        <w:t>T</w:t>
      </w:r>
      <w:r w:rsidRPr="00FA4573">
        <w:rPr>
          <w:rFonts w:cstheme="minorBidi"/>
        </w:rPr>
        <w:t>eam channels have been created for use by each Question management team as per their convenience. The automatic captioning</w:t>
      </w:r>
      <w:r w:rsidRPr="00FA4573">
        <w:rPr>
          <w:rFonts w:eastAsia="Malgun Gothic" w:cstheme="minorBidi"/>
          <w:lang w:eastAsia="ko-KR"/>
        </w:rPr>
        <w:t xml:space="preserve"> and translation</w:t>
      </w:r>
      <w:r w:rsidRPr="00FA4573">
        <w:rPr>
          <w:rFonts w:cstheme="minorBidi"/>
        </w:rPr>
        <w:t xml:space="preserve"> in various languages </w:t>
      </w:r>
      <w:r w:rsidRPr="00FA4573">
        <w:rPr>
          <w:rFonts w:eastAsia="Malgun Gothic" w:cstheme="minorBidi"/>
          <w:lang w:eastAsia="ko-KR"/>
        </w:rPr>
        <w:t xml:space="preserve">was </w:t>
      </w:r>
      <w:r w:rsidRPr="00FA4573">
        <w:rPr>
          <w:rFonts w:cstheme="minorBidi"/>
        </w:rPr>
        <w:t>highly appreciated by the Question management team members</w:t>
      </w:r>
      <w:r w:rsidRPr="00FA4573">
        <w:rPr>
          <w:rFonts w:eastAsia="Malgun Gothic" w:cstheme="minorBidi"/>
          <w:lang w:eastAsia="ko-KR"/>
        </w:rPr>
        <w:t>, considering that some participants were not able to speak fluently in English.</w:t>
      </w:r>
    </w:p>
    <w:p w14:paraId="4F8D30E1" w14:textId="77777777" w:rsidR="00A63D1D" w:rsidRPr="00474F78" w:rsidRDefault="00A63D1D" w:rsidP="00A63D1D">
      <w:pPr>
        <w:spacing w:after="120"/>
        <w:rPr>
          <w:rFonts w:eastAsia="Malgun Gothic" w:cstheme="minorHAnsi"/>
          <w:szCs w:val="24"/>
          <w:lang w:eastAsia="ko-KR"/>
        </w:rPr>
      </w:pPr>
      <w:r w:rsidRPr="00FA4573">
        <w:rPr>
          <w:rFonts w:eastAsia="Malgun Gothic" w:cstheme="minorHAnsi" w:hint="eastAsia"/>
          <w:szCs w:val="24"/>
          <w:lang w:eastAsia="ko-KR"/>
        </w:rPr>
        <w:t>A</w:t>
      </w:r>
      <w:r w:rsidRPr="00FA4573">
        <w:rPr>
          <w:rFonts w:cstheme="minorHAnsi"/>
          <w:szCs w:val="24"/>
        </w:rPr>
        <w:t xml:space="preserve"> contributions repository </w:t>
      </w:r>
      <w:r w:rsidRPr="00FA4573">
        <w:rPr>
          <w:rFonts w:eastAsia="Malgun Gothic" w:cstheme="minorHAnsi" w:hint="eastAsia"/>
          <w:szCs w:val="24"/>
          <w:lang w:eastAsia="ko-KR"/>
        </w:rPr>
        <w:t>and</w:t>
      </w:r>
      <w:r w:rsidRPr="00FA4573">
        <w:rPr>
          <w:rFonts w:cstheme="minorHAnsi"/>
          <w:szCs w:val="24"/>
        </w:rPr>
        <w:t xml:space="preserve"> dashboard</w:t>
      </w:r>
      <w:r w:rsidRPr="00FA4573">
        <w:rPr>
          <w:rStyle w:val="FootnoteReference"/>
          <w:rFonts w:cstheme="minorHAnsi"/>
        </w:rPr>
        <w:footnoteReference w:id="15"/>
      </w:r>
      <w:r w:rsidRPr="00FA4573">
        <w:rPr>
          <w:rFonts w:cstheme="minorHAnsi"/>
          <w:szCs w:val="24"/>
        </w:rPr>
        <w:t xml:space="preserve">, which facilitates the search of previous contributions and their abstracts, </w:t>
      </w:r>
      <w:r w:rsidRPr="00FA4573">
        <w:rPr>
          <w:rFonts w:eastAsia="Malgun Gothic" w:cstheme="minorHAnsi" w:hint="eastAsia"/>
          <w:szCs w:val="24"/>
          <w:lang w:eastAsia="ko-KR"/>
        </w:rPr>
        <w:t xml:space="preserve">has been introduced and </w:t>
      </w:r>
      <w:r w:rsidRPr="00FA4573">
        <w:rPr>
          <w:rFonts w:cstheme="minorHAnsi"/>
          <w:szCs w:val="24"/>
        </w:rPr>
        <w:t>is updated</w:t>
      </w:r>
      <w:r w:rsidRPr="00FA4573">
        <w:rPr>
          <w:rFonts w:eastAsia="Malgun Gothic" w:cstheme="minorHAnsi" w:hint="eastAsia"/>
          <w:szCs w:val="24"/>
          <w:lang w:eastAsia="ko-KR"/>
        </w:rPr>
        <w:t xml:space="preserve"> on a regular basis</w:t>
      </w:r>
      <w:r w:rsidRPr="00FA4573">
        <w:rPr>
          <w:rFonts w:cstheme="minorHAnsi"/>
          <w:szCs w:val="24"/>
        </w:rPr>
        <w:t>. Automatic document (machine) translation named “ITUTranslate</w:t>
      </w:r>
      <w:r w:rsidRPr="00FA4573">
        <w:rPr>
          <w:rFonts w:eastAsia="Malgun Gothic" w:cstheme="minorHAnsi"/>
          <w:szCs w:val="24"/>
          <w:lang w:eastAsia="ko-KR"/>
        </w:rPr>
        <w:t>”</w:t>
      </w:r>
      <w:r w:rsidRPr="00FA4573">
        <w:rPr>
          <w:rStyle w:val="FootnoteReference"/>
          <w:rFonts w:cstheme="minorHAnsi"/>
        </w:rPr>
        <w:footnoteReference w:id="16"/>
      </w:r>
      <w:r w:rsidRPr="00FA4573">
        <w:rPr>
          <w:rFonts w:cstheme="minorHAnsi"/>
          <w:szCs w:val="24"/>
        </w:rPr>
        <w:t xml:space="preserve"> is available on the </w:t>
      </w:r>
      <w:r w:rsidRPr="00FA4573">
        <w:rPr>
          <w:rFonts w:eastAsia="Malgun Gothic" w:cstheme="minorHAnsi" w:hint="eastAsia"/>
          <w:szCs w:val="24"/>
          <w:lang w:eastAsia="ko-KR"/>
        </w:rPr>
        <w:t>TIES</w:t>
      </w:r>
      <w:r w:rsidRPr="00FA4573">
        <w:rPr>
          <w:rFonts w:cstheme="minorHAnsi"/>
          <w:szCs w:val="24"/>
        </w:rPr>
        <w:t xml:space="preserve"> protected document management repository whereby contributions, reports and other meeting documents can be translated from one UN official language into another UN official language. All ITU-D study </w:t>
      </w:r>
      <w:r w:rsidRPr="00FA4573">
        <w:rPr>
          <w:rFonts w:eastAsia="Malgun Gothic" w:cstheme="minorHAnsi" w:hint="eastAsia"/>
          <w:szCs w:val="24"/>
          <w:lang w:eastAsia="ko-KR"/>
        </w:rPr>
        <w:t>g</w:t>
      </w:r>
      <w:r w:rsidRPr="00FA4573">
        <w:rPr>
          <w:rFonts w:cstheme="minorHAnsi"/>
          <w:szCs w:val="24"/>
        </w:rPr>
        <w:t>roup web</w:t>
      </w:r>
      <w:r w:rsidRPr="00FA4573">
        <w:rPr>
          <w:rFonts w:eastAsia="Malgun Gothic" w:cstheme="minorHAnsi" w:hint="eastAsia"/>
          <w:szCs w:val="24"/>
          <w:lang w:eastAsia="ko-KR"/>
        </w:rPr>
        <w:t xml:space="preserve"> </w:t>
      </w:r>
      <w:r w:rsidRPr="00FA4573">
        <w:rPr>
          <w:rFonts w:cstheme="minorHAnsi"/>
          <w:szCs w:val="24"/>
        </w:rPr>
        <w:t>pages</w:t>
      </w:r>
      <w:r w:rsidRPr="00FA4573">
        <w:rPr>
          <w:rFonts w:eastAsia="Malgun Gothic" w:cstheme="minorHAnsi" w:hint="eastAsia"/>
          <w:szCs w:val="24"/>
          <w:lang w:eastAsia="ko-KR"/>
        </w:rPr>
        <w:t xml:space="preserve"> can also be translated</w:t>
      </w:r>
      <w:r w:rsidRPr="00FA4573">
        <w:rPr>
          <w:rFonts w:cstheme="minorHAnsi"/>
          <w:szCs w:val="24"/>
        </w:rPr>
        <w:t xml:space="preserve"> in all UN official languages with the ITUTranslate widget.</w:t>
      </w:r>
      <w:r w:rsidRPr="00FA4573">
        <w:rPr>
          <w:rFonts w:eastAsia="Malgun Gothic" w:cstheme="minorHAnsi" w:hint="eastAsia"/>
          <w:szCs w:val="24"/>
          <w:lang w:eastAsia="ko-KR"/>
        </w:rPr>
        <w:t xml:space="preserve"> AI-based interpretation was also tested during the last joint SG1-SG2 and SG2 management team meetings, with positive feedbacks from the participants. </w:t>
      </w:r>
    </w:p>
    <w:p w14:paraId="76990492" w14:textId="77777777" w:rsidR="00A63D1D" w:rsidRPr="00FA4573" w:rsidRDefault="00A63D1D" w:rsidP="00A63D1D">
      <w:pPr>
        <w:spacing w:after="120"/>
        <w:rPr>
          <w:rFonts w:eastAsia="Malgun Gothic" w:cstheme="minorHAnsi"/>
          <w:szCs w:val="24"/>
          <w:lang w:eastAsia="ko-KR"/>
        </w:rPr>
      </w:pPr>
      <w:r w:rsidRPr="00FA4573">
        <w:rPr>
          <w:rFonts w:cstheme="minorHAnsi"/>
          <w:szCs w:val="24"/>
        </w:rPr>
        <w:t>Study group participants were encouraged to explore the tools and to provide any feedback to the secretariat to assist in their improvement.</w:t>
      </w:r>
    </w:p>
    <w:p w14:paraId="67515743" w14:textId="77777777" w:rsidR="00A63D1D" w:rsidRPr="00FA4573" w:rsidRDefault="00A63D1D" w:rsidP="00A63D1D">
      <w:pPr>
        <w:pStyle w:val="Heading1"/>
        <w:spacing w:before="120" w:after="120"/>
      </w:pPr>
      <w:r w:rsidRPr="00FA4573">
        <w:t>Results of the survey on the work of ITU-D Study Groups (8th study period, 2022-2025)</w:t>
      </w:r>
    </w:p>
    <w:p w14:paraId="368D99DB" w14:textId="77777777" w:rsidR="00A63D1D" w:rsidRPr="00FA4573" w:rsidRDefault="00A63D1D" w:rsidP="00A63D1D">
      <w:pPr>
        <w:spacing w:after="120"/>
        <w:rPr>
          <w:szCs w:val="24"/>
        </w:rPr>
      </w:pPr>
      <w:r w:rsidRPr="00FA4573">
        <w:rPr>
          <w:szCs w:val="24"/>
        </w:rPr>
        <w:t>In keeping with Section</w:t>
      </w:r>
      <w:r w:rsidRPr="00FA4573">
        <w:rPr>
          <w:rFonts w:eastAsia="Malgun Gothic" w:hint="eastAsia"/>
          <w:szCs w:val="24"/>
          <w:lang w:eastAsia="ko-KR"/>
        </w:rPr>
        <w:t xml:space="preserve"> 3.10.5.4</w:t>
      </w:r>
      <w:r w:rsidRPr="00FA4573">
        <w:rPr>
          <w:szCs w:val="24"/>
        </w:rPr>
        <w:t xml:space="preserve"> of Resolution 1 (Rev. </w:t>
      </w:r>
      <w:r w:rsidRPr="00FA4573">
        <w:rPr>
          <w:rFonts w:eastAsia="Malgun Gothic" w:hint="eastAsia"/>
          <w:szCs w:val="24"/>
          <w:lang w:eastAsia="ko-KR"/>
        </w:rPr>
        <w:t>Kigali</w:t>
      </w:r>
      <w:r w:rsidRPr="00FA4573">
        <w:rPr>
          <w:szCs w:val="24"/>
        </w:rPr>
        <w:t>, 20</w:t>
      </w:r>
      <w:r w:rsidRPr="00FA4573">
        <w:rPr>
          <w:rFonts w:eastAsia="Malgun Gothic" w:hint="eastAsia"/>
          <w:szCs w:val="24"/>
          <w:lang w:eastAsia="ko-KR"/>
        </w:rPr>
        <w:t>22</w:t>
      </w:r>
      <w:r w:rsidRPr="00FA4573">
        <w:rPr>
          <w:szCs w:val="24"/>
        </w:rPr>
        <w:t>), the ITU</w:t>
      </w:r>
      <w:r w:rsidRPr="00FA4573">
        <w:rPr>
          <w:rFonts w:ascii="Calibri" w:hAnsi="Calibri"/>
          <w:szCs w:val="24"/>
        </w:rPr>
        <w:t>-D Study Groups issued a joint survey t</w:t>
      </w:r>
      <w:r w:rsidRPr="00FA4573">
        <w:rPr>
          <w:szCs w:val="24"/>
        </w:rPr>
        <w:t>o help ascertain the extent to which the ITU-D membership, and in particular developing countries, benefit from the outputs of studies</w:t>
      </w:r>
      <w:r w:rsidRPr="00FA4573">
        <w:rPr>
          <w:rFonts w:ascii="Calibri" w:hAnsi="Calibri"/>
          <w:szCs w:val="24"/>
        </w:rPr>
        <w:t xml:space="preserve">. </w:t>
      </w:r>
    </w:p>
    <w:p w14:paraId="71542B57" w14:textId="77777777" w:rsidR="00A63D1D" w:rsidRPr="00FA4573" w:rsidRDefault="00A63D1D" w:rsidP="00A63D1D">
      <w:pPr>
        <w:spacing w:after="120"/>
        <w:rPr>
          <w:rFonts w:eastAsia="Malgun Gothic"/>
          <w:szCs w:val="24"/>
          <w:lang w:eastAsia="ko-KR"/>
        </w:rPr>
      </w:pPr>
      <w:r w:rsidRPr="00FA4573">
        <w:rPr>
          <w:szCs w:val="24"/>
        </w:rPr>
        <w:t xml:space="preserve">A draft questionnaire was submitted for comments at the </w:t>
      </w:r>
      <w:r w:rsidRPr="00FA4573">
        <w:rPr>
          <w:rFonts w:eastAsia="Malgun Gothic" w:hint="eastAsia"/>
          <w:szCs w:val="24"/>
          <w:lang w:eastAsia="ko-KR"/>
        </w:rPr>
        <w:t>November 2024</w:t>
      </w:r>
      <w:r w:rsidRPr="00FA4573">
        <w:rPr>
          <w:szCs w:val="24"/>
        </w:rPr>
        <w:t xml:space="preserve"> meetings of ITU-D Study Groups 1 and 2. The final version of the questionnaire was issued as an online survey to the ITU-D membership (see Document </w:t>
      </w:r>
      <w:hyperlink r:id="rId129" w:history="1">
        <w:r w:rsidRPr="00FA4573">
          <w:rPr>
            <w:rStyle w:val="Hyperlink"/>
            <w:szCs w:val="24"/>
          </w:rPr>
          <w:t>BDT/</w:t>
        </w:r>
        <w:r w:rsidRPr="00FA4573">
          <w:rPr>
            <w:rStyle w:val="Hyperlink"/>
            <w:rFonts w:eastAsia="Malgun Gothic" w:hint="eastAsia"/>
            <w:szCs w:val="24"/>
            <w:lang w:eastAsia="ko-KR"/>
          </w:rPr>
          <w:t>PPS</w:t>
        </w:r>
        <w:r w:rsidRPr="00FA4573">
          <w:rPr>
            <w:rStyle w:val="Hyperlink"/>
            <w:szCs w:val="24"/>
          </w:rPr>
          <w:t>/CSTG-</w:t>
        </w:r>
        <w:r w:rsidRPr="00FA4573">
          <w:rPr>
            <w:rStyle w:val="Hyperlink"/>
            <w:rFonts w:eastAsia="Malgun Gothic" w:hint="eastAsia"/>
            <w:szCs w:val="24"/>
            <w:lang w:eastAsia="ko-KR"/>
          </w:rPr>
          <w:t>7</w:t>
        </w:r>
      </w:hyperlink>
      <w:r w:rsidRPr="00FA4573">
        <w:rPr>
          <w:szCs w:val="24"/>
        </w:rPr>
        <w:t xml:space="preserve">) on </w:t>
      </w:r>
      <w:r w:rsidRPr="00FA4573">
        <w:rPr>
          <w:rFonts w:eastAsia="Malgun Gothic" w:hint="eastAsia"/>
          <w:szCs w:val="24"/>
          <w:lang w:eastAsia="ko-KR"/>
        </w:rPr>
        <w:t>8 January 2025</w:t>
      </w:r>
      <w:r w:rsidRPr="00FA4573">
        <w:rPr>
          <w:szCs w:val="24"/>
        </w:rPr>
        <w:t xml:space="preserve"> with closing date of </w:t>
      </w:r>
      <w:r w:rsidRPr="00FA4573">
        <w:rPr>
          <w:rFonts w:eastAsia="Malgun Gothic" w:hint="eastAsia"/>
          <w:szCs w:val="24"/>
          <w:lang w:eastAsia="ko-KR"/>
        </w:rPr>
        <w:t>7</w:t>
      </w:r>
      <w:r w:rsidRPr="00FA4573">
        <w:rPr>
          <w:szCs w:val="24"/>
          <w:vertAlign w:val="superscript"/>
        </w:rPr>
        <w:t>th</w:t>
      </w:r>
      <w:r w:rsidRPr="00FA4573">
        <w:rPr>
          <w:szCs w:val="24"/>
        </w:rPr>
        <w:t xml:space="preserve"> </w:t>
      </w:r>
      <w:r w:rsidRPr="00FA4573">
        <w:rPr>
          <w:rFonts w:eastAsia="Malgun Gothic"/>
          <w:szCs w:val="24"/>
          <w:lang w:eastAsia="ko-KR"/>
        </w:rPr>
        <w:t>February</w:t>
      </w:r>
      <w:r w:rsidRPr="00FA4573">
        <w:rPr>
          <w:rFonts w:eastAsia="Malgun Gothic" w:hint="eastAsia"/>
          <w:szCs w:val="24"/>
          <w:lang w:eastAsia="ko-KR"/>
        </w:rPr>
        <w:t xml:space="preserve"> </w:t>
      </w:r>
      <w:r w:rsidRPr="00FA4573">
        <w:rPr>
          <w:szCs w:val="24"/>
        </w:rPr>
        <w:t>202</w:t>
      </w:r>
      <w:r w:rsidRPr="00FA4573">
        <w:rPr>
          <w:rFonts w:eastAsia="Malgun Gothic" w:hint="eastAsia"/>
          <w:szCs w:val="24"/>
          <w:lang w:eastAsia="ko-KR"/>
        </w:rPr>
        <w:t>5</w:t>
      </w:r>
      <w:r w:rsidRPr="00FA4573">
        <w:rPr>
          <w:szCs w:val="24"/>
        </w:rPr>
        <w:t xml:space="preserve">. </w:t>
      </w:r>
    </w:p>
    <w:p w14:paraId="450F9F11" w14:textId="77777777" w:rsidR="00A63D1D" w:rsidRPr="00FA4573" w:rsidRDefault="00A63D1D" w:rsidP="00A63D1D">
      <w:pPr>
        <w:spacing w:after="120"/>
        <w:rPr>
          <w:rFonts w:eastAsia="Malgun Gothic"/>
          <w:szCs w:val="24"/>
          <w:lang w:eastAsia="ko-KR"/>
        </w:rPr>
      </w:pPr>
      <w:r w:rsidRPr="00FA4573">
        <w:rPr>
          <w:szCs w:val="24"/>
        </w:rPr>
        <w:t xml:space="preserve">The </w:t>
      </w:r>
      <w:r w:rsidRPr="00FA4573">
        <w:rPr>
          <w:rFonts w:eastAsia="Malgun Gothic" w:hint="eastAsia"/>
          <w:szCs w:val="24"/>
          <w:lang w:eastAsia="ko-KR"/>
        </w:rPr>
        <w:t>responses received</w:t>
      </w:r>
      <w:r w:rsidRPr="00FA4573">
        <w:rPr>
          <w:szCs w:val="24"/>
        </w:rPr>
        <w:t xml:space="preserve"> </w:t>
      </w:r>
      <w:r w:rsidRPr="00FA4573">
        <w:rPr>
          <w:rFonts w:eastAsia="Malgun Gothic" w:hint="eastAsia"/>
          <w:szCs w:val="24"/>
          <w:lang w:eastAsia="ko-KR"/>
        </w:rPr>
        <w:t>during</w:t>
      </w:r>
      <w:r w:rsidRPr="00FA4573">
        <w:rPr>
          <w:szCs w:val="24"/>
        </w:rPr>
        <w:t xml:space="preserve"> the joint survey </w:t>
      </w:r>
      <w:r w:rsidRPr="00FA4573">
        <w:rPr>
          <w:rFonts w:eastAsia="Malgun Gothic" w:hint="eastAsia"/>
          <w:szCs w:val="24"/>
          <w:lang w:eastAsia="ko-KR"/>
        </w:rPr>
        <w:t>were</w:t>
      </w:r>
      <w:r w:rsidRPr="00FA4573">
        <w:rPr>
          <w:szCs w:val="24"/>
        </w:rPr>
        <w:t xml:space="preserve"> analysed and </w:t>
      </w:r>
      <w:r w:rsidRPr="00FA4573">
        <w:rPr>
          <w:rFonts w:eastAsia="Malgun Gothic" w:hint="eastAsia"/>
          <w:szCs w:val="24"/>
          <w:lang w:eastAsia="ko-KR"/>
        </w:rPr>
        <w:t xml:space="preserve">a report </w:t>
      </w:r>
      <w:r w:rsidRPr="00FA4573">
        <w:rPr>
          <w:rFonts w:eastAsia="Malgun Gothic" w:hint="eastAsia"/>
          <w:lang w:eastAsia="ko-KR"/>
        </w:rPr>
        <w:t xml:space="preserve">was </w:t>
      </w:r>
      <w:r w:rsidRPr="00FA4573">
        <w:rPr>
          <w:rFonts w:eastAsia="Malgun Gothic" w:hint="eastAsia"/>
          <w:szCs w:val="24"/>
          <w:lang w:eastAsia="ko-KR"/>
        </w:rPr>
        <w:t>presented during</w:t>
      </w:r>
      <w:r w:rsidRPr="00FA4573">
        <w:rPr>
          <w:szCs w:val="24"/>
        </w:rPr>
        <w:t xml:space="preserve"> the </w:t>
      </w:r>
      <w:r w:rsidRPr="00FA4573">
        <w:rPr>
          <w:rFonts w:eastAsia="Malgun Gothic" w:hint="eastAsia"/>
          <w:szCs w:val="24"/>
          <w:lang w:eastAsia="ko-KR"/>
        </w:rPr>
        <w:t xml:space="preserve">fourth and final </w:t>
      </w:r>
      <w:r w:rsidRPr="00FA4573">
        <w:rPr>
          <w:szCs w:val="24"/>
        </w:rPr>
        <w:t xml:space="preserve">meetings of the study groups. </w:t>
      </w:r>
      <w:r w:rsidRPr="00FA4573">
        <w:rPr>
          <w:rFonts w:eastAsia="Malgun Gothic" w:hint="eastAsia"/>
          <w:szCs w:val="24"/>
          <w:lang w:eastAsia="ko-KR"/>
        </w:rPr>
        <w:t>The report covered the following sections:</w:t>
      </w:r>
    </w:p>
    <w:p w14:paraId="03562FC3" w14:textId="77777777" w:rsidR="00A63D1D" w:rsidRPr="00FA4573" w:rsidRDefault="00A63D1D" w:rsidP="00A63D1D">
      <w:pPr>
        <w:pStyle w:val="ListParagraph"/>
        <w:numPr>
          <w:ilvl w:val="0"/>
          <w:numId w:val="8"/>
        </w:numPr>
        <w:spacing w:before="60" w:after="60"/>
        <w:ind w:left="714" w:hanging="357"/>
        <w:contextualSpacing w:val="0"/>
        <w:rPr>
          <w:rFonts w:eastAsia="Malgun Gothic"/>
          <w:lang w:eastAsia="ko-KR"/>
        </w:rPr>
      </w:pPr>
      <w:r w:rsidRPr="00FA4573">
        <w:rPr>
          <w:rFonts w:eastAsia="Malgun Gothic" w:hint="eastAsia"/>
          <w:lang w:eastAsia="ko-KR"/>
        </w:rPr>
        <w:t>Section 1: Survey participation statistics, with 74 responses received from all membership types and from the six regions;</w:t>
      </w:r>
    </w:p>
    <w:p w14:paraId="1C73047D" w14:textId="77777777" w:rsidR="00A63D1D" w:rsidRPr="00FA4573" w:rsidRDefault="00A63D1D" w:rsidP="00A63D1D">
      <w:pPr>
        <w:pStyle w:val="ListParagraph"/>
        <w:numPr>
          <w:ilvl w:val="0"/>
          <w:numId w:val="8"/>
        </w:numPr>
        <w:spacing w:before="60" w:after="60"/>
        <w:ind w:left="714" w:hanging="357"/>
        <w:contextualSpacing w:val="0"/>
        <w:rPr>
          <w:rFonts w:eastAsia="Malgun Gothic"/>
          <w:lang w:eastAsia="ko-KR"/>
        </w:rPr>
      </w:pPr>
      <w:r w:rsidRPr="00FA4573">
        <w:rPr>
          <w:rFonts w:eastAsia="Malgun Gothic" w:hint="eastAsia"/>
          <w:lang w:eastAsia="ko-KR"/>
        </w:rPr>
        <w:t>Section 2: General aspects, including participation in ITU-D study groups, i</w:t>
      </w:r>
      <w:r w:rsidRPr="00FA4573">
        <w:rPr>
          <w:rFonts w:eastAsia="Malgun Gothic"/>
          <w:lang w:eastAsia="ko-KR"/>
        </w:rPr>
        <w:t>ntersectoral collaboration and workshops</w:t>
      </w:r>
      <w:r w:rsidRPr="00FA4573">
        <w:rPr>
          <w:rFonts w:eastAsia="Malgun Gothic" w:hint="eastAsia"/>
          <w:lang w:eastAsia="ko-KR"/>
        </w:rPr>
        <w:t>,</w:t>
      </w:r>
      <w:r w:rsidRPr="00474F78">
        <w:rPr>
          <w:rFonts w:eastAsia="Malgun Gothic"/>
          <w:lang w:eastAsia="ko-KR"/>
        </w:rPr>
        <w:t xml:space="preserve"> </w:t>
      </w:r>
      <w:r w:rsidRPr="00FA4573">
        <w:rPr>
          <w:rFonts w:eastAsia="Malgun Gothic" w:hint="eastAsia"/>
          <w:lang w:eastAsia="ko-KR"/>
        </w:rPr>
        <w:t>as well as u</w:t>
      </w:r>
      <w:r w:rsidRPr="00FA4573">
        <w:rPr>
          <w:rFonts w:eastAsia="Malgun Gothic"/>
          <w:lang w:eastAsia="ko-KR"/>
        </w:rPr>
        <w:t>tilization and effectiveness of ITU-D resources and tools</w:t>
      </w:r>
      <w:r w:rsidRPr="00FA4573">
        <w:rPr>
          <w:rFonts w:eastAsia="Malgun Gothic" w:hint="eastAsia"/>
          <w:lang w:eastAsia="ko-KR"/>
        </w:rPr>
        <w:t xml:space="preserve">; </w:t>
      </w:r>
    </w:p>
    <w:p w14:paraId="037FEF2E" w14:textId="77777777" w:rsidR="00A63D1D" w:rsidRPr="00FA4573" w:rsidRDefault="00A63D1D" w:rsidP="00A63D1D">
      <w:pPr>
        <w:pStyle w:val="ListParagraph"/>
        <w:numPr>
          <w:ilvl w:val="0"/>
          <w:numId w:val="8"/>
        </w:numPr>
        <w:spacing w:before="60" w:after="60"/>
        <w:ind w:left="714" w:hanging="357"/>
        <w:contextualSpacing w:val="0"/>
        <w:rPr>
          <w:rFonts w:eastAsia="Malgun Gothic"/>
          <w:lang w:eastAsia="ko-KR"/>
        </w:rPr>
      </w:pPr>
      <w:r w:rsidRPr="00FA4573">
        <w:rPr>
          <w:rFonts w:eastAsia="Malgun Gothic" w:hint="eastAsia"/>
          <w:lang w:eastAsia="ko-KR"/>
        </w:rPr>
        <w:t xml:space="preserve">Section 3: </w:t>
      </w:r>
      <w:r w:rsidRPr="00FA4573">
        <w:rPr>
          <w:rFonts w:eastAsia="Malgun Gothic"/>
          <w:lang w:eastAsia="ko-KR"/>
        </w:rPr>
        <w:t>ITU-D study group structure and study topics</w:t>
      </w:r>
      <w:r w:rsidRPr="00FA4573">
        <w:rPr>
          <w:rFonts w:eastAsia="Malgun Gothic" w:hint="eastAsia"/>
          <w:lang w:eastAsia="ko-KR"/>
        </w:rPr>
        <w:t xml:space="preserve">, </w:t>
      </w:r>
      <w:r w:rsidRPr="00FA4573">
        <w:rPr>
          <w:rFonts w:eastAsia="Malgun Gothic"/>
          <w:lang w:eastAsia="ko-KR"/>
        </w:rPr>
        <w:t>including</w:t>
      </w:r>
      <w:r w:rsidRPr="00FA4573">
        <w:rPr>
          <w:rFonts w:eastAsia="Malgun Gothic" w:hint="eastAsia"/>
          <w:lang w:eastAsia="ko-KR"/>
        </w:rPr>
        <w:t xml:space="preserve"> awareness and relevance of ITU-D study groups, evaluation of study topics, as well as </w:t>
      </w:r>
      <w:r w:rsidRPr="00FA4573">
        <w:rPr>
          <w:rFonts w:eastAsia="Malgun Gothic"/>
          <w:lang w:eastAsia="ko-KR"/>
        </w:rPr>
        <w:t>comments</w:t>
      </w:r>
      <w:r w:rsidRPr="00FA4573">
        <w:rPr>
          <w:rFonts w:eastAsia="Malgun Gothic" w:hint="eastAsia"/>
          <w:lang w:eastAsia="ko-KR"/>
        </w:rPr>
        <w:t xml:space="preserve"> on the structure </w:t>
      </w:r>
      <w:r w:rsidRPr="00FA4573">
        <w:rPr>
          <w:rFonts w:eastAsia="Malgun Gothic"/>
          <w:lang w:eastAsia="ko-KR"/>
        </w:rPr>
        <w:t>(e.g. organizational, management teams, Questions)</w:t>
      </w:r>
      <w:r w:rsidRPr="00FA4573">
        <w:rPr>
          <w:rFonts w:eastAsia="Malgun Gothic" w:hint="eastAsia"/>
          <w:lang w:eastAsia="ko-KR"/>
        </w:rPr>
        <w:t>;</w:t>
      </w:r>
    </w:p>
    <w:p w14:paraId="5E075AED" w14:textId="77777777" w:rsidR="00A63D1D" w:rsidRPr="00FA4573" w:rsidRDefault="00A63D1D" w:rsidP="00A63D1D">
      <w:pPr>
        <w:pStyle w:val="ListParagraph"/>
        <w:numPr>
          <w:ilvl w:val="0"/>
          <w:numId w:val="8"/>
        </w:numPr>
        <w:spacing w:before="60" w:after="60"/>
        <w:ind w:left="714" w:hanging="357"/>
        <w:contextualSpacing w:val="0"/>
        <w:rPr>
          <w:rFonts w:eastAsia="Malgun Gothic"/>
          <w:lang w:eastAsia="ko-KR"/>
        </w:rPr>
      </w:pPr>
      <w:r w:rsidRPr="00FA4573">
        <w:rPr>
          <w:rFonts w:eastAsia="Malgun Gothic" w:hint="eastAsia"/>
          <w:lang w:eastAsia="ko-KR"/>
        </w:rPr>
        <w:t xml:space="preserve">Section 4: </w:t>
      </w:r>
      <w:r w:rsidRPr="00FA4573">
        <w:rPr>
          <w:rFonts w:eastAsia="Malgun Gothic"/>
          <w:lang w:eastAsia="ko-KR"/>
        </w:rPr>
        <w:t>ITU-D study group work and outputs</w:t>
      </w:r>
      <w:r w:rsidRPr="00FA4573">
        <w:rPr>
          <w:rFonts w:eastAsia="Malgun Gothic" w:hint="eastAsia"/>
          <w:lang w:eastAsia="ko-KR"/>
        </w:rPr>
        <w:t xml:space="preserve">, </w:t>
      </w:r>
      <w:r w:rsidRPr="00FA4573">
        <w:rPr>
          <w:rFonts w:eastAsia="Malgun Gothic"/>
          <w:lang w:eastAsia="ko-KR"/>
        </w:rPr>
        <w:t>including</w:t>
      </w:r>
      <w:r w:rsidRPr="00FA4573">
        <w:rPr>
          <w:rFonts w:eastAsia="Malgun Gothic" w:hint="eastAsia"/>
          <w:lang w:eastAsia="ko-KR"/>
        </w:rPr>
        <w:t xml:space="preserve"> satisfaction and importance levels of current study Questions, usage of study group outputs, alignment with strategic goals and regional initiatives, as well as suggestions for improvement.</w:t>
      </w:r>
    </w:p>
    <w:p w14:paraId="5B381E2C" w14:textId="77777777" w:rsidR="00A63D1D" w:rsidRPr="00FA4573" w:rsidRDefault="00A63D1D" w:rsidP="00A63D1D">
      <w:pPr>
        <w:overflowPunct/>
        <w:autoSpaceDE/>
        <w:autoSpaceDN/>
        <w:adjustRightInd/>
        <w:spacing w:after="120"/>
        <w:textAlignment w:val="auto"/>
        <w:rPr>
          <w:rFonts w:eastAsia="Malgun Gothic" w:cstheme="minorHAnsi"/>
          <w:szCs w:val="24"/>
          <w:lang w:eastAsia="ko-KR"/>
        </w:rPr>
      </w:pPr>
      <w:r w:rsidRPr="00FA4573">
        <w:rPr>
          <w:rFonts w:eastAsia="Malgun Gothic" w:hint="eastAsia"/>
          <w:szCs w:val="24"/>
          <w:lang w:eastAsia="ko-KR"/>
        </w:rPr>
        <w:t xml:space="preserve">The highlights and full version of the report can be found in Document </w:t>
      </w:r>
      <w:hyperlink r:id="rId130" w:history="1">
        <w:r w:rsidRPr="00FA4573">
          <w:rPr>
            <w:rStyle w:val="Hyperlink"/>
            <w:bCs/>
            <w:lang w:val="en-US"/>
          </w:rPr>
          <w:t>2/385</w:t>
        </w:r>
      </w:hyperlink>
      <w:r w:rsidRPr="00FA4573">
        <w:rPr>
          <w:rFonts w:eastAsia="Malgun Gothic" w:hint="eastAsia"/>
          <w:szCs w:val="24"/>
          <w:lang w:eastAsia="ko-KR"/>
        </w:rPr>
        <w:t xml:space="preserve">. </w:t>
      </w:r>
      <w:r w:rsidRPr="00FA4573">
        <w:rPr>
          <w:szCs w:val="24"/>
        </w:rPr>
        <w:t xml:space="preserve">The findings of the surveys can be useful for the </w:t>
      </w:r>
      <w:r w:rsidRPr="00FA4573">
        <w:rPr>
          <w:rFonts w:eastAsia="Malgun Gothic" w:hint="eastAsia"/>
          <w:szCs w:val="24"/>
          <w:lang w:eastAsia="ko-KR"/>
        </w:rPr>
        <w:t>ITU m</w:t>
      </w:r>
      <w:r w:rsidRPr="00FA4573">
        <w:rPr>
          <w:szCs w:val="24"/>
        </w:rPr>
        <w:t>embership as part of preparations for WTDC-25 particularly the sections relevant to</w:t>
      </w:r>
      <w:r w:rsidRPr="00FA4573">
        <w:rPr>
          <w:rFonts w:cstheme="minorHAnsi"/>
          <w:szCs w:val="24"/>
        </w:rPr>
        <w:t xml:space="preserve"> discussions on future of Questions and on working methods of study groups. </w:t>
      </w:r>
    </w:p>
    <w:p w14:paraId="12EA634A" w14:textId="77777777" w:rsidR="00A63D1D" w:rsidRPr="00FA4573" w:rsidRDefault="00A63D1D" w:rsidP="00A63D1D">
      <w:pPr>
        <w:pStyle w:val="Heading1"/>
        <w:spacing w:before="120" w:after="120"/>
      </w:pPr>
      <w:r w:rsidRPr="00FA4573">
        <w:lastRenderedPageBreak/>
        <w:t>Conclusion</w:t>
      </w:r>
    </w:p>
    <w:p w14:paraId="44EFD78A" w14:textId="77777777" w:rsidR="00A63D1D" w:rsidRPr="00FA4573" w:rsidRDefault="00A63D1D" w:rsidP="00A63D1D">
      <w:pPr>
        <w:pStyle w:val="CEOcontribution-H123"/>
        <w:numPr>
          <w:ilvl w:val="0"/>
          <w:numId w:val="0"/>
        </w:numPr>
        <w:adjustRightInd w:val="0"/>
        <w:snapToGrid w:val="0"/>
        <w:rPr>
          <w:b w:val="0"/>
          <w:bCs/>
          <w:sz w:val="24"/>
          <w:szCs w:val="24"/>
        </w:rPr>
        <w:sectPr w:rsidR="00A63D1D" w:rsidRPr="00FA4573" w:rsidSect="00A63D1D">
          <w:headerReference w:type="default" r:id="rId131"/>
          <w:footerReference w:type="first" r:id="rId132"/>
          <w:pgSz w:w="11907" w:h="16840" w:code="9"/>
          <w:pgMar w:top="1418" w:right="1134" w:bottom="1418" w:left="1134" w:header="720" w:footer="720" w:gutter="0"/>
          <w:cols w:space="720"/>
          <w:titlePg/>
          <w:docGrid w:linePitch="326"/>
        </w:sectPr>
      </w:pPr>
      <w:r w:rsidRPr="00FA4573">
        <w:rPr>
          <w:b w:val="0"/>
          <w:bCs/>
          <w:sz w:val="24"/>
          <w:szCs w:val="24"/>
        </w:rPr>
        <w:t>Study Group 2 has successfully carried out its mandate because of the hard work, dedication, perseverance, flexibility, and expertise of all the parties concerned: the SG2 Management Team, Vice Chairs, (Co-)Rapporteurs, Vice-Rapporteurs, Focal Points, Secretariat, active contributors, meeting participants, interpreters and translators and all other persons working behind the scene. With strong support from the BDT Director and his staff, the Group has fulfilled its mission.</w:t>
      </w:r>
      <w:r w:rsidRPr="00FA4573">
        <w:br/>
      </w:r>
    </w:p>
    <w:p w14:paraId="402C91D0" w14:textId="77777777" w:rsidR="00A63D1D" w:rsidRPr="00FA4573" w:rsidRDefault="00A63D1D" w:rsidP="00A63D1D">
      <w:pPr>
        <w:spacing w:after="120"/>
        <w:jc w:val="center"/>
        <w:rPr>
          <w:b/>
          <w:bCs/>
        </w:rPr>
      </w:pPr>
      <w:r w:rsidRPr="00FA4573">
        <w:rPr>
          <w:b/>
          <w:bCs/>
        </w:rPr>
        <w:lastRenderedPageBreak/>
        <w:t>Annexes</w:t>
      </w:r>
    </w:p>
    <w:p w14:paraId="08E2B9C0" w14:textId="77777777" w:rsidR="00A63D1D" w:rsidRPr="00FA4573" w:rsidRDefault="00A63D1D" w:rsidP="00A63D1D">
      <w:pPr>
        <w:pStyle w:val="Heading5"/>
        <w:ind w:left="0" w:firstLine="0"/>
      </w:pPr>
      <w:r w:rsidRPr="00FA4573">
        <w:t>Annex 1: Appointed chair, vice-chairs, rapporteurs and vice-rapporteurs of ITU-D Study Group 2 Questions for the 2022-2025 study period</w:t>
      </w:r>
    </w:p>
    <w:p w14:paraId="7CFC9E6A" w14:textId="77777777" w:rsidR="00A63D1D" w:rsidRPr="00FA4573" w:rsidRDefault="00A63D1D" w:rsidP="00A63D1D">
      <w:pPr>
        <w:spacing w:after="120"/>
        <w:rPr>
          <w:bCs/>
          <w:szCs w:val="24"/>
        </w:rPr>
      </w:pPr>
      <w:r w:rsidRPr="00FA4573">
        <w:rPr>
          <w:b/>
          <w:szCs w:val="24"/>
        </w:rPr>
        <w:t>Table 1A: List of chair and vice-chairs</w:t>
      </w:r>
      <w:r w:rsidRPr="00FA4573">
        <w:rPr>
          <w:bCs/>
          <w:szCs w:val="24"/>
        </w:rPr>
        <w:t xml:space="preserve"> (also available at this </w:t>
      </w:r>
      <w:hyperlink r:id="rId133" w:history="1">
        <w:r w:rsidRPr="00FA4573">
          <w:rPr>
            <w:rStyle w:val="Hyperlink"/>
            <w:bCs/>
            <w:szCs w:val="24"/>
          </w:rPr>
          <w:t>web page</w:t>
        </w:r>
      </w:hyperlink>
      <w:r w:rsidRPr="00FA4573">
        <w:rPr>
          <w:bCs/>
          <w:szCs w:val="24"/>
        </w:rPr>
        <w:t>) and their attendance (O: physical, O</w:t>
      </w:r>
      <w:r w:rsidRPr="00FA4573">
        <w:rPr>
          <w:bCs/>
          <w:szCs w:val="24"/>
          <w:vertAlign w:val="superscript"/>
        </w:rPr>
        <w:t>R</w:t>
      </w:r>
      <w:r w:rsidRPr="00FA4573">
        <w:rPr>
          <w:bCs/>
          <w:szCs w:val="24"/>
        </w:rPr>
        <w:t>: remote)</w:t>
      </w:r>
    </w:p>
    <w:tbl>
      <w:tblPr>
        <w:tblW w:w="13984" w:type="dxa"/>
        <w:jc w:val="center"/>
        <w:tblCellMar>
          <w:left w:w="0" w:type="dxa"/>
          <w:right w:w="0" w:type="dxa"/>
        </w:tblCellMar>
        <w:tblLook w:val="04A0" w:firstRow="1" w:lastRow="0" w:firstColumn="1" w:lastColumn="0" w:noHBand="0" w:noVBand="1"/>
      </w:tblPr>
      <w:tblGrid>
        <w:gridCol w:w="1124"/>
        <w:gridCol w:w="5771"/>
        <w:gridCol w:w="1182"/>
        <w:gridCol w:w="1183"/>
        <w:gridCol w:w="1182"/>
        <w:gridCol w:w="1183"/>
        <w:gridCol w:w="1186"/>
        <w:gridCol w:w="1173"/>
      </w:tblGrid>
      <w:tr w:rsidR="00A63D1D" w:rsidRPr="00FA4573" w14:paraId="20ACE016" w14:textId="77777777" w:rsidTr="00A23C7D">
        <w:trPr>
          <w:trHeight w:val="293"/>
          <w:jc w:val="center"/>
        </w:trPr>
        <w:tc>
          <w:tcPr>
            <w:tcW w:w="1124"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02563409" w14:textId="77777777" w:rsidR="00A63D1D" w:rsidRPr="00FA4573" w:rsidRDefault="00A63D1D" w:rsidP="00A23C7D">
            <w:pPr>
              <w:spacing w:before="0"/>
              <w:rPr>
                <w:bCs/>
                <w:sz w:val="22"/>
                <w:szCs w:val="22"/>
              </w:rPr>
            </w:pPr>
          </w:p>
        </w:tc>
        <w:tc>
          <w:tcPr>
            <w:tcW w:w="5771" w:type="dxa"/>
            <w:vMerge w:val="restart"/>
            <w:tcBorders>
              <w:top w:val="single" w:sz="8" w:space="0" w:color="000000"/>
              <w:left w:val="single" w:sz="8" w:space="0" w:color="000000"/>
              <w:right w:val="single" w:sz="8" w:space="0" w:color="000000"/>
            </w:tcBorders>
            <w:shd w:val="clear" w:color="auto" w:fill="C6D9F1"/>
            <w:tcMar>
              <w:top w:w="15" w:type="dxa"/>
              <w:left w:w="108" w:type="dxa"/>
              <w:bottom w:w="0" w:type="dxa"/>
              <w:right w:w="108" w:type="dxa"/>
            </w:tcMar>
            <w:vAlign w:val="center"/>
            <w:hideMark/>
          </w:tcPr>
          <w:p w14:paraId="4016E38F" w14:textId="77777777" w:rsidR="00A63D1D" w:rsidRPr="00FA4573" w:rsidRDefault="00A63D1D" w:rsidP="00A23C7D">
            <w:pPr>
              <w:spacing w:before="0"/>
              <w:rPr>
                <w:bCs/>
                <w:sz w:val="22"/>
                <w:szCs w:val="22"/>
              </w:rPr>
            </w:pPr>
            <w:r w:rsidRPr="00FA4573">
              <w:rPr>
                <w:bCs/>
                <w:sz w:val="22"/>
                <w:szCs w:val="22"/>
              </w:rPr>
              <w:t>ITU-D STUDY GROUP 2</w:t>
            </w:r>
          </w:p>
        </w:tc>
        <w:tc>
          <w:tcPr>
            <w:tcW w:w="7089" w:type="dxa"/>
            <w:gridSpan w:val="6"/>
            <w:tcBorders>
              <w:top w:val="single" w:sz="8" w:space="0" w:color="000000"/>
              <w:left w:val="single" w:sz="8" w:space="0" w:color="000000"/>
              <w:right w:val="single" w:sz="8" w:space="0" w:color="000000"/>
            </w:tcBorders>
            <w:shd w:val="clear" w:color="auto" w:fill="C6D9F1"/>
          </w:tcPr>
          <w:p w14:paraId="4924B7D2" w14:textId="77777777" w:rsidR="00A63D1D" w:rsidRPr="00FA4573" w:rsidRDefault="00A63D1D" w:rsidP="00A23C7D">
            <w:pPr>
              <w:spacing w:before="0"/>
              <w:jc w:val="center"/>
              <w:rPr>
                <w:bCs/>
                <w:sz w:val="22"/>
                <w:szCs w:val="22"/>
              </w:rPr>
            </w:pPr>
            <w:r w:rsidRPr="00FA4573">
              <w:rPr>
                <w:bCs/>
                <w:sz w:val="22"/>
                <w:szCs w:val="22"/>
              </w:rPr>
              <w:t>Attendance</w:t>
            </w:r>
          </w:p>
        </w:tc>
      </w:tr>
      <w:tr w:rsidR="00A63D1D" w:rsidRPr="00FA4573" w14:paraId="2EAE2A12" w14:textId="77777777" w:rsidTr="00A23C7D">
        <w:trPr>
          <w:trHeight w:val="288"/>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231D7BF1" w14:textId="77777777" w:rsidR="00A63D1D" w:rsidRPr="00FA4573" w:rsidRDefault="00A63D1D" w:rsidP="00A23C7D">
            <w:pPr>
              <w:spacing w:before="0"/>
              <w:rPr>
                <w:bCs/>
                <w:sz w:val="22"/>
                <w:szCs w:val="22"/>
              </w:rPr>
            </w:pPr>
          </w:p>
        </w:tc>
        <w:tc>
          <w:tcPr>
            <w:tcW w:w="5771"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D289F1F" w14:textId="77777777" w:rsidR="00A63D1D" w:rsidRPr="00FA4573" w:rsidRDefault="00A63D1D" w:rsidP="00A23C7D">
            <w:pPr>
              <w:spacing w:before="0"/>
              <w:rPr>
                <w:bCs/>
                <w:sz w:val="22"/>
                <w:szCs w:val="22"/>
              </w:rPr>
            </w:pPr>
          </w:p>
        </w:tc>
        <w:tc>
          <w:tcPr>
            <w:tcW w:w="1182" w:type="dxa"/>
            <w:tcBorders>
              <w:left w:val="single" w:sz="8" w:space="0" w:color="000000"/>
              <w:bottom w:val="single" w:sz="8" w:space="0" w:color="000000"/>
              <w:right w:val="single" w:sz="8" w:space="0" w:color="000000"/>
            </w:tcBorders>
            <w:shd w:val="clear" w:color="auto" w:fill="C6D9F1"/>
          </w:tcPr>
          <w:p w14:paraId="5A6D488B" w14:textId="77777777" w:rsidR="00A63D1D" w:rsidRPr="00FA4573" w:rsidRDefault="00A63D1D" w:rsidP="00A23C7D">
            <w:pPr>
              <w:spacing w:before="0"/>
              <w:jc w:val="center"/>
              <w:rPr>
                <w:bCs/>
                <w:sz w:val="22"/>
                <w:szCs w:val="22"/>
              </w:rPr>
            </w:pPr>
            <w:r w:rsidRPr="00FA4573">
              <w:rPr>
                <w:bCs/>
                <w:sz w:val="18"/>
                <w:szCs w:val="18"/>
              </w:rPr>
              <w:t>2022 SG2</w:t>
            </w:r>
          </w:p>
        </w:tc>
        <w:tc>
          <w:tcPr>
            <w:tcW w:w="1183" w:type="dxa"/>
            <w:tcBorders>
              <w:left w:val="single" w:sz="8" w:space="0" w:color="000000"/>
              <w:bottom w:val="single" w:sz="8" w:space="0" w:color="000000"/>
              <w:right w:val="single" w:sz="8" w:space="0" w:color="000000"/>
            </w:tcBorders>
            <w:shd w:val="clear" w:color="auto" w:fill="C6D9F1"/>
          </w:tcPr>
          <w:p w14:paraId="2D84E5FF" w14:textId="77777777" w:rsidR="00A63D1D" w:rsidRPr="00FA4573" w:rsidRDefault="00A63D1D" w:rsidP="00A23C7D">
            <w:pPr>
              <w:spacing w:before="0"/>
              <w:jc w:val="center"/>
              <w:rPr>
                <w:bCs/>
                <w:sz w:val="18"/>
                <w:szCs w:val="18"/>
              </w:rPr>
            </w:pPr>
            <w:r w:rsidRPr="00FA4573">
              <w:rPr>
                <w:bCs/>
                <w:sz w:val="18"/>
                <w:szCs w:val="18"/>
              </w:rPr>
              <w:t>2023 RGQ2</w:t>
            </w:r>
          </w:p>
        </w:tc>
        <w:tc>
          <w:tcPr>
            <w:tcW w:w="1182" w:type="dxa"/>
            <w:tcBorders>
              <w:left w:val="single" w:sz="8" w:space="0" w:color="000000"/>
              <w:bottom w:val="single" w:sz="8" w:space="0" w:color="000000"/>
              <w:right w:val="single" w:sz="8" w:space="0" w:color="000000"/>
            </w:tcBorders>
            <w:shd w:val="clear" w:color="auto" w:fill="C6D9F1"/>
          </w:tcPr>
          <w:p w14:paraId="5E7837E2" w14:textId="77777777" w:rsidR="00A63D1D" w:rsidRPr="00FA4573" w:rsidRDefault="00A63D1D" w:rsidP="00A23C7D">
            <w:pPr>
              <w:spacing w:before="0"/>
              <w:jc w:val="center"/>
              <w:rPr>
                <w:bCs/>
                <w:sz w:val="18"/>
                <w:szCs w:val="18"/>
              </w:rPr>
            </w:pPr>
            <w:r w:rsidRPr="00FA4573">
              <w:rPr>
                <w:bCs/>
                <w:sz w:val="18"/>
                <w:szCs w:val="18"/>
              </w:rPr>
              <w:t>2023 SG2</w:t>
            </w:r>
          </w:p>
        </w:tc>
        <w:tc>
          <w:tcPr>
            <w:tcW w:w="1183" w:type="dxa"/>
            <w:tcBorders>
              <w:left w:val="single" w:sz="8" w:space="0" w:color="000000"/>
              <w:bottom w:val="single" w:sz="8" w:space="0" w:color="000000"/>
              <w:right w:val="single" w:sz="8" w:space="0" w:color="000000"/>
            </w:tcBorders>
            <w:shd w:val="clear" w:color="auto" w:fill="C6D9F1"/>
          </w:tcPr>
          <w:p w14:paraId="4504C78C" w14:textId="77777777" w:rsidR="00A63D1D" w:rsidRPr="00FA4573" w:rsidRDefault="00A63D1D" w:rsidP="00A23C7D">
            <w:pPr>
              <w:spacing w:before="0"/>
              <w:jc w:val="center"/>
              <w:rPr>
                <w:bCs/>
                <w:sz w:val="18"/>
                <w:szCs w:val="18"/>
              </w:rPr>
            </w:pPr>
            <w:r w:rsidRPr="00FA4573">
              <w:rPr>
                <w:bCs/>
                <w:sz w:val="18"/>
                <w:szCs w:val="18"/>
              </w:rPr>
              <w:t>202</w:t>
            </w:r>
            <w:r w:rsidRPr="00FA4573">
              <w:rPr>
                <w:bCs/>
                <w:sz w:val="18"/>
                <w:szCs w:val="18"/>
                <w:lang w:eastAsia="ko-KR"/>
              </w:rPr>
              <w:t>4</w:t>
            </w:r>
            <w:r w:rsidRPr="00FA4573">
              <w:rPr>
                <w:bCs/>
                <w:sz w:val="18"/>
                <w:szCs w:val="18"/>
              </w:rPr>
              <w:t xml:space="preserve"> </w:t>
            </w:r>
            <w:r w:rsidRPr="00FA4573">
              <w:rPr>
                <w:bCs/>
                <w:sz w:val="18"/>
                <w:szCs w:val="18"/>
                <w:lang w:eastAsia="ko-KR"/>
              </w:rPr>
              <w:t>RGQ</w:t>
            </w:r>
            <w:r w:rsidRPr="00FA4573">
              <w:rPr>
                <w:bCs/>
                <w:sz w:val="18"/>
                <w:szCs w:val="18"/>
              </w:rPr>
              <w:t>2</w:t>
            </w:r>
          </w:p>
        </w:tc>
        <w:tc>
          <w:tcPr>
            <w:tcW w:w="1186" w:type="dxa"/>
            <w:tcBorders>
              <w:left w:val="single" w:sz="8" w:space="0" w:color="000000"/>
              <w:bottom w:val="single" w:sz="8" w:space="0" w:color="000000"/>
              <w:right w:val="single" w:sz="8" w:space="0" w:color="000000"/>
            </w:tcBorders>
            <w:shd w:val="clear" w:color="auto" w:fill="C6D9F1"/>
          </w:tcPr>
          <w:p w14:paraId="636815A8" w14:textId="77777777" w:rsidR="00A63D1D" w:rsidRPr="00FA4573" w:rsidRDefault="00A63D1D" w:rsidP="00A23C7D">
            <w:pPr>
              <w:spacing w:before="0"/>
              <w:jc w:val="center"/>
              <w:rPr>
                <w:bCs/>
                <w:sz w:val="18"/>
                <w:szCs w:val="18"/>
                <w:lang w:eastAsia="ko-KR"/>
              </w:rPr>
            </w:pPr>
            <w:r w:rsidRPr="00FA4573">
              <w:rPr>
                <w:bCs/>
                <w:sz w:val="18"/>
                <w:szCs w:val="18"/>
                <w:lang w:eastAsia="ko-KR"/>
              </w:rPr>
              <w:t>2024 SG2</w:t>
            </w:r>
          </w:p>
        </w:tc>
        <w:tc>
          <w:tcPr>
            <w:tcW w:w="1173" w:type="dxa"/>
            <w:tcBorders>
              <w:left w:val="single" w:sz="8" w:space="0" w:color="000000"/>
              <w:bottom w:val="single" w:sz="8" w:space="0" w:color="000000"/>
              <w:right w:val="single" w:sz="8" w:space="0" w:color="000000"/>
            </w:tcBorders>
            <w:shd w:val="clear" w:color="auto" w:fill="C6D9F1"/>
          </w:tcPr>
          <w:p w14:paraId="2B13B908" w14:textId="77777777" w:rsidR="00A63D1D" w:rsidRPr="00FA4573" w:rsidRDefault="00A63D1D" w:rsidP="00A23C7D">
            <w:pPr>
              <w:spacing w:before="0"/>
              <w:jc w:val="center"/>
              <w:rPr>
                <w:bCs/>
                <w:sz w:val="18"/>
                <w:szCs w:val="18"/>
                <w:lang w:eastAsia="ko-KR"/>
              </w:rPr>
            </w:pPr>
            <w:r w:rsidRPr="00FA4573">
              <w:rPr>
                <w:bCs/>
                <w:sz w:val="18"/>
                <w:szCs w:val="18"/>
                <w:lang w:eastAsia="ko-KR"/>
              </w:rPr>
              <w:t>202</w:t>
            </w:r>
            <w:r w:rsidRPr="00FA4573">
              <w:rPr>
                <w:rFonts w:eastAsia="Malgun Gothic" w:hint="eastAsia"/>
                <w:bCs/>
                <w:sz w:val="18"/>
                <w:szCs w:val="18"/>
                <w:lang w:eastAsia="ko-KR"/>
              </w:rPr>
              <w:t>5</w:t>
            </w:r>
            <w:r w:rsidRPr="00FA4573">
              <w:rPr>
                <w:bCs/>
                <w:sz w:val="18"/>
                <w:szCs w:val="18"/>
                <w:lang w:eastAsia="ko-KR"/>
              </w:rPr>
              <w:t xml:space="preserve"> SG2</w:t>
            </w:r>
          </w:p>
        </w:tc>
      </w:tr>
      <w:tr w:rsidR="00A63D1D" w:rsidRPr="00FA4573" w14:paraId="5D034813" w14:textId="77777777" w:rsidTr="00A23C7D">
        <w:trPr>
          <w:trHeight w:val="169"/>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A90B6EC" w14:textId="77777777" w:rsidR="00A63D1D" w:rsidRPr="00FA4573" w:rsidRDefault="00A63D1D" w:rsidP="00A23C7D">
            <w:pPr>
              <w:spacing w:before="0"/>
              <w:rPr>
                <w:bCs/>
                <w:sz w:val="22"/>
                <w:szCs w:val="22"/>
              </w:rPr>
            </w:pPr>
            <w:r w:rsidRPr="00FA4573">
              <w:rPr>
                <w:bCs/>
                <w:sz w:val="22"/>
                <w:szCs w:val="22"/>
              </w:rPr>
              <w:t>Chair</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C67963" w14:textId="77777777" w:rsidR="00A63D1D" w:rsidRPr="00FA4573" w:rsidRDefault="00A63D1D" w:rsidP="00A23C7D">
            <w:pPr>
              <w:spacing w:before="0"/>
              <w:rPr>
                <w:bCs/>
                <w:sz w:val="22"/>
                <w:szCs w:val="22"/>
              </w:rPr>
            </w:pPr>
            <w:r w:rsidRPr="00FA4573">
              <w:rPr>
                <w:bCs/>
                <w:sz w:val="22"/>
                <w:szCs w:val="22"/>
              </w:rPr>
              <w:t>Mr Fadel Digham (Egypt)</w:t>
            </w:r>
          </w:p>
        </w:tc>
        <w:tc>
          <w:tcPr>
            <w:tcW w:w="1182" w:type="dxa"/>
            <w:tcBorders>
              <w:top w:val="single" w:sz="8" w:space="0" w:color="000000"/>
              <w:left w:val="single" w:sz="8" w:space="0" w:color="000000"/>
              <w:bottom w:val="single" w:sz="8" w:space="0" w:color="000000"/>
              <w:right w:val="single" w:sz="8" w:space="0" w:color="000000"/>
            </w:tcBorders>
          </w:tcPr>
          <w:p w14:paraId="752BBC41" w14:textId="77777777" w:rsidR="00A63D1D" w:rsidRPr="00FA4573" w:rsidRDefault="00A63D1D" w:rsidP="00A23C7D">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9E1FC08" w14:textId="77777777" w:rsidR="00A63D1D" w:rsidRPr="00FA4573" w:rsidRDefault="00A63D1D" w:rsidP="00A23C7D">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5D8E8078" w14:textId="77777777" w:rsidR="00A63D1D" w:rsidRPr="00FA4573" w:rsidRDefault="00A63D1D" w:rsidP="00A23C7D">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EE352F6" w14:textId="77777777" w:rsidR="00A63D1D" w:rsidRPr="00FA4573" w:rsidRDefault="00A63D1D" w:rsidP="00A23C7D">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31F27944" w14:textId="77777777" w:rsidR="00A63D1D" w:rsidRPr="00FA4573" w:rsidRDefault="00A63D1D" w:rsidP="00A23C7D">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3E22EDA2" w14:textId="77777777" w:rsidR="00A63D1D" w:rsidRPr="00FA4573" w:rsidRDefault="00A63D1D" w:rsidP="00A23C7D">
            <w:pPr>
              <w:spacing w:before="0"/>
              <w:jc w:val="center"/>
              <w:rPr>
                <w:bCs/>
                <w:sz w:val="22"/>
                <w:szCs w:val="22"/>
              </w:rPr>
            </w:pPr>
            <w:r w:rsidRPr="00FA4573">
              <w:rPr>
                <w:bCs/>
                <w:sz w:val="22"/>
                <w:szCs w:val="22"/>
              </w:rPr>
              <w:t>O</w:t>
            </w:r>
          </w:p>
        </w:tc>
      </w:tr>
      <w:tr w:rsidR="00A63D1D" w:rsidRPr="00FA4573" w14:paraId="1A141AF4" w14:textId="77777777" w:rsidTr="00A23C7D">
        <w:trPr>
          <w:trHeight w:val="169"/>
          <w:jc w:val="center"/>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1F0F424" w14:textId="77777777" w:rsidR="00A63D1D" w:rsidRPr="00FA4573" w:rsidRDefault="00A63D1D" w:rsidP="00A23C7D">
            <w:pPr>
              <w:spacing w:before="0"/>
              <w:rPr>
                <w:bCs/>
                <w:sz w:val="22"/>
                <w:szCs w:val="22"/>
              </w:rPr>
            </w:pPr>
            <w:r w:rsidRPr="00FA4573">
              <w:rPr>
                <w:bCs/>
                <w:sz w:val="22"/>
                <w:szCs w:val="22"/>
              </w:rPr>
              <w:t>Vice-chairs</w:t>
            </w: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D2F0DA" w14:textId="77777777" w:rsidR="00A63D1D" w:rsidRPr="00FA4573" w:rsidRDefault="00A63D1D" w:rsidP="00A23C7D">
            <w:pPr>
              <w:spacing w:before="0"/>
              <w:contextualSpacing/>
              <w:rPr>
                <w:rFonts w:cstheme="minorHAnsi"/>
                <w:bCs/>
                <w:szCs w:val="24"/>
              </w:rPr>
            </w:pPr>
            <w:r w:rsidRPr="00FA4573">
              <w:rPr>
                <w:rFonts w:eastAsiaTheme="minorEastAsia" w:cstheme="minorHAnsi"/>
                <w:color w:val="000000" w:themeColor="text1"/>
                <w:kern w:val="24"/>
                <w:szCs w:val="24"/>
              </w:rPr>
              <w:t>Mr Hideo Imanaka (Japan)</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7E6ECAFC" w14:textId="77777777" w:rsidR="00A63D1D" w:rsidRPr="00FA4573" w:rsidRDefault="00A63D1D" w:rsidP="00A23C7D">
            <w:pPr>
              <w:spacing w:before="0"/>
              <w:contextualSpacing/>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B6E260C" w14:textId="77777777" w:rsidR="00A63D1D" w:rsidRPr="00FA4573" w:rsidRDefault="00A63D1D" w:rsidP="00A23C7D">
            <w:pPr>
              <w:spacing w:before="0"/>
              <w:contextualSpacing/>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4BB687FB" w14:textId="77777777" w:rsidR="00A63D1D" w:rsidRPr="00FA4573" w:rsidRDefault="00A63D1D" w:rsidP="00A23C7D">
            <w:pPr>
              <w:spacing w:before="0"/>
              <w:contextualSpacing/>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48B7822" w14:textId="77777777" w:rsidR="00A63D1D" w:rsidRPr="00FA4573" w:rsidRDefault="00A63D1D" w:rsidP="00A23C7D">
            <w:pPr>
              <w:spacing w:before="0"/>
              <w:contextualSpacing/>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658C82EC" w14:textId="77777777" w:rsidR="00A63D1D" w:rsidRPr="00FA4573" w:rsidRDefault="00A63D1D" w:rsidP="00A23C7D">
            <w:pPr>
              <w:spacing w:before="0"/>
              <w:contextualSpacing/>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5A877804" w14:textId="77777777" w:rsidR="00A63D1D" w:rsidRPr="00FA4573" w:rsidRDefault="00A63D1D" w:rsidP="00A23C7D">
            <w:pPr>
              <w:spacing w:before="0"/>
              <w:contextualSpacing/>
              <w:jc w:val="center"/>
              <w:rPr>
                <w:bCs/>
                <w:sz w:val="22"/>
                <w:szCs w:val="22"/>
              </w:rPr>
            </w:pPr>
            <w:r w:rsidRPr="00FA4573">
              <w:rPr>
                <w:bCs/>
                <w:sz w:val="22"/>
                <w:szCs w:val="22"/>
              </w:rPr>
              <w:t>O</w:t>
            </w:r>
          </w:p>
        </w:tc>
      </w:tr>
      <w:tr w:rsidR="00A63D1D" w:rsidRPr="00FA4573" w14:paraId="41D39FDC"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05AD2E4"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593CEA" w14:textId="77777777" w:rsidR="00A63D1D" w:rsidRPr="00FA4573" w:rsidRDefault="00A63D1D" w:rsidP="00A23C7D">
            <w:pPr>
              <w:spacing w:before="0"/>
              <w:rPr>
                <w:rFonts w:cstheme="minorHAnsi"/>
                <w:bCs/>
                <w:szCs w:val="24"/>
              </w:rPr>
            </w:pPr>
            <w:r w:rsidRPr="00FA4573">
              <w:rPr>
                <w:rFonts w:eastAsiaTheme="minorEastAsia" w:cstheme="minorHAnsi"/>
                <w:color w:val="000000" w:themeColor="text1"/>
                <w:kern w:val="24"/>
                <w:szCs w:val="24"/>
              </w:rPr>
              <w:t xml:space="preserve">Ms Mina Seonmin Jun (Republic of Korea)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05828672"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B6C880C" w14:textId="77777777" w:rsidR="00A63D1D" w:rsidRPr="00FA4573" w:rsidRDefault="00A63D1D" w:rsidP="00A23C7D">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0DAC1CE3" w14:textId="77777777" w:rsidR="00A63D1D" w:rsidRPr="00FA4573" w:rsidRDefault="00A63D1D" w:rsidP="00A23C7D">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1EDCF2EE" w14:textId="77777777" w:rsidR="00A63D1D" w:rsidRPr="00FA4573" w:rsidRDefault="00A63D1D" w:rsidP="00A23C7D">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1D604C5C"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125E2C3B" w14:textId="77777777" w:rsidR="00A63D1D" w:rsidRPr="00FA4573" w:rsidRDefault="00A63D1D" w:rsidP="00A23C7D">
            <w:pPr>
              <w:spacing w:before="0"/>
              <w:jc w:val="center"/>
              <w:rPr>
                <w:bCs/>
                <w:sz w:val="22"/>
                <w:szCs w:val="22"/>
              </w:rPr>
            </w:pPr>
            <w:r w:rsidRPr="00FA4573">
              <w:rPr>
                <w:bCs/>
                <w:sz w:val="22"/>
                <w:szCs w:val="22"/>
              </w:rPr>
              <w:t>O</w:t>
            </w:r>
          </w:p>
        </w:tc>
      </w:tr>
      <w:tr w:rsidR="00A63D1D" w:rsidRPr="00FA4573" w14:paraId="61570737"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EA89F40"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F23C68" w14:textId="77777777" w:rsidR="00A63D1D" w:rsidRPr="00FA4573" w:rsidRDefault="00A63D1D" w:rsidP="00A23C7D">
            <w:pPr>
              <w:spacing w:before="0"/>
              <w:rPr>
                <w:rFonts w:cstheme="minorHAnsi"/>
                <w:bCs/>
                <w:szCs w:val="24"/>
              </w:rPr>
            </w:pPr>
            <w:r w:rsidRPr="00FA4573">
              <w:rPr>
                <w:rFonts w:eastAsiaTheme="minorEastAsia" w:cstheme="minorHAnsi"/>
                <w:color w:val="000000" w:themeColor="text1"/>
                <w:kern w:val="24"/>
                <w:szCs w:val="24"/>
              </w:rPr>
              <w:t xml:space="preserve">Mr Tongning Wu (China)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90439D2"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422B178A"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0A32D257" w14:textId="77777777" w:rsidR="00A63D1D" w:rsidRPr="00FA4573" w:rsidRDefault="00A63D1D" w:rsidP="00A23C7D">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ABC18D7" w14:textId="77777777" w:rsidR="00A63D1D" w:rsidRPr="00FA4573" w:rsidRDefault="00A63D1D" w:rsidP="00A23C7D">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7D11C3A6" w14:textId="77777777" w:rsidR="00A63D1D" w:rsidRPr="00FA4573" w:rsidRDefault="00A63D1D" w:rsidP="00A23C7D">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2D8BA573" w14:textId="77777777" w:rsidR="00A63D1D" w:rsidRPr="00FA4573" w:rsidRDefault="00A63D1D" w:rsidP="00A23C7D">
            <w:pPr>
              <w:spacing w:before="0"/>
              <w:jc w:val="center"/>
              <w:rPr>
                <w:bCs/>
                <w:sz w:val="22"/>
                <w:szCs w:val="22"/>
              </w:rPr>
            </w:pPr>
            <w:r w:rsidRPr="00FA4573">
              <w:rPr>
                <w:bCs/>
                <w:sz w:val="22"/>
                <w:szCs w:val="22"/>
              </w:rPr>
              <w:t>O</w:t>
            </w:r>
          </w:p>
        </w:tc>
      </w:tr>
      <w:tr w:rsidR="00A63D1D" w:rsidRPr="00FA4573" w14:paraId="6DB2C3A0"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2BCAC09"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20B40D" w14:textId="77777777" w:rsidR="00A63D1D" w:rsidRPr="00FA4573" w:rsidRDefault="00A63D1D" w:rsidP="00A23C7D">
            <w:pPr>
              <w:spacing w:before="0"/>
              <w:rPr>
                <w:rFonts w:cstheme="minorHAnsi"/>
                <w:bCs/>
                <w:color w:val="A6A6A6" w:themeColor="background1" w:themeShade="A6"/>
                <w:szCs w:val="24"/>
              </w:rPr>
            </w:pPr>
            <w:r w:rsidRPr="00FA4573">
              <w:rPr>
                <w:rFonts w:eastAsiaTheme="minorEastAsia" w:cstheme="minorHAnsi"/>
                <w:color w:val="000000" w:themeColor="text1"/>
                <w:kern w:val="24"/>
                <w:szCs w:val="24"/>
              </w:rPr>
              <w:t xml:space="preserve">Ms Zainab Ardo (Nigeria)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30A84E4F"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43D102A4" w14:textId="77777777" w:rsidR="00A63D1D" w:rsidRPr="00FA4573" w:rsidRDefault="00A63D1D" w:rsidP="00A23C7D">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445F3488" w14:textId="77777777" w:rsidR="00A63D1D" w:rsidRPr="00FA4573" w:rsidRDefault="00A63D1D" w:rsidP="00A23C7D">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136F0EEA" w14:textId="77777777" w:rsidR="00A63D1D" w:rsidRPr="00FA4573" w:rsidRDefault="00A63D1D" w:rsidP="00A23C7D">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269BE1C1"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45306C2D"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r>
      <w:tr w:rsidR="00A63D1D" w:rsidRPr="00FA4573" w14:paraId="33336812"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7E07C3B0"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EB2CCE" w14:textId="77777777" w:rsidR="00A63D1D" w:rsidRPr="00FA4573" w:rsidRDefault="00A63D1D" w:rsidP="00A23C7D">
            <w:pPr>
              <w:spacing w:before="0"/>
              <w:rPr>
                <w:rFonts w:cstheme="minorHAnsi"/>
                <w:bCs/>
                <w:szCs w:val="24"/>
              </w:rPr>
            </w:pPr>
            <w:r w:rsidRPr="00FA4573">
              <w:rPr>
                <w:rFonts w:eastAsiaTheme="minorEastAsia" w:cstheme="minorHAnsi"/>
                <w:color w:val="000000" w:themeColor="text1"/>
                <w:kern w:val="24"/>
                <w:szCs w:val="24"/>
              </w:rPr>
              <w:t xml:space="preserve">Mr Mohamed Lamine Minthe (Guinea)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7B2283AB"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6223718" w14:textId="77777777" w:rsidR="00A63D1D" w:rsidRPr="00FA4573" w:rsidRDefault="00A63D1D" w:rsidP="00A23C7D">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19A89D37" w14:textId="77777777" w:rsidR="00A63D1D" w:rsidRPr="00FA4573" w:rsidRDefault="00A63D1D" w:rsidP="00A23C7D">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74A40671" w14:textId="77777777" w:rsidR="00A63D1D" w:rsidRPr="00FA4573" w:rsidRDefault="00A63D1D" w:rsidP="00A23C7D">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5398177C" w14:textId="77777777" w:rsidR="00A63D1D" w:rsidRPr="00FA4573" w:rsidRDefault="00A63D1D" w:rsidP="00A23C7D">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0CC9C266"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r>
      <w:tr w:rsidR="00A63D1D" w:rsidRPr="00FA4573" w14:paraId="48C1B0A4"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562C4A09"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C2130C1" w14:textId="77777777" w:rsidR="00A63D1D" w:rsidRPr="00FA4573" w:rsidRDefault="00A63D1D" w:rsidP="00A23C7D">
            <w:pPr>
              <w:spacing w:before="0"/>
              <w:rPr>
                <w:rFonts w:cstheme="minorHAnsi"/>
                <w:bCs/>
                <w:szCs w:val="24"/>
              </w:rPr>
            </w:pPr>
            <w:r w:rsidRPr="00FA4573">
              <w:rPr>
                <w:rFonts w:eastAsiaTheme="minorEastAsia" w:cstheme="minorHAnsi"/>
                <w:color w:val="000000" w:themeColor="text1"/>
                <w:kern w:val="24"/>
                <w:szCs w:val="24"/>
              </w:rPr>
              <w:t xml:space="preserve">Mr Víctor Antonio Martínez Sánchez (Paraguay)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20585520"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77C66D96"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1266FFD7" w14:textId="77777777" w:rsidR="00A63D1D" w:rsidRPr="00FA4573" w:rsidRDefault="00A63D1D" w:rsidP="00A23C7D">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1471A7C3" w14:textId="77777777" w:rsidR="00A63D1D" w:rsidRPr="00FA4573" w:rsidRDefault="00A63D1D" w:rsidP="00A23C7D">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673D9058" w14:textId="77777777" w:rsidR="00A63D1D" w:rsidRPr="00FA4573" w:rsidRDefault="00A63D1D" w:rsidP="00A23C7D">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3FD77C20" w14:textId="77777777" w:rsidR="00A63D1D" w:rsidRPr="00FA4573" w:rsidRDefault="00A63D1D" w:rsidP="00A23C7D">
            <w:pPr>
              <w:spacing w:before="0"/>
              <w:jc w:val="center"/>
              <w:rPr>
                <w:bCs/>
                <w:sz w:val="22"/>
                <w:szCs w:val="22"/>
              </w:rPr>
            </w:pPr>
            <w:r w:rsidRPr="00FA4573">
              <w:rPr>
                <w:bCs/>
                <w:sz w:val="22"/>
                <w:szCs w:val="22"/>
              </w:rPr>
              <w:t>O</w:t>
            </w:r>
          </w:p>
        </w:tc>
      </w:tr>
      <w:tr w:rsidR="00A63D1D" w:rsidRPr="00FA4573" w14:paraId="2C621D76"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9A25553"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3B03182" w14:textId="77777777" w:rsidR="00A63D1D" w:rsidRPr="00FA4573" w:rsidRDefault="00A63D1D" w:rsidP="00A23C7D">
            <w:pPr>
              <w:spacing w:before="0"/>
              <w:rPr>
                <w:rFonts w:cstheme="minorHAnsi"/>
                <w:bCs/>
                <w:i/>
                <w:iCs/>
                <w:szCs w:val="24"/>
              </w:rPr>
            </w:pPr>
            <w:r w:rsidRPr="00FA4573">
              <w:rPr>
                <w:rFonts w:eastAsiaTheme="minorEastAsia" w:cstheme="minorHAnsi"/>
                <w:color w:val="000000" w:themeColor="text1"/>
                <w:kern w:val="24"/>
                <w:szCs w:val="24"/>
              </w:rPr>
              <w:t xml:space="preserve">Mr Dominique Würges (France)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96838B2"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3E53D0DE" w14:textId="77777777" w:rsidR="00A63D1D" w:rsidRPr="00FA4573" w:rsidRDefault="00A63D1D" w:rsidP="00A23C7D">
            <w:pPr>
              <w:spacing w:before="0"/>
              <w:jc w:val="center"/>
              <w:rPr>
                <w:bCs/>
                <w:sz w:val="22"/>
                <w:szCs w:val="22"/>
              </w:rPr>
            </w:pPr>
            <w:r w:rsidRPr="00FA4573">
              <w:rPr>
                <w:bCs/>
                <w:sz w:val="22"/>
                <w:szCs w:val="22"/>
              </w:rPr>
              <w:t>O</w:t>
            </w:r>
          </w:p>
        </w:tc>
        <w:tc>
          <w:tcPr>
            <w:tcW w:w="1182" w:type="dxa"/>
            <w:tcBorders>
              <w:top w:val="single" w:sz="8" w:space="0" w:color="000000"/>
              <w:left w:val="single" w:sz="8" w:space="0" w:color="000000"/>
              <w:bottom w:val="single" w:sz="8" w:space="0" w:color="000000"/>
              <w:right w:val="single" w:sz="8" w:space="0" w:color="000000"/>
            </w:tcBorders>
          </w:tcPr>
          <w:p w14:paraId="3080A413" w14:textId="77777777" w:rsidR="00A63D1D" w:rsidRPr="00FA4573" w:rsidRDefault="00A63D1D" w:rsidP="00A23C7D">
            <w:pPr>
              <w:spacing w:before="0"/>
              <w:jc w:val="center"/>
              <w:rPr>
                <w:bCs/>
                <w:sz w:val="22"/>
                <w:szCs w:val="2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5223350F" w14:textId="77777777" w:rsidR="00A63D1D" w:rsidRPr="00FA4573" w:rsidRDefault="00A63D1D" w:rsidP="00A23C7D">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2BB75738"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73" w:type="dxa"/>
            <w:tcBorders>
              <w:top w:val="single" w:sz="8" w:space="0" w:color="000000"/>
              <w:left w:val="single" w:sz="8" w:space="0" w:color="000000"/>
              <w:bottom w:val="single" w:sz="8" w:space="0" w:color="000000"/>
              <w:right w:val="single" w:sz="8" w:space="0" w:color="000000"/>
            </w:tcBorders>
          </w:tcPr>
          <w:p w14:paraId="3399BFDC"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r>
      <w:tr w:rsidR="00A63D1D" w:rsidRPr="00FA4573" w14:paraId="13622F41"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4B10F6BB"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D64CFB" w14:textId="77777777" w:rsidR="00A63D1D" w:rsidRPr="00FA4573" w:rsidRDefault="00A63D1D" w:rsidP="00A23C7D">
            <w:pPr>
              <w:spacing w:before="0"/>
              <w:rPr>
                <w:rFonts w:cstheme="minorHAnsi"/>
                <w:bCs/>
                <w:color w:val="A6A6A6" w:themeColor="background1" w:themeShade="A6"/>
                <w:szCs w:val="24"/>
              </w:rPr>
            </w:pPr>
            <w:r w:rsidRPr="00FA4573">
              <w:rPr>
                <w:rFonts w:eastAsiaTheme="minorEastAsia" w:cstheme="minorHAnsi"/>
                <w:color w:val="A6A6A6" w:themeColor="background1" w:themeShade="A6"/>
                <w:kern w:val="24"/>
                <w:szCs w:val="24"/>
              </w:rPr>
              <w:t>Ms Alina Modan (Romania)</w:t>
            </w:r>
          </w:p>
        </w:tc>
        <w:tc>
          <w:tcPr>
            <w:tcW w:w="1182" w:type="dxa"/>
            <w:tcBorders>
              <w:top w:val="single" w:sz="8" w:space="0" w:color="000000"/>
              <w:left w:val="single" w:sz="8" w:space="0" w:color="000000"/>
              <w:bottom w:val="single" w:sz="8" w:space="0" w:color="000000"/>
              <w:right w:val="single" w:sz="8" w:space="0" w:color="000000"/>
            </w:tcBorders>
          </w:tcPr>
          <w:p w14:paraId="0C542C5A" w14:textId="77777777" w:rsidR="00A63D1D" w:rsidRPr="00FA4573" w:rsidRDefault="00A63D1D" w:rsidP="00A23C7D">
            <w:pPr>
              <w:spacing w:before="0"/>
              <w:jc w:val="center"/>
              <w:rPr>
                <w:rFonts w:eastAsiaTheme="minorEastAsia" w:cstheme="minorHAnsi"/>
                <w:color w:val="A6A6A6" w:themeColor="background1" w:themeShade="A6"/>
                <w:kern w:val="24"/>
                <w:szCs w:val="24"/>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14363324" w14:textId="77777777" w:rsidR="00A63D1D" w:rsidRPr="00FA4573" w:rsidRDefault="00A63D1D" w:rsidP="00A23C7D">
            <w:pPr>
              <w:spacing w:before="0"/>
              <w:jc w:val="center"/>
              <w:rPr>
                <w:rFonts w:ascii="Calibri" w:hAnsi="Calibri"/>
                <w:color w:val="A6A6A6" w:themeColor="background1" w:themeShade="A6"/>
                <w:sz w:val="12"/>
                <w:szCs w:val="12"/>
              </w:rPr>
            </w:pPr>
          </w:p>
        </w:tc>
        <w:tc>
          <w:tcPr>
            <w:tcW w:w="4724" w:type="dxa"/>
            <w:gridSpan w:val="4"/>
            <w:tcBorders>
              <w:top w:val="single" w:sz="8" w:space="0" w:color="000000"/>
              <w:left w:val="single" w:sz="8" w:space="0" w:color="000000"/>
              <w:bottom w:val="single" w:sz="8" w:space="0" w:color="000000"/>
              <w:right w:val="single" w:sz="8" w:space="0" w:color="000000"/>
            </w:tcBorders>
          </w:tcPr>
          <w:p w14:paraId="7E54B9A0" w14:textId="77777777" w:rsidR="00A63D1D" w:rsidRPr="00FA4573" w:rsidRDefault="00A63D1D" w:rsidP="00A23C7D">
            <w:pPr>
              <w:spacing w:before="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w:t>
            </w:r>
            <w:r w:rsidRPr="00FA4573">
              <w:rPr>
                <w:rFonts w:ascii="Calibri" w:hAnsi="Calibri"/>
                <w:color w:val="A6A6A6" w:themeColor="background1" w:themeShade="A6"/>
                <w:sz w:val="12"/>
                <w:szCs w:val="12"/>
              </w:rPr>
              <w:br/>
              <w:t>June 2023)</w:t>
            </w:r>
          </w:p>
        </w:tc>
      </w:tr>
      <w:tr w:rsidR="00A63D1D" w:rsidRPr="00FA4573" w14:paraId="14AFDC61"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8BB9B78"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480FAE" w14:textId="77777777" w:rsidR="00A63D1D" w:rsidRPr="00FA4573" w:rsidRDefault="00A63D1D" w:rsidP="00A23C7D">
            <w:pPr>
              <w:spacing w:before="0"/>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Ms Carmen Madalina Clapon (Romania)</w:t>
            </w:r>
          </w:p>
        </w:tc>
        <w:tc>
          <w:tcPr>
            <w:tcW w:w="2365" w:type="dxa"/>
            <w:gridSpan w:val="2"/>
            <w:tcBorders>
              <w:top w:val="single" w:sz="8" w:space="0" w:color="000000"/>
              <w:left w:val="single" w:sz="8" w:space="0" w:color="000000"/>
              <w:bottom w:val="single" w:sz="8" w:space="0" w:color="000000"/>
              <w:right w:val="single" w:sz="8" w:space="0" w:color="000000"/>
            </w:tcBorders>
            <w:vAlign w:val="center"/>
          </w:tcPr>
          <w:p w14:paraId="378E4BD2" w14:textId="77777777" w:rsidR="00A63D1D" w:rsidRPr="00FA4573" w:rsidRDefault="00A63D1D" w:rsidP="00A23C7D">
            <w:pPr>
              <w:spacing w:before="0"/>
              <w:jc w:val="center"/>
              <w:rPr>
                <w:rFonts w:ascii="Calibri" w:hAnsi="Calibri"/>
                <w:color w:val="000000"/>
                <w:sz w:val="12"/>
                <w:szCs w:val="12"/>
              </w:rPr>
            </w:pPr>
            <w:r w:rsidRPr="00FA4573">
              <w:rPr>
                <w:rFonts w:ascii="Calibri" w:hAnsi="Calibri"/>
                <w:color w:val="000000"/>
                <w:sz w:val="12"/>
                <w:szCs w:val="12"/>
              </w:rPr>
              <w:t>(Not appointed yet)</w:t>
            </w:r>
          </w:p>
        </w:tc>
        <w:tc>
          <w:tcPr>
            <w:tcW w:w="1182" w:type="dxa"/>
            <w:tcBorders>
              <w:top w:val="single" w:sz="8" w:space="0" w:color="000000"/>
              <w:left w:val="single" w:sz="8" w:space="0" w:color="000000"/>
              <w:bottom w:val="single" w:sz="8" w:space="0" w:color="000000"/>
              <w:right w:val="single" w:sz="8" w:space="0" w:color="000000"/>
            </w:tcBorders>
            <w:vAlign w:val="center"/>
          </w:tcPr>
          <w:p w14:paraId="68FF874F" w14:textId="77777777" w:rsidR="00A63D1D" w:rsidRPr="00FA4573" w:rsidRDefault="00A63D1D" w:rsidP="00A23C7D">
            <w:pPr>
              <w:spacing w:before="0"/>
              <w:jc w:val="center"/>
              <w:rPr>
                <w:rFonts w:ascii="Calibri" w:hAnsi="Calibri"/>
                <w:color w:val="000000"/>
                <w:sz w:val="12"/>
                <w:szCs w:val="12"/>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2DF6E19A" w14:textId="77777777" w:rsidR="00A63D1D" w:rsidRPr="00FA4573" w:rsidRDefault="00A63D1D" w:rsidP="00A23C7D">
            <w:pPr>
              <w:spacing w:before="0"/>
              <w:jc w:val="center"/>
              <w:rPr>
                <w:bCs/>
                <w:sz w:val="22"/>
                <w:szCs w:val="22"/>
              </w:rPr>
            </w:pPr>
            <w:r w:rsidRPr="00FA4573">
              <w:rPr>
                <w:bCs/>
                <w:sz w:val="22"/>
                <w:szCs w:val="22"/>
              </w:rPr>
              <w:t>O</w:t>
            </w:r>
          </w:p>
        </w:tc>
        <w:tc>
          <w:tcPr>
            <w:tcW w:w="1186" w:type="dxa"/>
            <w:tcBorders>
              <w:top w:val="single" w:sz="8" w:space="0" w:color="000000"/>
              <w:left w:val="single" w:sz="8" w:space="0" w:color="000000"/>
              <w:bottom w:val="single" w:sz="8" w:space="0" w:color="000000"/>
              <w:right w:val="single" w:sz="8" w:space="0" w:color="000000"/>
            </w:tcBorders>
          </w:tcPr>
          <w:p w14:paraId="7339AD1B" w14:textId="77777777" w:rsidR="00A63D1D" w:rsidRPr="00FA4573" w:rsidRDefault="00A63D1D" w:rsidP="00A23C7D">
            <w:pPr>
              <w:spacing w:before="0"/>
              <w:jc w:val="center"/>
              <w:rPr>
                <w:bCs/>
                <w:sz w:val="22"/>
                <w:szCs w:val="22"/>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06B2CEB0" w14:textId="77777777" w:rsidR="00A63D1D" w:rsidRPr="00FA4573" w:rsidRDefault="00A63D1D" w:rsidP="00A23C7D">
            <w:pPr>
              <w:spacing w:before="0"/>
              <w:jc w:val="center"/>
              <w:rPr>
                <w:bCs/>
                <w:sz w:val="22"/>
                <w:szCs w:val="22"/>
              </w:rPr>
            </w:pPr>
            <w:r w:rsidRPr="00FA4573">
              <w:rPr>
                <w:bCs/>
                <w:sz w:val="22"/>
                <w:szCs w:val="22"/>
              </w:rPr>
              <w:t>O</w:t>
            </w:r>
          </w:p>
        </w:tc>
      </w:tr>
      <w:tr w:rsidR="00A63D1D" w:rsidRPr="00FA4573" w14:paraId="329E58B9" w14:textId="77777777" w:rsidTr="00A23C7D">
        <w:trPr>
          <w:trHeight w:val="169"/>
          <w:jc w:val="center"/>
        </w:trPr>
        <w:tc>
          <w:tcPr>
            <w:tcW w:w="1124" w:type="dxa"/>
            <w:vMerge/>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39A62FAF"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801A20" w14:textId="77777777" w:rsidR="00A63D1D" w:rsidRPr="00FA4573" w:rsidRDefault="00A63D1D" w:rsidP="00A23C7D">
            <w:pPr>
              <w:spacing w:before="0"/>
              <w:rPr>
                <w:rFonts w:eastAsia="Malgun Gothic" w:cstheme="minorHAnsi"/>
                <w:color w:val="000000" w:themeColor="text1"/>
                <w:kern w:val="24"/>
                <w:szCs w:val="24"/>
                <w:lang w:eastAsia="ko-KR"/>
              </w:rPr>
            </w:pPr>
            <w:r w:rsidRPr="00FA4573">
              <w:rPr>
                <w:rFonts w:eastAsiaTheme="minorEastAsia" w:cstheme="minorHAnsi"/>
                <w:color w:val="000000" w:themeColor="text1"/>
                <w:kern w:val="24"/>
                <w:szCs w:val="24"/>
              </w:rPr>
              <w:t>Mr Javokhir Aripov</w:t>
            </w:r>
            <w:r w:rsidRPr="00FA4573">
              <w:rPr>
                <w:rFonts w:eastAsia="Malgun Gothic" w:cstheme="minorHAnsi"/>
                <w:color w:val="000000" w:themeColor="text1"/>
                <w:kern w:val="24"/>
                <w:szCs w:val="24"/>
                <w:lang w:eastAsia="ko-KR"/>
              </w:rPr>
              <w:t xml:space="preserve"> </w:t>
            </w:r>
            <w:r w:rsidRPr="00FA4573">
              <w:rPr>
                <w:rFonts w:eastAsiaTheme="minorEastAsia" w:cstheme="minorHAnsi"/>
                <w:color w:val="000000" w:themeColor="text1"/>
                <w:kern w:val="24"/>
                <w:szCs w:val="24"/>
              </w:rPr>
              <w:t>(Uzbekistan)</w:t>
            </w:r>
          </w:p>
        </w:tc>
        <w:tc>
          <w:tcPr>
            <w:tcW w:w="4730" w:type="dxa"/>
            <w:gridSpan w:val="4"/>
            <w:tcBorders>
              <w:top w:val="single" w:sz="8" w:space="0" w:color="000000"/>
              <w:left w:val="single" w:sz="8" w:space="0" w:color="000000"/>
              <w:bottom w:val="single" w:sz="8" w:space="0" w:color="000000"/>
              <w:right w:val="single" w:sz="8" w:space="0" w:color="000000"/>
            </w:tcBorders>
            <w:vAlign w:val="center"/>
          </w:tcPr>
          <w:p w14:paraId="48771764" w14:textId="77777777" w:rsidR="00A63D1D" w:rsidRPr="00FA4573" w:rsidRDefault="00A63D1D" w:rsidP="00A23C7D">
            <w:pPr>
              <w:spacing w:before="0"/>
              <w:jc w:val="center"/>
              <w:rPr>
                <w:bCs/>
                <w:sz w:val="22"/>
                <w:szCs w:val="22"/>
              </w:rPr>
            </w:pPr>
            <w:r w:rsidRPr="00FA4573">
              <w:rPr>
                <w:rFonts w:ascii="Calibri" w:hAnsi="Calibri"/>
                <w:color w:val="000000"/>
                <w:sz w:val="12"/>
                <w:szCs w:val="12"/>
              </w:rPr>
              <w:t>(Not appointed yet)</w:t>
            </w:r>
          </w:p>
        </w:tc>
        <w:tc>
          <w:tcPr>
            <w:tcW w:w="1186" w:type="dxa"/>
            <w:tcBorders>
              <w:top w:val="single" w:sz="8" w:space="0" w:color="000000"/>
              <w:left w:val="single" w:sz="8" w:space="0" w:color="000000"/>
              <w:bottom w:val="single" w:sz="8" w:space="0" w:color="000000"/>
              <w:right w:val="single" w:sz="8" w:space="0" w:color="000000"/>
            </w:tcBorders>
          </w:tcPr>
          <w:p w14:paraId="1BC92209" w14:textId="77777777" w:rsidR="00A63D1D" w:rsidRPr="00FA4573" w:rsidRDefault="00A63D1D" w:rsidP="00A23C7D">
            <w:pPr>
              <w:spacing w:before="0"/>
              <w:jc w:val="center"/>
              <w:rPr>
                <w:bCs/>
                <w:sz w:val="22"/>
                <w:szCs w:val="22"/>
              </w:rPr>
            </w:pPr>
          </w:p>
        </w:tc>
        <w:tc>
          <w:tcPr>
            <w:tcW w:w="1173" w:type="dxa"/>
            <w:tcBorders>
              <w:top w:val="single" w:sz="8" w:space="0" w:color="000000"/>
              <w:left w:val="single" w:sz="8" w:space="0" w:color="000000"/>
              <w:bottom w:val="single" w:sz="8" w:space="0" w:color="000000"/>
              <w:right w:val="single" w:sz="8" w:space="0" w:color="000000"/>
            </w:tcBorders>
          </w:tcPr>
          <w:p w14:paraId="0E2B6A6C" w14:textId="77777777" w:rsidR="00A63D1D" w:rsidRPr="00FA4573" w:rsidRDefault="00A63D1D" w:rsidP="00A23C7D">
            <w:pPr>
              <w:spacing w:before="0"/>
              <w:jc w:val="center"/>
              <w:rPr>
                <w:bCs/>
                <w:sz w:val="22"/>
                <w:szCs w:val="22"/>
              </w:rPr>
            </w:pPr>
          </w:p>
        </w:tc>
      </w:tr>
      <w:tr w:rsidR="00A63D1D" w:rsidRPr="00FA4573" w14:paraId="043E4E25" w14:textId="77777777" w:rsidTr="00A23C7D">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7FBE807A"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53CF44" w14:textId="77777777" w:rsidR="00A63D1D" w:rsidRPr="00FA4573" w:rsidRDefault="00A63D1D" w:rsidP="00A23C7D">
            <w:pPr>
              <w:spacing w:before="0"/>
              <w:rPr>
                <w:rFonts w:cstheme="minorHAnsi"/>
                <w:bCs/>
                <w:color w:val="A6A6A6" w:themeColor="background1" w:themeShade="A6"/>
                <w:szCs w:val="24"/>
              </w:rPr>
            </w:pPr>
            <w:r w:rsidRPr="00FA4573">
              <w:rPr>
                <w:rFonts w:eastAsiaTheme="minorEastAsia" w:cstheme="minorHAnsi"/>
                <w:color w:val="A6A6A6" w:themeColor="background1" w:themeShade="A6"/>
                <w:kern w:val="24"/>
                <w:szCs w:val="24"/>
              </w:rPr>
              <w:t xml:space="preserve">Mr Diyor Rajabov (Uzbekistan) </w:t>
            </w:r>
            <w:r w:rsidRPr="00FA4573">
              <w:rPr>
                <w:rFonts w:eastAsiaTheme="minorEastAsia" w:cstheme="minorHAnsi"/>
                <w:color w:val="A6A6A6" w:themeColor="background1" w:themeShade="A6"/>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0C4342CA" w14:textId="77777777" w:rsidR="00A63D1D" w:rsidRPr="00FA4573" w:rsidRDefault="00A63D1D" w:rsidP="00A23C7D">
            <w:pPr>
              <w:spacing w:before="0"/>
              <w:jc w:val="center"/>
              <w:rPr>
                <w:rFonts w:eastAsiaTheme="minorEastAsia" w:cstheme="minorHAnsi"/>
                <w:color w:val="A6A6A6" w:themeColor="background1" w:themeShade="A6"/>
                <w:kern w:val="24"/>
                <w:szCs w:val="24"/>
              </w:rPr>
            </w:pPr>
            <w:r w:rsidRPr="00FA4573">
              <w:rPr>
                <w:bCs/>
                <w:color w:val="A6A6A6" w:themeColor="background1" w:themeShade="A6"/>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0B66061E" w14:textId="77777777" w:rsidR="00A63D1D" w:rsidRPr="00FA4573" w:rsidRDefault="00A63D1D" w:rsidP="00A23C7D">
            <w:pPr>
              <w:spacing w:before="0"/>
              <w:jc w:val="center"/>
              <w:rPr>
                <w:bCs/>
                <w:color w:val="A6A6A6" w:themeColor="background1" w:themeShade="A6"/>
                <w:sz w:val="22"/>
                <w:szCs w:val="22"/>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6405725B" w14:textId="77777777" w:rsidR="00A63D1D" w:rsidRPr="00FA4573" w:rsidRDefault="00A63D1D" w:rsidP="00A23C7D">
            <w:pPr>
              <w:spacing w:before="0"/>
              <w:jc w:val="center"/>
              <w:rPr>
                <w:rFonts w:eastAsiaTheme="minorEastAsia" w:cstheme="minorHAnsi"/>
                <w:color w:val="A6A6A6" w:themeColor="background1" w:themeShade="A6"/>
                <w:kern w:val="24"/>
                <w:szCs w:val="24"/>
              </w:rPr>
            </w:pPr>
            <w:r w:rsidRPr="00FA4573">
              <w:rPr>
                <w:bCs/>
                <w:color w:val="A6A6A6" w:themeColor="background1" w:themeShade="A6"/>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4000F582" w14:textId="77777777" w:rsidR="00A63D1D" w:rsidRPr="00FA4573" w:rsidRDefault="00A63D1D" w:rsidP="00A23C7D">
            <w:pPr>
              <w:spacing w:before="0"/>
              <w:jc w:val="center"/>
              <w:rPr>
                <w:bCs/>
                <w:color w:val="A6A6A6" w:themeColor="background1" w:themeShade="A6"/>
                <w:sz w:val="22"/>
                <w:szCs w:val="22"/>
              </w:rPr>
            </w:pPr>
            <w:r w:rsidRPr="00FA4573">
              <w:rPr>
                <w:rFonts w:eastAsiaTheme="minorEastAsia" w:cstheme="minorHAnsi"/>
                <w:color w:val="A6A6A6" w:themeColor="background1" w:themeShade="A6"/>
                <w:kern w:val="24"/>
                <w:szCs w:val="24"/>
              </w:rPr>
              <w:t>O</w:t>
            </w:r>
            <w:r w:rsidRPr="00FA4573">
              <w:rPr>
                <w:rFonts w:eastAsiaTheme="minorEastAsia" w:cstheme="minorHAnsi"/>
                <w:color w:val="A6A6A6" w:themeColor="background1" w:themeShade="A6"/>
                <w:kern w:val="24"/>
                <w:szCs w:val="24"/>
                <w:vertAlign w:val="superscript"/>
              </w:rPr>
              <w:t>R</w:t>
            </w:r>
          </w:p>
        </w:tc>
        <w:tc>
          <w:tcPr>
            <w:tcW w:w="2359" w:type="dxa"/>
            <w:gridSpan w:val="2"/>
            <w:tcBorders>
              <w:top w:val="single" w:sz="8" w:space="0" w:color="000000"/>
              <w:left w:val="single" w:sz="8" w:space="0" w:color="000000"/>
              <w:bottom w:val="single" w:sz="8" w:space="0" w:color="000000"/>
              <w:right w:val="single" w:sz="8" w:space="0" w:color="000000"/>
            </w:tcBorders>
            <w:vAlign w:val="center"/>
          </w:tcPr>
          <w:p w14:paraId="7FD75E01" w14:textId="77777777" w:rsidR="00A63D1D" w:rsidRPr="00FA4573" w:rsidRDefault="00A63D1D" w:rsidP="00A23C7D">
            <w:pPr>
              <w:spacing w:before="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lang w:eastAsia="ko-KR"/>
              </w:rPr>
              <w:t>September</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A63D1D" w:rsidRPr="00FA4573" w14:paraId="2F029576" w14:textId="77777777" w:rsidTr="00A23C7D">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654885A1"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3B676D" w14:textId="77777777" w:rsidR="00A63D1D" w:rsidRPr="00FA4573" w:rsidRDefault="00A63D1D" w:rsidP="00A23C7D">
            <w:pPr>
              <w:spacing w:before="0"/>
              <w:rPr>
                <w:rFonts w:cstheme="minorHAnsi"/>
                <w:bCs/>
                <w:szCs w:val="24"/>
              </w:rPr>
            </w:pPr>
            <w:r w:rsidRPr="00FA4573">
              <w:rPr>
                <w:rFonts w:eastAsiaTheme="minorEastAsia" w:cstheme="minorHAnsi"/>
                <w:color w:val="000000" w:themeColor="text1"/>
                <w:kern w:val="24"/>
                <w:szCs w:val="24"/>
              </w:rPr>
              <w:t xml:space="preserve">Mr Mushfig Guluyev (Azerbaijan) </w:t>
            </w:r>
            <w:r w:rsidRPr="00FA4573">
              <w:rPr>
                <w:rFonts w:eastAsiaTheme="minorEastAsia" w:cstheme="minorHAnsi"/>
                <w:color w:val="000000" w:themeColor="text1"/>
                <w:kern w:val="24"/>
                <w:szCs w:val="24"/>
              </w:rPr>
              <w:tab/>
            </w:r>
          </w:p>
        </w:tc>
        <w:tc>
          <w:tcPr>
            <w:tcW w:w="1182" w:type="dxa"/>
            <w:tcBorders>
              <w:top w:val="single" w:sz="8" w:space="0" w:color="000000"/>
              <w:left w:val="single" w:sz="8" w:space="0" w:color="000000"/>
              <w:bottom w:val="single" w:sz="8" w:space="0" w:color="000000"/>
              <w:right w:val="single" w:sz="8" w:space="0" w:color="000000"/>
            </w:tcBorders>
          </w:tcPr>
          <w:p w14:paraId="43FB96B1"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25D0D2D4"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2" w:type="dxa"/>
            <w:tcBorders>
              <w:top w:val="single" w:sz="8" w:space="0" w:color="000000"/>
              <w:left w:val="single" w:sz="8" w:space="0" w:color="000000"/>
              <w:bottom w:val="single" w:sz="8" w:space="0" w:color="000000"/>
              <w:right w:val="single" w:sz="8" w:space="0" w:color="000000"/>
            </w:tcBorders>
          </w:tcPr>
          <w:p w14:paraId="5734D047"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3" w:type="dxa"/>
            <w:tcBorders>
              <w:top w:val="single" w:sz="8" w:space="0" w:color="000000"/>
              <w:left w:val="single" w:sz="8" w:space="0" w:color="000000"/>
              <w:bottom w:val="single" w:sz="8" w:space="0" w:color="000000"/>
              <w:right w:val="single" w:sz="8" w:space="0" w:color="000000"/>
            </w:tcBorders>
          </w:tcPr>
          <w:p w14:paraId="202715A7"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167663B0" w14:textId="77777777" w:rsidR="00A63D1D" w:rsidRPr="00FA4573" w:rsidRDefault="00A63D1D" w:rsidP="00A23C7D">
            <w:pPr>
              <w:spacing w:before="0"/>
              <w:jc w:val="center"/>
              <w:rPr>
                <w:rFonts w:eastAsiaTheme="minorEastAsia" w:cstheme="minorHAnsi"/>
                <w:color w:val="000000" w:themeColor="text1"/>
                <w:kern w:val="24"/>
                <w:szCs w:val="24"/>
              </w:rPr>
            </w:pPr>
          </w:p>
        </w:tc>
        <w:tc>
          <w:tcPr>
            <w:tcW w:w="1173" w:type="dxa"/>
            <w:tcBorders>
              <w:top w:val="single" w:sz="8" w:space="0" w:color="000000"/>
              <w:left w:val="single" w:sz="8" w:space="0" w:color="000000"/>
              <w:bottom w:val="single" w:sz="8" w:space="0" w:color="000000"/>
              <w:right w:val="single" w:sz="8" w:space="0" w:color="000000"/>
            </w:tcBorders>
          </w:tcPr>
          <w:p w14:paraId="56DB1D5E" w14:textId="77777777" w:rsidR="00A63D1D" w:rsidRPr="00FA4573" w:rsidRDefault="00A63D1D" w:rsidP="00A23C7D">
            <w:pPr>
              <w:spacing w:before="0"/>
              <w:jc w:val="center"/>
              <w:rPr>
                <w:rFonts w:eastAsiaTheme="minorEastAsia" w:cstheme="minorHAnsi"/>
                <w:color w:val="000000" w:themeColor="text1"/>
                <w:kern w:val="24"/>
                <w:szCs w:val="24"/>
              </w:rPr>
            </w:pPr>
          </w:p>
        </w:tc>
      </w:tr>
      <w:tr w:rsidR="00A63D1D" w:rsidRPr="00FA4573" w14:paraId="1A0C24DF" w14:textId="77777777" w:rsidTr="00A23C7D">
        <w:trPr>
          <w:trHeight w:val="245"/>
          <w:jc w:val="center"/>
        </w:trPr>
        <w:tc>
          <w:tcPr>
            <w:tcW w:w="1124" w:type="dxa"/>
            <w:vMerge/>
            <w:tcBorders>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tcPr>
          <w:p w14:paraId="112CA271" w14:textId="77777777" w:rsidR="00A63D1D" w:rsidRPr="00FA4573" w:rsidRDefault="00A63D1D" w:rsidP="00A23C7D">
            <w:pPr>
              <w:spacing w:before="0"/>
              <w:rPr>
                <w:bCs/>
                <w:sz w:val="22"/>
                <w:szCs w:val="22"/>
              </w:rPr>
            </w:pPr>
          </w:p>
        </w:tc>
        <w:tc>
          <w:tcPr>
            <w:tcW w:w="57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6082F8" w14:textId="77777777" w:rsidR="00A63D1D" w:rsidRPr="00FA4573" w:rsidRDefault="00A63D1D" w:rsidP="00A23C7D">
            <w:pPr>
              <w:spacing w:before="0"/>
              <w:rPr>
                <w:rFonts w:cstheme="minorHAnsi"/>
                <w:bCs/>
                <w:szCs w:val="24"/>
              </w:rPr>
            </w:pPr>
            <w:r w:rsidRPr="00FA4573">
              <w:rPr>
                <w:rFonts w:eastAsiaTheme="minorEastAsia" w:cstheme="minorHAnsi"/>
                <w:color w:val="000000" w:themeColor="text1"/>
                <w:kern w:val="24"/>
                <w:szCs w:val="24"/>
              </w:rPr>
              <w:t>Mr Abdelaziz Alzarooni (United Arab Emirates)</w:t>
            </w:r>
          </w:p>
        </w:tc>
        <w:tc>
          <w:tcPr>
            <w:tcW w:w="1182" w:type="dxa"/>
            <w:tcBorders>
              <w:top w:val="single" w:sz="8" w:space="0" w:color="000000"/>
              <w:left w:val="single" w:sz="8" w:space="0" w:color="000000"/>
              <w:bottom w:val="single" w:sz="8" w:space="0" w:color="000000"/>
              <w:right w:val="single" w:sz="8" w:space="0" w:color="000000"/>
            </w:tcBorders>
          </w:tcPr>
          <w:p w14:paraId="298D4D98" w14:textId="77777777" w:rsidR="00A63D1D" w:rsidRPr="00FA4573" w:rsidRDefault="00A63D1D" w:rsidP="00A23C7D">
            <w:pPr>
              <w:spacing w:before="0"/>
              <w:jc w:val="center"/>
              <w:rPr>
                <w:rFonts w:eastAsiaTheme="minorEastAsia" w:cstheme="minorHAnsi"/>
                <w:color w:val="000000" w:themeColor="text1"/>
                <w:kern w:val="24"/>
                <w:szCs w:val="24"/>
              </w:rPr>
            </w:pPr>
          </w:p>
        </w:tc>
        <w:tc>
          <w:tcPr>
            <w:tcW w:w="1183" w:type="dxa"/>
            <w:tcBorders>
              <w:top w:val="single" w:sz="8" w:space="0" w:color="000000"/>
              <w:left w:val="single" w:sz="8" w:space="0" w:color="000000"/>
              <w:bottom w:val="single" w:sz="8" w:space="0" w:color="000000"/>
              <w:right w:val="single" w:sz="8" w:space="0" w:color="000000"/>
            </w:tcBorders>
          </w:tcPr>
          <w:p w14:paraId="2CE69078" w14:textId="77777777" w:rsidR="00A63D1D" w:rsidRPr="00FA4573" w:rsidRDefault="00A63D1D" w:rsidP="00A23C7D">
            <w:pPr>
              <w:spacing w:before="0"/>
              <w:jc w:val="center"/>
              <w:rPr>
                <w:rFonts w:eastAsiaTheme="minorEastAsia" w:cstheme="minorHAnsi"/>
                <w:color w:val="000000" w:themeColor="text1"/>
                <w:kern w:val="24"/>
                <w:szCs w:val="24"/>
              </w:rPr>
            </w:pPr>
          </w:p>
        </w:tc>
        <w:tc>
          <w:tcPr>
            <w:tcW w:w="1182" w:type="dxa"/>
            <w:tcBorders>
              <w:top w:val="single" w:sz="8" w:space="0" w:color="000000"/>
              <w:left w:val="single" w:sz="8" w:space="0" w:color="000000"/>
              <w:bottom w:val="single" w:sz="8" w:space="0" w:color="000000"/>
              <w:right w:val="single" w:sz="8" w:space="0" w:color="000000"/>
            </w:tcBorders>
          </w:tcPr>
          <w:p w14:paraId="244113AD"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83" w:type="dxa"/>
            <w:tcBorders>
              <w:top w:val="single" w:sz="8" w:space="0" w:color="000000"/>
              <w:left w:val="single" w:sz="8" w:space="0" w:color="000000"/>
              <w:bottom w:val="single" w:sz="8" w:space="0" w:color="000000"/>
              <w:right w:val="single" w:sz="8" w:space="0" w:color="000000"/>
            </w:tcBorders>
          </w:tcPr>
          <w:p w14:paraId="6F9CA3A5" w14:textId="77777777" w:rsidR="00A63D1D" w:rsidRPr="00FA4573" w:rsidRDefault="00A63D1D" w:rsidP="00A23C7D">
            <w:pPr>
              <w:spacing w:before="0"/>
              <w:jc w:val="center"/>
              <w:rPr>
                <w:bCs/>
                <w:sz w:val="22"/>
                <w:szCs w:val="22"/>
              </w:rPr>
            </w:pPr>
            <w:r w:rsidRPr="00FA4573">
              <w:rPr>
                <w:rFonts w:eastAsiaTheme="minorEastAsia" w:cstheme="minorHAnsi"/>
                <w:color w:val="000000" w:themeColor="text1"/>
                <w:kern w:val="24"/>
                <w:szCs w:val="24"/>
              </w:rPr>
              <w:t>O</w:t>
            </w:r>
            <w:r w:rsidRPr="00FA4573">
              <w:rPr>
                <w:rFonts w:eastAsiaTheme="minorEastAsia" w:cstheme="minorHAnsi"/>
                <w:color w:val="000000" w:themeColor="text1"/>
                <w:kern w:val="24"/>
                <w:szCs w:val="24"/>
                <w:vertAlign w:val="superscript"/>
              </w:rPr>
              <w:t>R</w:t>
            </w:r>
          </w:p>
        </w:tc>
        <w:tc>
          <w:tcPr>
            <w:tcW w:w="1186" w:type="dxa"/>
            <w:tcBorders>
              <w:top w:val="single" w:sz="8" w:space="0" w:color="000000"/>
              <w:left w:val="single" w:sz="8" w:space="0" w:color="000000"/>
              <w:bottom w:val="single" w:sz="8" w:space="0" w:color="000000"/>
              <w:right w:val="single" w:sz="8" w:space="0" w:color="000000"/>
            </w:tcBorders>
          </w:tcPr>
          <w:p w14:paraId="673EDBF0" w14:textId="77777777" w:rsidR="00A63D1D" w:rsidRPr="00FA4573" w:rsidRDefault="00A63D1D" w:rsidP="00A23C7D">
            <w:pPr>
              <w:spacing w:before="0"/>
              <w:jc w:val="center"/>
              <w:rPr>
                <w:rFonts w:eastAsiaTheme="minorEastAsia" w:cstheme="minorHAnsi"/>
                <w:color w:val="000000" w:themeColor="text1"/>
                <w:kern w:val="24"/>
                <w:szCs w:val="24"/>
              </w:rPr>
            </w:pPr>
            <w:r w:rsidRPr="00FA4573">
              <w:rPr>
                <w:bCs/>
                <w:sz w:val="22"/>
                <w:szCs w:val="22"/>
              </w:rPr>
              <w:t>O</w:t>
            </w:r>
          </w:p>
        </w:tc>
        <w:tc>
          <w:tcPr>
            <w:tcW w:w="1173" w:type="dxa"/>
            <w:tcBorders>
              <w:top w:val="single" w:sz="8" w:space="0" w:color="000000"/>
              <w:left w:val="single" w:sz="8" w:space="0" w:color="000000"/>
              <w:bottom w:val="single" w:sz="8" w:space="0" w:color="000000"/>
              <w:right w:val="single" w:sz="8" w:space="0" w:color="000000"/>
            </w:tcBorders>
          </w:tcPr>
          <w:p w14:paraId="71886EB6" w14:textId="77777777" w:rsidR="00A63D1D" w:rsidRPr="00474F78" w:rsidRDefault="00A63D1D" w:rsidP="00A23C7D">
            <w:pPr>
              <w:spacing w:before="0"/>
              <w:jc w:val="center"/>
              <w:rPr>
                <w:bCs/>
                <w:sz w:val="22"/>
                <w:szCs w:val="22"/>
                <w:lang w:val="fr-CH"/>
              </w:rPr>
            </w:pPr>
          </w:p>
        </w:tc>
      </w:tr>
    </w:tbl>
    <w:p w14:paraId="5EEF3017" w14:textId="77777777" w:rsidR="00A63D1D" w:rsidRPr="00FA4573" w:rsidRDefault="00A63D1D" w:rsidP="00A63D1D">
      <w:pPr>
        <w:spacing w:before="240" w:after="120"/>
        <w:rPr>
          <w:bCs/>
          <w:szCs w:val="24"/>
        </w:rPr>
      </w:pPr>
      <w:r w:rsidRPr="00FA4573">
        <w:rPr>
          <w:b/>
          <w:szCs w:val="24"/>
        </w:rPr>
        <w:t>Table 2A: List of (co-)rapporteurs and vice-rapporteurs</w:t>
      </w:r>
      <w:r w:rsidRPr="00FA4573">
        <w:rPr>
          <w:bCs/>
          <w:szCs w:val="24"/>
        </w:rPr>
        <w:t xml:space="preserve"> (also available at this </w:t>
      </w:r>
      <w:hyperlink r:id="rId134" w:history="1">
        <w:r w:rsidRPr="00FA4573">
          <w:rPr>
            <w:rStyle w:val="Hyperlink"/>
            <w:bCs/>
            <w:szCs w:val="24"/>
          </w:rPr>
          <w:t>web page</w:t>
        </w:r>
      </w:hyperlink>
      <w:r w:rsidRPr="00FA4573">
        <w:rPr>
          <w:bCs/>
          <w:szCs w:val="24"/>
        </w:rPr>
        <w:t>) and their attendance (O: physical, O</w:t>
      </w:r>
      <w:r w:rsidRPr="00FA4573">
        <w:rPr>
          <w:bCs/>
          <w:szCs w:val="24"/>
          <w:vertAlign w:val="superscript"/>
        </w:rPr>
        <w:t>R</w:t>
      </w:r>
      <w:r w:rsidRPr="00FA4573">
        <w:rPr>
          <w:bCs/>
          <w:szCs w:val="24"/>
        </w:rPr>
        <w:t>: remote)</w:t>
      </w:r>
    </w:p>
    <w:tbl>
      <w:tblPr>
        <w:tblW w:w="15025" w:type="dxa"/>
        <w:jc w:val="center"/>
        <w:tblLayout w:type="fixed"/>
        <w:tblLook w:val="04A0" w:firstRow="1" w:lastRow="0" w:firstColumn="1" w:lastColumn="0" w:noHBand="0" w:noVBand="1"/>
      </w:tblPr>
      <w:tblGrid>
        <w:gridCol w:w="1408"/>
        <w:gridCol w:w="1850"/>
        <w:gridCol w:w="2554"/>
        <w:gridCol w:w="1789"/>
        <w:gridCol w:w="1843"/>
        <w:gridCol w:w="1335"/>
        <w:gridCol w:w="697"/>
        <w:gridCol w:w="713"/>
        <w:gridCol w:w="711"/>
        <w:gridCol w:w="708"/>
        <w:gridCol w:w="708"/>
        <w:gridCol w:w="709"/>
      </w:tblGrid>
      <w:tr w:rsidR="00A63D1D" w:rsidRPr="00FA4573" w14:paraId="19EE2361" w14:textId="77777777" w:rsidTr="00A23C7D">
        <w:trPr>
          <w:trHeight w:val="372"/>
          <w:tblHeader/>
          <w:jc w:val="center"/>
        </w:trPr>
        <w:tc>
          <w:tcPr>
            <w:tcW w:w="1408" w:type="dxa"/>
            <w:vMerge w:val="restart"/>
            <w:tcBorders>
              <w:top w:val="single" w:sz="4" w:space="0" w:color="9BC2E6"/>
              <w:left w:val="nil"/>
              <w:right w:val="nil"/>
            </w:tcBorders>
            <w:shd w:val="clear" w:color="5B9BD5" w:fill="5B9BD5"/>
            <w:hideMark/>
          </w:tcPr>
          <w:p w14:paraId="1914BB39" w14:textId="77777777" w:rsidR="00A63D1D" w:rsidRPr="00FA4573" w:rsidRDefault="00A63D1D" w:rsidP="00A23C7D">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Question </w:t>
            </w:r>
          </w:p>
        </w:tc>
        <w:tc>
          <w:tcPr>
            <w:tcW w:w="1850" w:type="dxa"/>
            <w:vMerge w:val="restart"/>
            <w:tcBorders>
              <w:top w:val="single" w:sz="4" w:space="0" w:color="9BC2E6"/>
              <w:left w:val="nil"/>
              <w:right w:val="nil"/>
            </w:tcBorders>
            <w:shd w:val="clear" w:color="5B9BD5" w:fill="5B9BD5"/>
            <w:hideMark/>
          </w:tcPr>
          <w:p w14:paraId="4B5F3D84" w14:textId="77777777" w:rsidR="00A63D1D" w:rsidRPr="00FA4573" w:rsidRDefault="00A63D1D" w:rsidP="00A23C7D">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Role </w:t>
            </w:r>
          </w:p>
        </w:tc>
        <w:tc>
          <w:tcPr>
            <w:tcW w:w="2554" w:type="dxa"/>
            <w:vMerge w:val="restart"/>
            <w:tcBorders>
              <w:top w:val="single" w:sz="4" w:space="0" w:color="9BC2E6"/>
              <w:left w:val="nil"/>
              <w:right w:val="nil"/>
            </w:tcBorders>
            <w:shd w:val="clear" w:color="5B9BD5" w:fill="5B9BD5"/>
            <w:hideMark/>
          </w:tcPr>
          <w:p w14:paraId="1FC7D98E" w14:textId="77777777" w:rsidR="00A63D1D" w:rsidRPr="00FA4573" w:rsidRDefault="00A63D1D" w:rsidP="00A23C7D">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Name of candidate</w:t>
            </w:r>
          </w:p>
        </w:tc>
        <w:tc>
          <w:tcPr>
            <w:tcW w:w="1789" w:type="dxa"/>
            <w:vMerge w:val="restart"/>
            <w:tcBorders>
              <w:top w:val="single" w:sz="4" w:space="0" w:color="9BC2E6"/>
              <w:left w:val="nil"/>
              <w:right w:val="nil"/>
            </w:tcBorders>
            <w:shd w:val="clear" w:color="5B9BD5" w:fill="5B9BD5"/>
            <w:hideMark/>
          </w:tcPr>
          <w:p w14:paraId="50F1E5F1" w14:textId="77777777" w:rsidR="00A63D1D" w:rsidRPr="00FA4573" w:rsidRDefault="00A63D1D" w:rsidP="00A23C7D">
            <w:pPr>
              <w:overflowPunct/>
              <w:autoSpaceDE/>
              <w:autoSpaceDN/>
              <w:snapToGrid w:val="0"/>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 xml:space="preserve">Organisation </w:t>
            </w:r>
          </w:p>
        </w:tc>
        <w:tc>
          <w:tcPr>
            <w:tcW w:w="1843" w:type="dxa"/>
            <w:vMerge w:val="restart"/>
            <w:tcBorders>
              <w:top w:val="single" w:sz="4" w:space="0" w:color="9BC2E6"/>
              <w:left w:val="nil"/>
              <w:right w:val="nil"/>
            </w:tcBorders>
            <w:shd w:val="clear" w:color="5B9BD5" w:fill="5B9BD5"/>
            <w:hideMark/>
          </w:tcPr>
          <w:p w14:paraId="6B0F21B8" w14:textId="77777777" w:rsidR="00A63D1D" w:rsidRPr="00FA4573" w:rsidRDefault="00A63D1D" w:rsidP="00A23C7D">
            <w:pPr>
              <w:overflowPunct/>
              <w:autoSpaceDE/>
              <w:autoSpaceDN/>
              <w:adjustRightInd/>
              <w:spacing w:before="40" w:after="40"/>
              <w:textAlignment w:val="auto"/>
              <w:rPr>
                <w:rFonts w:ascii="Calibri" w:hAnsi="Calibri"/>
                <w:b/>
                <w:bCs/>
                <w:color w:val="FFFFFF"/>
                <w:sz w:val="20"/>
                <w:lang w:eastAsia="zh-CN"/>
              </w:rPr>
            </w:pPr>
            <w:r w:rsidRPr="00FA4573">
              <w:rPr>
                <w:rFonts w:ascii="Calibri" w:hAnsi="Calibri"/>
                <w:b/>
                <w:bCs/>
                <w:color w:val="FFFFFF"/>
                <w:sz w:val="20"/>
                <w:lang w:eastAsia="zh-CN"/>
              </w:rPr>
              <w:t>Country</w:t>
            </w:r>
          </w:p>
        </w:tc>
        <w:tc>
          <w:tcPr>
            <w:tcW w:w="1335" w:type="dxa"/>
            <w:vMerge w:val="restart"/>
            <w:tcBorders>
              <w:top w:val="single" w:sz="4" w:space="0" w:color="9BC2E6"/>
              <w:left w:val="nil"/>
              <w:right w:val="single" w:sz="4" w:space="0" w:color="9BC2E6"/>
            </w:tcBorders>
            <w:shd w:val="clear" w:color="5B9BD5" w:fill="5B9BD5"/>
            <w:hideMark/>
          </w:tcPr>
          <w:p w14:paraId="3E8D8183" w14:textId="77777777" w:rsidR="00A63D1D" w:rsidRPr="00FA4573" w:rsidRDefault="00A63D1D" w:rsidP="00A23C7D">
            <w:pPr>
              <w:overflowPunct/>
              <w:autoSpaceDE/>
              <w:autoSpaceDN/>
              <w:adjustRightInd/>
              <w:spacing w:before="40" w:after="40"/>
              <w:jc w:val="center"/>
              <w:textAlignment w:val="auto"/>
              <w:rPr>
                <w:rFonts w:ascii="Calibri" w:hAnsi="Calibri"/>
                <w:b/>
                <w:bCs/>
                <w:color w:val="FFFFFF"/>
                <w:sz w:val="20"/>
                <w:lang w:eastAsia="zh-CN"/>
              </w:rPr>
            </w:pPr>
            <w:r w:rsidRPr="00FA4573">
              <w:rPr>
                <w:rFonts w:ascii="Calibri" w:hAnsi="Calibri"/>
                <w:b/>
                <w:bCs/>
                <w:color w:val="FFFFFF"/>
                <w:sz w:val="20"/>
                <w:lang w:eastAsia="zh-CN"/>
              </w:rPr>
              <w:t>Region</w:t>
            </w:r>
          </w:p>
        </w:tc>
        <w:tc>
          <w:tcPr>
            <w:tcW w:w="4246" w:type="dxa"/>
            <w:gridSpan w:val="6"/>
            <w:tcBorders>
              <w:top w:val="single" w:sz="4" w:space="0" w:color="9BC2E6"/>
              <w:left w:val="nil"/>
              <w:bottom w:val="single" w:sz="4" w:space="0" w:color="9BC2E6"/>
              <w:right w:val="single" w:sz="4" w:space="0" w:color="9BC2E6"/>
            </w:tcBorders>
            <w:shd w:val="clear" w:color="5B9BD5" w:fill="5B9BD5"/>
          </w:tcPr>
          <w:p w14:paraId="55AE4732" w14:textId="77777777" w:rsidR="00A63D1D" w:rsidRPr="00FA4573" w:rsidRDefault="00A63D1D" w:rsidP="00A23C7D">
            <w:pPr>
              <w:overflowPunct/>
              <w:autoSpaceDE/>
              <w:autoSpaceDN/>
              <w:adjustRightInd/>
              <w:spacing w:before="40" w:after="40"/>
              <w:jc w:val="center"/>
              <w:textAlignment w:val="auto"/>
              <w:rPr>
                <w:rFonts w:ascii="Calibri" w:hAnsi="Calibri"/>
                <w:b/>
                <w:bCs/>
                <w:color w:val="FFFFFF"/>
                <w:sz w:val="20"/>
                <w:lang w:eastAsia="zh-CN"/>
              </w:rPr>
            </w:pPr>
            <w:r w:rsidRPr="00FA4573">
              <w:rPr>
                <w:rFonts w:ascii="Calibri" w:hAnsi="Calibri"/>
                <w:b/>
                <w:bCs/>
                <w:color w:val="FFFFFF"/>
                <w:sz w:val="20"/>
                <w:lang w:eastAsia="zh-CN"/>
              </w:rPr>
              <w:t>Attendance</w:t>
            </w:r>
          </w:p>
        </w:tc>
      </w:tr>
      <w:tr w:rsidR="00A63D1D" w:rsidRPr="00FA4573" w14:paraId="2DB3449E" w14:textId="77777777" w:rsidTr="00A23C7D">
        <w:trPr>
          <w:trHeight w:val="372"/>
          <w:tblHeader/>
          <w:jc w:val="center"/>
        </w:trPr>
        <w:tc>
          <w:tcPr>
            <w:tcW w:w="1408" w:type="dxa"/>
            <w:vMerge/>
            <w:tcBorders>
              <w:left w:val="nil"/>
              <w:bottom w:val="single" w:sz="4" w:space="0" w:color="9BC2E6"/>
              <w:right w:val="nil"/>
            </w:tcBorders>
            <w:shd w:val="clear" w:color="5B9BD5" w:fill="5B9BD5"/>
          </w:tcPr>
          <w:p w14:paraId="5FD00E63" w14:textId="77777777" w:rsidR="00A63D1D" w:rsidRPr="00FA4573" w:rsidRDefault="00A63D1D" w:rsidP="00A23C7D">
            <w:pPr>
              <w:overflowPunct/>
              <w:autoSpaceDE/>
              <w:autoSpaceDN/>
              <w:adjustRightInd/>
              <w:spacing w:before="40" w:after="40"/>
              <w:textAlignment w:val="auto"/>
              <w:rPr>
                <w:rFonts w:ascii="Calibri" w:hAnsi="Calibri"/>
                <w:b/>
                <w:bCs/>
                <w:color w:val="FFFFFF"/>
                <w:sz w:val="20"/>
                <w:lang w:eastAsia="zh-CN"/>
              </w:rPr>
            </w:pPr>
          </w:p>
        </w:tc>
        <w:tc>
          <w:tcPr>
            <w:tcW w:w="1850" w:type="dxa"/>
            <w:vMerge/>
            <w:tcBorders>
              <w:left w:val="nil"/>
              <w:right w:val="nil"/>
            </w:tcBorders>
            <w:shd w:val="clear" w:color="5B9BD5" w:fill="5B9BD5"/>
          </w:tcPr>
          <w:p w14:paraId="4BC4D71D" w14:textId="77777777" w:rsidR="00A63D1D" w:rsidRPr="00FA4573" w:rsidRDefault="00A63D1D" w:rsidP="00A23C7D">
            <w:pPr>
              <w:overflowPunct/>
              <w:autoSpaceDE/>
              <w:autoSpaceDN/>
              <w:adjustRightInd/>
              <w:spacing w:before="40" w:after="40"/>
              <w:textAlignment w:val="auto"/>
              <w:rPr>
                <w:rFonts w:ascii="Calibri" w:hAnsi="Calibri"/>
                <w:b/>
                <w:bCs/>
                <w:color w:val="FFFFFF"/>
                <w:sz w:val="20"/>
                <w:lang w:eastAsia="zh-CN"/>
              </w:rPr>
            </w:pPr>
          </w:p>
        </w:tc>
        <w:tc>
          <w:tcPr>
            <w:tcW w:w="2554" w:type="dxa"/>
            <w:vMerge/>
            <w:tcBorders>
              <w:left w:val="nil"/>
              <w:bottom w:val="single" w:sz="4" w:space="0" w:color="9BC2E6"/>
              <w:right w:val="nil"/>
            </w:tcBorders>
            <w:shd w:val="clear" w:color="5B9BD5" w:fill="5B9BD5"/>
          </w:tcPr>
          <w:p w14:paraId="597D43A2" w14:textId="77777777" w:rsidR="00A63D1D" w:rsidRPr="00FA4573" w:rsidRDefault="00A63D1D" w:rsidP="00A23C7D">
            <w:pPr>
              <w:overflowPunct/>
              <w:autoSpaceDE/>
              <w:autoSpaceDN/>
              <w:adjustRightInd/>
              <w:spacing w:before="40" w:after="40"/>
              <w:textAlignment w:val="auto"/>
              <w:rPr>
                <w:rFonts w:ascii="Calibri" w:hAnsi="Calibri"/>
                <w:b/>
                <w:bCs/>
                <w:color w:val="FFFFFF"/>
                <w:sz w:val="20"/>
                <w:lang w:eastAsia="zh-CN"/>
              </w:rPr>
            </w:pPr>
          </w:p>
        </w:tc>
        <w:tc>
          <w:tcPr>
            <w:tcW w:w="1789" w:type="dxa"/>
            <w:vMerge/>
            <w:tcBorders>
              <w:left w:val="nil"/>
              <w:bottom w:val="single" w:sz="4" w:space="0" w:color="9BC2E6"/>
              <w:right w:val="nil"/>
            </w:tcBorders>
            <w:shd w:val="clear" w:color="5B9BD5" w:fill="5B9BD5"/>
          </w:tcPr>
          <w:p w14:paraId="35987E5C" w14:textId="77777777" w:rsidR="00A63D1D" w:rsidRPr="00FA4573" w:rsidRDefault="00A63D1D" w:rsidP="00A23C7D">
            <w:pPr>
              <w:overflowPunct/>
              <w:autoSpaceDE/>
              <w:autoSpaceDN/>
              <w:snapToGrid w:val="0"/>
              <w:spacing w:before="40" w:after="40"/>
              <w:textAlignment w:val="auto"/>
              <w:rPr>
                <w:rFonts w:ascii="Calibri" w:hAnsi="Calibri"/>
                <w:b/>
                <w:bCs/>
                <w:color w:val="FFFFFF"/>
                <w:sz w:val="20"/>
                <w:lang w:eastAsia="zh-CN"/>
              </w:rPr>
            </w:pPr>
          </w:p>
        </w:tc>
        <w:tc>
          <w:tcPr>
            <w:tcW w:w="1843" w:type="dxa"/>
            <w:vMerge/>
            <w:tcBorders>
              <w:left w:val="nil"/>
              <w:bottom w:val="single" w:sz="4" w:space="0" w:color="9BC2E6"/>
              <w:right w:val="nil"/>
            </w:tcBorders>
            <w:shd w:val="clear" w:color="5B9BD5" w:fill="5B9BD5"/>
          </w:tcPr>
          <w:p w14:paraId="36346777" w14:textId="77777777" w:rsidR="00A63D1D" w:rsidRPr="00FA4573" w:rsidRDefault="00A63D1D" w:rsidP="00A23C7D">
            <w:pPr>
              <w:overflowPunct/>
              <w:autoSpaceDE/>
              <w:autoSpaceDN/>
              <w:adjustRightInd/>
              <w:spacing w:before="40" w:after="40"/>
              <w:textAlignment w:val="auto"/>
              <w:rPr>
                <w:rFonts w:ascii="Calibri" w:hAnsi="Calibri"/>
                <w:b/>
                <w:bCs/>
                <w:color w:val="FFFFFF"/>
                <w:sz w:val="20"/>
                <w:lang w:eastAsia="zh-CN"/>
              </w:rPr>
            </w:pPr>
          </w:p>
        </w:tc>
        <w:tc>
          <w:tcPr>
            <w:tcW w:w="1335" w:type="dxa"/>
            <w:vMerge/>
            <w:tcBorders>
              <w:left w:val="nil"/>
              <w:bottom w:val="single" w:sz="4" w:space="0" w:color="9BC2E6"/>
              <w:right w:val="single" w:sz="4" w:space="0" w:color="9BC2E6"/>
            </w:tcBorders>
            <w:shd w:val="clear" w:color="5B9BD5" w:fill="5B9BD5"/>
          </w:tcPr>
          <w:p w14:paraId="1372041E" w14:textId="77777777" w:rsidR="00A63D1D" w:rsidRPr="00FA4573" w:rsidRDefault="00A63D1D" w:rsidP="00A23C7D">
            <w:pPr>
              <w:overflowPunct/>
              <w:autoSpaceDE/>
              <w:autoSpaceDN/>
              <w:adjustRightInd/>
              <w:spacing w:before="40" w:after="40"/>
              <w:jc w:val="center"/>
              <w:textAlignment w:val="auto"/>
              <w:rPr>
                <w:rFonts w:ascii="Calibri" w:hAnsi="Calibri"/>
                <w:b/>
                <w:bCs/>
                <w:color w:val="FFFFFF"/>
                <w:sz w:val="20"/>
                <w:lang w:eastAsia="zh-CN"/>
              </w:rPr>
            </w:pPr>
          </w:p>
        </w:tc>
        <w:tc>
          <w:tcPr>
            <w:tcW w:w="697" w:type="dxa"/>
            <w:tcBorders>
              <w:top w:val="single" w:sz="4" w:space="0" w:color="9BC2E6"/>
              <w:left w:val="nil"/>
              <w:bottom w:val="single" w:sz="4" w:space="0" w:color="9BC2E6"/>
              <w:right w:val="single" w:sz="4" w:space="0" w:color="9BC2E6"/>
            </w:tcBorders>
            <w:shd w:val="clear" w:color="auto" w:fill="5B9BD5"/>
          </w:tcPr>
          <w:p w14:paraId="1814BC1B" w14:textId="77777777" w:rsidR="00A63D1D" w:rsidRPr="00FA4573" w:rsidRDefault="00A63D1D" w:rsidP="00A23C7D">
            <w:pPr>
              <w:overflowPunct/>
              <w:autoSpaceDE/>
              <w:autoSpaceDN/>
              <w:adjustRightInd/>
              <w:spacing w:before="40" w:after="40"/>
              <w:jc w:val="center"/>
              <w:textAlignment w:val="auto"/>
              <w:rPr>
                <w:rFonts w:ascii="Calibri" w:hAnsi="Calibri"/>
                <w:b/>
                <w:bCs/>
                <w:color w:val="FFFFFF" w:themeColor="background1"/>
                <w:sz w:val="20"/>
                <w:lang w:eastAsia="zh-CN"/>
              </w:rPr>
            </w:pPr>
            <w:r w:rsidRPr="00FA4573">
              <w:rPr>
                <w:bCs/>
                <w:color w:val="FFFFFF" w:themeColor="background1"/>
                <w:sz w:val="20"/>
              </w:rPr>
              <w:t>2022</w:t>
            </w:r>
            <w:r w:rsidRPr="00FA4573">
              <w:rPr>
                <w:bCs/>
                <w:color w:val="FFFFFF" w:themeColor="background1"/>
                <w:sz w:val="20"/>
              </w:rPr>
              <w:br/>
              <w:t>SG2</w:t>
            </w:r>
          </w:p>
        </w:tc>
        <w:tc>
          <w:tcPr>
            <w:tcW w:w="713" w:type="dxa"/>
            <w:tcBorders>
              <w:top w:val="single" w:sz="4" w:space="0" w:color="9BC2E6"/>
              <w:left w:val="nil"/>
              <w:bottom w:val="single" w:sz="4" w:space="0" w:color="9BC2E6"/>
              <w:right w:val="single" w:sz="4" w:space="0" w:color="9BC2E6"/>
            </w:tcBorders>
            <w:shd w:val="clear" w:color="auto" w:fill="5B9BD5"/>
          </w:tcPr>
          <w:p w14:paraId="6E811D0A" w14:textId="77777777" w:rsidR="00A63D1D" w:rsidRPr="00FA4573" w:rsidRDefault="00A63D1D" w:rsidP="00A23C7D">
            <w:pPr>
              <w:overflowPunct/>
              <w:autoSpaceDE/>
              <w:autoSpaceDN/>
              <w:adjustRightInd/>
              <w:spacing w:before="40" w:after="40"/>
              <w:jc w:val="center"/>
              <w:textAlignment w:val="auto"/>
              <w:rPr>
                <w:rFonts w:ascii="Calibri" w:hAnsi="Calibri"/>
                <w:b/>
                <w:bCs/>
                <w:color w:val="FFFFFF" w:themeColor="background1"/>
                <w:sz w:val="20"/>
                <w:lang w:eastAsia="zh-CN"/>
              </w:rPr>
            </w:pPr>
            <w:r w:rsidRPr="00FA4573">
              <w:rPr>
                <w:bCs/>
                <w:color w:val="FFFFFF" w:themeColor="background1"/>
                <w:sz w:val="20"/>
              </w:rPr>
              <w:t>2023</w:t>
            </w:r>
            <w:r w:rsidRPr="00FA4573">
              <w:rPr>
                <w:bCs/>
                <w:color w:val="FFFFFF" w:themeColor="background1"/>
                <w:sz w:val="20"/>
              </w:rPr>
              <w:br/>
              <w:t>RGQ2</w:t>
            </w:r>
          </w:p>
        </w:tc>
        <w:tc>
          <w:tcPr>
            <w:tcW w:w="711" w:type="dxa"/>
            <w:tcBorders>
              <w:top w:val="single" w:sz="4" w:space="0" w:color="9BC2E6"/>
              <w:left w:val="nil"/>
              <w:bottom w:val="single" w:sz="4" w:space="0" w:color="9BC2E6"/>
              <w:right w:val="single" w:sz="4" w:space="0" w:color="9BC2E6"/>
            </w:tcBorders>
            <w:shd w:val="clear" w:color="auto" w:fill="5B9BD5"/>
          </w:tcPr>
          <w:p w14:paraId="6A44028A" w14:textId="77777777" w:rsidR="00A63D1D" w:rsidRPr="00FA4573" w:rsidRDefault="00A63D1D" w:rsidP="00A23C7D">
            <w:pPr>
              <w:overflowPunct/>
              <w:autoSpaceDE/>
              <w:autoSpaceDN/>
              <w:adjustRightInd/>
              <w:spacing w:before="40" w:after="40"/>
              <w:jc w:val="center"/>
              <w:textAlignment w:val="auto"/>
              <w:rPr>
                <w:bCs/>
                <w:color w:val="FFFFFF" w:themeColor="background1"/>
                <w:sz w:val="20"/>
              </w:rPr>
            </w:pPr>
            <w:r w:rsidRPr="00FA4573">
              <w:rPr>
                <w:bCs/>
                <w:color w:val="FFFFFF" w:themeColor="background1"/>
                <w:sz w:val="20"/>
              </w:rPr>
              <w:t>2023 SG2</w:t>
            </w:r>
          </w:p>
        </w:tc>
        <w:tc>
          <w:tcPr>
            <w:tcW w:w="708" w:type="dxa"/>
            <w:tcBorders>
              <w:top w:val="single" w:sz="4" w:space="0" w:color="9BC2E6"/>
              <w:left w:val="nil"/>
              <w:bottom w:val="single" w:sz="4" w:space="0" w:color="9BC2E6"/>
              <w:right w:val="single" w:sz="4" w:space="0" w:color="9BC2E6"/>
            </w:tcBorders>
            <w:shd w:val="clear" w:color="auto" w:fill="5B9BD5"/>
          </w:tcPr>
          <w:p w14:paraId="4E22565A" w14:textId="77777777" w:rsidR="00A63D1D" w:rsidRPr="00FA4573" w:rsidRDefault="00A63D1D" w:rsidP="00A23C7D">
            <w:pPr>
              <w:overflowPunct/>
              <w:autoSpaceDE/>
              <w:autoSpaceDN/>
              <w:adjustRightInd/>
              <w:spacing w:before="40" w:after="40"/>
              <w:jc w:val="center"/>
              <w:textAlignment w:val="auto"/>
              <w:rPr>
                <w:bCs/>
                <w:color w:val="FFFFFF" w:themeColor="background1"/>
                <w:sz w:val="20"/>
              </w:rPr>
            </w:pPr>
            <w:r w:rsidRPr="00FA4573">
              <w:rPr>
                <w:bCs/>
                <w:color w:val="FFFFFF" w:themeColor="background1"/>
                <w:sz w:val="20"/>
              </w:rPr>
              <w:t>202</w:t>
            </w:r>
            <w:r w:rsidRPr="00FA4573">
              <w:rPr>
                <w:bCs/>
                <w:color w:val="FFFFFF" w:themeColor="background1"/>
                <w:sz w:val="20"/>
                <w:lang w:eastAsia="ko-KR"/>
              </w:rPr>
              <w:t>4</w:t>
            </w:r>
            <w:r w:rsidRPr="00FA4573">
              <w:rPr>
                <w:bCs/>
                <w:color w:val="FFFFFF" w:themeColor="background1"/>
                <w:sz w:val="20"/>
              </w:rPr>
              <w:t xml:space="preserve"> </w:t>
            </w:r>
            <w:r w:rsidRPr="00FA4573">
              <w:rPr>
                <w:bCs/>
                <w:color w:val="FFFFFF" w:themeColor="background1"/>
                <w:sz w:val="20"/>
                <w:lang w:eastAsia="ko-KR"/>
              </w:rPr>
              <w:t>RGQ</w:t>
            </w:r>
            <w:r w:rsidRPr="00FA4573">
              <w:rPr>
                <w:bCs/>
                <w:color w:val="FFFFFF" w:themeColor="background1"/>
                <w:sz w:val="20"/>
              </w:rPr>
              <w:t>2</w:t>
            </w:r>
          </w:p>
        </w:tc>
        <w:tc>
          <w:tcPr>
            <w:tcW w:w="708" w:type="dxa"/>
            <w:tcBorders>
              <w:top w:val="single" w:sz="4" w:space="0" w:color="9BC2E6"/>
              <w:left w:val="nil"/>
              <w:bottom w:val="single" w:sz="4" w:space="0" w:color="9BC2E6"/>
              <w:right w:val="single" w:sz="4" w:space="0" w:color="9BC2E6"/>
            </w:tcBorders>
            <w:shd w:val="clear" w:color="auto" w:fill="5B9BD5"/>
          </w:tcPr>
          <w:p w14:paraId="16579BF5" w14:textId="77777777" w:rsidR="00A63D1D" w:rsidRPr="00FA4573" w:rsidRDefault="00A63D1D" w:rsidP="00A23C7D">
            <w:pPr>
              <w:overflowPunct/>
              <w:autoSpaceDE/>
              <w:autoSpaceDN/>
              <w:adjustRightInd/>
              <w:spacing w:before="40" w:after="40"/>
              <w:jc w:val="center"/>
              <w:textAlignment w:val="auto"/>
              <w:rPr>
                <w:bCs/>
                <w:color w:val="FFFFFF" w:themeColor="background1"/>
                <w:sz w:val="20"/>
                <w:lang w:eastAsia="ko-KR"/>
              </w:rPr>
            </w:pPr>
            <w:r w:rsidRPr="00FA4573">
              <w:rPr>
                <w:bCs/>
                <w:color w:val="FFFFFF" w:themeColor="background1"/>
                <w:sz w:val="20"/>
                <w:lang w:eastAsia="ko-KR"/>
              </w:rPr>
              <w:t>2024SG2</w:t>
            </w:r>
          </w:p>
        </w:tc>
        <w:tc>
          <w:tcPr>
            <w:tcW w:w="709" w:type="dxa"/>
            <w:tcBorders>
              <w:top w:val="single" w:sz="4" w:space="0" w:color="9BC2E6"/>
              <w:left w:val="nil"/>
              <w:bottom w:val="single" w:sz="4" w:space="0" w:color="9BC2E6"/>
              <w:right w:val="single" w:sz="4" w:space="0" w:color="9BC2E6"/>
            </w:tcBorders>
            <w:shd w:val="clear" w:color="auto" w:fill="5B9BD5"/>
          </w:tcPr>
          <w:p w14:paraId="3A06B0A4" w14:textId="77777777" w:rsidR="00A63D1D" w:rsidRPr="00FA4573" w:rsidRDefault="00A63D1D" w:rsidP="00A23C7D">
            <w:pPr>
              <w:overflowPunct/>
              <w:autoSpaceDE/>
              <w:autoSpaceDN/>
              <w:adjustRightInd/>
              <w:spacing w:before="40" w:after="40"/>
              <w:jc w:val="center"/>
              <w:textAlignment w:val="auto"/>
              <w:rPr>
                <w:bCs/>
                <w:color w:val="FFFFFF" w:themeColor="background1"/>
                <w:sz w:val="20"/>
                <w:lang w:eastAsia="ko-KR"/>
              </w:rPr>
            </w:pPr>
            <w:r w:rsidRPr="00FA4573">
              <w:rPr>
                <w:bCs/>
                <w:color w:val="FFFFFF" w:themeColor="background1"/>
                <w:sz w:val="20"/>
                <w:lang w:eastAsia="ko-KR"/>
              </w:rPr>
              <w:t>202</w:t>
            </w:r>
            <w:r w:rsidRPr="00FA4573">
              <w:rPr>
                <w:rFonts w:eastAsia="Malgun Gothic" w:hint="eastAsia"/>
                <w:bCs/>
                <w:color w:val="FFFFFF" w:themeColor="background1"/>
                <w:sz w:val="20"/>
                <w:lang w:eastAsia="ko-KR"/>
              </w:rPr>
              <w:t>5</w:t>
            </w:r>
            <w:r w:rsidRPr="00FA4573">
              <w:rPr>
                <w:bCs/>
                <w:color w:val="FFFFFF" w:themeColor="background1"/>
                <w:sz w:val="20"/>
                <w:lang w:eastAsia="ko-KR"/>
              </w:rPr>
              <w:t>SG2</w:t>
            </w:r>
          </w:p>
        </w:tc>
      </w:tr>
      <w:tr w:rsidR="00A63D1D" w:rsidRPr="00FA4573" w14:paraId="33887AA9" w14:textId="77777777" w:rsidTr="00A23C7D">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5C2E59"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86AFB13"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B2EF394"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000000"/>
                <w:sz w:val="20"/>
              </w:rPr>
              <w:t>Mr Yétondji HOUEYETONGNON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34328E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2858307"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000000"/>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00A4A6"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000000"/>
                <w:sz w:val="20"/>
              </w:rPr>
              <w:t>Africa</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EB92695" w14:textId="77777777" w:rsidR="00A63D1D" w:rsidRPr="00FA4573" w:rsidRDefault="00A63D1D" w:rsidP="00A23C7D">
            <w:pPr>
              <w:spacing w:before="40" w:after="40"/>
              <w:jc w:val="center"/>
              <w:rPr>
                <w:rFonts w:ascii="Calibri" w:hAnsi="Calibri"/>
                <w:sz w:val="20"/>
              </w:rPr>
            </w:pPr>
            <w:r w:rsidRPr="00FA4573">
              <w:rPr>
                <w:rFonts w:ascii="Calibri" w:hAnsi="Calibri"/>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009F765" w14:textId="77777777" w:rsidR="00A63D1D" w:rsidRPr="00FA4573" w:rsidRDefault="00A63D1D" w:rsidP="00A23C7D">
            <w:pPr>
              <w:spacing w:before="40" w:after="40"/>
              <w:jc w:val="center"/>
              <w:rPr>
                <w:rFonts w:ascii="Calibri" w:hAnsi="Calibri"/>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64D2A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BF23F4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71CB14" w14:textId="77777777" w:rsidR="00A63D1D" w:rsidRPr="00474F78" w:rsidRDefault="00A63D1D" w:rsidP="00A23C7D">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r>
      <w:tr w:rsidR="00A63D1D" w:rsidRPr="00FA4573" w14:paraId="173FAB80" w14:textId="77777777" w:rsidTr="00A23C7D">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D6684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D6C5A0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0C72C7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Javokhir ARIPOV</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400B9B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AE1E3C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Uzbekistan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6EBD62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CIS countries</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08485D7" w14:textId="77777777" w:rsidR="00A63D1D" w:rsidRPr="00FA4573" w:rsidRDefault="00A63D1D" w:rsidP="00A23C7D">
            <w:pPr>
              <w:spacing w:before="40" w:after="40"/>
              <w:jc w:val="center"/>
              <w:rPr>
                <w:rFonts w:ascii="Calibri" w:hAnsi="Calibri"/>
                <w:sz w:val="14"/>
                <w:szCs w:val="14"/>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0F6EDB"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61CBB07"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3CFBEFCE" w14:textId="77777777" w:rsidTr="00A23C7D">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A30A92"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9D937F1"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D43D52B"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Diyor RAJABOV</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E55B5F0"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9319C38"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Uzbekistan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F42D6A1"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CIS countries</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230A080" w14:textId="77777777" w:rsidR="00A63D1D" w:rsidRPr="00FA4573" w:rsidRDefault="00A63D1D" w:rsidP="00A23C7D">
            <w:pPr>
              <w:spacing w:before="40" w:after="40"/>
              <w:jc w:val="center"/>
              <w:rPr>
                <w:rFonts w:ascii="Calibri" w:hAnsi="Calibri"/>
                <w:color w:val="A6A6A6" w:themeColor="background1" w:themeShade="A6"/>
                <w:sz w:val="14"/>
                <w:szCs w:val="14"/>
              </w:rPr>
            </w:pPr>
            <w:r w:rsidRPr="00FA4573">
              <w:rPr>
                <w:rFonts w:ascii="Calibri" w:hAnsi="Calibri"/>
                <w:color w:val="A6A6A6" w:themeColor="background1" w:themeShade="A6"/>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E8A294F"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5FC199"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92D4D7"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lang w:eastAsia="ko-KR"/>
              </w:rPr>
              <w:t>Sep</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A63D1D" w:rsidRPr="00FA4573" w14:paraId="1F200DBB" w14:textId="77777777" w:rsidTr="00A23C7D">
        <w:trPr>
          <w:trHeight w:val="33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82B986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lastRenderedPageBreak/>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B82E789"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7F9421E" w14:textId="77777777" w:rsidR="00A63D1D" w:rsidRPr="00FA4573" w:rsidRDefault="00A63D1D" w:rsidP="00A23C7D">
            <w:pPr>
              <w:spacing w:before="40" w:after="40"/>
              <w:rPr>
                <w:rFonts w:ascii="Calibri" w:hAnsi="Calibri"/>
                <w:color w:val="A6A6A6" w:themeColor="background1" w:themeShade="A6"/>
                <w:sz w:val="20"/>
                <w:lang w:val="fr-FR"/>
              </w:rPr>
            </w:pPr>
            <w:r w:rsidRPr="00FA4573">
              <w:rPr>
                <w:rFonts w:ascii="Calibri" w:hAnsi="Calibri"/>
                <w:color w:val="A6A6A6" w:themeColor="background1" w:themeShade="A6"/>
                <w:sz w:val="20"/>
                <w:lang w:val="fr-FR"/>
              </w:rPr>
              <w:t>Ms Fifatin Carrelle Lucrèce TOHO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06A6074"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C02F6A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8BDBE42"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238D666" w14:textId="77777777" w:rsidR="00A63D1D" w:rsidRPr="00FA4573" w:rsidRDefault="00A63D1D" w:rsidP="00A23C7D">
            <w:pPr>
              <w:spacing w:before="40" w:after="40"/>
              <w:jc w:val="center"/>
              <w:rPr>
                <w:rFonts w:ascii="Calibri" w:hAnsi="Calibri"/>
                <w:color w:val="A6A6A6" w:themeColor="background1" w:themeShade="A6"/>
                <w:sz w:val="20"/>
              </w:rPr>
            </w:pPr>
          </w:p>
        </w:tc>
        <w:tc>
          <w:tcPr>
            <w:tcW w:w="3549"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85DA99"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April 2023)</w:t>
            </w:r>
          </w:p>
        </w:tc>
      </w:tr>
      <w:tr w:rsidR="00A63D1D" w:rsidRPr="00FA4573" w14:paraId="42AF5B41" w14:textId="77777777" w:rsidTr="00A23C7D">
        <w:trPr>
          <w:trHeight w:val="32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BB730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37F6C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03357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Mory KOUROUMA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26014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0BB05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7A138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4C659B"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E2C84C"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2ACF0B"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55C51F"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77EDDC"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ECE238" w14:textId="77777777" w:rsidR="00A63D1D" w:rsidRPr="00FA4573" w:rsidRDefault="00A63D1D" w:rsidP="00A23C7D">
            <w:pPr>
              <w:spacing w:before="40" w:after="40"/>
              <w:jc w:val="center"/>
              <w:rPr>
                <w:rFonts w:ascii="Calibri" w:hAnsi="Calibri"/>
                <w:color w:val="000000"/>
                <w:sz w:val="20"/>
              </w:rPr>
            </w:pPr>
          </w:p>
        </w:tc>
      </w:tr>
      <w:tr w:rsidR="00A63D1D" w:rsidRPr="00FA4573" w14:paraId="209854F3" w14:textId="77777777" w:rsidTr="00A23C7D">
        <w:trPr>
          <w:trHeight w:val="32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4CAF7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F3724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7484D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Seydou DIARRA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18B43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C5D3A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569B2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8B9C1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F0AFB2"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910B1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64545D"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05654E"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0C1BEE"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3F53125E" w14:textId="77777777" w:rsidTr="00A23C7D">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FFBFC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6DE6E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40E89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Mariéme Thiam NDOUR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26CDA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AD5F3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Senegal</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2B3E2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FCA207"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E0DF67"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E74BCF"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54126D"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53AB5B"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E167AD" w14:textId="77777777" w:rsidR="00A63D1D" w:rsidRPr="00FA4573" w:rsidRDefault="00A63D1D" w:rsidP="00A23C7D">
            <w:pPr>
              <w:spacing w:before="40" w:after="40"/>
              <w:jc w:val="center"/>
              <w:rPr>
                <w:rFonts w:ascii="Calibri" w:hAnsi="Calibri"/>
                <w:color w:val="000000"/>
                <w:sz w:val="20"/>
              </w:rPr>
            </w:pPr>
          </w:p>
        </w:tc>
      </w:tr>
      <w:tr w:rsidR="00A63D1D" w:rsidRPr="00FA4573" w14:paraId="2434C69A" w14:textId="77777777" w:rsidTr="00A23C7D">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0F4802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EE5BEF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DB352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Paulette HERNANDEZ</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9256D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1AF2F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3E8AF2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950DF7"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45949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63741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68CE59"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C1172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A31A4C"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408FCEE1"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7B3D87E"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9850561"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2C4F81"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Cai CHEN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1F2C59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93988F"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E508A34"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D2C814" w14:textId="77777777" w:rsidR="00A63D1D" w:rsidRPr="00FA4573" w:rsidRDefault="00A63D1D" w:rsidP="00A23C7D">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528346" w14:textId="77777777" w:rsidR="00A63D1D" w:rsidRPr="00FA4573" w:rsidRDefault="00A63D1D" w:rsidP="00A23C7D">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8316BB" w14:textId="77777777" w:rsidR="00A63D1D" w:rsidRPr="00FA4573" w:rsidRDefault="00A63D1D" w:rsidP="00A23C7D">
            <w:pPr>
              <w:spacing w:before="40" w:after="40"/>
              <w:jc w:val="center"/>
              <w:rPr>
                <w:rFonts w:ascii="Calibri" w:hAnsi="Calibri"/>
                <w:color w:val="A6A6A6" w:themeColor="background1" w:themeShade="A6"/>
                <w:sz w:val="20"/>
              </w:rPr>
            </w:pP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0BD8FA"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March</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A63D1D" w:rsidRPr="00FA4573" w14:paraId="3EDF37C5"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00627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CEF33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56038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w:t>
            </w:r>
            <w:r w:rsidRPr="00FA4573">
              <w:rPr>
                <w:rFonts w:ascii="Calibri" w:hAnsi="Calibri"/>
                <w:color w:val="000000"/>
                <w:sz w:val="20"/>
                <w:lang w:eastAsia="ko-KR"/>
              </w:rPr>
              <w:t>s</w:t>
            </w:r>
            <w:r w:rsidRPr="00FA4573">
              <w:rPr>
                <w:rFonts w:ascii="Calibri" w:hAnsi="Calibri"/>
                <w:color w:val="000000"/>
                <w:sz w:val="20"/>
              </w:rPr>
              <w:t xml:space="preserve"> Ying CUI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D193C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1F154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812D4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B2AB66"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664126" w14:textId="77777777" w:rsidR="00A63D1D" w:rsidRPr="00FA4573" w:rsidRDefault="00A63D1D" w:rsidP="00A23C7D">
            <w:pPr>
              <w:spacing w:before="40" w:after="40"/>
              <w:jc w:val="center"/>
              <w:rPr>
                <w:rFonts w:ascii="Calibri" w:hAnsi="Calibri"/>
                <w:color w:val="A6A6A6" w:themeColor="background1" w:themeShade="A6"/>
                <w:sz w:val="12"/>
                <w:szCs w:val="12"/>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DE0127"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eastAsiaTheme="minorEastAsia" w:cstheme="minorHAnsi"/>
                <w:color w:val="000000" w:themeColor="text1"/>
                <w:kern w:val="24"/>
                <w:sz w:val="20"/>
              </w:rPr>
              <w:t>O</w:t>
            </w:r>
          </w:p>
        </w:tc>
      </w:tr>
      <w:tr w:rsidR="00A63D1D" w:rsidRPr="00FA4573" w14:paraId="24C36346"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46B4B1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32DB3D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58EED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Zhen ZHANG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CF565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30363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29C204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8E8D2C"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CA9ADD"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A3EDD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E958D5"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01AE88"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91785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097424B0" w14:textId="77777777" w:rsidTr="00A23C7D">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C445F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BC6D1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B2084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Hemendra K SHARMA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F3C44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BF001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74243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9E16FD"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E4CCEA"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96012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B70E5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ADB29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A81681"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78F5EF4F" w14:textId="77777777" w:rsidTr="00A23C7D">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B034E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EA47E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D5356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Yoshihiro NAKAYAMA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6F352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5790A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55554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B61D66"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92B543"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4091B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22490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57A86B"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E4F0C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06F40039" w14:textId="77777777" w:rsidTr="00A23C7D">
        <w:trPr>
          <w:trHeight w:val="41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EAB4E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1/2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2B61B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510BE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Álvaro NEIRA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42E6B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Axon Partners Group</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994F5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84E50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529753"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84594A"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625BC0"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66B5DC"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5B7BFB"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B03BD3" w14:textId="77777777" w:rsidR="00A63D1D" w:rsidRPr="00FA4573" w:rsidRDefault="00A63D1D" w:rsidP="00A23C7D">
            <w:pPr>
              <w:spacing w:before="40" w:after="40"/>
              <w:jc w:val="center"/>
              <w:rPr>
                <w:rFonts w:ascii="Calibri" w:hAnsi="Calibri"/>
                <w:color w:val="000000"/>
                <w:sz w:val="20"/>
              </w:rPr>
            </w:pPr>
          </w:p>
        </w:tc>
      </w:tr>
      <w:tr w:rsidR="00A63D1D" w:rsidRPr="00FA4573" w14:paraId="0C38F44E" w14:textId="77777777" w:rsidTr="00A23C7D">
        <w:trPr>
          <w:trHeight w:val="417"/>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9B933C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103D4B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B0493F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Isao NAKAJIMA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9AD9E5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4A00BD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5AF3967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DE03F20"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EE29E0B"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6D5E9A8"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771ADD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F261851"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37FE31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4527075D" w14:textId="77777777" w:rsidTr="00A23C7D">
        <w:trPr>
          <w:trHeight w:val="324"/>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001184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50DEBC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21B3F2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Done-Sik YOO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A51DD2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19D3CC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830F5C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50E30C"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F233FD1"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6540386"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0181A4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7B4CD2B"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E2FA704"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5CAF8533" w14:textId="77777777" w:rsidTr="00A23C7D">
        <w:trPr>
          <w:trHeight w:val="324"/>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5525C7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3B3223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348D0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Osther Rock BADOU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12C80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4901B1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Benin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76B3E4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421C18"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3C6B74"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F33DD3"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9784B9"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CB621B"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7F88C9"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7A2A23C5" w14:textId="77777777" w:rsidTr="00A23C7D">
        <w:trPr>
          <w:trHeight w:val="18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495CAD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194A29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2DF23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Allomo Francine Tania LOGBO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3B2EC4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21EF24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Côte d'Ivoire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84248A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E99F28"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8BAABB"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21A2AC"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6A790C"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B2B605"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FDD6E6"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6E9E508A" w14:textId="77777777" w:rsidTr="00A23C7D">
        <w:trPr>
          <w:trHeight w:val="78"/>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DAB443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E63B69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60677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Ibrahima SYLLA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76E2B7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885D83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1C45CA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22F54B"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28FF81"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DF0015"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130828"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2CE143"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CAB56A"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30B37727"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849E5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BB522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4ADD1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Robert Kwambai CHIRCHIR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105CB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C1125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E9B99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80FCB0"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6AE64C"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11BCE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89258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71F26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6C4583"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4553263E"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EECE5C"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6F8C4B"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65F03D"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BE2994"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4DEF4D"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E24353"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3DA5A3" w14:textId="77777777" w:rsidR="00A63D1D" w:rsidRPr="00FA4573" w:rsidRDefault="00A63D1D" w:rsidP="00A23C7D">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0839ED"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A31F87"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FD3D36"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21F8D1"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A63D1D" w:rsidRPr="00FA4573" w14:paraId="22DC5E23"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EEFAD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lastRenderedPageBreak/>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197CD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D73E8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Alicia TAMBE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87065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0AA85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E8298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8E14C7"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C01659"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261825"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7905A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5DBAD91"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9E66D9"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53B9534D"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142D3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189D2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50F3B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Geraldo NETO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A1E56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Telecommunications Management Group, Inc</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EA964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94174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4DF7C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285AC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30307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BFC501"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F5A2A8"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6E0B6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5A02E85A"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BD90C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6914E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53317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Shan XU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9C81E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2FA00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1B201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AAA2EA"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38CA52"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B67811"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28FA92"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217714"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E1EB0C"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3CDEFA77"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9898F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32090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908F8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Sandeep Kumar GUPTA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DF2D4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D89A3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A1FEC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B7483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ascii="Calibri" w:hAnsi="Calibri"/>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597955"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990A38B"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1FA9FEA8"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3B8185"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E4A06F"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EBA95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Mayank MRINAL</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CCB23E"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DED87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23A600"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A41422" w14:textId="77777777" w:rsidR="00A63D1D" w:rsidRPr="00FA4573" w:rsidRDefault="00A63D1D" w:rsidP="00A23C7D">
            <w:pPr>
              <w:spacing w:before="40" w:after="40"/>
              <w:jc w:val="center"/>
              <w:rPr>
                <w:rFonts w:ascii="Calibri" w:hAnsi="Calibri"/>
                <w:color w:val="A6A6A6" w:themeColor="background1" w:themeShade="A6"/>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A536CB" w14:textId="77777777" w:rsidR="00A63D1D" w:rsidRPr="00FA4573" w:rsidRDefault="00A63D1D" w:rsidP="00A23C7D">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33C671" w14:textId="77777777" w:rsidR="00A63D1D" w:rsidRPr="00FA4573" w:rsidRDefault="00A63D1D" w:rsidP="00A23C7D">
            <w:pPr>
              <w:spacing w:before="40" w:after="40"/>
              <w:jc w:val="center"/>
              <w:rPr>
                <w:rFonts w:ascii="Calibri" w:hAnsi="Calibri"/>
                <w:color w:val="A6A6A6" w:themeColor="background1" w:themeShade="A6"/>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509578" w14:textId="77777777" w:rsidR="00A63D1D" w:rsidRPr="00FA4573" w:rsidRDefault="00A63D1D" w:rsidP="00A23C7D">
            <w:pPr>
              <w:spacing w:before="40" w:after="40"/>
              <w:jc w:val="center"/>
              <w:rPr>
                <w:rFonts w:ascii="Calibri" w:hAnsi="Calibri"/>
                <w:color w:val="A6A6A6" w:themeColor="background1" w:themeShade="A6"/>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83142D"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 xml:space="preserve">May </w:t>
            </w:r>
            <w:r w:rsidRPr="00FA4573">
              <w:rPr>
                <w:rFonts w:ascii="Calibri" w:hAnsi="Calibri"/>
                <w:color w:val="A6A6A6" w:themeColor="background1" w:themeShade="A6"/>
                <w:sz w:val="12"/>
                <w:szCs w:val="12"/>
              </w:rPr>
              <w:t>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A63D1D" w:rsidRPr="00FA4573" w14:paraId="7DFE7C71"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9B339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18244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3425C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Arseny PLOSSKY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9B5F9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B0466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89CFF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FCC5FA"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43A99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CEC2C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14195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1D543C"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3540AA"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5910E843"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F8EE3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2/2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D794D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76B6C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Kübra DIRI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4FD27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4A83C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ADA9F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5EC95E"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5FE40E"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BCBCCE"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A4353B"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9ADECA"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61DABA" w14:textId="77777777" w:rsidR="00A63D1D" w:rsidRPr="00FA4573" w:rsidRDefault="00A63D1D" w:rsidP="00A23C7D">
            <w:pPr>
              <w:spacing w:before="40" w:after="40"/>
              <w:jc w:val="center"/>
              <w:rPr>
                <w:rFonts w:ascii="Calibri" w:hAnsi="Calibri"/>
                <w:color w:val="000000"/>
                <w:sz w:val="20"/>
              </w:rPr>
            </w:pPr>
          </w:p>
        </w:tc>
      </w:tr>
      <w:tr w:rsidR="00A63D1D" w:rsidRPr="00FA4573" w14:paraId="7FE18A9B" w14:textId="77777777" w:rsidTr="00A23C7D">
        <w:trPr>
          <w:trHeight w:val="300"/>
          <w:jc w:val="center"/>
        </w:trPr>
        <w:tc>
          <w:tcPr>
            <w:tcW w:w="14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8AB323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AB387E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 Rapporteur</w:t>
            </w:r>
          </w:p>
        </w:tc>
        <w:tc>
          <w:tcPr>
            <w:tcW w:w="255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471B43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Vanessa Copetti CRAVO</w:t>
            </w:r>
          </w:p>
        </w:tc>
        <w:tc>
          <w:tcPr>
            <w:tcW w:w="178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91B48C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76C4710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Brazil (Federative Republic of)</w:t>
            </w:r>
          </w:p>
        </w:tc>
        <w:tc>
          <w:tcPr>
            <w:tcW w:w="133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69311F3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C875C9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FF8F8DC"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D6FD32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603969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2B422FF"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AF872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42B1F957" w14:textId="77777777" w:rsidTr="00A23C7D">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A8F648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A10719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3E1E8C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Nicole DARABIAN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CABBBA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34A2F8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00E740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5855761"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p w14:paraId="0775F83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14"/>
                <w:szCs w:val="14"/>
              </w:rPr>
              <w:t>(as Vice-Rapporteur)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3C0E106"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p w14:paraId="29858B1B"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14"/>
                <w:szCs w:val="14"/>
              </w:rPr>
              <w:t>(as Vice-Rapporteur)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336622E" w14:textId="77777777" w:rsidR="00A63D1D" w:rsidRPr="00FA4573" w:rsidRDefault="00A63D1D" w:rsidP="00A23C7D">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8612A3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29E7AD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4DAA328"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40B56DF1" w14:textId="77777777" w:rsidTr="00A23C7D">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B76735"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6FF259C"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52A4D8"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Jabin VAHORA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E8ABDC6"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B9F1D76"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23A0B1D"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7C929CE"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55AE9B"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283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1186A5E" w14:textId="77777777" w:rsidR="00A63D1D" w:rsidRPr="00FA4573" w:rsidRDefault="00A63D1D" w:rsidP="00A23C7D">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Oct</w:t>
            </w:r>
            <w:r w:rsidRPr="00FA4573">
              <w:rPr>
                <w:rFonts w:eastAsia="Malgun Gothic" w:cstheme="minorHAnsi"/>
                <w:color w:val="A6A6A6" w:themeColor="background1" w:themeShade="A6"/>
                <w:kern w:val="24"/>
                <w:sz w:val="12"/>
                <w:szCs w:val="12"/>
                <w:lang w:eastAsia="ko-KR"/>
              </w:rPr>
              <w:t>ober</w:t>
            </w:r>
            <w:r w:rsidRPr="00FA4573">
              <w:rPr>
                <w:rFonts w:eastAsiaTheme="minorEastAsia" w:cstheme="minorHAnsi"/>
                <w:color w:val="A6A6A6" w:themeColor="background1" w:themeShade="A6"/>
                <w:kern w:val="24"/>
                <w:sz w:val="12"/>
                <w:szCs w:val="12"/>
              </w:rPr>
              <w:t xml:space="preserve"> 2023)</w:t>
            </w:r>
          </w:p>
        </w:tc>
      </w:tr>
      <w:tr w:rsidR="00A63D1D" w:rsidRPr="00FA4573" w14:paraId="5AF78D1C" w14:textId="77777777" w:rsidTr="00A23C7D">
        <w:trPr>
          <w:trHeight w:val="5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478F9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5B7F6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34329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Idrissa DIALLO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85BB5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702B5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3C117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778A34"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FDC3A8"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47EAE9"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0BAF2F"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4C5CF0"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964C3E" w14:textId="77777777" w:rsidR="00A63D1D" w:rsidRPr="00FA4573" w:rsidRDefault="00A63D1D" w:rsidP="00A23C7D">
            <w:pPr>
              <w:spacing w:before="40" w:after="40"/>
              <w:jc w:val="center"/>
              <w:rPr>
                <w:rFonts w:ascii="Calibri" w:hAnsi="Calibri"/>
                <w:color w:val="000000"/>
                <w:sz w:val="20"/>
              </w:rPr>
            </w:pPr>
          </w:p>
        </w:tc>
      </w:tr>
      <w:tr w:rsidR="00A63D1D" w:rsidRPr="00FA4573" w14:paraId="3C393988" w14:textId="77777777" w:rsidTr="00A23C7D">
        <w:trPr>
          <w:trHeight w:val="19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ED59E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9F68A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7FD30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Rodgers MUMELO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DCF51A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57CC15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E123DF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DFDCE9"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2AA8B1"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96642C"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8DA59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16F8EF"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58C98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65F4CF20" w14:textId="77777777" w:rsidTr="00A23C7D">
        <w:trPr>
          <w:trHeight w:val="226"/>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A60F47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48E6B5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B7DB5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Sidy Mouhamed FALL</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667700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9409B7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E98506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50B5F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628474"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800BF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56E00F"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DE928A"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A891F9"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0CA08311" w14:textId="77777777" w:rsidTr="00A23C7D">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BBAFE6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FBD9D7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4EA9F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Damnam K. BAGOLIBE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CDBF48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40998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Togolese Republic</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24FFDD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C9AA06"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8C7342"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2E84F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AFD758"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E4F5C2"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B4BC17"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4625E95C" w14:textId="77777777" w:rsidTr="00A23C7D">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D0EC4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0650F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5CEB6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Kacie YEAROUT</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BF6F7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23DFA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48D99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Americas</w:t>
            </w:r>
          </w:p>
        </w:tc>
        <w:tc>
          <w:tcPr>
            <w:tcW w:w="1410"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CF9B31"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8188E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6D170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19219D"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2B609B"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592E1FB3" w14:textId="77777777" w:rsidTr="00A23C7D">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763A1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9FBC7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0D932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Xinxin WAN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D2C69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1941A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F8A9B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93A999"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DE1D6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1C16C5"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A26F8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9DD128"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6DC512"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575CA0DE" w14:textId="77777777" w:rsidTr="00A23C7D">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82FFE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A00DA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384CC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Prachish KHANNA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E6665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F07DE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1AFB8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2F75FB"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CDEA29"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9D07C7"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4031D0"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C3CE35"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CA9255"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1E63E0D5" w14:textId="77777777" w:rsidTr="00A23C7D">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794444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lastRenderedPageBreak/>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0B692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CCBF9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Jaesuk YUN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DF3BA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00652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35BA8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417E5A"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F98E3B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65A779"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D69051"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6B5893"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43207D9"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2C41BB09" w14:textId="77777777" w:rsidTr="00A23C7D">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8B50C6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4AA31D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46341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Teng 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049E27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International Telecommunication Construction Corporation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D812C2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F88580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A58EF4"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6A305B"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CE0DD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F6CC6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0C3B39"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48CF3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7115E5A9" w14:textId="77777777" w:rsidTr="00A23C7D">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B10422"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F89193"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F58CBE"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Maria BOLSHAKOVA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2534C8"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66BBBD"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3D2EC1"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378DEF"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4CF25A"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FA2914"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06E1EC" w14:textId="77777777" w:rsidR="00A63D1D" w:rsidRPr="00FA4573" w:rsidRDefault="00A63D1D" w:rsidP="00A23C7D">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A63D1D" w:rsidRPr="00FA4573" w14:paraId="47AB46C8" w14:textId="77777777" w:rsidTr="00A23C7D">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1876CF" w14:textId="77777777" w:rsidR="00A63D1D" w:rsidRPr="00FA4573" w:rsidRDefault="00A63D1D" w:rsidP="00A23C7D">
            <w:pPr>
              <w:spacing w:before="40" w:after="40"/>
              <w:rPr>
                <w:rFonts w:ascii="Calibri" w:hAnsi="Calibri"/>
                <w:sz w:val="20"/>
              </w:rPr>
            </w:pPr>
            <w:r w:rsidRPr="00FA4573">
              <w:rPr>
                <w:rFonts w:ascii="Calibri" w:hAnsi="Calibri"/>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92CB1F" w14:textId="77777777" w:rsidR="00A63D1D" w:rsidRPr="00FA4573" w:rsidRDefault="00A63D1D" w:rsidP="00A23C7D">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876212" w14:textId="77777777" w:rsidR="00A63D1D" w:rsidRPr="00FA4573" w:rsidRDefault="00A63D1D" w:rsidP="00A23C7D">
            <w:pPr>
              <w:spacing w:before="40" w:after="40"/>
              <w:rPr>
                <w:rFonts w:ascii="Calibri" w:hAnsi="Calibri"/>
                <w:sz w:val="20"/>
              </w:rPr>
            </w:pPr>
            <w:r w:rsidRPr="00FA4573">
              <w:rPr>
                <w:rFonts w:ascii="Calibri" w:hAnsi="Calibri"/>
                <w:sz w:val="20"/>
              </w:rPr>
              <w:t>Ms Uliana STOLIAROVA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C9FF1E" w14:textId="77777777" w:rsidR="00A63D1D" w:rsidRPr="00FA4573" w:rsidRDefault="00A63D1D" w:rsidP="00A23C7D">
            <w:pPr>
              <w:spacing w:before="40" w:after="40"/>
              <w:rPr>
                <w:rFonts w:ascii="Calibri" w:hAnsi="Calibri"/>
                <w:sz w:val="20"/>
              </w:rPr>
            </w:pPr>
            <w:r w:rsidRPr="00FA4573">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4CECAD" w14:textId="77777777" w:rsidR="00A63D1D" w:rsidRPr="00FA4573" w:rsidRDefault="00A63D1D" w:rsidP="00A23C7D">
            <w:pPr>
              <w:spacing w:before="40" w:after="40"/>
              <w:rPr>
                <w:rFonts w:ascii="Calibri" w:hAnsi="Calibri"/>
                <w:sz w:val="20"/>
              </w:rPr>
            </w:pPr>
            <w:r w:rsidRPr="00FA4573">
              <w:rPr>
                <w:rFonts w:ascii="Calibri" w:hAnsi="Calibri"/>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208D54" w14:textId="77777777" w:rsidR="00A63D1D" w:rsidRPr="00FA4573" w:rsidRDefault="00A63D1D" w:rsidP="00A23C7D">
            <w:pPr>
              <w:spacing w:before="40" w:after="40"/>
              <w:rPr>
                <w:rFonts w:ascii="Calibri" w:hAnsi="Calibri"/>
                <w:sz w:val="20"/>
              </w:rPr>
            </w:pPr>
            <w:r w:rsidRPr="00FA4573">
              <w:rPr>
                <w:rFonts w:ascii="Calibri" w:hAnsi="Calibri"/>
                <w:sz w:val="20"/>
              </w:rPr>
              <w:t>CIS countries</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DA993F" w14:textId="77777777" w:rsidR="00A63D1D" w:rsidRPr="00FA4573" w:rsidRDefault="00A63D1D" w:rsidP="00A23C7D">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35D589" w14:textId="77777777" w:rsidR="00A63D1D" w:rsidRPr="00FA4573" w:rsidRDefault="00A63D1D" w:rsidP="00A23C7D">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4DC5D5"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265FEB9F" w14:textId="77777777" w:rsidTr="00A23C7D">
        <w:trPr>
          <w:trHeight w:val="49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0C74EA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921615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A120E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Doğukan Ömer GÜR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078EC6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 xml:space="preserve">Administration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A12102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20153E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FC61D7"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42534B"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822415"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AF308B"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E60216"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EAEBAC"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61E65C43" w14:textId="77777777" w:rsidTr="00A23C7D">
        <w:trPr>
          <w:trHeight w:val="49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DEE6D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4A82C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88AAE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Alvaro GARCIA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10E46A" w14:textId="77777777" w:rsidR="00A63D1D" w:rsidRPr="00FA4573" w:rsidRDefault="00A63D1D" w:rsidP="00A23C7D">
            <w:pPr>
              <w:spacing w:before="40" w:after="40"/>
              <w:rPr>
                <w:rFonts w:ascii="Calibri" w:hAnsi="Calibri"/>
                <w:sz w:val="20"/>
              </w:rPr>
            </w:pPr>
            <w:r w:rsidRPr="00FA4573">
              <w:rPr>
                <w:rFonts w:ascii="Calibri" w:hAnsi="Calibri"/>
                <w:sz w:val="20"/>
              </w:rPr>
              <w:t xml:space="preserve">Axon Partners Group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178C74" w14:textId="77777777" w:rsidR="00A63D1D" w:rsidRPr="00FA4573" w:rsidRDefault="00A63D1D" w:rsidP="00A23C7D">
            <w:pPr>
              <w:spacing w:before="40" w:after="40"/>
              <w:rPr>
                <w:rFonts w:ascii="Calibri" w:hAnsi="Calibri"/>
                <w:sz w:val="20"/>
              </w:rPr>
            </w:pPr>
            <w:r w:rsidRPr="00FA4573">
              <w:rPr>
                <w:rFonts w:ascii="Calibri" w:hAnsi="Calibri"/>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73FEBB" w14:textId="77777777" w:rsidR="00A63D1D" w:rsidRPr="00FA4573" w:rsidRDefault="00A63D1D" w:rsidP="00A23C7D">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00156F"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434ACB"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99372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64BD50B6" w14:textId="77777777" w:rsidTr="00A23C7D">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D6E68E7"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FBB5BB4"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B9F6E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Samuel TEW</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6421F7C"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 xml:space="preserve">Axon Partners Group </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1BEC5E5"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Spain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EBAB79C"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22B835"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01AF9C"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BAABF1"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632633" w14:textId="77777777" w:rsidR="00A63D1D" w:rsidRPr="00FA4573" w:rsidRDefault="00A63D1D" w:rsidP="00A23C7D">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A63D1D" w:rsidRPr="00FA4573" w14:paraId="746A542F" w14:textId="77777777" w:rsidTr="00A23C7D">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DCE3C52"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BECE655"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4D5532"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Daniel BATTY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3CA44FF"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1C59858"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4723A2B"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2E4110"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82DA8F"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0747F5"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60820F" w14:textId="77777777" w:rsidR="00A63D1D" w:rsidRPr="00FA4573" w:rsidRDefault="00A63D1D" w:rsidP="00A23C7D">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April</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A63D1D" w:rsidRPr="00FA4573" w14:paraId="28F06D26" w14:textId="77777777" w:rsidTr="00A23C7D">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2C8E01" w14:textId="77777777" w:rsidR="00A63D1D" w:rsidRPr="00FA4573" w:rsidRDefault="00A63D1D" w:rsidP="00A23C7D">
            <w:pPr>
              <w:spacing w:before="40" w:after="40"/>
              <w:rPr>
                <w:rFonts w:ascii="Calibri" w:hAnsi="Calibri"/>
                <w:sz w:val="20"/>
              </w:rPr>
            </w:pPr>
            <w:r w:rsidRPr="00FA4573">
              <w:rPr>
                <w:rFonts w:ascii="Calibri" w:hAnsi="Calibri"/>
                <w:sz w:val="20"/>
              </w:rPr>
              <w:t>Question 3/2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508ACF" w14:textId="77777777" w:rsidR="00A63D1D" w:rsidRPr="00FA4573" w:rsidRDefault="00A63D1D" w:rsidP="00A23C7D">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EA2E38" w14:textId="77777777" w:rsidR="00A63D1D" w:rsidRPr="00FA4573" w:rsidRDefault="00A63D1D" w:rsidP="00A23C7D">
            <w:pPr>
              <w:spacing w:before="40" w:after="40"/>
              <w:rPr>
                <w:rFonts w:ascii="Calibri" w:hAnsi="Calibri"/>
                <w:sz w:val="20"/>
              </w:rPr>
            </w:pPr>
            <w:r w:rsidRPr="00FA4573">
              <w:rPr>
                <w:rFonts w:ascii="Calibri" w:hAnsi="Calibri"/>
                <w:sz w:val="20"/>
              </w:rPr>
              <w:t>Mr Tommaso DE ZAN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FC0079" w14:textId="77777777" w:rsidR="00A63D1D" w:rsidRPr="00FA4573" w:rsidRDefault="00A63D1D" w:rsidP="00A23C7D">
            <w:pPr>
              <w:spacing w:before="40" w:after="40"/>
              <w:rPr>
                <w:rFonts w:ascii="Calibri" w:hAnsi="Calibri"/>
                <w:sz w:val="20"/>
              </w:rPr>
            </w:pPr>
            <w:r w:rsidRPr="00FA4573">
              <w:rPr>
                <w:rFonts w:ascii="Calibri" w:hAnsi="Calibri"/>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AAEB9D" w14:textId="77777777" w:rsidR="00A63D1D" w:rsidRPr="00FA4573" w:rsidRDefault="00A63D1D" w:rsidP="00A23C7D">
            <w:pPr>
              <w:spacing w:before="40" w:after="40"/>
              <w:rPr>
                <w:rFonts w:ascii="Calibri" w:hAnsi="Calibri"/>
                <w:sz w:val="20"/>
              </w:rPr>
            </w:pPr>
            <w:r w:rsidRPr="00FA4573">
              <w:rPr>
                <w:rFonts w:ascii="Calibri" w:hAnsi="Calibri"/>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1DAEB7" w14:textId="77777777" w:rsidR="00A63D1D" w:rsidRPr="00FA4573" w:rsidRDefault="00A63D1D" w:rsidP="00A23C7D">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C483AA" w14:textId="77777777" w:rsidR="00A63D1D" w:rsidRPr="00FA4573" w:rsidRDefault="00A63D1D" w:rsidP="00A23C7D">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FBDAC9" w14:textId="77777777" w:rsidR="00A63D1D" w:rsidRPr="00FA4573" w:rsidRDefault="00A63D1D" w:rsidP="00A23C7D">
            <w:pPr>
              <w:spacing w:before="40" w:after="40"/>
              <w:jc w:val="center"/>
              <w:rPr>
                <w:rFonts w:eastAsiaTheme="minorEastAsia" w:cstheme="minorHAnsi"/>
                <w:kern w:val="24"/>
                <w:sz w:val="12"/>
                <w:szCs w:val="12"/>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053C8C"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67D22A8B" w14:textId="77777777" w:rsidTr="00A23C7D">
        <w:trPr>
          <w:trHeight w:val="380"/>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A981DA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8B74BA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ADDAB9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Ibrahima SYLLA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450CB7F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13FA5F1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71EBF7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1A3DDF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6884818"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5428CF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527E908"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7239C0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C25239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7BA57B17" w14:textId="77777777" w:rsidTr="00A23C7D">
        <w:trPr>
          <w:trHeight w:val="3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B7119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2B2B7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3065D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Awa Koko Valéry Nadège TRAORE Epouse GOUE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C0376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19869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4E10F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EDF56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ED2FB0"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4B4BA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A221E9"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FB8BC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2D807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7C7C7030" w14:textId="77777777" w:rsidTr="00A23C7D">
        <w:trPr>
          <w:trHeight w:val="3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6700DD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D03EA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FFAFE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Diao TOURE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0C361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182FB6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8F34E0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041696"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E3685C"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277288"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618E77"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A35ADF"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E20F93" w14:textId="77777777" w:rsidR="00A63D1D" w:rsidRPr="00FA4573" w:rsidRDefault="00A63D1D" w:rsidP="00A23C7D">
            <w:pPr>
              <w:spacing w:before="40" w:after="40"/>
              <w:jc w:val="center"/>
              <w:rPr>
                <w:rFonts w:ascii="Calibri" w:hAnsi="Calibri"/>
                <w:color w:val="000000"/>
                <w:sz w:val="20"/>
              </w:rPr>
            </w:pPr>
          </w:p>
        </w:tc>
      </w:tr>
      <w:tr w:rsidR="00A63D1D" w:rsidRPr="00FA4573" w14:paraId="77F33EA3" w14:textId="77777777" w:rsidTr="00A23C7D">
        <w:trPr>
          <w:trHeight w:val="2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E8CFF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7EC0D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B90C5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Serigne Abdou Lahatt SYLLA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1A3DD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C346B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7C734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5F6FB8"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4DA229"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52E13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96475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3C423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EC49E2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0B1598D7" w14:textId="77777777" w:rsidTr="00A23C7D">
        <w:trPr>
          <w:trHeight w:val="25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9B6ED9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9C4EBB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93474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Junzhi YAN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7228EC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3CBC77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BB057B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22748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DE3A56"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B70CB6A"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3850A3"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7A60B7"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DD551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4F3C5111" w14:textId="77777777" w:rsidTr="00A23C7D">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9528E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4EF39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E4DC1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Jiawei ZANG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DC93E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23099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34C02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BD46A8"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4C595E"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0D7025"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94252B"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62A169"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D71B39"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08B59FF6" w14:textId="77777777" w:rsidTr="00A23C7D">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7FEE093"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lastRenderedPageBreak/>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67FA5AB7"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A770D3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Kishik PARK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4432F62"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07D76C0"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8418DC7"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E8BFAB"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0DDBAF" w14:textId="77777777" w:rsidR="00A63D1D" w:rsidRPr="00FA4573" w:rsidRDefault="00A63D1D" w:rsidP="00A23C7D">
            <w:pPr>
              <w:spacing w:before="40" w:after="40"/>
              <w:jc w:val="center"/>
              <w:rPr>
                <w:rFonts w:ascii="Calibri" w:hAnsi="Calibri"/>
                <w:color w:val="A6A6A6" w:themeColor="background1" w:themeShade="A6"/>
                <w:sz w:val="20"/>
              </w:rPr>
            </w:pPr>
          </w:p>
        </w:tc>
        <w:tc>
          <w:tcPr>
            <w:tcW w:w="2836"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B1BD3D" w14:textId="77777777" w:rsidR="00A63D1D" w:rsidRPr="00FA4573" w:rsidRDefault="00A63D1D" w:rsidP="00A23C7D">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t xml:space="preserve">October </w:t>
            </w:r>
            <w:r w:rsidRPr="00FA4573">
              <w:rPr>
                <w:rFonts w:eastAsiaTheme="minorEastAsia" w:cstheme="minorHAnsi"/>
                <w:color w:val="A6A6A6" w:themeColor="background1" w:themeShade="A6"/>
                <w:kern w:val="24"/>
                <w:sz w:val="12"/>
                <w:szCs w:val="12"/>
              </w:rPr>
              <w:t>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A63D1D" w:rsidRPr="00FA4573" w14:paraId="1A3B1BF7"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C648D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E4CA2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2C0B8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Tharalika LIVERA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C3910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9EFEC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Sri Lanka (Democratic Socialist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A1C8B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9E61A3"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A146A6E"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43CAFE"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CF1B43"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559A86"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1607E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6B93868B"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AC98C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6E50D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20A25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Sergei MELNIK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01F4E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International Telecommunication Academy</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1DD67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Russian Federation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B9F0F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CIS countries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5D3999"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777992"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7FD1D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A141D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672201"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905ED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4DD9512A"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9D68ED"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4/2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CF0B43"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EFE7E6"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Helen KYEYUNE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A0453C"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8CF12E"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0D3839"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329343"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483FCA" w14:textId="77777777" w:rsidR="00A63D1D" w:rsidRPr="00FA4573" w:rsidRDefault="00A63D1D" w:rsidP="00A23C7D">
            <w:pPr>
              <w:spacing w:before="40" w:after="40"/>
              <w:jc w:val="center"/>
              <w:rPr>
                <w:rFonts w:ascii="Calibri" w:hAnsi="Calibri"/>
                <w:color w:val="A6A6A6" w:themeColor="background1" w:themeShade="A6"/>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C4090B" w14:textId="77777777" w:rsidR="00A63D1D" w:rsidRPr="00FA4573" w:rsidRDefault="00A63D1D" w:rsidP="00A23C7D">
            <w:pPr>
              <w:spacing w:before="40" w:after="40"/>
              <w:jc w:val="center"/>
              <w:rPr>
                <w:rFonts w:ascii="Calibri" w:hAnsi="Calibri"/>
                <w:color w:val="A6A6A6" w:themeColor="background1" w:themeShade="A6"/>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9BAA9B" w14:textId="77777777" w:rsidR="00A63D1D" w:rsidRPr="00FA4573" w:rsidRDefault="00A63D1D" w:rsidP="00A23C7D">
            <w:pPr>
              <w:spacing w:before="40" w:after="40"/>
              <w:jc w:val="center"/>
              <w:rPr>
                <w:rFonts w:ascii="Calibri" w:hAnsi="Calibri"/>
                <w:color w:val="A6A6A6" w:themeColor="background1" w:themeShade="A6"/>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ED04AF" w14:textId="77777777" w:rsidR="00A63D1D" w:rsidRPr="00FA4573" w:rsidRDefault="00A63D1D" w:rsidP="00A23C7D">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br/>
              <w:t xml:space="preserve">Sep </w:t>
            </w:r>
            <w:r w:rsidRPr="00FA4573">
              <w:rPr>
                <w:rFonts w:eastAsiaTheme="minorEastAsia" w:cstheme="minorHAnsi"/>
                <w:color w:val="A6A6A6" w:themeColor="background1" w:themeShade="A6"/>
                <w:kern w:val="24"/>
                <w:sz w:val="12"/>
                <w:szCs w:val="12"/>
              </w:rPr>
              <w:t>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A63D1D" w:rsidRPr="00FA4573" w14:paraId="5AA575D3" w14:textId="77777777" w:rsidTr="00A23C7D">
        <w:trPr>
          <w:trHeight w:val="75"/>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250B9CD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98BA84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DC2DDD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Abdulkarim OLOYEDE</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07C66B1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6206F1D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Nigeria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hideMark/>
          </w:tcPr>
          <w:p w14:paraId="3F79F1C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43CF2C6"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13A7875"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2C1B3C"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61DBB05"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D9C69C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4931BFC"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54B3B027"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8A6135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640DBD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13E2B1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Sha WEI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07A10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4B8EEF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5B3815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2750499"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E3E4B4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6DBD47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A73A17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1072FB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BBDA019"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6B7AE051"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79B68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45C94F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CB907C" w14:textId="77777777" w:rsidR="00A63D1D" w:rsidRPr="00FA4573" w:rsidRDefault="00A63D1D" w:rsidP="00A23C7D">
            <w:pPr>
              <w:spacing w:before="40" w:after="40"/>
              <w:rPr>
                <w:rFonts w:ascii="Calibri" w:hAnsi="Calibri"/>
                <w:color w:val="000000"/>
                <w:sz w:val="20"/>
                <w:lang w:val="fr-FR"/>
              </w:rPr>
            </w:pPr>
            <w:r w:rsidRPr="00FA4573">
              <w:rPr>
                <w:rFonts w:ascii="Calibri" w:hAnsi="Calibri"/>
                <w:color w:val="000000"/>
                <w:sz w:val="20"/>
                <w:lang w:val="fr-FR"/>
              </w:rPr>
              <w:t>Mr Ahmadou Dit Adi CISSE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72CD3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36E36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C0053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9524C3"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B02A81"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5B4C4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88A79E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73E758"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7ECC9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5745D103"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FC771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7727EC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75AF8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Babou SARR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DC43E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250D8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8467A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8A592C"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8BDA9B"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4E3C42"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06A828D"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1F1525"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7AEF95"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44DF2062"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704E8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81AD9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EC7EA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Armelle MANKO</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C47502" w14:textId="77777777" w:rsidR="00A63D1D" w:rsidRPr="00FA4573" w:rsidRDefault="00A63D1D" w:rsidP="00A23C7D">
            <w:pPr>
              <w:spacing w:before="40" w:after="40"/>
              <w:rPr>
                <w:rFonts w:ascii="Calibri" w:hAnsi="Calibri"/>
                <w:color w:val="000000"/>
                <w:sz w:val="20"/>
                <w:lang w:eastAsia="ko-KR"/>
              </w:rPr>
            </w:pPr>
            <w:r w:rsidRPr="00FA4573">
              <w:rPr>
                <w:rFonts w:ascii="Calibri" w:hAnsi="Calibri"/>
                <w:color w:val="000000"/>
                <w:sz w:val="20"/>
                <w:lang w:eastAsia="ko-KR"/>
              </w:rPr>
              <w:t>RIFEN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C9B67A" w14:textId="77777777" w:rsidR="00A63D1D" w:rsidRPr="00FA4573" w:rsidRDefault="00A63D1D" w:rsidP="00A23C7D">
            <w:pPr>
              <w:spacing w:before="40" w:after="40"/>
              <w:rPr>
                <w:rFonts w:ascii="Calibri" w:hAnsi="Calibri"/>
                <w:color w:val="000000"/>
                <w:sz w:val="20"/>
              </w:rPr>
            </w:pP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6A3D9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CA7AF7"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DC21C8"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08DD82"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26949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209425"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E0170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6F3F7D0D"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EEA311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69D88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A4B47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Turhan MULUK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5AB477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Intel Corporation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6E26A9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United States of America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71FF71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567409"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AE58D4"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92BBD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3E216B"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94E3A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AEF73F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0D76AA8F"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1AD44C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F342CE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AAA28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Guoqing LI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02B143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FB3CB7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F91584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F3FFD8"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AAE4D3" w14:textId="77777777" w:rsidR="00A63D1D" w:rsidRPr="00FA4573" w:rsidRDefault="00A63D1D" w:rsidP="00A23C7D">
            <w:pPr>
              <w:spacing w:before="40" w:after="40"/>
              <w:jc w:val="center"/>
              <w:rPr>
                <w:rFonts w:ascii="Calibri" w:eastAsia="Malgun Gothic" w:hAnsi="Calibri"/>
                <w:color w:val="000000"/>
                <w:sz w:val="20"/>
                <w:lang w:eastAsia="ko-KR"/>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1946F3"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C3990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9D205E6"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39121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39521B10" w14:textId="77777777" w:rsidTr="00A23C7D">
        <w:trPr>
          <w:trHeight w:val="30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1C79F30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D6C836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F89FB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Labh SINGH</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B13FEE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2926D27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5163E97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FFEE05"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5AF85A"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F679ED"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B04766"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AFE6C7"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352826"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1588FE0F" w14:textId="77777777" w:rsidTr="00A23C7D">
        <w:trPr>
          <w:trHeight w:val="7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E505D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1CBD9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A289E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N Kishor NARANG</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91050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7A105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CD2BC8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97E49C"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29EC6A"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5FA41B"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27748E"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AF2FC5"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BC87DA5" w14:textId="77777777" w:rsidR="00A63D1D" w:rsidRPr="00FA4573" w:rsidRDefault="00A63D1D" w:rsidP="00A23C7D">
            <w:pPr>
              <w:spacing w:before="40" w:after="40"/>
              <w:jc w:val="center"/>
              <w:rPr>
                <w:rFonts w:ascii="Calibri" w:hAnsi="Calibri"/>
                <w:color w:val="000000"/>
                <w:sz w:val="20"/>
              </w:rPr>
            </w:pPr>
          </w:p>
        </w:tc>
      </w:tr>
      <w:tr w:rsidR="00A63D1D" w:rsidRPr="00FA4573" w14:paraId="517833C5" w14:textId="77777777" w:rsidTr="00A23C7D">
        <w:trPr>
          <w:trHeight w:val="81"/>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387342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5/2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34E7B60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3FBEF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Niver Bengü KARABACAK</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008D734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4D8B4B9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hideMark/>
          </w:tcPr>
          <w:p w14:paraId="73DEFA6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3928F8"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E58D22"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641F6D"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167CC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BDB28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762BB8"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257D2D73" w14:textId="77777777" w:rsidTr="00A23C7D">
        <w:trPr>
          <w:trHeight w:val="111"/>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B66E53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573F78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CEB9E4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Aprajita SHARRMA</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623F86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CFCCBB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India</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91F74C8"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6D005EE"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5805D3E"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885EEF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52C37B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C634398"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7251AA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59104AB2" w14:textId="77777777" w:rsidTr="00A23C7D">
        <w:trPr>
          <w:trHeight w:val="3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455D0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0DF37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41D89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Apollinaire BIGIRIMANA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920350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9F7C0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Burundi</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866DA2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CB3B46"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BAD95A3"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528AAB"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29EB715"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E28F4B"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A03B4F"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148ECEC4" w14:textId="77777777" w:rsidTr="00A23C7D">
        <w:trPr>
          <w:trHeight w:val="320"/>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0E786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2D531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DA87F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Gnakri Isabelle Sonia GNABRO Epouse KAKOU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9F791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F5F85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4430C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0F93EA"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AA4123"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91C058"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8CC7A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7D37FA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7D3D49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208795FF" w14:textId="77777777" w:rsidTr="00A23C7D">
        <w:trPr>
          <w:trHeight w:val="213"/>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9EF41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lastRenderedPageBreak/>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06193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0292D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Thomas Wambua LUTI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C955E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F106B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Kenya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39B49C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6988EB"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B6795C"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5A9E09"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6D6A0F"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C8A6A0F"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513B806"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190BD6EF" w14:textId="77777777" w:rsidTr="00A23C7D">
        <w:trPr>
          <w:trHeight w:val="20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922CF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D46EC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A9A63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Issa CAMARA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5AB6D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244F2A"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Mali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FDAC8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D1F3E4"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E865B1B" w14:textId="77777777" w:rsidR="00A63D1D" w:rsidRPr="00FA4573" w:rsidRDefault="00A63D1D" w:rsidP="00A23C7D">
            <w:pPr>
              <w:spacing w:before="40" w:after="40"/>
              <w:jc w:val="center"/>
              <w:rPr>
                <w:rFonts w:ascii="Calibri" w:eastAsia="Malgun Gothic" w:hAnsi="Calibri"/>
                <w:color w:val="000000"/>
                <w:sz w:val="20"/>
                <w:lang w:eastAsia="ko-KR"/>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361D626"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616A9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43D7C9" w14:textId="77777777" w:rsidR="00A63D1D" w:rsidRPr="00FA4573" w:rsidRDefault="00A63D1D" w:rsidP="00A23C7D">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BA103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11BC55E3" w14:textId="77777777" w:rsidTr="00A23C7D">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6414BF6"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20C24F6"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6F2D04D"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2DF923"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BB5B0D"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A0E96C"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27BD10"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8CC6B5"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EAFFAEC"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3A2286"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4B5303"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A63D1D" w:rsidRPr="00FA4573" w14:paraId="055B09D0" w14:textId="77777777" w:rsidTr="00A23C7D">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3796F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A86A9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0DCDF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Shang LI</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A2668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430F2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A8E5B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E809CAE"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079B56"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9DED77B"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FD6E17"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752B1F"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03F1A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03C95438" w14:textId="77777777" w:rsidTr="00A23C7D">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094183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7139B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EC0E00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Yasumitsu TOMIOKA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85E3FC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C0D49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Japan</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A75F0B"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1F614D1"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8897E60"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C20AA9"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1FAA71"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1DAA1F8"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B8476AB" w14:textId="77777777" w:rsidR="00A63D1D" w:rsidRPr="00FA4573" w:rsidRDefault="00A63D1D" w:rsidP="00A23C7D">
            <w:pPr>
              <w:spacing w:before="40" w:after="40"/>
              <w:jc w:val="center"/>
              <w:rPr>
                <w:rFonts w:ascii="Calibri" w:hAnsi="Calibri"/>
                <w:color w:val="000000"/>
                <w:sz w:val="20"/>
              </w:rPr>
            </w:pPr>
          </w:p>
        </w:tc>
      </w:tr>
      <w:tr w:rsidR="00A63D1D" w:rsidRPr="00FA4573" w14:paraId="722B718F" w14:textId="77777777" w:rsidTr="00A23C7D">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B0908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A48C7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AE794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Sang-hun LEE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86F081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95FA6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Korea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2B4F78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89886F"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E43C43E"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CC6806"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4BF7E6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1620A0A" w14:textId="77777777" w:rsidR="00A63D1D" w:rsidRPr="00FA4573" w:rsidRDefault="00A63D1D" w:rsidP="00A23C7D">
            <w:pPr>
              <w:spacing w:before="40" w:after="40"/>
              <w:jc w:val="center"/>
              <w:rPr>
                <w:rFonts w:eastAsia="Malgun Gothic" w:cstheme="minorHAnsi"/>
                <w:color w:val="000000" w:themeColor="text1"/>
                <w:kern w:val="24"/>
                <w:sz w:val="20"/>
                <w:lang w:eastAsia="ko-KR"/>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2817F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1E73C035" w14:textId="77777777" w:rsidTr="00A23C7D">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7B06234" w14:textId="77777777" w:rsidR="00A63D1D" w:rsidRPr="00FA4573" w:rsidRDefault="00A63D1D" w:rsidP="00A23C7D">
            <w:pPr>
              <w:spacing w:before="40" w:after="40"/>
              <w:rPr>
                <w:rFonts w:ascii="Calibri" w:hAnsi="Calibri"/>
                <w:sz w:val="20"/>
              </w:rPr>
            </w:pPr>
            <w:r w:rsidRPr="00FA4573">
              <w:rPr>
                <w:rFonts w:ascii="Calibri" w:hAnsi="Calibri"/>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4B4240F" w14:textId="77777777" w:rsidR="00A63D1D" w:rsidRPr="00FA4573" w:rsidRDefault="00A63D1D" w:rsidP="00A23C7D">
            <w:pPr>
              <w:spacing w:before="40" w:after="40"/>
              <w:rPr>
                <w:rFonts w:ascii="Calibri" w:hAnsi="Calibri"/>
                <w:sz w:val="20"/>
              </w:rPr>
            </w:pPr>
            <w:r w:rsidRPr="00FA4573">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DD80BA5" w14:textId="77777777" w:rsidR="00A63D1D" w:rsidRPr="00FA4573" w:rsidRDefault="00A63D1D" w:rsidP="00A23C7D">
            <w:pPr>
              <w:spacing w:before="40" w:after="40"/>
              <w:rPr>
                <w:rFonts w:ascii="Calibri" w:hAnsi="Calibri"/>
                <w:sz w:val="20"/>
              </w:rPr>
            </w:pPr>
            <w:r w:rsidRPr="00FA4573">
              <w:rPr>
                <w:rFonts w:ascii="Calibri" w:hAnsi="Calibri"/>
                <w:color w:val="000000"/>
                <w:sz w:val="20"/>
              </w:rPr>
              <w:t>Mr Jean-Manuel CANET</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439B9F" w14:textId="77777777" w:rsidR="00A63D1D" w:rsidRPr="00FA4573" w:rsidRDefault="00A63D1D" w:rsidP="00A23C7D">
            <w:pPr>
              <w:spacing w:before="40" w:after="40"/>
              <w:rPr>
                <w:rFonts w:ascii="Calibri" w:hAnsi="Calibri"/>
                <w:sz w:val="20"/>
              </w:rPr>
            </w:pPr>
            <w:r w:rsidRPr="00FA4573">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B60511" w14:textId="77777777" w:rsidR="00A63D1D" w:rsidRPr="00FA4573" w:rsidRDefault="00A63D1D" w:rsidP="00A23C7D">
            <w:pPr>
              <w:spacing w:before="40" w:after="40"/>
              <w:rPr>
                <w:rFonts w:ascii="Calibri" w:hAnsi="Calibri"/>
                <w:sz w:val="20"/>
              </w:rPr>
            </w:pPr>
            <w:r w:rsidRPr="00FA4573">
              <w:rPr>
                <w:rFonts w:ascii="Calibri" w:hAnsi="Calibri"/>
                <w:sz w:val="20"/>
              </w:rPr>
              <w:t>France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ED4302" w14:textId="77777777" w:rsidR="00A63D1D" w:rsidRPr="00FA4573" w:rsidRDefault="00A63D1D" w:rsidP="00A23C7D">
            <w:pPr>
              <w:spacing w:before="40" w:after="40"/>
              <w:rPr>
                <w:rFonts w:ascii="Calibri" w:hAnsi="Calibri"/>
                <w:sz w:val="20"/>
              </w:rPr>
            </w:pPr>
            <w:r w:rsidRPr="00FA4573">
              <w:rPr>
                <w:rFonts w:ascii="Calibri" w:hAnsi="Calibri"/>
                <w:sz w:val="20"/>
              </w:rPr>
              <w:t>Europe</w:t>
            </w:r>
          </w:p>
        </w:tc>
        <w:tc>
          <w:tcPr>
            <w:tcW w:w="2829" w:type="dxa"/>
            <w:gridSpan w:val="4"/>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6305182" w14:textId="77777777" w:rsidR="00A63D1D" w:rsidRPr="00FA4573" w:rsidRDefault="00A63D1D" w:rsidP="00A23C7D">
            <w:pPr>
              <w:spacing w:before="40" w:after="40"/>
              <w:jc w:val="center"/>
              <w:rPr>
                <w:rFonts w:eastAsiaTheme="minorEastAsia" w:cstheme="minorHAnsi"/>
                <w:kern w:val="24"/>
                <w:sz w:val="20"/>
              </w:rPr>
            </w:pPr>
            <w:r w:rsidRPr="00FA4573">
              <w:rPr>
                <w:rFonts w:eastAsiaTheme="minorEastAsia" w:cstheme="minorHAnsi"/>
                <w:color w:val="000000" w:themeColor="text1"/>
                <w:kern w:val="24"/>
                <w:sz w:val="14"/>
                <w:szCs w:val="14"/>
              </w:rPr>
              <w:t>(Not appointed yet)</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B3C165" w14:textId="77777777" w:rsidR="00A63D1D" w:rsidRPr="00FA4573" w:rsidRDefault="00A63D1D" w:rsidP="00A23C7D">
            <w:pPr>
              <w:spacing w:before="40" w:after="40"/>
              <w:jc w:val="center"/>
              <w:rPr>
                <w:rFonts w:eastAsiaTheme="minorEastAsia" w:cstheme="minorHAnsi"/>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0EF904" w14:textId="77777777" w:rsidR="00A63D1D" w:rsidRPr="00FA4573" w:rsidRDefault="00A63D1D" w:rsidP="00A23C7D">
            <w:pPr>
              <w:spacing w:before="40" w:after="40"/>
              <w:jc w:val="center"/>
              <w:rPr>
                <w:rFonts w:eastAsiaTheme="minorEastAsia" w:cstheme="minorHAnsi"/>
                <w:kern w:val="24"/>
                <w:sz w:val="20"/>
              </w:rPr>
            </w:pPr>
            <w:r w:rsidRPr="00FA4573">
              <w:rPr>
                <w:rFonts w:eastAsiaTheme="minorEastAsia" w:cstheme="minorHAnsi"/>
                <w:color w:val="000000" w:themeColor="text1"/>
                <w:kern w:val="24"/>
                <w:sz w:val="20"/>
              </w:rPr>
              <w:t>O</w:t>
            </w:r>
          </w:p>
        </w:tc>
      </w:tr>
      <w:tr w:rsidR="00A63D1D" w:rsidRPr="00FA4573" w14:paraId="5D75D95B" w14:textId="77777777" w:rsidTr="00A23C7D">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A17C1B"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3230342"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140C097"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Ms Julia NIETSCH</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290A83"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D85437E"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France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7B1503"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8E1DE91"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244FA5"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8104727"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2125" w:type="dxa"/>
            <w:gridSpan w:val="3"/>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Mar>
              <w:left w:w="57" w:type="dxa"/>
              <w:right w:w="57" w:type="dxa"/>
            </w:tcMar>
            <w:vAlign w:val="center"/>
          </w:tcPr>
          <w:p w14:paraId="038697AF" w14:textId="77777777" w:rsidR="00A63D1D" w:rsidRPr="00FA4573" w:rsidRDefault="00A63D1D" w:rsidP="00A23C7D">
            <w:pPr>
              <w:spacing w:before="40" w:after="40"/>
              <w:jc w:val="center"/>
              <w:rPr>
                <w:rFonts w:eastAsiaTheme="minorEastAsia" w:cstheme="minorHAnsi"/>
                <w:color w:val="A6A6A6" w:themeColor="background1" w:themeShade="A6"/>
                <w:kern w:val="24"/>
                <w:sz w:val="12"/>
                <w:szCs w:val="12"/>
              </w:rPr>
            </w:pPr>
            <w:r w:rsidRPr="00FA4573">
              <w:rPr>
                <w:rFonts w:eastAsiaTheme="minorEastAsia" w:cstheme="minorHAnsi"/>
                <w:color w:val="A6A6A6" w:themeColor="background1" w:themeShade="A6"/>
                <w:kern w:val="24"/>
                <w:sz w:val="12"/>
                <w:szCs w:val="12"/>
              </w:rPr>
              <w:t>(</w:t>
            </w:r>
            <w:r w:rsidRPr="00FA4573">
              <w:rPr>
                <w:rFonts w:eastAsia="Malgun Gothic" w:cstheme="minorHAnsi"/>
                <w:color w:val="A6A6A6" w:themeColor="background1" w:themeShade="A6"/>
                <w:kern w:val="24"/>
                <w:sz w:val="12"/>
                <w:szCs w:val="12"/>
                <w:lang w:eastAsia="ko-KR"/>
              </w:rPr>
              <w:t>Stepped down</w:t>
            </w:r>
            <w:r w:rsidRPr="00FA4573">
              <w:rPr>
                <w:rFonts w:eastAsiaTheme="minorEastAsia" w:cstheme="minorHAnsi"/>
                <w:color w:val="A6A6A6" w:themeColor="background1" w:themeShade="A6"/>
                <w:kern w:val="24"/>
                <w:sz w:val="12"/>
                <w:szCs w:val="12"/>
              </w:rPr>
              <w:t xml:space="preserve"> in </w:t>
            </w:r>
            <w:r w:rsidRPr="00FA4573">
              <w:rPr>
                <w:rFonts w:eastAsia="Malgun Gothic" w:cstheme="minorHAnsi"/>
                <w:color w:val="A6A6A6" w:themeColor="background1" w:themeShade="A6"/>
                <w:kern w:val="24"/>
                <w:sz w:val="12"/>
                <w:szCs w:val="12"/>
                <w:lang w:eastAsia="ko-KR"/>
              </w:rPr>
              <w:t>May</w:t>
            </w:r>
            <w:r w:rsidRPr="00FA4573">
              <w:rPr>
                <w:rFonts w:eastAsiaTheme="minorEastAsia" w:cstheme="minorHAnsi"/>
                <w:color w:val="A6A6A6" w:themeColor="background1" w:themeShade="A6"/>
                <w:kern w:val="24"/>
                <w:sz w:val="12"/>
                <w:szCs w:val="12"/>
              </w:rPr>
              <w:t xml:space="preserve"> 202</w:t>
            </w:r>
            <w:r w:rsidRPr="00FA4573">
              <w:rPr>
                <w:rFonts w:eastAsia="Malgun Gothic" w:cstheme="minorHAnsi"/>
                <w:color w:val="A6A6A6" w:themeColor="background1" w:themeShade="A6"/>
                <w:kern w:val="24"/>
                <w:sz w:val="12"/>
                <w:szCs w:val="12"/>
                <w:lang w:eastAsia="ko-KR"/>
              </w:rPr>
              <w:t>4</w:t>
            </w:r>
            <w:r w:rsidRPr="00FA4573">
              <w:rPr>
                <w:rFonts w:eastAsiaTheme="minorEastAsia" w:cstheme="minorHAnsi"/>
                <w:color w:val="A6A6A6" w:themeColor="background1" w:themeShade="A6"/>
                <w:kern w:val="24"/>
                <w:sz w:val="12"/>
                <w:szCs w:val="12"/>
              </w:rPr>
              <w:t>)</w:t>
            </w:r>
          </w:p>
        </w:tc>
      </w:tr>
      <w:tr w:rsidR="00A63D1D" w:rsidRPr="00FA4573" w14:paraId="1F572C51" w14:textId="77777777" w:rsidTr="00A23C7D">
        <w:trPr>
          <w:trHeight w:val="15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206E8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6/2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03CC4D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657AAB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Ethan MUDAVANHU</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C3C328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Access Partnership Ltd</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6C146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United Kingdom of Great Britain and Northern Ireland</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58853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FAA2B6"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140E7E6"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20D3CD8"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E3FF96"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5D10484"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A732DD" w14:textId="77777777" w:rsidR="00A63D1D" w:rsidRPr="00FA4573" w:rsidRDefault="00A63D1D" w:rsidP="00A23C7D">
            <w:pPr>
              <w:spacing w:before="40" w:after="40"/>
              <w:jc w:val="center"/>
              <w:rPr>
                <w:rFonts w:eastAsiaTheme="minorEastAsia" w:cstheme="minorHAnsi"/>
                <w:color w:val="000000" w:themeColor="text1"/>
                <w:kern w:val="24"/>
                <w:sz w:val="20"/>
              </w:rPr>
            </w:pPr>
          </w:p>
        </w:tc>
      </w:tr>
      <w:tr w:rsidR="00A63D1D" w:rsidRPr="00FA4573" w14:paraId="1924119F" w14:textId="77777777" w:rsidTr="00A23C7D">
        <w:trPr>
          <w:trHeight w:val="75"/>
          <w:jc w:val="center"/>
        </w:trPr>
        <w:tc>
          <w:tcPr>
            <w:tcW w:w="14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E4BE5C8" w14:textId="77777777" w:rsidR="00A63D1D" w:rsidRPr="00FA4573" w:rsidRDefault="00A63D1D" w:rsidP="00A23C7D">
            <w:pPr>
              <w:spacing w:before="40" w:after="40"/>
              <w:rPr>
                <w:rFonts w:ascii="Calibri" w:hAnsi="Calibri"/>
                <w:b/>
                <w:bCs/>
                <w:color w:val="000000"/>
                <w:sz w:val="20"/>
              </w:rPr>
            </w:pPr>
            <w:r w:rsidRPr="00FA4573">
              <w:rPr>
                <w:rFonts w:ascii="Calibri" w:hAnsi="Calibri"/>
                <w:color w:val="000000"/>
                <w:sz w:val="20"/>
              </w:rPr>
              <w:t>Question 7/2</w:t>
            </w:r>
          </w:p>
        </w:tc>
        <w:tc>
          <w:tcPr>
            <w:tcW w:w="1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0BB18F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4BAEBD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Tongning WU</w:t>
            </w:r>
          </w:p>
        </w:tc>
        <w:tc>
          <w:tcPr>
            <w:tcW w:w="178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21F6850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095A22E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1FABF9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B9476AA"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995929"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AFE480B"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81EB925"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6DB1908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002DEA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0A95A958" w14:textId="77777777" w:rsidTr="00A23C7D">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7C4C4A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2B8DD8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Co-Rapporteur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916AFD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Haim MAZAR</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664053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6283D4F" w14:textId="77777777" w:rsidR="00A63D1D" w:rsidRPr="00FA4573" w:rsidRDefault="00A63D1D" w:rsidP="00A23C7D">
            <w:pPr>
              <w:spacing w:before="40" w:after="40"/>
              <w:rPr>
                <w:rFonts w:ascii="Calibri" w:hAnsi="Calibri"/>
                <w:color w:val="000000"/>
                <w:sz w:val="20"/>
                <w:lang w:eastAsia="ko-KR"/>
              </w:rPr>
            </w:pPr>
            <w:r w:rsidRPr="00FA4573">
              <w:rPr>
                <w:rFonts w:ascii="Calibri" w:hAnsi="Calibri"/>
                <w:color w:val="000000"/>
                <w:sz w:val="20"/>
                <w:lang w:eastAsia="ko-KR"/>
              </w:rPr>
              <w:t>Israel</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0C4D9FD" w14:textId="77777777" w:rsidR="00A63D1D" w:rsidRPr="00FA4573" w:rsidRDefault="00A63D1D" w:rsidP="00A23C7D">
            <w:pPr>
              <w:spacing w:before="40" w:after="40"/>
              <w:rPr>
                <w:rFonts w:ascii="Calibri" w:hAnsi="Calibri"/>
                <w:color w:val="000000"/>
                <w:sz w:val="20"/>
                <w:lang w:eastAsia="ko-KR"/>
              </w:rPr>
            </w:pPr>
            <w:r w:rsidRPr="00FA4573">
              <w:rPr>
                <w:rFonts w:ascii="Calibri" w:hAnsi="Calibri"/>
                <w:color w:val="000000"/>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5AEB9407"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1A9AB792"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3C812C8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2957A9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7B8C4333"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center"/>
          </w:tcPr>
          <w:p w14:paraId="4EFAE7A6"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3C88486B" w14:textId="77777777" w:rsidTr="00A23C7D">
        <w:trPr>
          <w:trHeight w:val="105"/>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8E46D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F41B1C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64EE8A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Keamogetswe MATOMELA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C41219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9B1A70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Botswana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F61418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1AF822"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AE1D60"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A9AA5E"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F99E5B"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3CEA78"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FBB629" w14:textId="77777777" w:rsidR="00A63D1D" w:rsidRPr="00FA4573" w:rsidRDefault="00A63D1D" w:rsidP="00A23C7D">
            <w:pPr>
              <w:spacing w:before="40" w:after="40"/>
              <w:jc w:val="center"/>
              <w:rPr>
                <w:rFonts w:ascii="Calibri" w:hAnsi="Calibri"/>
                <w:color w:val="000000"/>
                <w:sz w:val="20"/>
              </w:rPr>
            </w:pPr>
          </w:p>
        </w:tc>
      </w:tr>
      <w:tr w:rsidR="00A63D1D" w:rsidRPr="00FA4573" w14:paraId="44FA4C5A" w14:textId="77777777" w:rsidTr="00A23C7D">
        <w:trPr>
          <w:trHeight w:val="13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34EFEB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88ECE7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94254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Diarrassouba BAKARY</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36680B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64AC3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Côte d'Ivoire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730B677"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D4DB4F"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EE24A4"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D00713C"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504D37A"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31D082"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318AEE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r>
      <w:tr w:rsidR="00A63D1D" w:rsidRPr="00FA4573" w14:paraId="47E10025" w14:textId="77777777" w:rsidTr="00A23C7D">
        <w:trPr>
          <w:trHeight w:val="172"/>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4FE54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11B7A5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630E8CC"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Diao TOURE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5F8C6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9992BD"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Guinea</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F9F139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4BF1A70" w14:textId="77777777" w:rsidR="00A63D1D" w:rsidRPr="00FA4573" w:rsidRDefault="00A63D1D" w:rsidP="00A23C7D">
            <w:pPr>
              <w:spacing w:before="40" w:after="40"/>
              <w:jc w:val="center"/>
              <w:rPr>
                <w:rFonts w:ascii="Calibri" w:hAnsi="Calibri"/>
                <w:color w:val="000000"/>
                <w:sz w:val="20"/>
              </w:rPr>
            </w:pP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2661652" w14:textId="77777777" w:rsidR="00A63D1D" w:rsidRPr="00FA4573" w:rsidRDefault="00A63D1D" w:rsidP="00A23C7D">
            <w:pPr>
              <w:spacing w:before="40" w:after="40"/>
              <w:jc w:val="center"/>
              <w:rPr>
                <w:rFonts w:ascii="Calibri" w:hAnsi="Calibri"/>
                <w:color w:val="000000"/>
                <w:sz w:val="20"/>
              </w:rPr>
            </w:pP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1734D9C"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F754365" w14:textId="77777777" w:rsidR="00A63D1D" w:rsidRPr="00FA4573" w:rsidRDefault="00A63D1D" w:rsidP="00A23C7D">
            <w:pPr>
              <w:spacing w:before="40" w:after="40"/>
              <w:jc w:val="center"/>
              <w:rPr>
                <w:rFonts w:ascii="Calibri" w:hAnsi="Calibri"/>
                <w:color w:val="000000"/>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0A75ED8" w14:textId="77777777" w:rsidR="00A63D1D" w:rsidRPr="00FA4573" w:rsidRDefault="00A63D1D" w:rsidP="00A23C7D">
            <w:pPr>
              <w:spacing w:before="40" w:after="40"/>
              <w:jc w:val="center"/>
              <w:rPr>
                <w:rFonts w:ascii="Calibri" w:hAnsi="Calibri"/>
                <w:color w:val="000000"/>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EE668E" w14:textId="77777777" w:rsidR="00A63D1D" w:rsidRPr="00FA4573" w:rsidRDefault="00A63D1D" w:rsidP="00A23C7D">
            <w:pPr>
              <w:spacing w:before="40" w:after="40"/>
              <w:jc w:val="center"/>
              <w:rPr>
                <w:rFonts w:ascii="Calibri" w:hAnsi="Calibri"/>
                <w:color w:val="000000"/>
                <w:sz w:val="20"/>
              </w:rPr>
            </w:pPr>
          </w:p>
        </w:tc>
      </w:tr>
      <w:tr w:rsidR="00A63D1D" w:rsidRPr="00FA4573" w14:paraId="5706DEFE" w14:textId="77777777" w:rsidTr="00A23C7D">
        <w:trPr>
          <w:trHeight w:val="227"/>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DCF6BE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6A4173"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5DA0C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Ms Aminata Niang DIAGNE</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EEE07D9"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CAFFEF4"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Senegal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D49881"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Africa</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4EB59BD"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3DE8F70"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C31851D"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2CCAA0A"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A408E4" w14:textId="77777777" w:rsidR="00A63D1D" w:rsidRPr="00FA4573" w:rsidRDefault="00A63D1D" w:rsidP="00A23C7D">
            <w:pPr>
              <w:spacing w:before="40" w:after="40"/>
              <w:jc w:val="center"/>
              <w:rPr>
                <w:rFonts w:eastAsiaTheme="minorEastAsia" w:cstheme="minorHAnsi"/>
                <w:color w:val="000000" w:themeColor="text1"/>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F5E2B4"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34340E4D" w14:textId="77777777" w:rsidTr="00A23C7D">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A59AAE"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52BC7F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BA36F3A"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Gregory DOMOND</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7EEE0C1"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2314068"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Haiti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68085A9"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Americas</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B9480DB"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2047F3"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74E873"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eastAsiaTheme="minorEastAsia" w:cstheme="minorHAnsi"/>
                <w:color w:val="A6A6A6" w:themeColor="background1" w:themeShade="A6"/>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006864D"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p>
        </w:tc>
        <w:tc>
          <w:tcPr>
            <w:tcW w:w="1417" w:type="dxa"/>
            <w:gridSpan w:val="2"/>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55B2200" w14:textId="77777777" w:rsidR="00A63D1D" w:rsidRPr="00FA4573" w:rsidRDefault="00A63D1D" w:rsidP="00A23C7D">
            <w:pPr>
              <w:spacing w:before="40" w:after="40"/>
              <w:jc w:val="center"/>
              <w:rPr>
                <w:rFonts w:ascii="Calibri" w:hAnsi="Calibri"/>
                <w:color w:val="A6A6A6" w:themeColor="background1" w:themeShade="A6"/>
                <w:sz w:val="12"/>
                <w:szCs w:val="12"/>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July</w:t>
            </w:r>
            <w:r w:rsidRPr="00FA4573">
              <w:rPr>
                <w:rFonts w:ascii="Calibri" w:hAnsi="Calibri"/>
                <w:color w:val="A6A6A6" w:themeColor="background1" w:themeShade="A6"/>
                <w:sz w:val="12"/>
                <w:szCs w:val="12"/>
              </w:rPr>
              <w:t xml:space="preserve"> 202</w:t>
            </w:r>
            <w:r w:rsidRPr="00FA4573">
              <w:rPr>
                <w:rFonts w:ascii="Calibri" w:hAnsi="Calibri"/>
                <w:color w:val="A6A6A6" w:themeColor="background1" w:themeShade="A6"/>
                <w:sz w:val="12"/>
                <w:szCs w:val="12"/>
                <w:lang w:eastAsia="ko-KR"/>
              </w:rPr>
              <w:t>4</w:t>
            </w:r>
            <w:r w:rsidRPr="00FA4573">
              <w:rPr>
                <w:rFonts w:ascii="Calibri" w:hAnsi="Calibri"/>
                <w:color w:val="A6A6A6" w:themeColor="background1" w:themeShade="A6"/>
                <w:sz w:val="12"/>
                <w:szCs w:val="12"/>
              </w:rPr>
              <w:t>)</w:t>
            </w:r>
          </w:p>
        </w:tc>
      </w:tr>
      <w:tr w:rsidR="00A63D1D" w:rsidRPr="00FA4573" w14:paraId="20BC24FA" w14:textId="77777777" w:rsidTr="00A23C7D">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C157192"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DB2C075"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D8E4136"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Mr Wenhua MA</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68A66F"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Institute of Communications</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AC5C6DE"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China (People's Republic of)</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06B04A0" w14:textId="77777777" w:rsidR="00A63D1D" w:rsidRPr="00FA4573" w:rsidRDefault="00A63D1D" w:rsidP="00A23C7D">
            <w:pPr>
              <w:spacing w:before="40" w:after="40"/>
              <w:rPr>
                <w:rFonts w:ascii="Calibri" w:hAnsi="Calibri"/>
                <w:color w:val="000000"/>
                <w:sz w:val="20"/>
              </w:rPr>
            </w:pPr>
            <w:r w:rsidRPr="00FA4573">
              <w:rPr>
                <w:rFonts w:ascii="Calibri" w:hAnsi="Calibri"/>
                <w:color w:val="000000"/>
                <w:sz w:val="20"/>
              </w:rPr>
              <w:t>Asia &amp; Pacific</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49D16AA"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97B3580" w14:textId="77777777" w:rsidR="00A63D1D" w:rsidRPr="00FA4573" w:rsidRDefault="00A63D1D" w:rsidP="00A23C7D">
            <w:pPr>
              <w:spacing w:before="40" w:after="40"/>
              <w:jc w:val="center"/>
              <w:rPr>
                <w:rFonts w:ascii="Calibri" w:hAnsi="Calibri"/>
                <w:color w:val="000000"/>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6C04841"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9A0B230"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4E0CDB5"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404C4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68AEA932" w14:textId="77777777" w:rsidTr="00A23C7D">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CE36016" w14:textId="77777777" w:rsidR="00A63D1D" w:rsidRPr="00474F78" w:rsidRDefault="00A63D1D" w:rsidP="00A23C7D">
            <w:pPr>
              <w:spacing w:before="40" w:after="40"/>
              <w:rPr>
                <w:rFonts w:ascii="Calibri" w:hAnsi="Calibri"/>
                <w:sz w:val="20"/>
              </w:rPr>
            </w:pPr>
            <w:r w:rsidRPr="00474F78">
              <w:rPr>
                <w:rFonts w:ascii="Calibri" w:hAnsi="Calibri"/>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9EA20F4" w14:textId="77777777" w:rsidR="00A63D1D" w:rsidRPr="00474F78" w:rsidRDefault="00A63D1D" w:rsidP="00A23C7D">
            <w:pPr>
              <w:spacing w:before="40" w:after="40"/>
              <w:rPr>
                <w:rFonts w:ascii="Calibri" w:hAnsi="Calibri"/>
                <w:sz w:val="20"/>
              </w:rPr>
            </w:pPr>
            <w:r w:rsidRPr="00474F78">
              <w:rPr>
                <w:rFonts w:ascii="Calibri" w:hAnsi="Calibri"/>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5FF1F4F" w14:textId="77777777" w:rsidR="00A63D1D" w:rsidRPr="00474F78" w:rsidRDefault="00A63D1D" w:rsidP="00A23C7D">
            <w:pPr>
              <w:spacing w:before="40" w:after="40"/>
              <w:rPr>
                <w:rFonts w:ascii="Calibri" w:hAnsi="Calibri"/>
                <w:sz w:val="20"/>
              </w:rPr>
            </w:pPr>
            <w:r w:rsidRPr="00FA4573">
              <w:rPr>
                <w:rFonts w:ascii="Calibri" w:hAnsi="Calibri"/>
                <w:sz w:val="20"/>
              </w:rPr>
              <w:t>Mehmet Akif ESIN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760FE67" w14:textId="77777777" w:rsidR="00A63D1D" w:rsidRPr="00474F78" w:rsidRDefault="00A63D1D" w:rsidP="00A23C7D">
            <w:pPr>
              <w:spacing w:before="40" w:after="40"/>
              <w:rPr>
                <w:rFonts w:ascii="Calibri" w:hAnsi="Calibri"/>
                <w:sz w:val="20"/>
              </w:rPr>
            </w:pPr>
            <w:r w:rsidRPr="00474F78">
              <w:rPr>
                <w:rFonts w:ascii="Calibri" w:hAnsi="Calibri"/>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1F0C940E" w14:textId="77777777" w:rsidR="00A63D1D" w:rsidRPr="00474F78" w:rsidRDefault="00A63D1D" w:rsidP="00A23C7D">
            <w:pPr>
              <w:spacing w:before="40" w:after="40"/>
              <w:rPr>
                <w:rFonts w:ascii="Calibri" w:hAnsi="Calibri"/>
                <w:sz w:val="20"/>
              </w:rPr>
            </w:pPr>
            <w:r w:rsidRPr="00474F78">
              <w:rPr>
                <w:rFonts w:ascii="Calibri" w:hAnsi="Calibri"/>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098A05F" w14:textId="77777777" w:rsidR="00A63D1D" w:rsidRPr="00474F78" w:rsidRDefault="00A63D1D" w:rsidP="00A23C7D">
            <w:pPr>
              <w:spacing w:before="40" w:after="40"/>
              <w:rPr>
                <w:rFonts w:ascii="Calibri" w:hAnsi="Calibri"/>
                <w:sz w:val="20"/>
              </w:rPr>
            </w:pPr>
            <w:r w:rsidRPr="00474F78">
              <w:rPr>
                <w:rFonts w:ascii="Calibri" w:hAnsi="Calibri"/>
                <w:sz w:val="20"/>
              </w:rPr>
              <w:t>Europe</w:t>
            </w:r>
          </w:p>
        </w:tc>
        <w:tc>
          <w:tcPr>
            <w:tcW w:w="3537" w:type="dxa"/>
            <w:gridSpan w:val="5"/>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A4D3AB2"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14"/>
                <w:szCs w:val="14"/>
              </w:rPr>
              <w:t>(Not appointed yet)</w:t>
            </w: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FD1A4DE" w14:textId="77777777" w:rsidR="00A63D1D" w:rsidRPr="00FA4573" w:rsidRDefault="00A63D1D" w:rsidP="00A23C7D">
            <w:pPr>
              <w:spacing w:before="40" w:after="40"/>
              <w:jc w:val="center"/>
              <w:rPr>
                <w:rFonts w:eastAsiaTheme="minorEastAsia" w:cstheme="minorHAnsi"/>
                <w:color w:val="000000" w:themeColor="text1"/>
                <w:kern w:val="24"/>
                <w:sz w:val="20"/>
              </w:rPr>
            </w:pPr>
            <w:r w:rsidRPr="00FA4573">
              <w:rPr>
                <w:rFonts w:eastAsiaTheme="minorEastAsia" w:cstheme="minorHAnsi"/>
                <w:color w:val="000000" w:themeColor="text1"/>
                <w:kern w:val="24"/>
                <w:sz w:val="20"/>
              </w:rPr>
              <w:t>O</w:t>
            </w:r>
            <w:r w:rsidRPr="00FA4573">
              <w:rPr>
                <w:rFonts w:eastAsiaTheme="minorEastAsia" w:cstheme="minorHAnsi"/>
                <w:color w:val="000000" w:themeColor="text1"/>
                <w:kern w:val="24"/>
                <w:sz w:val="20"/>
                <w:vertAlign w:val="superscript"/>
              </w:rPr>
              <w:t>R</w:t>
            </w:r>
          </w:p>
        </w:tc>
      </w:tr>
      <w:tr w:rsidR="00A63D1D" w:rsidRPr="00FA4573" w14:paraId="2FE2BEA5" w14:textId="77777777" w:rsidTr="00A23C7D">
        <w:trPr>
          <w:trHeight w:val="119"/>
          <w:jc w:val="center"/>
        </w:trPr>
        <w:tc>
          <w:tcPr>
            <w:tcW w:w="14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F9DC71F"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Question 7/2</w:t>
            </w:r>
          </w:p>
        </w:tc>
        <w:tc>
          <w:tcPr>
            <w:tcW w:w="1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2ECAF94"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Vice-Rapporteur</w:t>
            </w:r>
          </w:p>
        </w:tc>
        <w:tc>
          <w:tcPr>
            <w:tcW w:w="255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3D1886E6"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Mr Hüseyin Avni YAVUZARSLAN</w:t>
            </w:r>
          </w:p>
        </w:tc>
        <w:tc>
          <w:tcPr>
            <w:tcW w:w="178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70FBFFFE"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Administration</w:t>
            </w:r>
          </w:p>
        </w:tc>
        <w:tc>
          <w:tcPr>
            <w:tcW w:w="184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989655"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Türkiye</w:t>
            </w:r>
          </w:p>
        </w:tc>
        <w:tc>
          <w:tcPr>
            <w:tcW w:w="133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ECBF374" w14:textId="77777777" w:rsidR="00A63D1D" w:rsidRPr="00FA4573" w:rsidRDefault="00A63D1D" w:rsidP="00A23C7D">
            <w:pPr>
              <w:spacing w:before="40" w:after="40"/>
              <w:rPr>
                <w:rFonts w:ascii="Calibri" w:hAnsi="Calibri"/>
                <w:color w:val="A6A6A6" w:themeColor="background1" w:themeShade="A6"/>
                <w:sz w:val="20"/>
              </w:rPr>
            </w:pPr>
            <w:r w:rsidRPr="00FA4573">
              <w:rPr>
                <w:rFonts w:ascii="Calibri" w:hAnsi="Calibri"/>
                <w:color w:val="A6A6A6" w:themeColor="background1" w:themeShade="A6"/>
                <w:sz w:val="20"/>
              </w:rPr>
              <w:t>Europe</w:t>
            </w:r>
          </w:p>
        </w:tc>
        <w:tc>
          <w:tcPr>
            <w:tcW w:w="69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414761F0"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3"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6A8501E3" w14:textId="77777777" w:rsidR="00A63D1D" w:rsidRPr="00FA4573" w:rsidRDefault="00A63D1D" w:rsidP="00A23C7D">
            <w:pPr>
              <w:spacing w:before="40" w:after="40"/>
              <w:jc w:val="center"/>
              <w:rPr>
                <w:rFonts w:ascii="Calibri" w:hAnsi="Calibri"/>
                <w:color w:val="A6A6A6" w:themeColor="background1" w:themeShade="A6"/>
                <w:sz w:val="20"/>
              </w:rPr>
            </w:pPr>
            <w:r w:rsidRPr="00FA4573">
              <w:rPr>
                <w:rFonts w:eastAsiaTheme="minorEastAsia" w:cstheme="minorHAnsi"/>
                <w:color w:val="A6A6A6" w:themeColor="background1" w:themeShade="A6"/>
                <w:kern w:val="24"/>
                <w:sz w:val="20"/>
              </w:rPr>
              <w:t>O</w:t>
            </w:r>
            <w:r w:rsidRPr="00FA4573">
              <w:rPr>
                <w:rFonts w:eastAsiaTheme="minorEastAsia" w:cstheme="minorHAnsi"/>
                <w:color w:val="A6A6A6" w:themeColor="background1" w:themeShade="A6"/>
                <w:kern w:val="24"/>
                <w:sz w:val="20"/>
                <w:vertAlign w:val="superscript"/>
              </w:rPr>
              <w:t>R</w:t>
            </w:r>
          </w:p>
        </w:tc>
        <w:tc>
          <w:tcPr>
            <w:tcW w:w="71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BA6492B" w14:textId="77777777" w:rsidR="00A63D1D" w:rsidRPr="00FA4573" w:rsidRDefault="00A63D1D" w:rsidP="00A23C7D">
            <w:pPr>
              <w:spacing w:before="40" w:after="40"/>
              <w:jc w:val="center"/>
              <w:rPr>
                <w:rFonts w:eastAsia="Malgun Gothic" w:cstheme="minorHAnsi"/>
                <w:color w:val="A6A6A6" w:themeColor="background1" w:themeShade="A6"/>
                <w:kern w:val="24"/>
                <w:sz w:val="20"/>
                <w:lang w:eastAsia="ko-KR"/>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0551B916"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p>
        </w:tc>
        <w:tc>
          <w:tcPr>
            <w:tcW w:w="708"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2B3638E4"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p>
        </w:tc>
        <w:tc>
          <w:tcPr>
            <w:tcW w:w="70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center"/>
          </w:tcPr>
          <w:p w14:paraId="5A3149A2" w14:textId="77777777" w:rsidR="00A63D1D" w:rsidRPr="00FA4573" w:rsidRDefault="00A63D1D" w:rsidP="00A23C7D">
            <w:pPr>
              <w:spacing w:before="40" w:after="40"/>
              <w:jc w:val="center"/>
              <w:rPr>
                <w:rFonts w:eastAsiaTheme="minorEastAsia" w:cstheme="minorHAnsi"/>
                <w:color w:val="A6A6A6" w:themeColor="background1" w:themeShade="A6"/>
                <w:kern w:val="24"/>
                <w:sz w:val="20"/>
              </w:rPr>
            </w:pPr>
            <w:r w:rsidRPr="00FA4573">
              <w:rPr>
                <w:rFonts w:ascii="Calibri" w:hAnsi="Calibri"/>
                <w:color w:val="A6A6A6" w:themeColor="background1" w:themeShade="A6"/>
                <w:sz w:val="12"/>
                <w:szCs w:val="12"/>
              </w:rPr>
              <w:t>(</w:t>
            </w:r>
            <w:r w:rsidRPr="00FA4573">
              <w:rPr>
                <w:rFonts w:ascii="Calibri" w:hAnsi="Calibri"/>
                <w:color w:val="A6A6A6" w:themeColor="background1" w:themeShade="A6"/>
                <w:sz w:val="12"/>
                <w:szCs w:val="12"/>
                <w:lang w:eastAsia="ko-KR"/>
              </w:rPr>
              <w:t>Stepped down</w:t>
            </w:r>
            <w:r w:rsidRPr="00FA4573">
              <w:rPr>
                <w:rFonts w:ascii="Calibri" w:hAnsi="Calibri"/>
                <w:color w:val="A6A6A6" w:themeColor="background1" w:themeShade="A6"/>
                <w:sz w:val="12"/>
                <w:szCs w:val="12"/>
              </w:rPr>
              <w:t xml:space="preserve"> in </w:t>
            </w:r>
            <w:r w:rsidRPr="00FA4573">
              <w:rPr>
                <w:rFonts w:ascii="Calibri" w:hAnsi="Calibri"/>
                <w:color w:val="A6A6A6" w:themeColor="background1" w:themeShade="A6"/>
                <w:sz w:val="12"/>
                <w:szCs w:val="12"/>
              </w:rPr>
              <w:br/>
            </w:r>
            <w:r w:rsidRPr="00FA4573">
              <w:rPr>
                <w:rFonts w:ascii="Calibri" w:hAnsi="Calibri"/>
                <w:color w:val="A6A6A6" w:themeColor="background1" w:themeShade="A6"/>
                <w:sz w:val="12"/>
                <w:szCs w:val="12"/>
                <w:lang w:eastAsia="ko-KR"/>
              </w:rPr>
              <w:t>J</w:t>
            </w:r>
            <w:r w:rsidRPr="00FA4573">
              <w:rPr>
                <w:rFonts w:ascii="Calibri" w:eastAsia="Malgun Gothic" w:hAnsi="Calibri" w:hint="eastAsia"/>
                <w:color w:val="A6A6A6" w:themeColor="background1" w:themeShade="A6"/>
                <w:sz w:val="12"/>
                <w:szCs w:val="12"/>
                <w:lang w:eastAsia="ko-KR"/>
              </w:rPr>
              <w:t>an</w:t>
            </w:r>
            <w:r w:rsidRPr="00FA4573">
              <w:rPr>
                <w:rFonts w:ascii="Calibri" w:hAnsi="Calibri"/>
                <w:color w:val="A6A6A6" w:themeColor="background1" w:themeShade="A6"/>
                <w:sz w:val="12"/>
                <w:szCs w:val="12"/>
              </w:rPr>
              <w:t xml:space="preserve"> 202</w:t>
            </w:r>
            <w:r w:rsidRPr="00FA4573">
              <w:rPr>
                <w:rFonts w:ascii="Calibri" w:eastAsia="Malgun Gothic" w:hAnsi="Calibri" w:hint="eastAsia"/>
                <w:color w:val="A6A6A6" w:themeColor="background1" w:themeShade="A6"/>
                <w:sz w:val="12"/>
                <w:szCs w:val="12"/>
                <w:lang w:eastAsia="ko-KR"/>
              </w:rPr>
              <w:t>5</w:t>
            </w:r>
            <w:r w:rsidRPr="00FA4573">
              <w:rPr>
                <w:rFonts w:ascii="Calibri" w:hAnsi="Calibri"/>
                <w:color w:val="A6A6A6" w:themeColor="background1" w:themeShade="A6"/>
                <w:sz w:val="12"/>
                <w:szCs w:val="12"/>
              </w:rPr>
              <w:t>)</w:t>
            </w:r>
          </w:p>
        </w:tc>
      </w:tr>
    </w:tbl>
    <w:p w14:paraId="28B87DE9" w14:textId="77777777" w:rsidR="00A63D1D" w:rsidRPr="00FA4573" w:rsidRDefault="00A63D1D" w:rsidP="00A63D1D">
      <w:pPr>
        <w:tabs>
          <w:tab w:val="clear" w:pos="1134"/>
          <w:tab w:val="clear" w:pos="1871"/>
          <w:tab w:val="clear" w:pos="2268"/>
        </w:tabs>
        <w:overflowPunct/>
        <w:autoSpaceDE/>
        <w:autoSpaceDN/>
        <w:adjustRightInd/>
        <w:spacing w:before="0"/>
        <w:textAlignment w:val="auto"/>
        <w:sectPr w:rsidR="00A63D1D" w:rsidRPr="00FA4573" w:rsidSect="00A63D1D">
          <w:headerReference w:type="default" r:id="rId135"/>
          <w:footerReference w:type="default" r:id="rId136"/>
          <w:headerReference w:type="first" r:id="rId137"/>
          <w:pgSz w:w="16840" w:h="11907" w:orient="landscape" w:code="9"/>
          <w:pgMar w:top="1134" w:right="1418" w:bottom="1134" w:left="1418" w:header="720" w:footer="720" w:gutter="0"/>
          <w:cols w:space="720"/>
          <w:docGrid w:linePitch="326"/>
        </w:sectPr>
      </w:pPr>
    </w:p>
    <w:p w14:paraId="48C30F70" w14:textId="77777777" w:rsidR="00A63D1D" w:rsidRPr="00FA4573" w:rsidRDefault="00A63D1D" w:rsidP="00A63D1D">
      <w:pPr>
        <w:spacing w:after="120"/>
        <w:rPr>
          <w:b/>
          <w:bCs/>
        </w:rPr>
      </w:pPr>
      <w:r w:rsidRPr="00FA4573">
        <w:rPr>
          <w:b/>
          <w:bCs/>
        </w:rPr>
        <w:lastRenderedPageBreak/>
        <w:t>Annex 2: List of ITU-D Study Group coordinators on key topics of interest</w:t>
      </w:r>
    </w:p>
    <w:p w14:paraId="7E341393" w14:textId="77777777" w:rsidR="00A63D1D" w:rsidRPr="00FA4573" w:rsidRDefault="00A63D1D" w:rsidP="00A63D1D">
      <w:pPr>
        <w:spacing w:after="120"/>
        <w:rPr>
          <w:b/>
          <w:bCs/>
        </w:rPr>
      </w:pPr>
      <w:r w:rsidRPr="00FA4573">
        <w:rPr>
          <w:b/>
          <w:szCs w:val="24"/>
        </w:rPr>
        <w:t>Table 3A: List of appointed coordinators</w:t>
      </w:r>
      <w:r w:rsidRPr="00FA4573">
        <w:rPr>
          <w:bCs/>
          <w:szCs w:val="24"/>
        </w:rPr>
        <w:t xml:space="preserve"> </w:t>
      </w:r>
    </w:p>
    <w:tbl>
      <w:tblPr>
        <w:tblStyle w:val="TableGrid"/>
        <w:tblW w:w="9062" w:type="dxa"/>
        <w:tblLayout w:type="fixed"/>
        <w:tblLook w:val="04A0" w:firstRow="1" w:lastRow="0" w:firstColumn="1" w:lastColumn="0" w:noHBand="0" w:noVBand="1"/>
      </w:tblPr>
      <w:tblGrid>
        <w:gridCol w:w="4243"/>
        <w:gridCol w:w="4819"/>
      </w:tblGrid>
      <w:tr w:rsidR="00A63D1D" w:rsidRPr="00FA4573" w14:paraId="3A87F9F7" w14:textId="77777777" w:rsidTr="00A23C7D">
        <w:tc>
          <w:tcPr>
            <w:tcW w:w="4243" w:type="dxa"/>
            <w:shd w:val="clear" w:color="auto" w:fill="C6D9F1" w:themeFill="text2" w:themeFillTint="33"/>
            <w:hideMark/>
          </w:tcPr>
          <w:p w14:paraId="2EDFF114" w14:textId="77777777" w:rsidR="00A63D1D" w:rsidRPr="00FA4573" w:rsidRDefault="00A63D1D" w:rsidP="00A23C7D">
            <w:pPr>
              <w:spacing w:before="60" w:after="60"/>
              <w:rPr>
                <w:b/>
                <w:bCs/>
              </w:rPr>
            </w:pPr>
            <w:r w:rsidRPr="00FA4573">
              <w:rPr>
                <w:b/>
                <w:bCs/>
              </w:rPr>
              <w:t>Topic</w:t>
            </w:r>
          </w:p>
        </w:tc>
        <w:tc>
          <w:tcPr>
            <w:tcW w:w="4819" w:type="dxa"/>
            <w:shd w:val="clear" w:color="auto" w:fill="C6D9F1" w:themeFill="text2" w:themeFillTint="33"/>
            <w:hideMark/>
          </w:tcPr>
          <w:p w14:paraId="60305DB6" w14:textId="77777777" w:rsidR="00A63D1D" w:rsidRPr="00FA4573" w:rsidRDefault="00A63D1D" w:rsidP="00A23C7D">
            <w:pPr>
              <w:tabs>
                <w:tab w:val="left" w:pos="6940"/>
              </w:tabs>
              <w:spacing w:before="60" w:after="60"/>
            </w:pPr>
            <w:r w:rsidRPr="00FA4573">
              <w:rPr>
                <w:b/>
                <w:bCs/>
              </w:rPr>
              <w:t>Responsible person(s)</w:t>
            </w:r>
          </w:p>
        </w:tc>
      </w:tr>
      <w:tr w:rsidR="00A63D1D" w:rsidRPr="00FA4573" w14:paraId="136E4E6B" w14:textId="77777777" w:rsidTr="00A23C7D">
        <w:trPr>
          <w:trHeight w:val="174"/>
        </w:trPr>
        <w:tc>
          <w:tcPr>
            <w:tcW w:w="4243" w:type="dxa"/>
            <w:hideMark/>
          </w:tcPr>
          <w:p w14:paraId="0D8D5352" w14:textId="77777777" w:rsidR="00A63D1D" w:rsidRPr="00FA4573" w:rsidRDefault="00A63D1D" w:rsidP="00A23C7D">
            <w:pPr>
              <w:spacing w:before="60" w:after="60"/>
            </w:pPr>
            <w:r w:rsidRPr="00FA4573">
              <w:t>1. Backup to the SG chair</w:t>
            </w:r>
          </w:p>
        </w:tc>
        <w:tc>
          <w:tcPr>
            <w:tcW w:w="4819" w:type="dxa"/>
            <w:hideMark/>
          </w:tcPr>
          <w:p w14:paraId="01C23B6C" w14:textId="77777777" w:rsidR="00A63D1D" w:rsidRPr="00FA4573" w:rsidRDefault="00A63D1D" w:rsidP="00A23C7D">
            <w:pPr>
              <w:spacing w:before="60" w:after="60"/>
            </w:pPr>
            <w:r w:rsidRPr="00FA4573">
              <w:t>Mr Dominique WÜRGES (France)</w:t>
            </w:r>
          </w:p>
        </w:tc>
      </w:tr>
      <w:tr w:rsidR="00A63D1D" w:rsidRPr="00FA4573" w14:paraId="3A81B388" w14:textId="77777777" w:rsidTr="00A23C7D">
        <w:trPr>
          <w:trHeight w:val="339"/>
        </w:trPr>
        <w:tc>
          <w:tcPr>
            <w:tcW w:w="4243" w:type="dxa"/>
            <w:hideMark/>
          </w:tcPr>
          <w:p w14:paraId="09C30A7C" w14:textId="77777777" w:rsidR="00A63D1D" w:rsidRPr="00FA4573" w:rsidRDefault="00A63D1D" w:rsidP="00A23C7D">
            <w:pPr>
              <w:spacing w:before="60" w:after="60"/>
            </w:pPr>
            <w:r w:rsidRPr="00FA4573">
              <w:t>2. Plenary liaison statements</w:t>
            </w:r>
          </w:p>
        </w:tc>
        <w:tc>
          <w:tcPr>
            <w:tcW w:w="4819" w:type="dxa"/>
          </w:tcPr>
          <w:p w14:paraId="1A75F697" w14:textId="77777777" w:rsidR="00A63D1D" w:rsidRPr="00FA4573" w:rsidRDefault="00A63D1D" w:rsidP="00A23C7D">
            <w:pPr>
              <w:spacing w:before="60" w:after="60"/>
            </w:pPr>
            <w:r w:rsidRPr="00FA4573">
              <w:t>Mr Mohamed Lamine MINTHE (Guinea)</w:t>
            </w:r>
          </w:p>
        </w:tc>
      </w:tr>
      <w:tr w:rsidR="00A63D1D" w:rsidRPr="00FA4573" w14:paraId="7ADC2280" w14:textId="77777777" w:rsidTr="00A23C7D">
        <w:trPr>
          <w:trHeight w:val="559"/>
        </w:trPr>
        <w:tc>
          <w:tcPr>
            <w:tcW w:w="4243" w:type="dxa"/>
            <w:hideMark/>
          </w:tcPr>
          <w:p w14:paraId="1CD1367C" w14:textId="77777777" w:rsidR="00A63D1D" w:rsidRPr="00FA4573" w:rsidRDefault="00A63D1D" w:rsidP="00A23C7D">
            <w:pPr>
              <w:spacing w:before="60" w:after="60"/>
            </w:pPr>
            <w:r w:rsidRPr="00FA4573">
              <w:t>3. Joint activities (annual deliverables, workshops, webinars)</w:t>
            </w:r>
          </w:p>
        </w:tc>
        <w:tc>
          <w:tcPr>
            <w:tcW w:w="4819" w:type="dxa"/>
          </w:tcPr>
          <w:p w14:paraId="2123F0DD" w14:textId="77777777" w:rsidR="00A63D1D" w:rsidRPr="00FA4573" w:rsidRDefault="00A63D1D" w:rsidP="00A23C7D">
            <w:pPr>
              <w:spacing w:before="60" w:after="60"/>
              <w:rPr>
                <w:rFonts w:eastAsia="Malgun Gothic"/>
                <w:color w:val="A6A6A6" w:themeColor="background1" w:themeShade="A6"/>
                <w:lang w:eastAsia="ko-KR"/>
              </w:rPr>
            </w:pPr>
            <w:r w:rsidRPr="00FA4573">
              <w:rPr>
                <w:color w:val="A6A6A6" w:themeColor="background1" w:themeShade="A6"/>
              </w:rPr>
              <w:t>Mr Diyor RAJABOV (Uzbekistan)</w:t>
            </w:r>
            <w:r w:rsidRPr="00FA4573">
              <w:rPr>
                <w:rFonts w:eastAsia="Malgun Gothic" w:hint="eastAsia"/>
                <w:color w:val="A6A6A6" w:themeColor="background1" w:themeShade="A6"/>
                <w:lang w:eastAsia="ko-KR"/>
              </w:rPr>
              <w:t xml:space="preserve"> (until September 2024)</w:t>
            </w:r>
          </w:p>
        </w:tc>
      </w:tr>
      <w:tr w:rsidR="00A63D1D" w:rsidRPr="00FA4573" w14:paraId="56DA64E3" w14:textId="77777777" w:rsidTr="00A23C7D">
        <w:trPr>
          <w:trHeight w:val="316"/>
        </w:trPr>
        <w:tc>
          <w:tcPr>
            <w:tcW w:w="4243" w:type="dxa"/>
            <w:hideMark/>
          </w:tcPr>
          <w:p w14:paraId="6A248EFE" w14:textId="77777777" w:rsidR="00A63D1D" w:rsidRPr="00FA4573" w:rsidRDefault="00A63D1D" w:rsidP="00A23C7D">
            <w:pPr>
              <w:spacing w:before="60" w:after="60"/>
            </w:pPr>
            <w:r w:rsidRPr="00FA4573">
              <w:t>4. Council working groups</w:t>
            </w:r>
          </w:p>
        </w:tc>
        <w:tc>
          <w:tcPr>
            <w:tcW w:w="4819" w:type="dxa"/>
          </w:tcPr>
          <w:p w14:paraId="178EA847" w14:textId="77777777" w:rsidR="00A63D1D" w:rsidRPr="00FA4573" w:rsidRDefault="00A63D1D" w:rsidP="00A23C7D">
            <w:pPr>
              <w:spacing w:before="60" w:after="60"/>
            </w:pPr>
            <w:r w:rsidRPr="00FA4573">
              <w:t>Mr Abdelaziz ALZAROONI (UAE)</w:t>
            </w:r>
          </w:p>
        </w:tc>
      </w:tr>
      <w:tr w:rsidR="00A63D1D" w:rsidRPr="00FA4573" w14:paraId="592FF1C7" w14:textId="77777777" w:rsidTr="00A23C7D">
        <w:trPr>
          <w:trHeight w:val="497"/>
        </w:trPr>
        <w:tc>
          <w:tcPr>
            <w:tcW w:w="4243" w:type="dxa"/>
            <w:hideMark/>
          </w:tcPr>
          <w:p w14:paraId="135D420B" w14:textId="77777777" w:rsidR="00A63D1D" w:rsidRPr="00FA4573" w:rsidRDefault="00A63D1D" w:rsidP="00A23C7D">
            <w:pPr>
              <w:spacing w:before="60" w:after="60"/>
            </w:pPr>
            <w:r w:rsidRPr="00FA4573">
              <w:t>5. Youth and women engagement</w:t>
            </w:r>
          </w:p>
        </w:tc>
        <w:tc>
          <w:tcPr>
            <w:tcW w:w="4819" w:type="dxa"/>
          </w:tcPr>
          <w:p w14:paraId="7BBB50D9" w14:textId="77777777" w:rsidR="00A63D1D" w:rsidRPr="00FA4573" w:rsidRDefault="00A63D1D" w:rsidP="00A23C7D">
            <w:pPr>
              <w:spacing w:before="60" w:after="60"/>
              <w:rPr>
                <w:rFonts w:eastAsia="Malgun Gothic"/>
                <w:color w:val="A6A6A6" w:themeColor="background1" w:themeShade="A6"/>
                <w:lang w:eastAsia="ko-KR"/>
              </w:rPr>
            </w:pPr>
            <w:r w:rsidRPr="00FA4573">
              <w:rPr>
                <w:color w:val="A6A6A6" w:themeColor="background1" w:themeShade="A6"/>
              </w:rPr>
              <w:t>Ms Alina MODAN (Romania)</w:t>
            </w:r>
            <w:r w:rsidRPr="00FA4573">
              <w:rPr>
                <w:rFonts w:eastAsia="Malgun Gothic" w:hint="eastAsia"/>
                <w:color w:val="A6A6A6" w:themeColor="background1" w:themeShade="A6"/>
                <w:lang w:eastAsia="ko-KR"/>
              </w:rPr>
              <w:t xml:space="preserve"> (until June 2023)</w:t>
            </w:r>
          </w:p>
          <w:p w14:paraId="5C197F27" w14:textId="77777777" w:rsidR="00A63D1D" w:rsidRPr="00FA4573" w:rsidRDefault="00A63D1D" w:rsidP="00A23C7D">
            <w:pPr>
              <w:spacing w:before="60" w:after="60"/>
              <w:rPr>
                <w:rFonts w:eastAsia="Malgun Gothic"/>
                <w:lang w:eastAsia="ko-KR"/>
              </w:rPr>
            </w:pPr>
            <w:r w:rsidRPr="00FA4573">
              <w:rPr>
                <w:rFonts w:eastAsia="Malgun Gothic" w:hint="eastAsia"/>
                <w:lang w:eastAsia="ko-KR"/>
              </w:rPr>
              <w:t>Ms Madalina CLAPON (Romania) (from October 2023)</w:t>
            </w:r>
          </w:p>
        </w:tc>
      </w:tr>
      <w:tr w:rsidR="00A63D1D" w:rsidRPr="00FA4573" w14:paraId="0DA44281" w14:textId="77777777" w:rsidTr="00A23C7D">
        <w:trPr>
          <w:trHeight w:val="407"/>
        </w:trPr>
        <w:tc>
          <w:tcPr>
            <w:tcW w:w="4243" w:type="dxa"/>
            <w:hideMark/>
          </w:tcPr>
          <w:p w14:paraId="1F5B4DBD" w14:textId="77777777" w:rsidR="00A63D1D" w:rsidRPr="00FA4573" w:rsidRDefault="00A63D1D" w:rsidP="00A23C7D">
            <w:pPr>
              <w:spacing w:before="60" w:after="60"/>
            </w:pPr>
            <w:r w:rsidRPr="00FA4573">
              <w:t>6. Delegate on-boarding (e.g. induction)</w:t>
            </w:r>
          </w:p>
        </w:tc>
        <w:tc>
          <w:tcPr>
            <w:tcW w:w="4819" w:type="dxa"/>
          </w:tcPr>
          <w:p w14:paraId="0CC21B76" w14:textId="77777777" w:rsidR="00A63D1D" w:rsidRPr="00FA4573" w:rsidRDefault="00A63D1D" w:rsidP="00A23C7D">
            <w:pPr>
              <w:spacing w:before="60" w:after="60"/>
            </w:pPr>
            <w:r w:rsidRPr="00FA4573">
              <w:t>Mr Victor Antonio MARTÍNEZ SÁNCHEZ (Paraguay)</w:t>
            </w:r>
          </w:p>
        </w:tc>
      </w:tr>
      <w:tr w:rsidR="00A63D1D" w:rsidRPr="00FA4573" w14:paraId="582166DB" w14:textId="77777777" w:rsidTr="00A23C7D">
        <w:trPr>
          <w:trHeight w:val="372"/>
        </w:trPr>
        <w:tc>
          <w:tcPr>
            <w:tcW w:w="4243" w:type="dxa"/>
            <w:hideMark/>
          </w:tcPr>
          <w:p w14:paraId="71981106" w14:textId="77777777" w:rsidR="00A63D1D" w:rsidRPr="00FA4573" w:rsidRDefault="00A63D1D" w:rsidP="00A23C7D">
            <w:pPr>
              <w:spacing w:before="60" w:after="60"/>
            </w:pPr>
            <w:r w:rsidRPr="00FA4573">
              <w:t>7. WTDC Resolution 9</w:t>
            </w:r>
          </w:p>
        </w:tc>
        <w:tc>
          <w:tcPr>
            <w:tcW w:w="4819" w:type="dxa"/>
          </w:tcPr>
          <w:p w14:paraId="71D1FBED" w14:textId="77777777" w:rsidR="00A63D1D" w:rsidRPr="00FA4573" w:rsidRDefault="00A63D1D" w:rsidP="00A23C7D">
            <w:pPr>
              <w:spacing w:before="60" w:after="60"/>
            </w:pPr>
            <w:r w:rsidRPr="00FA4573">
              <w:t>Mr Hideo IMANAKA (Japan)</w:t>
            </w:r>
          </w:p>
          <w:p w14:paraId="1FBAB0E8" w14:textId="77777777" w:rsidR="00A63D1D" w:rsidRPr="00FA4573" w:rsidRDefault="00A63D1D" w:rsidP="00A23C7D">
            <w:pPr>
              <w:spacing w:before="60" w:after="60"/>
            </w:pPr>
            <w:r w:rsidRPr="00FA4573">
              <w:t>Mr Haim MAZAR (ATDI, France)</w:t>
            </w:r>
          </w:p>
        </w:tc>
      </w:tr>
      <w:tr w:rsidR="00A63D1D" w:rsidRPr="00FA4573" w14:paraId="1D360FF5" w14:textId="77777777" w:rsidTr="00A23C7D">
        <w:trPr>
          <w:trHeight w:val="378"/>
        </w:trPr>
        <w:tc>
          <w:tcPr>
            <w:tcW w:w="4243" w:type="dxa"/>
            <w:hideMark/>
          </w:tcPr>
          <w:p w14:paraId="1473D0B4" w14:textId="77777777" w:rsidR="00A63D1D" w:rsidRPr="00FA4573" w:rsidRDefault="00A63D1D" w:rsidP="00A23C7D">
            <w:pPr>
              <w:spacing w:before="60" w:after="60"/>
            </w:pPr>
            <w:r w:rsidRPr="00FA4573">
              <w:t>8. Statistics (EGTI, EGH)</w:t>
            </w:r>
          </w:p>
        </w:tc>
        <w:tc>
          <w:tcPr>
            <w:tcW w:w="4819" w:type="dxa"/>
          </w:tcPr>
          <w:p w14:paraId="3A1A4782" w14:textId="77777777" w:rsidR="00A63D1D" w:rsidRPr="00FA4573" w:rsidRDefault="00A63D1D" w:rsidP="00A23C7D">
            <w:pPr>
              <w:spacing w:before="60" w:after="60"/>
            </w:pPr>
            <w:r w:rsidRPr="00FA4573">
              <w:t>Ms Mina Seonmin JUN (Rep. of Korea)</w:t>
            </w:r>
          </w:p>
        </w:tc>
      </w:tr>
      <w:tr w:rsidR="00A63D1D" w:rsidRPr="00FA4573" w14:paraId="2634C857" w14:textId="77777777" w:rsidTr="00A23C7D">
        <w:trPr>
          <w:trHeight w:val="385"/>
        </w:trPr>
        <w:tc>
          <w:tcPr>
            <w:tcW w:w="4243" w:type="dxa"/>
            <w:hideMark/>
          </w:tcPr>
          <w:p w14:paraId="3E0EF9A7" w14:textId="77777777" w:rsidR="00A63D1D" w:rsidRPr="00FA4573" w:rsidRDefault="00A63D1D" w:rsidP="00A23C7D">
            <w:pPr>
              <w:spacing w:before="60" w:after="60"/>
            </w:pPr>
            <w:r w:rsidRPr="00FA4573">
              <w:t>9. ITU-CCT (Vocabulary)</w:t>
            </w:r>
          </w:p>
        </w:tc>
        <w:tc>
          <w:tcPr>
            <w:tcW w:w="4819" w:type="dxa"/>
          </w:tcPr>
          <w:p w14:paraId="5F8C58BA" w14:textId="77777777" w:rsidR="00A63D1D" w:rsidRPr="00FA4573" w:rsidRDefault="00A63D1D" w:rsidP="00A23C7D">
            <w:pPr>
              <w:spacing w:before="60" w:after="60"/>
            </w:pPr>
            <w:r w:rsidRPr="00FA4573">
              <w:t>Mr Tongning WU (China)</w:t>
            </w:r>
          </w:p>
        </w:tc>
      </w:tr>
      <w:tr w:rsidR="00A63D1D" w:rsidRPr="00FA4573" w14:paraId="2A9BD37C" w14:textId="77777777" w:rsidTr="00A23C7D">
        <w:trPr>
          <w:trHeight w:val="377"/>
        </w:trPr>
        <w:tc>
          <w:tcPr>
            <w:tcW w:w="4243" w:type="dxa"/>
            <w:hideMark/>
          </w:tcPr>
          <w:p w14:paraId="51F6733E" w14:textId="77777777" w:rsidR="00A63D1D" w:rsidRPr="00FA4573" w:rsidRDefault="00A63D1D" w:rsidP="00A23C7D">
            <w:pPr>
              <w:spacing w:before="60" w:after="60"/>
            </w:pPr>
            <w:r w:rsidRPr="00FA4573">
              <w:t>10. Inter-sectoral mappings</w:t>
            </w:r>
          </w:p>
        </w:tc>
        <w:tc>
          <w:tcPr>
            <w:tcW w:w="4819" w:type="dxa"/>
          </w:tcPr>
          <w:p w14:paraId="76AFEFDB" w14:textId="77777777" w:rsidR="00A63D1D" w:rsidRPr="00FA4573" w:rsidRDefault="00A63D1D" w:rsidP="00A23C7D">
            <w:pPr>
              <w:spacing w:before="60" w:after="60"/>
            </w:pPr>
            <w:r w:rsidRPr="00FA4573">
              <w:t>Mr Haim MAZAR (ATDI, France)</w:t>
            </w:r>
          </w:p>
          <w:p w14:paraId="569198B2" w14:textId="77777777" w:rsidR="00A63D1D" w:rsidRPr="00FA4573" w:rsidRDefault="00A63D1D" w:rsidP="00A23C7D">
            <w:pPr>
              <w:spacing w:before="60" w:after="60"/>
            </w:pPr>
            <w:r w:rsidRPr="00FA4573">
              <w:t>Mr Arseny PLOSSKY (Russian Federation)</w:t>
            </w:r>
          </w:p>
        </w:tc>
      </w:tr>
      <w:tr w:rsidR="00A63D1D" w:rsidRPr="00FA4573" w14:paraId="7BAC4C54" w14:textId="77777777" w:rsidTr="00A23C7D">
        <w:trPr>
          <w:trHeight w:val="368"/>
        </w:trPr>
        <w:tc>
          <w:tcPr>
            <w:tcW w:w="4243" w:type="dxa"/>
            <w:hideMark/>
          </w:tcPr>
          <w:p w14:paraId="370D0853" w14:textId="77777777" w:rsidR="00A63D1D" w:rsidRPr="00FA4573" w:rsidRDefault="00A63D1D" w:rsidP="00A23C7D">
            <w:pPr>
              <w:spacing w:before="60" w:after="60"/>
            </w:pPr>
            <w:r w:rsidRPr="00FA4573">
              <w:t>11. Synergies of study Questions with ITU actions (e.g. projects)</w:t>
            </w:r>
          </w:p>
        </w:tc>
        <w:tc>
          <w:tcPr>
            <w:tcW w:w="4819" w:type="dxa"/>
          </w:tcPr>
          <w:p w14:paraId="0A052E8C" w14:textId="77777777" w:rsidR="00A63D1D" w:rsidRPr="00FA4573" w:rsidRDefault="00A63D1D" w:rsidP="00A23C7D">
            <w:pPr>
              <w:spacing w:before="60" w:after="60"/>
            </w:pPr>
            <w:r w:rsidRPr="00FA4573">
              <w:t>Ms Zainab ARDO (Nigeria)</w:t>
            </w:r>
          </w:p>
          <w:p w14:paraId="03D774E6" w14:textId="77777777" w:rsidR="00A63D1D" w:rsidRPr="00FA4573" w:rsidRDefault="00A63D1D" w:rsidP="00A23C7D">
            <w:pPr>
              <w:spacing w:before="60" w:after="60"/>
            </w:pPr>
            <w:r w:rsidRPr="00FA4573">
              <w:t>Mr Mushfig GULUYEV (Azerbaijan)</w:t>
            </w:r>
          </w:p>
        </w:tc>
      </w:tr>
      <w:tr w:rsidR="00A63D1D" w:rsidRPr="00FA4573" w14:paraId="7D923742" w14:textId="77777777" w:rsidTr="00A23C7D">
        <w:trPr>
          <w:trHeight w:val="389"/>
        </w:trPr>
        <w:tc>
          <w:tcPr>
            <w:tcW w:w="4243" w:type="dxa"/>
            <w:hideMark/>
          </w:tcPr>
          <w:p w14:paraId="1BF93C3D" w14:textId="77777777" w:rsidR="00A63D1D" w:rsidRPr="00FA4573" w:rsidRDefault="00A63D1D" w:rsidP="00A23C7D">
            <w:pPr>
              <w:spacing w:before="60" w:after="60"/>
            </w:pPr>
            <w:r w:rsidRPr="00FA4573">
              <w:t>12. Dashboard for monitoring Question progress</w:t>
            </w:r>
          </w:p>
        </w:tc>
        <w:tc>
          <w:tcPr>
            <w:tcW w:w="4819" w:type="dxa"/>
          </w:tcPr>
          <w:p w14:paraId="43889E3E" w14:textId="77777777" w:rsidR="00A63D1D" w:rsidRPr="00FA4573" w:rsidRDefault="00A63D1D" w:rsidP="00A23C7D">
            <w:pPr>
              <w:overflowPunct/>
              <w:autoSpaceDE/>
              <w:autoSpaceDN/>
              <w:adjustRightInd/>
              <w:spacing w:before="40" w:afterLines="40" w:after="96"/>
              <w:textAlignment w:val="auto"/>
              <w:rPr>
                <w:rFonts w:eastAsia="Malgun Gothic"/>
                <w:color w:val="A6A6A6" w:themeColor="background1" w:themeShade="A6"/>
                <w:lang w:eastAsia="ko-KR"/>
              </w:rPr>
            </w:pPr>
            <w:r w:rsidRPr="00FA4573">
              <w:rPr>
                <w:color w:val="A6A6A6" w:themeColor="background1" w:themeShade="A6"/>
              </w:rPr>
              <w:t>Q1/2, Q2/2: Mr Diyor RAJABOV (Uzbekistan)</w:t>
            </w:r>
            <w:r w:rsidRPr="00FA4573">
              <w:rPr>
                <w:rFonts w:eastAsia="Malgun Gothic"/>
                <w:color w:val="A6A6A6" w:themeColor="background1" w:themeShade="A6"/>
                <w:lang w:eastAsia="ko-KR"/>
              </w:rPr>
              <w:t xml:space="preserve"> (until </w:t>
            </w:r>
            <w:r w:rsidRPr="00FA4573">
              <w:rPr>
                <w:rFonts w:eastAsia="Malgun Gothic" w:hint="eastAsia"/>
                <w:color w:val="A6A6A6" w:themeColor="background1" w:themeShade="A6"/>
                <w:lang w:eastAsia="ko-KR"/>
              </w:rPr>
              <w:t xml:space="preserve">September </w:t>
            </w:r>
            <w:r w:rsidRPr="00FA4573">
              <w:rPr>
                <w:rFonts w:eastAsia="Malgun Gothic"/>
                <w:color w:val="A6A6A6" w:themeColor="background1" w:themeShade="A6"/>
                <w:lang w:eastAsia="ko-KR"/>
              </w:rPr>
              <w:t>2024)</w:t>
            </w:r>
          </w:p>
          <w:p w14:paraId="6B2B7F32" w14:textId="77777777" w:rsidR="00A63D1D" w:rsidRPr="00FA4573" w:rsidRDefault="00A63D1D" w:rsidP="00A23C7D">
            <w:pPr>
              <w:overflowPunct/>
              <w:autoSpaceDE/>
              <w:autoSpaceDN/>
              <w:adjustRightInd/>
              <w:spacing w:before="40" w:afterLines="40" w:after="96"/>
              <w:textAlignment w:val="auto"/>
              <w:rPr>
                <w:lang w:val="fr-FR"/>
              </w:rPr>
            </w:pPr>
            <w:r w:rsidRPr="00FA4573">
              <w:rPr>
                <w:lang w:val="fr-FR"/>
              </w:rPr>
              <w:t>Q3/2, Q5/2, Q6/2: Mr Dominique WÜRGES (France)</w:t>
            </w:r>
          </w:p>
          <w:p w14:paraId="7EBB96B9" w14:textId="77777777" w:rsidR="00A63D1D" w:rsidRPr="00FA4573" w:rsidRDefault="00A63D1D" w:rsidP="00A23C7D">
            <w:pPr>
              <w:overflowPunct/>
              <w:autoSpaceDE/>
              <w:autoSpaceDN/>
              <w:adjustRightInd/>
              <w:spacing w:before="40" w:afterLines="40" w:after="96"/>
              <w:textAlignment w:val="auto"/>
              <w:rPr>
                <w:lang w:val="en-US"/>
              </w:rPr>
            </w:pPr>
            <w:r w:rsidRPr="00FA4573">
              <w:rPr>
                <w:lang w:val="en-US"/>
              </w:rPr>
              <w:t xml:space="preserve">Q4/2, Q7/2: </w:t>
            </w:r>
            <w:r w:rsidRPr="00FA4573">
              <w:t>Mr Tongning WU (China)</w:t>
            </w:r>
          </w:p>
        </w:tc>
      </w:tr>
      <w:tr w:rsidR="00A63D1D" w:rsidRPr="00FA4573" w14:paraId="048E0216" w14:textId="77777777" w:rsidTr="00A23C7D">
        <w:trPr>
          <w:trHeight w:val="389"/>
        </w:trPr>
        <w:tc>
          <w:tcPr>
            <w:tcW w:w="4243" w:type="dxa"/>
          </w:tcPr>
          <w:p w14:paraId="6D5EC926" w14:textId="77777777" w:rsidR="00A63D1D" w:rsidRPr="00FA4573" w:rsidRDefault="00A63D1D" w:rsidP="00A23C7D">
            <w:pPr>
              <w:spacing w:before="60" w:after="60"/>
            </w:pPr>
            <w:r w:rsidRPr="00FA4573">
              <w:t>13. Coordination with TSAG Rapporteur Group on sustainable Digital Transformation (RG-DT)</w:t>
            </w:r>
          </w:p>
        </w:tc>
        <w:tc>
          <w:tcPr>
            <w:tcW w:w="4819" w:type="dxa"/>
          </w:tcPr>
          <w:p w14:paraId="68579F7A" w14:textId="77777777" w:rsidR="00A63D1D" w:rsidRPr="00FA4573" w:rsidRDefault="00A63D1D" w:rsidP="00A23C7D">
            <w:pPr>
              <w:overflowPunct/>
              <w:autoSpaceDE/>
              <w:autoSpaceDN/>
              <w:adjustRightInd/>
              <w:spacing w:before="40" w:afterLines="40" w:after="96"/>
              <w:textAlignment w:val="auto"/>
              <w:rPr>
                <w:lang w:val="en-US"/>
              </w:rPr>
            </w:pPr>
            <w:r w:rsidRPr="00FA4573">
              <w:t>Mr Mohamed Lamine MINTHE (Guinea)</w:t>
            </w:r>
          </w:p>
        </w:tc>
      </w:tr>
      <w:tr w:rsidR="00A63D1D" w:rsidRPr="00FA4573" w14:paraId="7F84A099" w14:textId="77777777" w:rsidTr="00A23C7D">
        <w:trPr>
          <w:trHeight w:val="389"/>
        </w:trPr>
        <w:tc>
          <w:tcPr>
            <w:tcW w:w="4243" w:type="dxa"/>
          </w:tcPr>
          <w:p w14:paraId="56F2B5A5" w14:textId="77777777" w:rsidR="00A63D1D" w:rsidRPr="00FA4573" w:rsidRDefault="00A63D1D" w:rsidP="00A23C7D">
            <w:pPr>
              <w:spacing w:before="60" w:after="60"/>
            </w:pPr>
            <w:r w:rsidRPr="00FA4573">
              <w:t>1</w:t>
            </w:r>
            <w:r w:rsidRPr="00FA4573">
              <w:rPr>
                <w:rFonts w:hint="eastAsia"/>
                <w:lang w:eastAsia="ko-KR"/>
              </w:rPr>
              <w:t>4</w:t>
            </w:r>
            <w:r w:rsidRPr="00FA4573">
              <w:t xml:space="preserve">. Future </w:t>
            </w:r>
            <w:r w:rsidRPr="00FA4573">
              <w:rPr>
                <w:rFonts w:hint="eastAsia"/>
                <w:lang w:eastAsia="ko-KR"/>
              </w:rPr>
              <w:t>s</w:t>
            </w:r>
            <w:r w:rsidRPr="00FA4573">
              <w:t>tudy Questions</w:t>
            </w:r>
          </w:p>
        </w:tc>
        <w:tc>
          <w:tcPr>
            <w:tcW w:w="4819" w:type="dxa"/>
          </w:tcPr>
          <w:p w14:paraId="382F68DD" w14:textId="77777777" w:rsidR="00A63D1D" w:rsidRPr="00FA4573" w:rsidRDefault="00A63D1D" w:rsidP="00A23C7D">
            <w:pPr>
              <w:overflowPunct/>
              <w:autoSpaceDE/>
              <w:autoSpaceDN/>
              <w:adjustRightInd/>
              <w:spacing w:before="40" w:afterLines="40" w:after="96"/>
              <w:textAlignment w:val="auto"/>
              <w:rPr>
                <w:rFonts w:eastAsia="Malgun Gothic"/>
                <w:color w:val="A6A6A6" w:themeColor="background1" w:themeShade="A6"/>
                <w:lang w:eastAsia="ko-KR"/>
              </w:rPr>
            </w:pPr>
            <w:r w:rsidRPr="00FA4573">
              <w:rPr>
                <w:color w:val="A6A6A6" w:themeColor="background1" w:themeShade="A6"/>
              </w:rPr>
              <w:t>Mr Abdelaziz ALZAROONI (UAE)</w:t>
            </w:r>
            <w:r w:rsidRPr="00FA4573">
              <w:rPr>
                <w:rFonts w:eastAsia="Malgun Gothic" w:hint="eastAsia"/>
                <w:color w:val="A6A6A6" w:themeColor="background1" w:themeShade="A6"/>
                <w:lang w:eastAsia="ko-KR"/>
              </w:rPr>
              <w:t xml:space="preserve"> (until December 2024)</w:t>
            </w:r>
          </w:p>
          <w:p w14:paraId="0DD6ABAC" w14:textId="77777777" w:rsidR="00A63D1D" w:rsidRPr="00FA4573" w:rsidRDefault="00A63D1D" w:rsidP="00A23C7D">
            <w:pPr>
              <w:overflowPunct/>
              <w:autoSpaceDE/>
              <w:autoSpaceDN/>
              <w:adjustRightInd/>
              <w:spacing w:before="40" w:afterLines="40" w:after="96"/>
              <w:textAlignment w:val="auto"/>
              <w:rPr>
                <w:rFonts w:eastAsia="Malgun Gothic"/>
                <w:lang w:eastAsia="ko-KR"/>
              </w:rPr>
            </w:pPr>
            <w:r w:rsidRPr="00FA4573">
              <w:t>Mr Victor Antonio MARTÍNEZ SÁNCHEZ (Paraguay)</w:t>
            </w:r>
            <w:r w:rsidRPr="00FA4573">
              <w:rPr>
                <w:rFonts w:eastAsia="Malgun Gothic" w:hint="eastAsia"/>
                <w:lang w:eastAsia="ko-KR"/>
              </w:rPr>
              <w:t xml:space="preserve"> (from January 2025)</w:t>
            </w:r>
          </w:p>
        </w:tc>
      </w:tr>
    </w:tbl>
    <w:p w14:paraId="1E1219DA" w14:textId="77777777" w:rsidR="00A63D1D" w:rsidRPr="00FA4573" w:rsidRDefault="00A63D1D" w:rsidP="00A63D1D">
      <w:pPr>
        <w:tabs>
          <w:tab w:val="clear" w:pos="1134"/>
          <w:tab w:val="clear" w:pos="1871"/>
          <w:tab w:val="clear" w:pos="2268"/>
        </w:tabs>
        <w:overflowPunct/>
        <w:autoSpaceDE/>
        <w:autoSpaceDN/>
        <w:adjustRightInd/>
        <w:spacing w:before="0"/>
        <w:textAlignment w:val="auto"/>
        <w:rPr>
          <w:b/>
          <w:bCs/>
        </w:rPr>
      </w:pPr>
      <w:r w:rsidRPr="00FA4573">
        <w:rPr>
          <w:b/>
          <w:bCs/>
        </w:rPr>
        <w:br w:type="page"/>
      </w:r>
    </w:p>
    <w:p w14:paraId="377674DF" w14:textId="77777777" w:rsidR="00A63D1D" w:rsidRPr="00FA4573" w:rsidRDefault="00A63D1D" w:rsidP="00A63D1D">
      <w:pPr>
        <w:overflowPunct/>
        <w:autoSpaceDE/>
        <w:autoSpaceDN/>
        <w:adjustRightInd/>
        <w:spacing w:after="120"/>
        <w:textAlignment w:val="auto"/>
        <w:rPr>
          <w:b/>
          <w:bCs/>
        </w:rPr>
      </w:pPr>
      <w:r w:rsidRPr="00FA4573">
        <w:rPr>
          <w:b/>
          <w:bCs/>
        </w:rPr>
        <w:lastRenderedPageBreak/>
        <w:t>Annex 3: ITU-D Study Group 2</w:t>
      </w:r>
      <w:r w:rsidRPr="00FA4573">
        <w:rPr>
          <w:rFonts w:eastAsia="Malgun Gothic" w:hint="eastAsia"/>
          <w:b/>
          <w:bCs/>
          <w:lang w:eastAsia="ko-KR"/>
        </w:rPr>
        <w:t xml:space="preserve"> meetings and </w:t>
      </w:r>
      <w:r w:rsidRPr="00FA4573">
        <w:rPr>
          <w:b/>
          <w:bCs/>
        </w:rPr>
        <w:t>Rapporteur Group meetings (20</w:t>
      </w:r>
      <w:r w:rsidRPr="00FA4573">
        <w:rPr>
          <w:rFonts w:eastAsia="Malgun Gothic" w:hint="eastAsia"/>
          <w:b/>
          <w:bCs/>
          <w:lang w:eastAsia="ko-KR"/>
        </w:rPr>
        <w:t>22</w:t>
      </w:r>
      <w:r w:rsidRPr="00FA4573">
        <w:rPr>
          <w:b/>
          <w:bCs/>
        </w:rPr>
        <w:t>-202</w:t>
      </w:r>
      <w:r w:rsidRPr="00FA4573">
        <w:rPr>
          <w:rFonts w:eastAsia="Malgun Gothic" w:hint="eastAsia"/>
          <w:b/>
          <w:bCs/>
          <w:lang w:eastAsia="ko-KR"/>
        </w:rPr>
        <w:t>5</w:t>
      </w:r>
      <w:r w:rsidRPr="00FA4573">
        <w:rPr>
          <w:b/>
          <w:bCs/>
        </w:rPr>
        <w:t>)</w:t>
      </w:r>
    </w:p>
    <w:p w14:paraId="566E5D16" w14:textId="77777777" w:rsidR="00A63D1D" w:rsidRPr="00FA4573" w:rsidRDefault="00A63D1D" w:rsidP="00A63D1D">
      <w:pPr>
        <w:spacing w:after="120"/>
        <w:rPr>
          <w:b/>
          <w:bCs/>
        </w:rPr>
      </w:pPr>
      <w:r w:rsidRPr="00FA4573">
        <w:rPr>
          <w:b/>
          <w:szCs w:val="24"/>
        </w:rPr>
        <w:t>Table 4A: List of ITU-D Study Group 2 and Rapporteur Group meetings</w:t>
      </w:r>
      <w:r w:rsidRPr="00FA4573">
        <w:rPr>
          <w:bCs/>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1"/>
      </w:tblGrid>
      <w:tr w:rsidR="00A63D1D" w:rsidRPr="00FA4573" w14:paraId="66206806" w14:textId="77777777" w:rsidTr="00A23C7D">
        <w:trPr>
          <w:tblHeader/>
          <w:jc w:val="center"/>
        </w:trPr>
        <w:tc>
          <w:tcPr>
            <w:tcW w:w="2647" w:type="pct"/>
            <w:tcBorders>
              <w:bottom w:val="single" w:sz="4" w:space="0" w:color="auto"/>
            </w:tcBorders>
            <w:shd w:val="clear" w:color="auto" w:fill="5B9BD5"/>
          </w:tcPr>
          <w:p w14:paraId="62F5F92B" w14:textId="77777777" w:rsidR="00A63D1D" w:rsidRPr="00FA4573" w:rsidRDefault="00A63D1D" w:rsidP="00A23C7D">
            <w:pPr>
              <w:spacing w:before="20" w:after="20"/>
              <w:rPr>
                <w:b/>
                <w:sz w:val="22"/>
                <w:szCs w:val="22"/>
              </w:rPr>
            </w:pPr>
            <w:r w:rsidRPr="00FA4573">
              <w:rPr>
                <w:b/>
                <w:bCs/>
                <w:sz w:val="22"/>
                <w:szCs w:val="22"/>
              </w:rPr>
              <w:t>Study Group / Rapporteur Group meeting</w:t>
            </w:r>
          </w:p>
        </w:tc>
        <w:tc>
          <w:tcPr>
            <w:tcW w:w="2353" w:type="pct"/>
            <w:tcBorders>
              <w:bottom w:val="single" w:sz="4" w:space="0" w:color="auto"/>
            </w:tcBorders>
            <w:shd w:val="clear" w:color="auto" w:fill="5B9BD5"/>
          </w:tcPr>
          <w:p w14:paraId="1164E135" w14:textId="77777777" w:rsidR="00A63D1D" w:rsidRPr="00FA4573" w:rsidRDefault="00A63D1D" w:rsidP="00A23C7D">
            <w:pPr>
              <w:spacing w:before="20" w:after="20"/>
              <w:rPr>
                <w:b/>
                <w:sz w:val="22"/>
                <w:szCs w:val="22"/>
              </w:rPr>
            </w:pPr>
            <w:r w:rsidRPr="00FA4573">
              <w:rPr>
                <w:b/>
                <w:sz w:val="22"/>
                <w:szCs w:val="22"/>
              </w:rPr>
              <w:t>Date and location</w:t>
            </w:r>
          </w:p>
        </w:tc>
      </w:tr>
      <w:tr w:rsidR="00A63D1D" w:rsidRPr="00FA4573" w14:paraId="07548D4A" w14:textId="77777777" w:rsidTr="00A23C7D">
        <w:trPr>
          <w:jc w:val="center"/>
        </w:trPr>
        <w:tc>
          <w:tcPr>
            <w:tcW w:w="2647" w:type="pct"/>
            <w:shd w:val="clear" w:color="auto" w:fill="D9D9D9" w:themeFill="background1" w:themeFillShade="D9"/>
          </w:tcPr>
          <w:p w14:paraId="044389BF" w14:textId="77777777" w:rsidR="00A63D1D" w:rsidRPr="00FA4573" w:rsidRDefault="00A63D1D" w:rsidP="00A23C7D">
            <w:pPr>
              <w:spacing w:before="20" w:after="20"/>
              <w:rPr>
                <w:b/>
                <w:sz w:val="22"/>
                <w:szCs w:val="22"/>
              </w:rPr>
            </w:pPr>
            <w:r w:rsidRPr="00FA4573">
              <w:rPr>
                <w:b/>
                <w:sz w:val="22"/>
                <w:szCs w:val="22"/>
              </w:rPr>
              <w:t>Study Group 2 meetings</w:t>
            </w:r>
          </w:p>
        </w:tc>
        <w:tc>
          <w:tcPr>
            <w:tcW w:w="2353" w:type="pct"/>
            <w:shd w:val="clear" w:color="auto" w:fill="D9D9D9" w:themeFill="background1" w:themeFillShade="D9"/>
          </w:tcPr>
          <w:p w14:paraId="2E081684" w14:textId="77777777" w:rsidR="00A63D1D" w:rsidRPr="00FA4573" w:rsidRDefault="00A63D1D" w:rsidP="00A23C7D">
            <w:pPr>
              <w:spacing w:before="20" w:after="20"/>
              <w:rPr>
                <w:b/>
                <w:sz w:val="22"/>
                <w:szCs w:val="22"/>
              </w:rPr>
            </w:pPr>
          </w:p>
        </w:tc>
      </w:tr>
      <w:tr w:rsidR="00A63D1D" w:rsidRPr="00FA4573" w14:paraId="215A907C" w14:textId="77777777" w:rsidTr="00A23C7D">
        <w:trPr>
          <w:jc w:val="center"/>
        </w:trPr>
        <w:tc>
          <w:tcPr>
            <w:tcW w:w="2647" w:type="pct"/>
          </w:tcPr>
          <w:p w14:paraId="51BD005C" w14:textId="77777777" w:rsidR="00A63D1D" w:rsidRPr="00FA4573" w:rsidRDefault="00A63D1D" w:rsidP="00A23C7D">
            <w:pPr>
              <w:spacing w:before="20" w:after="20"/>
              <w:rPr>
                <w:sz w:val="22"/>
                <w:szCs w:val="22"/>
              </w:rPr>
            </w:pPr>
            <w:hyperlink r:id="rId138" w:history="1">
              <w:r w:rsidRPr="00FA4573">
                <w:rPr>
                  <w:rStyle w:val="Hyperlink"/>
                  <w:rFonts w:cs="Simplified Arabic"/>
                  <w:sz w:val="22"/>
                  <w:szCs w:val="22"/>
                </w:rPr>
                <w:t>Fourth meeting of ITU-D Study Group 2</w:t>
              </w:r>
            </w:hyperlink>
          </w:p>
        </w:tc>
        <w:tc>
          <w:tcPr>
            <w:tcW w:w="2353" w:type="pct"/>
          </w:tcPr>
          <w:p w14:paraId="5AC3B744" w14:textId="77777777" w:rsidR="00A63D1D" w:rsidRPr="00FA4573" w:rsidRDefault="00A63D1D" w:rsidP="00A23C7D">
            <w:pPr>
              <w:spacing w:before="20" w:after="20"/>
              <w:rPr>
                <w:sz w:val="22"/>
                <w:szCs w:val="22"/>
              </w:rPr>
            </w:pPr>
            <w:r w:rsidRPr="00FA4573">
              <w:rPr>
                <w:rFonts w:eastAsia="Malgun Gothic" w:hint="eastAsia"/>
                <w:sz w:val="22"/>
                <w:szCs w:val="22"/>
                <w:lang w:eastAsia="ko-KR"/>
              </w:rPr>
              <w:t>5-9 May 2025</w:t>
            </w:r>
            <w:r w:rsidRPr="00FA4573">
              <w:rPr>
                <w:sz w:val="22"/>
                <w:szCs w:val="22"/>
              </w:rPr>
              <w:t>, Switzerland [Geneva]</w:t>
            </w:r>
          </w:p>
        </w:tc>
      </w:tr>
      <w:tr w:rsidR="00A63D1D" w:rsidRPr="00FA4573" w14:paraId="2C5D2CEC" w14:textId="77777777" w:rsidTr="00A23C7D">
        <w:trPr>
          <w:jc w:val="center"/>
        </w:trPr>
        <w:tc>
          <w:tcPr>
            <w:tcW w:w="2647" w:type="pct"/>
          </w:tcPr>
          <w:p w14:paraId="2A65A44A" w14:textId="77777777" w:rsidR="00A63D1D" w:rsidRPr="00FA4573" w:rsidRDefault="00A63D1D" w:rsidP="00A23C7D">
            <w:pPr>
              <w:spacing w:before="20" w:after="20"/>
              <w:rPr>
                <w:sz w:val="22"/>
                <w:szCs w:val="22"/>
              </w:rPr>
            </w:pPr>
            <w:hyperlink r:id="rId139" w:history="1">
              <w:r w:rsidRPr="00FA4573">
                <w:rPr>
                  <w:rStyle w:val="Hyperlink"/>
                  <w:rFonts w:cs="Simplified Arabic"/>
                  <w:sz w:val="22"/>
                  <w:szCs w:val="22"/>
                </w:rPr>
                <w:t>Third meeting of ITU-D Study Group 2</w:t>
              </w:r>
            </w:hyperlink>
          </w:p>
        </w:tc>
        <w:tc>
          <w:tcPr>
            <w:tcW w:w="2353" w:type="pct"/>
          </w:tcPr>
          <w:p w14:paraId="185C6A0D" w14:textId="77777777" w:rsidR="00A63D1D" w:rsidRPr="00FA4573" w:rsidRDefault="00A63D1D" w:rsidP="00A23C7D">
            <w:pPr>
              <w:spacing w:before="20" w:after="20"/>
              <w:rPr>
                <w:sz w:val="22"/>
                <w:szCs w:val="22"/>
              </w:rPr>
            </w:pPr>
            <w:r w:rsidRPr="00FA4573">
              <w:rPr>
                <w:rFonts w:eastAsia="Malgun Gothic" w:hint="eastAsia"/>
                <w:sz w:val="22"/>
                <w:szCs w:val="22"/>
                <w:lang w:eastAsia="ko-KR"/>
              </w:rPr>
              <w:t>11-15 November 2024</w:t>
            </w:r>
            <w:r w:rsidRPr="00FA4573">
              <w:rPr>
                <w:sz w:val="22"/>
                <w:szCs w:val="22"/>
              </w:rPr>
              <w:t>, Switzerland [Geneva]</w:t>
            </w:r>
          </w:p>
        </w:tc>
      </w:tr>
      <w:tr w:rsidR="00A63D1D" w:rsidRPr="00FA4573" w14:paraId="5137995F" w14:textId="77777777" w:rsidTr="00A23C7D">
        <w:trPr>
          <w:jc w:val="center"/>
        </w:trPr>
        <w:tc>
          <w:tcPr>
            <w:tcW w:w="2647" w:type="pct"/>
          </w:tcPr>
          <w:p w14:paraId="0D91160E" w14:textId="77777777" w:rsidR="00A63D1D" w:rsidRPr="00FA4573" w:rsidRDefault="00A63D1D" w:rsidP="00A23C7D">
            <w:pPr>
              <w:spacing w:before="20" w:after="20"/>
              <w:rPr>
                <w:sz w:val="22"/>
                <w:szCs w:val="22"/>
              </w:rPr>
            </w:pPr>
            <w:hyperlink r:id="rId140" w:history="1">
              <w:r w:rsidRPr="00FA4573">
                <w:rPr>
                  <w:rStyle w:val="Hyperlink"/>
                  <w:rFonts w:cs="Simplified Arabic"/>
                  <w:sz w:val="22"/>
                  <w:szCs w:val="22"/>
                </w:rPr>
                <w:t>Second meeting of ITU-D Study Group 2</w:t>
              </w:r>
            </w:hyperlink>
          </w:p>
        </w:tc>
        <w:tc>
          <w:tcPr>
            <w:tcW w:w="2353" w:type="pct"/>
          </w:tcPr>
          <w:p w14:paraId="1207D308" w14:textId="77777777" w:rsidR="00A63D1D" w:rsidRPr="00FA4573" w:rsidRDefault="00A63D1D" w:rsidP="00A23C7D">
            <w:pPr>
              <w:spacing w:before="20" w:after="20"/>
              <w:rPr>
                <w:sz w:val="22"/>
                <w:szCs w:val="22"/>
              </w:rPr>
            </w:pPr>
            <w:r w:rsidRPr="00FA4573">
              <w:rPr>
                <w:rFonts w:eastAsia="Malgun Gothic" w:hint="eastAsia"/>
                <w:sz w:val="22"/>
                <w:szCs w:val="22"/>
                <w:lang w:eastAsia="ko-KR"/>
              </w:rPr>
              <w:t xml:space="preserve">30 Oct </w:t>
            </w:r>
            <w:r w:rsidRPr="00FA4573">
              <w:rPr>
                <w:rFonts w:eastAsia="Malgun Gothic"/>
                <w:sz w:val="22"/>
                <w:szCs w:val="22"/>
                <w:lang w:eastAsia="ko-KR"/>
              </w:rPr>
              <w:t>–</w:t>
            </w:r>
            <w:r w:rsidRPr="00FA4573">
              <w:rPr>
                <w:rFonts w:eastAsia="Malgun Gothic" w:hint="eastAsia"/>
                <w:sz w:val="22"/>
                <w:szCs w:val="22"/>
                <w:lang w:eastAsia="ko-KR"/>
              </w:rPr>
              <w:t xml:space="preserve"> 3 Nov 2023</w:t>
            </w:r>
            <w:r w:rsidRPr="00FA4573">
              <w:rPr>
                <w:sz w:val="22"/>
                <w:szCs w:val="22"/>
              </w:rPr>
              <w:t>, Switzerland [Geneva]</w:t>
            </w:r>
          </w:p>
        </w:tc>
      </w:tr>
      <w:tr w:rsidR="00A63D1D" w:rsidRPr="00FA4573" w14:paraId="022FAEF6" w14:textId="77777777" w:rsidTr="00A23C7D">
        <w:trPr>
          <w:jc w:val="center"/>
        </w:trPr>
        <w:tc>
          <w:tcPr>
            <w:tcW w:w="2647" w:type="pct"/>
            <w:tcBorders>
              <w:bottom w:val="single" w:sz="4" w:space="0" w:color="auto"/>
            </w:tcBorders>
          </w:tcPr>
          <w:p w14:paraId="5D03A594" w14:textId="77777777" w:rsidR="00A63D1D" w:rsidRPr="00FA4573" w:rsidRDefault="00A63D1D" w:rsidP="00A23C7D">
            <w:pPr>
              <w:spacing w:before="20" w:after="20"/>
              <w:rPr>
                <w:sz w:val="22"/>
                <w:szCs w:val="22"/>
              </w:rPr>
            </w:pPr>
            <w:hyperlink r:id="rId141" w:history="1">
              <w:r w:rsidRPr="00FA4573">
                <w:rPr>
                  <w:rStyle w:val="Hyperlink"/>
                  <w:rFonts w:cs="Simplified Arabic"/>
                  <w:sz w:val="22"/>
                  <w:szCs w:val="22"/>
                </w:rPr>
                <w:t>First meeting of ITU-D Study Group 2</w:t>
              </w:r>
            </w:hyperlink>
          </w:p>
        </w:tc>
        <w:tc>
          <w:tcPr>
            <w:tcW w:w="2353" w:type="pct"/>
            <w:tcBorders>
              <w:bottom w:val="single" w:sz="4" w:space="0" w:color="auto"/>
            </w:tcBorders>
          </w:tcPr>
          <w:p w14:paraId="6FF41753" w14:textId="77777777" w:rsidR="00A63D1D" w:rsidRPr="00FA4573" w:rsidRDefault="00A63D1D" w:rsidP="00A23C7D">
            <w:pPr>
              <w:spacing w:before="20" w:after="20"/>
              <w:rPr>
                <w:sz w:val="22"/>
                <w:szCs w:val="22"/>
              </w:rPr>
            </w:pPr>
            <w:r w:rsidRPr="00FA4573">
              <w:rPr>
                <w:rFonts w:eastAsia="Malgun Gothic" w:hint="eastAsia"/>
                <w:sz w:val="22"/>
                <w:szCs w:val="22"/>
                <w:lang w:eastAsia="ko-KR"/>
              </w:rPr>
              <w:t>5-9 December 2022</w:t>
            </w:r>
            <w:r w:rsidRPr="00FA4573">
              <w:rPr>
                <w:sz w:val="22"/>
                <w:szCs w:val="22"/>
              </w:rPr>
              <w:t>, Switzerland [Geneva]</w:t>
            </w:r>
          </w:p>
        </w:tc>
      </w:tr>
      <w:tr w:rsidR="00A63D1D" w:rsidRPr="00FA4573" w14:paraId="3601A69C" w14:textId="77777777" w:rsidTr="00A23C7D">
        <w:trPr>
          <w:jc w:val="center"/>
        </w:trPr>
        <w:tc>
          <w:tcPr>
            <w:tcW w:w="2647" w:type="pct"/>
            <w:shd w:val="clear" w:color="auto" w:fill="D9D9D9" w:themeFill="background1" w:themeFillShade="D9"/>
          </w:tcPr>
          <w:p w14:paraId="7A57C4BE" w14:textId="77777777" w:rsidR="00A63D1D" w:rsidRPr="00FA4573" w:rsidRDefault="00A63D1D" w:rsidP="00A23C7D">
            <w:pPr>
              <w:spacing w:before="20" w:after="20"/>
              <w:rPr>
                <w:b/>
                <w:sz w:val="22"/>
                <w:szCs w:val="22"/>
              </w:rPr>
            </w:pPr>
            <w:r w:rsidRPr="00FA4573">
              <w:rPr>
                <w:b/>
                <w:sz w:val="22"/>
                <w:szCs w:val="22"/>
              </w:rPr>
              <w:t>Rapporteur Group meetings</w:t>
            </w:r>
          </w:p>
        </w:tc>
        <w:tc>
          <w:tcPr>
            <w:tcW w:w="2353" w:type="pct"/>
            <w:shd w:val="clear" w:color="auto" w:fill="D9D9D9" w:themeFill="background1" w:themeFillShade="D9"/>
          </w:tcPr>
          <w:p w14:paraId="1423A1C4" w14:textId="77777777" w:rsidR="00A63D1D" w:rsidRPr="00FA4573" w:rsidRDefault="00A63D1D" w:rsidP="00A23C7D">
            <w:pPr>
              <w:spacing w:before="20" w:after="20"/>
              <w:rPr>
                <w:b/>
                <w:sz w:val="22"/>
                <w:szCs w:val="22"/>
              </w:rPr>
            </w:pPr>
          </w:p>
        </w:tc>
      </w:tr>
      <w:tr w:rsidR="00A63D1D" w:rsidRPr="00FA4573" w14:paraId="2216D81F" w14:textId="77777777" w:rsidTr="00A23C7D">
        <w:trPr>
          <w:jc w:val="center"/>
        </w:trPr>
        <w:tc>
          <w:tcPr>
            <w:tcW w:w="2647" w:type="pct"/>
          </w:tcPr>
          <w:p w14:paraId="7861704E" w14:textId="77777777" w:rsidR="00A63D1D" w:rsidRPr="00FA4573" w:rsidRDefault="00A63D1D" w:rsidP="00A23C7D">
            <w:pPr>
              <w:spacing w:before="20" w:after="20"/>
              <w:rPr>
                <w:sz w:val="22"/>
                <w:szCs w:val="18"/>
              </w:rPr>
            </w:pPr>
            <w:hyperlink r:id="rId142" w:history="1">
              <w:r w:rsidRPr="00FA4573">
                <w:rPr>
                  <w:rStyle w:val="Hyperlink"/>
                  <w:rFonts w:ascii="Calibri" w:hAnsi="Calibri" w:cs="Calibri"/>
                  <w:sz w:val="22"/>
                  <w:szCs w:val="18"/>
                  <w:shd w:val="clear" w:color="auto" w:fill="FFFFFF"/>
                </w:rPr>
                <w:t>Rapporteur Group meetings</w:t>
              </w:r>
            </w:hyperlink>
          </w:p>
        </w:tc>
        <w:tc>
          <w:tcPr>
            <w:tcW w:w="2353" w:type="pct"/>
          </w:tcPr>
          <w:p w14:paraId="4D1E6509" w14:textId="77777777" w:rsidR="00A63D1D" w:rsidRPr="00FA4573" w:rsidRDefault="00A63D1D" w:rsidP="00A23C7D">
            <w:pPr>
              <w:spacing w:before="20" w:after="20"/>
              <w:rPr>
                <w:sz w:val="22"/>
                <w:szCs w:val="22"/>
              </w:rPr>
            </w:pPr>
            <w:r w:rsidRPr="00FA4573">
              <w:rPr>
                <w:rFonts w:eastAsia="Malgun Gothic" w:hint="eastAsia"/>
                <w:sz w:val="22"/>
                <w:szCs w:val="22"/>
                <w:lang w:eastAsia="ko-KR"/>
              </w:rPr>
              <w:t xml:space="preserve">29 April </w:t>
            </w:r>
            <w:r w:rsidRPr="00FA4573">
              <w:rPr>
                <w:rFonts w:eastAsia="Malgun Gothic"/>
                <w:sz w:val="22"/>
                <w:szCs w:val="22"/>
                <w:lang w:eastAsia="ko-KR"/>
              </w:rPr>
              <w:t>–</w:t>
            </w:r>
            <w:r w:rsidRPr="00FA4573">
              <w:rPr>
                <w:rFonts w:eastAsia="Malgun Gothic" w:hint="eastAsia"/>
                <w:sz w:val="22"/>
                <w:szCs w:val="22"/>
                <w:lang w:eastAsia="ko-KR"/>
              </w:rPr>
              <w:t xml:space="preserve"> 10 May 2024</w:t>
            </w:r>
            <w:r w:rsidRPr="00FA4573">
              <w:rPr>
                <w:sz w:val="22"/>
                <w:szCs w:val="22"/>
              </w:rPr>
              <w:t>, Switzerland [Geneva]</w:t>
            </w:r>
          </w:p>
        </w:tc>
      </w:tr>
      <w:tr w:rsidR="00A63D1D" w:rsidRPr="00FA4573" w14:paraId="26376FB5" w14:textId="77777777" w:rsidTr="00A23C7D">
        <w:trPr>
          <w:trHeight w:val="252"/>
          <w:jc w:val="center"/>
        </w:trPr>
        <w:tc>
          <w:tcPr>
            <w:tcW w:w="2647" w:type="pct"/>
          </w:tcPr>
          <w:p w14:paraId="616DEC89" w14:textId="77777777" w:rsidR="00A63D1D" w:rsidRPr="00FA4573" w:rsidRDefault="00A63D1D" w:rsidP="00A23C7D">
            <w:pPr>
              <w:spacing w:before="20" w:after="20"/>
              <w:rPr>
                <w:sz w:val="22"/>
                <w:szCs w:val="18"/>
              </w:rPr>
            </w:pPr>
            <w:hyperlink r:id="rId143" w:history="1">
              <w:r w:rsidRPr="00FA4573">
                <w:rPr>
                  <w:rStyle w:val="Hyperlink"/>
                  <w:rFonts w:ascii="Calibri" w:hAnsi="Calibri" w:cs="Calibri"/>
                  <w:sz w:val="22"/>
                  <w:szCs w:val="18"/>
                  <w:shd w:val="clear" w:color="auto" w:fill="FFFFFF"/>
                </w:rPr>
                <w:t>Rapporteur Group meetings</w:t>
              </w:r>
            </w:hyperlink>
          </w:p>
        </w:tc>
        <w:tc>
          <w:tcPr>
            <w:tcW w:w="2353" w:type="pct"/>
          </w:tcPr>
          <w:p w14:paraId="5118245A" w14:textId="77777777" w:rsidR="00A63D1D" w:rsidRPr="00FA4573" w:rsidRDefault="00A63D1D" w:rsidP="00A23C7D">
            <w:pPr>
              <w:spacing w:before="20" w:after="20"/>
              <w:rPr>
                <w:sz w:val="22"/>
                <w:szCs w:val="22"/>
              </w:rPr>
            </w:pPr>
            <w:r w:rsidRPr="00FA4573">
              <w:rPr>
                <w:rFonts w:eastAsia="Malgun Gothic" w:hint="eastAsia"/>
                <w:sz w:val="22"/>
                <w:szCs w:val="22"/>
                <w:lang w:eastAsia="ko-KR"/>
              </w:rPr>
              <w:t xml:space="preserve">22 May </w:t>
            </w:r>
            <w:r w:rsidRPr="00FA4573">
              <w:rPr>
                <w:rFonts w:eastAsia="Malgun Gothic"/>
                <w:sz w:val="22"/>
                <w:szCs w:val="22"/>
                <w:lang w:eastAsia="ko-KR"/>
              </w:rPr>
              <w:t>–</w:t>
            </w:r>
            <w:r w:rsidRPr="00FA4573">
              <w:rPr>
                <w:rFonts w:eastAsia="Malgun Gothic" w:hint="eastAsia"/>
                <w:sz w:val="22"/>
                <w:szCs w:val="22"/>
                <w:lang w:eastAsia="ko-KR"/>
              </w:rPr>
              <w:t xml:space="preserve"> 2 June 2023</w:t>
            </w:r>
            <w:r w:rsidRPr="00FA4573">
              <w:rPr>
                <w:sz w:val="22"/>
                <w:szCs w:val="22"/>
              </w:rPr>
              <w:t>, Switzerland [Geneva]</w:t>
            </w:r>
          </w:p>
        </w:tc>
      </w:tr>
    </w:tbl>
    <w:p w14:paraId="37C53285" w14:textId="77777777" w:rsidR="00A63D1D" w:rsidRPr="00FA4573" w:rsidRDefault="00A63D1D" w:rsidP="00A63D1D">
      <w:pPr>
        <w:spacing w:after="120"/>
        <w:rPr>
          <w:rStyle w:val="Hyperlink"/>
          <w:rFonts w:eastAsia="Malgun Gothic"/>
          <w:lang w:eastAsia="ko-KR"/>
        </w:rPr>
      </w:pPr>
      <w:r w:rsidRPr="00FA4573">
        <w:t xml:space="preserve">All associated workshops and webinars are detailed in the ITU-D study groups website on the page dedicated to workshops and other events (see </w:t>
      </w:r>
      <w:hyperlink r:id="rId144" w:history="1">
        <w:r w:rsidRPr="00FA4573">
          <w:rPr>
            <w:rStyle w:val="Hyperlink"/>
          </w:rPr>
          <w:t>https://www.itu.int/en/ITU-D/Study-Groups/2022-2025/Pages/events_workshops.aspx</w:t>
        </w:r>
      </w:hyperlink>
      <w:r w:rsidRPr="00FA4573">
        <w:rPr>
          <w:rStyle w:val="Hyperlink"/>
        </w:rPr>
        <w:t>).</w:t>
      </w:r>
    </w:p>
    <w:p w14:paraId="232FE1E6" w14:textId="77777777" w:rsidR="00A63D1D" w:rsidRPr="00FA4573" w:rsidRDefault="00A63D1D" w:rsidP="00A63D1D">
      <w:pPr>
        <w:tabs>
          <w:tab w:val="clear" w:pos="1134"/>
          <w:tab w:val="clear" w:pos="1871"/>
          <w:tab w:val="clear" w:pos="2268"/>
        </w:tabs>
        <w:overflowPunct/>
        <w:autoSpaceDE/>
        <w:autoSpaceDN/>
        <w:adjustRightInd/>
        <w:spacing w:before="0"/>
        <w:textAlignment w:val="auto"/>
      </w:pPr>
      <w:r w:rsidRPr="00FA4573">
        <w:br w:type="page"/>
      </w:r>
    </w:p>
    <w:p w14:paraId="7EF9F643" w14:textId="77777777" w:rsidR="00A63D1D" w:rsidRPr="00FA4573" w:rsidRDefault="00A63D1D" w:rsidP="00A63D1D">
      <w:pPr>
        <w:overflowPunct/>
        <w:autoSpaceDE/>
        <w:autoSpaceDN/>
        <w:adjustRightInd/>
        <w:spacing w:after="120"/>
        <w:textAlignment w:val="auto"/>
        <w:rPr>
          <w:b/>
          <w:bCs/>
        </w:rPr>
      </w:pPr>
      <w:r w:rsidRPr="00FA4573">
        <w:rPr>
          <w:b/>
          <w:bCs/>
        </w:rPr>
        <w:lastRenderedPageBreak/>
        <w:t xml:space="preserve">Annex </w:t>
      </w:r>
      <w:r w:rsidRPr="00FA4573">
        <w:rPr>
          <w:rFonts w:eastAsia="Malgun Gothic" w:hint="eastAsia"/>
          <w:b/>
          <w:bCs/>
          <w:lang w:eastAsia="ko-KR"/>
        </w:rPr>
        <w:t>4</w:t>
      </w:r>
      <w:r w:rsidRPr="00FA4573">
        <w:rPr>
          <w:b/>
          <w:bCs/>
        </w:rPr>
        <w:t>: Draft guidelines for composing rapporteur teams</w:t>
      </w:r>
    </w:p>
    <w:p w14:paraId="56697401" w14:textId="77777777" w:rsidR="00A63D1D" w:rsidRPr="00FA4573" w:rsidRDefault="00A63D1D" w:rsidP="00A63D1D">
      <w:pPr>
        <w:overflowPunct/>
        <w:autoSpaceDE/>
        <w:autoSpaceDN/>
        <w:adjustRightInd/>
        <w:spacing w:after="120"/>
        <w:textAlignment w:val="auto"/>
        <w:rPr>
          <w:rFonts w:eastAsia="Malgun Gothic"/>
          <w:lang w:eastAsia="ko-KR"/>
        </w:rPr>
      </w:pPr>
      <w:r w:rsidRPr="00FA4573">
        <w:rPr>
          <w:rFonts w:eastAsia="Malgun Gothic" w:hint="eastAsia"/>
          <w:lang w:eastAsia="ko-KR"/>
        </w:rPr>
        <w:t xml:space="preserve">Note: These guidelines were developed by </w:t>
      </w:r>
      <w:r w:rsidRPr="00FA4573">
        <w:rPr>
          <w:szCs w:val="18"/>
        </w:rPr>
        <w:t>Mr Teddy Woodhouse (U</w:t>
      </w:r>
      <w:r w:rsidRPr="00FA4573">
        <w:rPr>
          <w:rFonts w:eastAsia="Malgun Gothic" w:hint="eastAsia"/>
          <w:szCs w:val="18"/>
          <w:lang w:eastAsia="ko-KR"/>
        </w:rPr>
        <w:t>nited Kingdom</w:t>
      </w:r>
      <w:r w:rsidRPr="00FA4573">
        <w:rPr>
          <w:szCs w:val="18"/>
        </w:rPr>
        <w:t>)</w:t>
      </w:r>
      <w:r w:rsidRPr="00FA4573">
        <w:rPr>
          <w:rFonts w:eastAsia="Malgun Gothic" w:hint="eastAsia"/>
          <w:szCs w:val="18"/>
          <w:lang w:eastAsia="ko-KR"/>
        </w:rPr>
        <w:t>.</w:t>
      </w:r>
    </w:p>
    <w:p w14:paraId="26943A62" w14:textId="77777777" w:rsidR="00A63D1D" w:rsidRPr="00FA4573" w:rsidRDefault="00A63D1D" w:rsidP="00A63D1D">
      <w:r w:rsidRPr="00FA4573">
        <w:t>This document aims to provide a step-based summary of the process to compose rapporteur teams (collectively referring to rapporteurs, co-rapporteurs, and vice rapporteurs).</w:t>
      </w:r>
    </w:p>
    <w:p w14:paraId="1F908A49" w14:textId="77777777" w:rsidR="00A63D1D" w:rsidRPr="00FA4573" w:rsidRDefault="00A63D1D" w:rsidP="00A63D1D">
      <w:r w:rsidRPr="00FA4573">
        <w:t>This document is provided for information only and is not legally binding in any way. It provides guidance only insofar as it remains fully compliant with the ITU Convention and all resolutions of the Plenipotentiary and World Telecommunication Development Conferences, with particular regard to PP Resolution 208 and WTDC Resolution 1.</w:t>
      </w:r>
    </w:p>
    <w:p w14:paraId="0715CD58" w14:textId="77777777" w:rsidR="00A63D1D" w:rsidRPr="00FA4573" w:rsidRDefault="00A63D1D" w:rsidP="00A63D1D">
      <w:pPr>
        <w:pStyle w:val="Heading2"/>
        <w:ind w:left="0" w:firstLine="0"/>
        <w:rPr>
          <w:b w:val="0"/>
          <w:bCs/>
        </w:rPr>
      </w:pPr>
      <w:r w:rsidRPr="00FA4573">
        <w:rPr>
          <w:bCs/>
        </w:rPr>
        <w:t>Summary of Steps</w:t>
      </w:r>
    </w:p>
    <w:p w14:paraId="6A734CA2" w14:textId="77777777" w:rsidR="00A63D1D" w:rsidRPr="00FA4573" w:rsidRDefault="00A63D1D" w:rsidP="00A63D1D">
      <w:r w:rsidRPr="00FA4573">
        <w:t>This document structures the process for composing rapporteur teams in seven steps and describes them in chronological order.</w:t>
      </w:r>
    </w:p>
    <w:p w14:paraId="644FCE5F" w14:textId="77777777" w:rsidR="00A63D1D" w:rsidRPr="00FA4573" w:rsidRDefault="00A63D1D" w:rsidP="00A63D1D">
      <w:pPr>
        <w:ind w:firstLine="720"/>
        <w:rPr>
          <w:b/>
          <w:bCs/>
          <w:lang w:val="fr-FR"/>
        </w:rPr>
      </w:pPr>
      <w:r w:rsidRPr="00FA4573">
        <w:rPr>
          <w:b/>
          <w:bCs/>
          <w:lang w:val="fr-FR"/>
        </w:rPr>
        <w:t xml:space="preserve">Invitation </w:t>
      </w:r>
    </w:p>
    <w:p w14:paraId="64AD0573" w14:textId="77777777" w:rsidR="00A63D1D" w:rsidRPr="00FA4573" w:rsidRDefault="00A63D1D" w:rsidP="00A63D1D">
      <w:pPr>
        <w:pStyle w:val="ListParagraph"/>
        <w:numPr>
          <w:ilvl w:val="1"/>
          <w:numId w:val="16"/>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At some point following WTDC</w:t>
      </w:r>
      <w:r w:rsidRPr="00FA4573">
        <w:t>, the BDT sends a letter of invitation for nominations to ITU-D members.</w:t>
      </w:r>
    </w:p>
    <w:p w14:paraId="5CB6FF0B" w14:textId="77777777" w:rsidR="00A63D1D" w:rsidRPr="00FA4573" w:rsidRDefault="00A63D1D" w:rsidP="00A63D1D">
      <w:pPr>
        <w:ind w:firstLine="720"/>
        <w:rPr>
          <w:b/>
          <w:bCs/>
        </w:rPr>
      </w:pPr>
      <w:r w:rsidRPr="00FA4573">
        <w:rPr>
          <w:b/>
          <w:bCs/>
        </w:rPr>
        <w:t xml:space="preserve">Nomination Process </w:t>
      </w:r>
    </w:p>
    <w:p w14:paraId="736322E8" w14:textId="77777777" w:rsidR="00A63D1D" w:rsidRPr="00FA4573" w:rsidRDefault="00A63D1D" w:rsidP="00A63D1D">
      <w:pPr>
        <w:pStyle w:val="ListParagraph"/>
        <w:numPr>
          <w:ilvl w:val="0"/>
          <w:numId w:val="17"/>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 xml:space="preserve">For a recommended period of at least four weeks, </w:t>
      </w:r>
      <w:r w:rsidRPr="00FA4573">
        <w:t>ITU-D members submit nominations via online form.</w:t>
      </w:r>
    </w:p>
    <w:p w14:paraId="3D3F1D49" w14:textId="77777777" w:rsidR="00A63D1D" w:rsidRPr="00FA4573" w:rsidRDefault="00A63D1D" w:rsidP="00A63D1D">
      <w:pPr>
        <w:pStyle w:val="ListParagraph"/>
        <w:numPr>
          <w:ilvl w:val="0"/>
          <w:numId w:val="17"/>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During this period</w:t>
      </w:r>
      <w:r w:rsidRPr="00FA4573">
        <w:t>, the BDT assures the validity of each nomination received.</w:t>
      </w:r>
    </w:p>
    <w:p w14:paraId="39534EDD" w14:textId="77777777" w:rsidR="00A63D1D" w:rsidRPr="00FA4573" w:rsidRDefault="00A63D1D" w:rsidP="00A63D1D">
      <w:pPr>
        <w:pStyle w:val="ListParagraph"/>
        <w:numPr>
          <w:ilvl w:val="0"/>
          <w:numId w:val="17"/>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Once the deadline has passed</w:t>
      </w:r>
      <w:r w:rsidRPr="00FA4573">
        <w:t>, the BDT identifies overfill for roles for each study Question.</w:t>
      </w:r>
    </w:p>
    <w:p w14:paraId="4C0549DA" w14:textId="77777777" w:rsidR="00A63D1D" w:rsidRPr="00FA4573" w:rsidRDefault="00A63D1D" w:rsidP="00A63D1D">
      <w:pPr>
        <w:ind w:firstLine="720"/>
        <w:rPr>
          <w:b/>
          <w:bCs/>
        </w:rPr>
      </w:pPr>
      <w:r w:rsidRPr="00FA4573">
        <w:rPr>
          <w:b/>
          <w:bCs/>
        </w:rPr>
        <w:t>Informal Consultations</w:t>
      </w:r>
    </w:p>
    <w:p w14:paraId="01EF1AAC" w14:textId="77777777" w:rsidR="00A63D1D" w:rsidRPr="00FA4573" w:rsidRDefault="00A63D1D" w:rsidP="00A63D1D">
      <w:pPr>
        <w:pStyle w:val="ListParagraph"/>
        <w:numPr>
          <w:ilvl w:val="0"/>
          <w:numId w:val="18"/>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Recommended at least one month before the first SG meeting</w:t>
      </w:r>
      <w:r w:rsidRPr="00FA4573">
        <w:t>, members affected by overfill are notified and invited to begin informal consultations.</w:t>
      </w:r>
    </w:p>
    <w:p w14:paraId="4CDEF03B" w14:textId="77777777" w:rsidR="00A63D1D" w:rsidRPr="00FA4573" w:rsidRDefault="00A63D1D" w:rsidP="00A63D1D">
      <w:pPr>
        <w:ind w:firstLine="720"/>
        <w:rPr>
          <w:b/>
          <w:bCs/>
        </w:rPr>
      </w:pPr>
      <w:r w:rsidRPr="00FA4573">
        <w:rPr>
          <w:b/>
          <w:bCs/>
        </w:rPr>
        <w:t>Team Composition</w:t>
      </w:r>
    </w:p>
    <w:p w14:paraId="1FB2E6AC" w14:textId="77777777" w:rsidR="00A63D1D" w:rsidRPr="00FA4573" w:rsidRDefault="00A63D1D" w:rsidP="00A63D1D">
      <w:pPr>
        <w:pStyle w:val="ListParagraph"/>
        <w:numPr>
          <w:ilvl w:val="0"/>
          <w:numId w:val="19"/>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At least 12 days before the first SG meeting (per WTDC Res 1 section 4.2.1.1)</w:t>
      </w:r>
      <w:r w:rsidRPr="00FA4573">
        <w:t>, the Study Group Chairs compose a draft proposal for the rapporteur teams, with consideration to overall team composition and evaluation of individual nominations.</w:t>
      </w:r>
    </w:p>
    <w:p w14:paraId="2D4819CB" w14:textId="77777777" w:rsidR="00A63D1D" w:rsidRPr="00FA4573" w:rsidRDefault="00A63D1D" w:rsidP="00A63D1D">
      <w:pPr>
        <w:pStyle w:val="ListParagraph"/>
        <w:numPr>
          <w:ilvl w:val="0"/>
          <w:numId w:val="19"/>
        </w:numPr>
        <w:tabs>
          <w:tab w:val="clear" w:pos="1134"/>
          <w:tab w:val="clear" w:pos="1871"/>
          <w:tab w:val="clear" w:pos="2268"/>
        </w:tabs>
        <w:overflowPunct/>
        <w:autoSpaceDE/>
        <w:autoSpaceDN/>
        <w:adjustRightInd/>
        <w:spacing w:before="0" w:after="160" w:line="259" w:lineRule="auto"/>
        <w:ind w:left="720"/>
        <w:textAlignment w:val="auto"/>
      </w:pPr>
      <w:r w:rsidRPr="00FA4573">
        <w:rPr>
          <w:i/>
          <w:iCs/>
        </w:rPr>
        <w:t>At first Study Group meeting,</w:t>
      </w:r>
      <w:r w:rsidRPr="00FA4573">
        <w:t xml:space="preserve"> the Study Group approves the rapporteur teams in plenary.</w:t>
      </w:r>
    </w:p>
    <w:p w14:paraId="42125B42" w14:textId="77777777" w:rsidR="00A63D1D" w:rsidRPr="00FA4573" w:rsidRDefault="00A63D1D" w:rsidP="00A63D1D">
      <w:pPr>
        <w:pBdr>
          <w:bottom w:val="single" w:sz="6" w:space="1" w:color="auto"/>
        </w:pBdr>
        <w:rPr>
          <w:rFonts w:cstheme="minorHAnsi"/>
        </w:rPr>
      </w:pPr>
    </w:p>
    <w:p w14:paraId="5543DD00" w14:textId="77777777" w:rsidR="00A63D1D" w:rsidRPr="00FA4573" w:rsidRDefault="00A63D1D" w:rsidP="00A63D1D">
      <w:pPr>
        <w:pStyle w:val="Heading2"/>
        <w:ind w:left="0" w:firstLine="0"/>
        <w:rPr>
          <w:b w:val="0"/>
          <w:bCs/>
        </w:rPr>
      </w:pPr>
      <w:r w:rsidRPr="00FA4573">
        <w:rPr>
          <w:bCs/>
        </w:rPr>
        <w:t>Invitation</w:t>
      </w:r>
    </w:p>
    <w:p w14:paraId="278223AA" w14:textId="77777777" w:rsidR="00A63D1D" w:rsidRPr="00FA4573" w:rsidRDefault="00A63D1D" w:rsidP="00A63D1D">
      <w:r w:rsidRPr="00FA4573">
        <w:t>The BDT should send a letter of invitation for nominations to ITU-D members, associates, and academia. In that letter, it should note:</w:t>
      </w:r>
    </w:p>
    <w:p w14:paraId="469F025B"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Eligibility criteria for valid nominations (in alignment with PP Resolution 208 &amp; WTDC Resolution 1, see below);</w:t>
      </w:r>
    </w:p>
    <w:p w14:paraId="5D2A2F7A"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 critical nature of institutional support for individuals to successfully contribute over the years of the study cycle, including time allocations to prepare and attend meetings and to manage the Question’s workload;</w:t>
      </w:r>
    </w:p>
    <w:p w14:paraId="366C5408"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 xml:space="preserve">The total number of vice rapporteurs proposed by any administration should be reasonable, so as to observe the principle of </w:t>
      </w:r>
      <w:r w:rsidRPr="00FA4573">
        <w:rPr>
          <w:b/>
          <w:bCs/>
        </w:rPr>
        <w:t>equitable distribution</w:t>
      </w:r>
      <w:r w:rsidRPr="00FA4573">
        <w:t xml:space="preserve"> of posts among the Member States concerned (in alignment with PP Resolution 208 Annex 3 </w:t>
      </w:r>
      <w:r w:rsidRPr="00FA4573">
        <w:rPr>
          <w:i/>
          <w:iCs/>
        </w:rPr>
        <w:t xml:space="preserve">recital </w:t>
      </w:r>
      <w:r w:rsidRPr="00FA4573">
        <w:t>4);</w:t>
      </w:r>
    </w:p>
    <w:p w14:paraId="74E08248"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 xml:space="preserve">The Plenipotentiary Conference’s encouragement to Member States and Sector Members to make efforts to ensure gender-balanced representation in candidatures for leadership </w:t>
      </w:r>
      <w:r w:rsidRPr="00FA4573">
        <w:lastRenderedPageBreak/>
        <w:t xml:space="preserve">roles (per PP Resolution 58 </w:t>
      </w:r>
      <w:r w:rsidRPr="00FA4573">
        <w:rPr>
          <w:i/>
          <w:iCs/>
        </w:rPr>
        <w:t>encourages Member States and Sector Members</w:t>
      </w:r>
      <w:r w:rsidRPr="00FA4573">
        <w:t xml:space="preserve"> 9) and WTDC’s invitation to Member States to candidatures for rapporteur and vice rapporteur roles in order to support the active involvement of women as well as men (per WTDC Resolution 55 </w:t>
      </w:r>
      <w:r w:rsidRPr="00FA4573">
        <w:rPr>
          <w:i/>
          <w:iCs/>
        </w:rPr>
        <w:t xml:space="preserve">invites Member States and Sector Members </w:t>
      </w:r>
      <w:r w:rsidRPr="00FA4573">
        <w:t>1);</w:t>
      </w:r>
    </w:p>
    <w:p w14:paraId="63F2FA04"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 objective for each Study Group to compose dedicated, stable rapporteur teams with competent participants who reflect the diversity of ITU-D’s membership;</w:t>
      </w:r>
    </w:p>
    <w:p w14:paraId="7B6E6103"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Nominations will be evaluated based on each candidate’s experience and ability to participate and their member’s motivation; and</w:t>
      </w:r>
    </w:p>
    <w:p w14:paraId="548CB011"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These guidelines, informed by the ITU Convention, PP Resolution 208, and WTDC Resolution 1, will be used to evaluate nominations in the event of any overfills of each rapporteur team (and an indication on when an overfill occurs, see below).</w:t>
      </w:r>
    </w:p>
    <w:p w14:paraId="344B5F4F" w14:textId="77777777" w:rsidR="00A63D1D" w:rsidRPr="00FA4573" w:rsidRDefault="00A63D1D" w:rsidP="00A63D1D">
      <w:r w:rsidRPr="00FA4573">
        <w:t>A copy of these guidelines should be made available on the ITU website.</w:t>
      </w:r>
    </w:p>
    <w:p w14:paraId="4A941917" w14:textId="77777777" w:rsidR="00A63D1D" w:rsidRPr="00FA4573" w:rsidRDefault="00A63D1D" w:rsidP="00A63D1D">
      <w:pPr>
        <w:pStyle w:val="Heading2"/>
        <w:ind w:left="0" w:firstLine="0"/>
        <w:rPr>
          <w:b w:val="0"/>
          <w:bCs/>
        </w:rPr>
      </w:pPr>
      <w:r w:rsidRPr="00FA4573">
        <w:rPr>
          <w:bCs/>
        </w:rPr>
        <w:t>Nomination Process</w:t>
      </w:r>
    </w:p>
    <w:p w14:paraId="2E935475" w14:textId="77777777" w:rsidR="00A63D1D" w:rsidRPr="00FA4573" w:rsidRDefault="00A63D1D" w:rsidP="00A63D1D">
      <w:r w:rsidRPr="00FA4573">
        <w:t>ITU-D members shall be provided a clear process for the submission of nominations and a deadline by which nominations must be received.</w:t>
      </w:r>
    </w:p>
    <w:p w14:paraId="651BE2D2" w14:textId="77777777" w:rsidR="00A63D1D" w:rsidRPr="00FA4573" w:rsidRDefault="00A63D1D" w:rsidP="00A63D1D">
      <w:r w:rsidRPr="00FA4573">
        <w:t>Upon receipt of a nomination, the BDT should evaluate its eligibility. Namely, that the nomination:</w:t>
      </w:r>
    </w:p>
    <w:p w14:paraId="79D975B7" w14:textId="77777777" w:rsidR="00A63D1D" w:rsidRPr="00FA4573" w:rsidRDefault="00A63D1D" w:rsidP="00A63D1D">
      <w:pPr>
        <w:pStyle w:val="ListParagraph"/>
        <w:numPr>
          <w:ilvl w:val="0"/>
          <w:numId w:val="20"/>
        </w:numPr>
        <w:tabs>
          <w:tab w:val="clear" w:pos="1134"/>
          <w:tab w:val="clear" w:pos="1871"/>
          <w:tab w:val="clear" w:pos="2268"/>
        </w:tabs>
        <w:overflowPunct/>
        <w:autoSpaceDE/>
        <w:autoSpaceDN/>
        <w:adjustRightInd/>
        <w:spacing w:before="0" w:after="160" w:line="259" w:lineRule="auto"/>
        <w:textAlignment w:val="auto"/>
      </w:pPr>
      <w:r w:rsidRPr="00FA4573">
        <w:t>Is affiliated to a Member State, ITU-D Sector Member, Associate, or Academia (per WTDC Resolution 1, 3.3.1); and</w:t>
      </w:r>
    </w:p>
    <w:p w14:paraId="2685EF1C" w14:textId="77777777" w:rsidR="00A63D1D" w:rsidRPr="00FA4573" w:rsidRDefault="00A63D1D" w:rsidP="00A63D1D">
      <w:pPr>
        <w:pStyle w:val="ListParagraph"/>
        <w:numPr>
          <w:ilvl w:val="0"/>
          <w:numId w:val="20"/>
        </w:numPr>
        <w:tabs>
          <w:tab w:val="clear" w:pos="1134"/>
          <w:tab w:val="clear" w:pos="1871"/>
          <w:tab w:val="clear" w:pos="2268"/>
        </w:tabs>
        <w:overflowPunct/>
        <w:autoSpaceDE/>
        <w:autoSpaceDN/>
        <w:adjustRightInd/>
        <w:spacing w:before="0" w:after="160" w:line="259" w:lineRule="auto"/>
        <w:textAlignment w:val="auto"/>
      </w:pPr>
      <w:r w:rsidRPr="00FA4573">
        <w:rPr>
          <w:i/>
          <w:iCs/>
        </w:rPr>
        <w:t>For rapporteurships,</w:t>
      </w:r>
      <w:r w:rsidRPr="00FA4573">
        <w:t xml:space="preserve"> includes information that enables the Study Group to assess the candidate’s expertise, ability to coordinate, and ability to actively participate in ITU-D activities (per WTDC Res 1, 3.3.3) including </w:t>
      </w:r>
      <w:r w:rsidRPr="00FA4573">
        <w:rPr>
          <w:b/>
          <w:bCs/>
        </w:rPr>
        <w:t>physical participation</w:t>
      </w:r>
      <w:r w:rsidRPr="00FA4573">
        <w:t xml:space="preserve"> in the Study Group meetings (twice per year); or</w:t>
      </w:r>
    </w:p>
    <w:p w14:paraId="7B32C1EF" w14:textId="77777777" w:rsidR="00A63D1D" w:rsidRPr="00FA4573" w:rsidRDefault="00A63D1D" w:rsidP="00A63D1D">
      <w:pPr>
        <w:pStyle w:val="ListParagraph"/>
        <w:numPr>
          <w:ilvl w:val="0"/>
          <w:numId w:val="20"/>
        </w:numPr>
        <w:tabs>
          <w:tab w:val="clear" w:pos="1134"/>
          <w:tab w:val="clear" w:pos="1871"/>
          <w:tab w:val="clear" w:pos="2268"/>
        </w:tabs>
        <w:overflowPunct/>
        <w:autoSpaceDE/>
        <w:autoSpaceDN/>
        <w:adjustRightInd/>
        <w:spacing w:before="0" w:after="160" w:line="259" w:lineRule="auto"/>
        <w:textAlignment w:val="auto"/>
      </w:pPr>
      <w:r w:rsidRPr="00FA4573">
        <w:rPr>
          <w:i/>
          <w:iCs/>
        </w:rPr>
        <w:t>For vice rapporteurships</w:t>
      </w:r>
      <w:r w:rsidRPr="00FA4573">
        <w:t>, includes information that enables the Study Group to assess the candidate’s expertise and experience related to the study Question (per WTDC Res 1, 3.3.5).</w:t>
      </w:r>
    </w:p>
    <w:p w14:paraId="6546F9F0" w14:textId="77777777" w:rsidR="00A63D1D" w:rsidRPr="00FA4573" w:rsidRDefault="00A63D1D" w:rsidP="00A63D1D">
      <w:r w:rsidRPr="00FA4573">
        <w:t>Should a revised, eligible nomination be received by the deadline, the Study Group can consider the nomination. The BDT should make every effort to support each nomination to be complete and eligible: revisions after the deadline to an initial nomination received before the deadline should be considered where at all possible.</w:t>
      </w:r>
    </w:p>
    <w:p w14:paraId="6EEF5FCD" w14:textId="77777777" w:rsidR="00A63D1D" w:rsidRPr="00FA4573" w:rsidRDefault="00A63D1D" w:rsidP="00A63D1D">
      <w:r w:rsidRPr="00FA4573">
        <w:t xml:space="preserve">Based upon eligible nominations, the BDT should indicate to the Study Group Chairs which rapporteur positions have more than one nomination and which rapporteur teams have more than </w:t>
      </w:r>
      <w:r w:rsidRPr="00FA4573">
        <w:rPr>
          <w:b/>
          <w:bCs/>
        </w:rPr>
        <w:t>two nominations for a vice rapporteur position from any one region</w:t>
      </w:r>
      <w:r w:rsidRPr="00FA4573">
        <w:t>.</w:t>
      </w:r>
      <w:r w:rsidRPr="00FA4573">
        <w:rPr>
          <w:rStyle w:val="FootnoteReference"/>
        </w:rPr>
        <w:footnoteReference w:id="17"/>
      </w:r>
      <w:r w:rsidRPr="00FA4573">
        <w:t xml:space="preserve"> Any such instance should be treated as an </w:t>
      </w:r>
      <w:r w:rsidRPr="00FA4573">
        <w:rPr>
          <w:i/>
          <w:iCs/>
        </w:rPr>
        <w:t xml:space="preserve">overfill </w:t>
      </w:r>
      <w:r w:rsidRPr="00FA4573">
        <w:t>of the rapporteur team.</w:t>
      </w:r>
    </w:p>
    <w:p w14:paraId="703B1FB9" w14:textId="77777777" w:rsidR="00A63D1D" w:rsidRPr="00FA4573" w:rsidRDefault="00A63D1D" w:rsidP="00A63D1D">
      <w:pPr>
        <w:pStyle w:val="Heading2"/>
        <w:ind w:left="0" w:firstLine="0"/>
        <w:rPr>
          <w:b w:val="0"/>
          <w:bCs/>
        </w:rPr>
      </w:pPr>
      <w:r w:rsidRPr="00FA4573">
        <w:rPr>
          <w:bCs/>
        </w:rPr>
        <w:t>Informal Consultations</w:t>
      </w:r>
    </w:p>
    <w:p w14:paraId="273CFDE9" w14:textId="77777777" w:rsidR="00A63D1D" w:rsidRPr="00FA4573" w:rsidRDefault="00A63D1D" w:rsidP="00A63D1D">
      <w:r w:rsidRPr="00FA4573">
        <w:t>In the event of an overfill of a rapporteur team, the BDT in coordination with the Study Group Chairs, should notify the affected members of this fact and provide sufficient information and time for informal consultations among them. This notification should include:</w:t>
      </w:r>
    </w:p>
    <w:p w14:paraId="69E5974D" w14:textId="77777777" w:rsidR="00A63D1D" w:rsidRPr="00FA4573" w:rsidRDefault="00A63D1D" w:rsidP="00A63D1D">
      <w:pPr>
        <w:pStyle w:val="ListParagraph"/>
        <w:numPr>
          <w:ilvl w:val="0"/>
          <w:numId w:val="21"/>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w:t>
      </w:r>
      <w:r w:rsidRPr="00FA4573">
        <w:t xml:space="preserve"> </w:t>
      </w:r>
      <w:r w:rsidRPr="00FA4573">
        <w:rPr>
          <w:i/>
          <w:iCs/>
        </w:rPr>
        <w:t>rapporteurships</w:t>
      </w:r>
      <w:r w:rsidRPr="00FA4573">
        <w:t xml:space="preserve">, a request for the member to reaffirm that they are prepared to allocate sufficient time (estimated at an average of four hours per working week) and budget (the cost of physical participation in two meetings per year, with </w:t>
      </w:r>
      <w:r w:rsidRPr="00FA4573">
        <w:lastRenderedPageBreak/>
        <w:t>supporting information from BDT on fellowships) for each affected candidate to participate in their study Question and notice that any candidate not so reaffirmed may be deferred for a vice rapporteurship;</w:t>
      </w:r>
    </w:p>
    <w:p w14:paraId="27EA6600" w14:textId="77777777" w:rsidR="00A63D1D" w:rsidRPr="00FA4573" w:rsidRDefault="00A63D1D" w:rsidP="00A63D1D">
      <w:pPr>
        <w:pStyle w:val="ListParagraph"/>
        <w:numPr>
          <w:ilvl w:val="0"/>
          <w:numId w:val="21"/>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w:t>
      </w:r>
      <w:r w:rsidRPr="00FA4573">
        <w:t xml:space="preserve"> </w:t>
      </w:r>
      <w:r w:rsidRPr="00FA4573">
        <w:rPr>
          <w:i/>
          <w:iCs/>
        </w:rPr>
        <w:t>vice rapporteurships</w:t>
      </w:r>
      <w:r w:rsidRPr="00FA4573">
        <w:t>, a request for the member to reaffirm that they are prepared to allocate sufficient time (estimated at an average of two hours per working week) and budget (with supporting information from BDT on fellowships) for each affected candidate to participate in their study Question;</w:t>
      </w:r>
    </w:p>
    <w:p w14:paraId="6657DF98" w14:textId="77777777" w:rsidR="00A63D1D" w:rsidRPr="00FA4573" w:rsidRDefault="00A63D1D" w:rsidP="00A63D1D">
      <w:pPr>
        <w:pStyle w:val="ListParagraph"/>
        <w:numPr>
          <w:ilvl w:val="0"/>
          <w:numId w:val="21"/>
        </w:numPr>
        <w:tabs>
          <w:tab w:val="clear" w:pos="1134"/>
          <w:tab w:val="clear" w:pos="1871"/>
          <w:tab w:val="clear" w:pos="2268"/>
        </w:tabs>
        <w:overflowPunct/>
        <w:autoSpaceDE/>
        <w:autoSpaceDN/>
        <w:adjustRightInd/>
        <w:spacing w:before="0" w:after="160" w:line="259" w:lineRule="auto"/>
        <w:textAlignment w:val="auto"/>
      </w:pPr>
      <w:r w:rsidRPr="00FA4573">
        <w:t>A designated period of time for informal consultations that does not extend past one month before the first Study Group meeting of the cycle;</w:t>
      </w:r>
    </w:p>
    <w:p w14:paraId="5429C301" w14:textId="77777777" w:rsidR="00A63D1D" w:rsidRPr="00FA4573" w:rsidRDefault="00A63D1D" w:rsidP="00A63D1D">
      <w:pPr>
        <w:pStyle w:val="ListParagraph"/>
        <w:numPr>
          <w:ilvl w:val="0"/>
          <w:numId w:val="21"/>
        </w:numPr>
        <w:tabs>
          <w:tab w:val="clear" w:pos="1134"/>
          <w:tab w:val="clear" w:pos="1871"/>
          <w:tab w:val="clear" w:pos="2268"/>
        </w:tabs>
        <w:overflowPunct/>
        <w:autoSpaceDE/>
        <w:autoSpaceDN/>
        <w:adjustRightInd/>
        <w:spacing w:before="0" w:after="160" w:line="259" w:lineRule="auto"/>
        <w:textAlignment w:val="auto"/>
      </w:pPr>
      <w:r w:rsidRPr="00FA4573">
        <w:t>Information on all of the candidacies that constitute the overfill (in line with the current Web portal of submitted candidacies);</w:t>
      </w:r>
    </w:p>
    <w:p w14:paraId="612ACFB5" w14:textId="77777777" w:rsidR="00A63D1D" w:rsidRPr="00FA4573" w:rsidRDefault="00A63D1D" w:rsidP="00A63D1D">
      <w:pPr>
        <w:pStyle w:val="ListParagraph"/>
        <w:numPr>
          <w:ilvl w:val="0"/>
          <w:numId w:val="21"/>
        </w:numPr>
        <w:tabs>
          <w:tab w:val="clear" w:pos="1134"/>
          <w:tab w:val="clear" w:pos="1871"/>
          <w:tab w:val="clear" w:pos="2268"/>
        </w:tabs>
        <w:overflowPunct/>
        <w:autoSpaceDE/>
        <w:autoSpaceDN/>
        <w:adjustRightInd/>
        <w:spacing w:before="0" w:after="160" w:line="259" w:lineRule="auto"/>
        <w:textAlignment w:val="auto"/>
      </w:pPr>
      <w:r w:rsidRPr="00FA4573">
        <w:t>The objective for the Study Group to compose dedicated, stable rapporteur teams with competent participants who reflect the diversity of ITU-D’s membership, in line with the ITU Convention, PP Resolution 208, and WTDC Resolution 1;</w:t>
      </w:r>
    </w:p>
    <w:p w14:paraId="426F447F" w14:textId="77777777" w:rsidR="00A63D1D" w:rsidRPr="00FA4573" w:rsidRDefault="00A63D1D" w:rsidP="00A63D1D">
      <w:pPr>
        <w:pStyle w:val="ListParagraph"/>
        <w:numPr>
          <w:ilvl w:val="0"/>
          <w:numId w:val="21"/>
        </w:numPr>
        <w:tabs>
          <w:tab w:val="clear" w:pos="1134"/>
          <w:tab w:val="clear" w:pos="1871"/>
          <w:tab w:val="clear" w:pos="2268"/>
        </w:tabs>
        <w:overflowPunct/>
        <w:autoSpaceDE/>
        <w:autoSpaceDN/>
        <w:adjustRightInd/>
        <w:spacing w:before="0" w:after="160" w:line="259" w:lineRule="auto"/>
        <w:textAlignment w:val="auto"/>
      </w:pPr>
      <w:r w:rsidRPr="00FA4573">
        <w:t>A reminder that in any persistent overfill after informal consultations will be resolved by the Study Group, using these guidelines and based on each candidate’s experience and ability to participate; and</w:t>
      </w:r>
    </w:p>
    <w:p w14:paraId="41A38BA3" w14:textId="77777777" w:rsidR="00A63D1D" w:rsidRPr="00FA4573" w:rsidRDefault="00A63D1D" w:rsidP="00A63D1D">
      <w:pPr>
        <w:pStyle w:val="ListParagraph"/>
        <w:numPr>
          <w:ilvl w:val="0"/>
          <w:numId w:val="21"/>
        </w:numPr>
        <w:tabs>
          <w:tab w:val="clear" w:pos="1134"/>
          <w:tab w:val="clear" w:pos="1871"/>
          <w:tab w:val="clear" w:pos="2268"/>
        </w:tabs>
        <w:overflowPunct/>
        <w:autoSpaceDE/>
        <w:autoSpaceDN/>
        <w:adjustRightInd/>
        <w:spacing w:before="0" w:after="160" w:line="259" w:lineRule="auto"/>
        <w:textAlignment w:val="auto"/>
      </w:pPr>
      <w:r w:rsidRPr="00FA4573">
        <w:t>A reminder that those not a part of a rapporteur team can and should remain active participants in all of the study Question’s activities.</w:t>
      </w:r>
    </w:p>
    <w:p w14:paraId="3A30BB57" w14:textId="77777777" w:rsidR="00A63D1D" w:rsidRPr="00FA4573" w:rsidRDefault="00A63D1D" w:rsidP="00A63D1D">
      <w:r w:rsidRPr="00FA4573">
        <w:t xml:space="preserve">Based on this notification, members may conduct informal consultations among themselves to aide the process of resolving any overfill. This might include withdrawing or revising one or more nominations with the objective to help facilitate the Study Groups’ composition of rapporteur teams </w:t>
      </w:r>
      <w:r w:rsidRPr="00FA4573">
        <w:rPr>
          <w:rFonts w:cstheme="minorHAnsi"/>
        </w:rPr>
        <w:t>—</w:t>
      </w:r>
      <w:r w:rsidRPr="00FA4573">
        <w:t xml:space="preserve"> but the option for any of these actions remains at the discretion of the member.</w:t>
      </w:r>
      <w:r w:rsidRPr="00FA4573">
        <w:rPr>
          <w:rStyle w:val="FootnoteReference"/>
        </w:rPr>
        <w:footnoteReference w:id="18"/>
      </w:r>
    </w:p>
    <w:p w14:paraId="7A8FCB40"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 xml:space="preserve">Among nominations for </w:t>
      </w:r>
      <w:r w:rsidRPr="00FA4573">
        <w:rPr>
          <w:i/>
          <w:iCs/>
        </w:rPr>
        <w:t>rapporteurship</w:t>
      </w:r>
      <w:r w:rsidRPr="00FA4573">
        <w:t>, efforts should focus on reducing the number of candidacies, identifying willing co-rapporteurs, and/or reaffirming each candidate’s institutional support (including time) to attend the Study Group meetings physically twice a year.</w:t>
      </w:r>
    </w:p>
    <w:p w14:paraId="79753D7F" w14:textId="77777777" w:rsidR="00A63D1D" w:rsidRPr="00FA4573" w:rsidRDefault="00A63D1D" w:rsidP="00A63D1D">
      <w:pPr>
        <w:pStyle w:val="ListParagraph"/>
        <w:numPr>
          <w:ilvl w:val="0"/>
          <w:numId w:val="15"/>
        </w:numPr>
        <w:tabs>
          <w:tab w:val="clear" w:pos="1134"/>
          <w:tab w:val="clear" w:pos="1871"/>
          <w:tab w:val="clear" w:pos="2268"/>
        </w:tabs>
        <w:overflowPunct/>
        <w:autoSpaceDE/>
        <w:autoSpaceDN/>
        <w:adjustRightInd/>
        <w:spacing w:before="0" w:after="160" w:line="259" w:lineRule="auto"/>
        <w:textAlignment w:val="auto"/>
      </w:pPr>
      <w:r w:rsidRPr="00FA4573">
        <w:t xml:space="preserve">Among nominations for </w:t>
      </w:r>
      <w:r w:rsidRPr="00FA4573">
        <w:rPr>
          <w:i/>
          <w:iCs/>
        </w:rPr>
        <w:t>vice rapporteurship</w:t>
      </w:r>
      <w:r w:rsidRPr="00FA4573">
        <w:t>, efforts should focus on reducing the number of candidacies to no more than two per region per study Question.</w:t>
      </w:r>
    </w:p>
    <w:p w14:paraId="21C53D08" w14:textId="77777777" w:rsidR="00A63D1D" w:rsidRPr="00FA4573" w:rsidRDefault="00A63D1D" w:rsidP="00A63D1D">
      <w:pPr>
        <w:pStyle w:val="Heading2"/>
        <w:ind w:left="0" w:firstLine="0"/>
        <w:rPr>
          <w:b w:val="0"/>
          <w:bCs/>
        </w:rPr>
      </w:pPr>
      <w:r w:rsidRPr="00FA4573">
        <w:rPr>
          <w:bCs/>
        </w:rPr>
        <w:t>Team Composition</w:t>
      </w:r>
    </w:p>
    <w:p w14:paraId="26C3142E" w14:textId="77777777" w:rsidR="00A63D1D" w:rsidRPr="00FA4573" w:rsidRDefault="00A63D1D" w:rsidP="00A63D1D">
      <w:r w:rsidRPr="00FA4573">
        <w:t>In the event that any overfill persists after the period of informal consultations, it remains the responsibility of each of the Study Groups to compose dedicated, stable rapporteur teams with competent participants who reflect the diversity of ITU-D’s membership for each study Question.</w:t>
      </w:r>
    </w:p>
    <w:p w14:paraId="24E9EC00" w14:textId="77777777" w:rsidR="00A63D1D" w:rsidRPr="00FA4573" w:rsidRDefault="00A63D1D" w:rsidP="00A63D1D">
      <w:r w:rsidRPr="00FA4573">
        <w:t>Several factors contribute to the composition of a rapporteur team. These include:</w:t>
      </w:r>
    </w:p>
    <w:p w14:paraId="3D0F73D2" w14:textId="77777777" w:rsidR="00A63D1D" w:rsidRPr="00FA4573" w:rsidRDefault="00A63D1D" w:rsidP="00A63D1D">
      <w:pPr>
        <w:pStyle w:val="ListParagraph"/>
        <w:numPr>
          <w:ilvl w:val="0"/>
          <w:numId w:val="23"/>
        </w:numPr>
        <w:tabs>
          <w:tab w:val="clear" w:pos="1134"/>
          <w:tab w:val="clear" w:pos="1871"/>
          <w:tab w:val="clear" w:pos="2268"/>
        </w:tabs>
        <w:overflowPunct/>
        <w:autoSpaceDE/>
        <w:autoSpaceDN/>
        <w:adjustRightInd/>
        <w:spacing w:before="0" w:after="160" w:line="259" w:lineRule="auto"/>
        <w:textAlignment w:val="auto"/>
      </w:pPr>
      <w:r w:rsidRPr="00FA4573">
        <w:t>Each candidate has the requisite experience and ability themself and institutional support (including time) from their member to participate actively;</w:t>
      </w:r>
    </w:p>
    <w:p w14:paraId="14DB257F" w14:textId="77777777" w:rsidR="00A63D1D" w:rsidRPr="00FA4573" w:rsidRDefault="00A63D1D" w:rsidP="00A63D1D">
      <w:pPr>
        <w:pStyle w:val="ListParagraph"/>
        <w:numPr>
          <w:ilvl w:val="1"/>
          <w:numId w:val="23"/>
        </w:numPr>
        <w:tabs>
          <w:tab w:val="clear" w:pos="1134"/>
          <w:tab w:val="clear" w:pos="1871"/>
          <w:tab w:val="clear" w:pos="2268"/>
        </w:tabs>
        <w:overflowPunct/>
        <w:autoSpaceDE/>
        <w:autoSpaceDN/>
        <w:adjustRightInd/>
        <w:spacing w:before="0" w:after="160" w:line="259" w:lineRule="auto"/>
        <w:textAlignment w:val="auto"/>
      </w:pPr>
      <w:r w:rsidRPr="00FA4573">
        <w:t>In the case of a rapporteur or co-rapporteur candidate, this includes being physically present for both meetings each year;</w:t>
      </w:r>
    </w:p>
    <w:p w14:paraId="363A2353" w14:textId="77777777" w:rsidR="00A63D1D" w:rsidRPr="00FA4573" w:rsidRDefault="00A63D1D" w:rsidP="00A63D1D">
      <w:pPr>
        <w:pStyle w:val="ListParagraph"/>
        <w:numPr>
          <w:ilvl w:val="0"/>
          <w:numId w:val="23"/>
        </w:numPr>
        <w:tabs>
          <w:tab w:val="clear" w:pos="1134"/>
          <w:tab w:val="clear" w:pos="1871"/>
          <w:tab w:val="clear" w:pos="2268"/>
        </w:tabs>
        <w:overflowPunct/>
        <w:autoSpaceDE/>
        <w:autoSpaceDN/>
        <w:adjustRightInd/>
        <w:spacing w:before="0" w:after="160" w:line="259" w:lineRule="auto"/>
        <w:textAlignment w:val="auto"/>
      </w:pPr>
      <w:r w:rsidRPr="00FA4573">
        <w:t>The team represents the diversity of the ITU-D’s membership through the individuals’ gender and ability and through members’ membership category and region; and</w:t>
      </w:r>
    </w:p>
    <w:p w14:paraId="6F69E4BE" w14:textId="77777777" w:rsidR="00A63D1D" w:rsidRPr="00FA4573" w:rsidRDefault="00A63D1D" w:rsidP="00A63D1D">
      <w:pPr>
        <w:pStyle w:val="ListParagraph"/>
        <w:numPr>
          <w:ilvl w:val="0"/>
          <w:numId w:val="23"/>
        </w:numPr>
        <w:tabs>
          <w:tab w:val="clear" w:pos="1134"/>
          <w:tab w:val="clear" w:pos="1871"/>
          <w:tab w:val="clear" w:pos="2268"/>
        </w:tabs>
        <w:overflowPunct/>
        <w:autoSpaceDE/>
        <w:autoSpaceDN/>
        <w:adjustRightInd/>
        <w:spacing w:before="0" w:after="160" w:line="259" w:lineRule="auto"/>
        <w:textAlignment w:val="auto"/>
      </w:pPr>
      <w:r w:rsidRPr="00FA4573">
        <w:lastRenderedPageBreak/>
        <w:t xml:space="preserve">The team is of an appropriate number that rapporteurs can effectively lead the work and vice rapporteurs have sufficient opportunity to contribute meaningfully and develop new skills in leadership (in alignment with PP Res 208 </w:t>
      </w:r>
      <w:r w:rsidRPr="00FA4573">
        <w:rPr>
          <w:i/>
          <w:iCs/>
        </w:rPr>
        <w:t>resolves</w:t>
      </w:r>
      <w:r w:rsidRPr="00FA4573">
        <w:t xml:space="preserve"> 2).</w:t>
      </w:r>
    </w:p>
    <w:p w14:paraId="4C7932B3" w14:textId="77777777" w:rsidR="00A63D1D" w:rsidRPr="00FA4573" w:rsidRDefault="00A63D1D" w:rsidP="00A63D1D">
      <w:r w:rsidRPr="00FA4573">
        <w:t>Unless provided by the ITU Convention or a PP or WTDC Resolution, no single factor should disqualify or exclusively characterise any nomination. One example is known:</w:t>
      </w:r>
    </w:p>
    <w:p w14:paraId="609AE999" w14:textId="77777777" w:rsidR="00A63D1D" w:rsidRPr="00FA4573" w:rsidRDefault="00A63D1D" w:rsidP="00A63D1D">
      <w:pPr>
        <w:pStyle w:val="ListParagraph"/>
        <w:numPr>
          <w:ilvl w:val="0"/>
          <w:numId w:val="26"/>
        </w:numPr>
        <w:tabs>
          <w:tab w:val="clear" w:pos="1134"/>
          <w:tab w:val="clear" w:pos="1871"/>
          <w:tab w:val="clear" w:pos="2268"/>
        </w:tabs>
        <w:overflowPunct/>
        <w:autoSpaceDE/>
        <w:autoSpaceDN/>
        <w:adjustRightInd/>
        <w:spacing w:before="0" w:after="160" w:line="259" w:lineRule="auto"/>
        <w:textAlignment w:val="auto"/>
      </w:pPr>
      <w:r w:rsidRPr="00FA4573">
        <w:t>WTDC Resolution 1, 3.3.1: An individual can only be a rapporteur or co-rapporteur to a single study Question.</w:t>
      </w:r>
    </w:p>
    <w:p w14:paraId="320073FD" w14:textId="77777777" w:rsidR="00A63D1D" w:rsidRPr="00FA4573" w:rsidRDefault="00A63D1D" w:rsidP="00A63D1D">
      <w:r w:rsidRPr="00FA4573">
        <w:t xml:space="preserve">However, a number of factors can contribute to the holistic evaluation of nominations. </w:t>
      </w:r>
      <w:r w:rsidRPr="00FA4573">
        <w:rPr>
          <w:i/>
          <w:iCs/>
        </w:rPr>
        <w:t>Ceteris paribus</w:t>
      </w:r>
      <w:r w:rsidRPr="00FA4573">
        <w:t>, a nomination should be preferred when:</w:t>
      </w:r>
      <w:r w:rsidRPr="00FA4573">
        <w:rPr>
          <w:rStyle w:val="FootnoteReference"/>
        </w:rPr>
        <w:footnoteReference w:id="19"/>
      </w:r>
    </w:p>
    <w:p w14:paraId="566E8FD8"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is a Chair or Vice Chair of the Study Group to the relevant study Question (per PP Resolution 208 </w:t>
      </w:r>
      <w:r w:rsidRPr="00FA4573">
        <w:rPr>
          <w:i/>
          <w:iCs/>
        </w:rPr>
        <w:t xml:space="preserve">resolves further </w:t>
      </w:r>
      <w:r w:rsidRPr="00FA4573">
        <w:t>1);</w:t>
      </w:r>
    </w:p>
    <w:p w14:paraId="6A9130A0"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is from a country that does not otherwise hold any other rapporteur, co-rapporteur, or vice rapporteur position within the Study Group (in alignment with PP Resolution 208 </w:t>
      </w:r>
      <w:r w:rsidRPr="00FA4573">
        <w:rPr>
          <w:i/>
          <w:iCs/>
        </w:rPr>
        <w:t xml:space="preserve">resolves further </w:t>
      </w:r>
      <w:r w:rsidRPr="00FA4573">
        <w:t>3);</w:t>
      </w:r>
    </w:p>
    <w:p w14:paraId="5F035E30"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demonstrated experience, within the ITU or elsewhere, concordant with their role’s responsibilities (see </w:t>
      </w:r>
      <w:r w:rsidRPr="00FA4573">
        <w:rPr>
          <w:i/>
          <w:iCs/>
        </w:rPr>
        <w:t>Rapporteur’s checklist</w:t>
      </w:r>
      <w:r w:rsidRPr="00FA4573">
        <w:t>, WTDC Resolution 1 Annex 5);</w:t>
      </w:r>
    </w:p>
    <w:p w14:paraId="1F413F24"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The candidate has demonstrated experience in the ways of working within the ITU at any level and within any part of the Union;</w:t>
      </w:r>
    </w:p>
    <w:p w14:paraId="25200A8B"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The candidate has participated in a previous study cycle;</w:t>
      </w:r>
    </w:p>
    <w:p w14:paraId="59412E64"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The candidate has actively participated in a rapporteur, co-rapporteur, or vice rapporteur position in the previous study cycle and is standing for renomination;</w:t>
      </w:r>
    </w:p>
    <w:p w14:paraId="349D9F80"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 xml:space="preserve">The candidate has been physically present in a previous meeting of the Study Group; </w:t>
      </w:r>
    </w:p>
    <w:p w14:paraId="1DFCBDEE"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Financial and time support for the candidate’s nomination has been reaffirmed by the member (where and as appropriate); or</w:t>
      </w:r>
    </w:p>
    <w:p w14:paraId="040F116E"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The candidate contributes to a greater diversity of the rapporteur team, with regard to individuals’ gender and ability and to members’ membership category and region.</w:t>
      </w:r>
    </w:p>
    <w:p w14:paraId="511C64C1" w14:textId="77777777" w:rsidR="00A63D1D" w:rsidRPr="00FA4573" w:rsidRDefault="00A63D1D" w:rsidP="00A63D1D">
      <w:r w:rsidRPr="00FA4573">
        <w:t xml:space="preserve">Inversely, </w:t>
      </w:r>
      <w:r w:rsidRPr="00FA4573">
        <w:rPr>
          <w:i/>
          <w:iCs/>
        </w:rPr>
        <w:t>ceteris paribus</w:t>
      </w:r>
      <w:r w:rsidRPr="00FA4573">
        <w:t>, a nomination should be deprioritised when:</w:t>
      </w:r>
      <w:r w:rsidRPr="00FA4573">
        <w:rPr>
          <w:rStyle w:val="FootnoteReference"/>
        </w:rPr>
        <w:footnoteReference w:id="20"/>
      </w:r>
    </w:p>
    <w:p w14:paraId="49521801"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 a vice rapporteur’s renomination</w:t>
      </w:r>
      <w:r w:rsidRPr="00FA4573">
        <w:t xml:space="preserve">, the candidate failed to participate (either physically or remotely) in at least half of all Study Group meetings during the previous study period (in alignment with PP Resolution 208 Annex 3 </w:t>
      </w:r>
      <w:r w:rsidRPr="00FA4573">
        <w:rPr>
          <w:i/>
          <w:iCs/>
        </w:rPr>
        <w:t xml:space="preserve">recital </w:t>
      </w:r>
      <w:r w:rsidRPr="00FA4573">
        <w:t>6);</w:t>
      </w:r>
    </w:p>
    <w:p w14:paraId="6D6FBAAC"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The candidate was a rapporteur or co-rapporteur in the previous study cycle and did not physically attend more than one meeting of the study Question;</w:t>
      </w:r>
    </w:p>
    <w:p w14:paraId="7259504B"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The candidate was a rapporteur, co-rapporteur, or vice rapporteur in the previous study cycle and did not submit any written contribution to the study Question over the duration of the study cycle;</w:t>
      </w:r>
      <w:r w:rsidRPr="00FA4573">
        <w:rPr>
          <w:rStyle w:val="FootnoteReference"/>
        </w:rPr>
        <w:footnoteReference w:id="21"/>
      </w:r>
      <w:r w:rsidRPr="00FA4573">
        <w:t xml:space="preserve"> or</w:t>
      </w:r>
    </w:p>
    <w:p w14:paraId="676A382B" w14:textId="77777777" w:rsidR="00A63D1D" w:rsidRPr="00FA4573" w:rsidRDefault="00A63D1D" w:rsidP="00A63D1D">
      <w:pPr>
        <w:pStyle w:val="ListParagraph"/>
        <w:numPr>
          <w:ilvl w:val="0"/>
          <w:numId w:val="24"/>
        </w:numPr>
        <w:tabs>
          <w:tab w:val="clear" w:pos="1134"/>
          <w:tab w:val="clear" w:pos="1871"/>
          <w:tab w:val="clear" w:pos="2268"/>
        </w:tabs>
        <w:overflowPunct/>
        <w:autoSpaceDE/>
        <w:autoSpaceDN/>
        <w:adjustRightInd/>
        <w:spacing w:before="0" w:after="160" w:line="259" w:lineRule="auto"/>
        <w:textAlignment w:val="auto"/>
      </w:pPr>
      <w:r w:rsidRPr="00FA4573">
        <w:t>Financial and time support for the candidate’s nomination has not been reaffirmed by the member (where and as appropriate).</w:t>
      </w:r>
    </w:p>
    <w:p w14:paraId="70F9AB40" w14:textId="77777777" w:rsidR="00A63D1D" w:rsidRPr="00FA4573" w:rsidRDefault="00A63D1D" w:rsidP="00A63D1D">
      <w:r w:rsidRPr="00FA4573">
        <w:lastRenderedPageBreak/>
        <w:t xml:space="preserve">This deprioritisation might include the deferral of a rapporteur or co-rapporteur candidate to a vice rapporteurship, given the critical nature of a (co-)rapporteur’s physical presence to adequately chair the study Question (in line with the </w:t>
      </w:r>
      <w:r w:rsidRPr="00FA4573">
        <w:rPr>
          <w:i/>
          <w:iCs/>
        </w:rPr>
        <w:t>Rapporteur’s checklist</w:t>
      </w:r>
      <w:r w:rsidRPr="00FA4573">
        <w:t>, WTDC Res 1 Annex 5).</w:t>
      </w:r>
    </w:p>
    <w:p w14:paraId="352BAA17" w14:textId="77777777" w:rsidR="00A63D1D" w:rsidRPr="00FA4573" w:rsidRDefault="00A63D1D" w:rsidP="00A63D1D">
      <w:r w:rsidRPr="00FA4573">
        <w:t>To aide this process of evaluation, the BDT should prepare a report, circulated in an unabridged version only to the Study Group Chairs and Vice Chairs and to members as relates only to their own candidates, that includes, for each candidate:</w:t>
      </w:r>
    </w:p>
    <w:p w14:paraId="6729074D" w14:textId="77777777" w:rsidR="00A63D1D" w:rsidRPr="00FA4573" w:rsidRDefault="00A63D1D" w:rsidP="00A63D1D">
      <w:pPr>
        <w:pStyle w:val="ListParagraph"/>
        <w:numPr>
          <w:ilvl w:val="0"/>
          <w:numId w:val="22"/>
        </w:numPr>
        <w:tabs>
          <w:tab w:val="clear" w:pos="1134"/>
          <w:tab w:val="clear" w:pos="1871"/>
          <w:tab w:val="clear" w:pos="2268"/>
        </w:tabs>
        <w:overflowPunct/>
        <w:autoSpaceDE/>
        <w:autoSpaceDN/>
        <w:adjustRightInd/>
        <w:spacing w:before="0" w:after="160" w:line="259" w:lineRule="auto"/>
        <w:textAlignment w:val="auto"/>
      </w:pPr>
      <w:r w:rsidRPr="00FA4573">
        <w:t>An indication if the member’s support for the candidate has been reaffirmed (where and as appropriate);</w:t>
      </w:r>
    </w:p>
    <w:p w14:paraId="2C09F1BC" w14:textId="77777777" w:rsidR="00A63D1D" w:rsidRPr="00FA4573" w:rsidRDefault="00A63D1D" w:rsidP="00A63D1D">
      <w:pPr>
        <w:pStyle w:val="ListParagraph"/>
        <w:numPr>
          <w:ilvl w:val="0"/>
          <w:numId w:val="22"/>
        </w:numPr>
        <w:tabs>
          <w:tab w:val="clear" w:pos="1134"/>
          <w:tab w:val="clear" w:pos="1871"/>
          <w:tab w:val="clear" w:pos="2268"/>
        </w:tabs>
        <w:overflowPunct/>
        <w:autoSpaceDE/>
        <w:autoSpaceDN/>
        <w:adjustRightInd/>
        <w:spacing w:before="0" w:after="160" w:line="259" w:lineRule="auto"/>
        <w:textAlignment w:val="auto"/>
      </w:pPr>
      <w:r w:rsidRPr="00FA4573">
        <w:t>The number of study group meetings that the candidate attended in the last cycle, if any; and</w:t>
      </w:r>
    </w:p>
    <w:p w14:paraId="148B8E32" w14:textId="77777777" w:rsidR="00A63D1D" w:rsidRPr="00FA4573" w:rsidRDefault="00A63D1D" w:rsidP="00A63D1D">
      <w:pPr>
        <w:pStyle w:val="ListParagraph"/>
        <w:numPr>
          <w:ilvl w:val="0"/>
          <w:numId w:val="22"/>
        </w:numPr>
        <w:tabs>
          <w:tab w:val="clear" w:pos="1134"/>
          <w:tab w:val="clear" w:pos="1871"/>
          <w:tab w:val="clear" w:pos="2268"/>
        </w:tabs>
        <w:overflowPunct/>
        <w:autoSpaceDE/>
        <w:autoSpaceDN/>
        <w:adjustRightInd/>
        <w:spacing w:before="0" w:after="160" w:line="259" w:lineRule="auto"/>
        <w:textAlignment w:val="auto"/>
      </w:pPr>
      <w:r w:rsidRPr="00FA4573">
        <w:rPr>
          <w:i/>
          <w:iCs/>
        </w:rPr>
        <w:t>In the context of rapporteurships only,</w:t>
      </w:r>
      <w:r w:rsidRPr="00FA4573">
        <w:t xml:space="preserve"> the number of study group meetings that the candidate was recorded as physically present, if any.</w:t>
      </w:r>
    </w:p>
    <w:p w14:paraId="48DABFEC" w14:textId="77777777" w:rsidR="00A63D1D" w:rsidRPr="00FA4573" w:rsidRDefault="00A63D1D" w:rsidP="00A63D1D">
      <w:r w:rsidRPr="00FA4573">
        <w:t>Based on this information and with these guidelines, the Study Group Chairs should assemble a draft proposal for each rapporteur team within each Study Group and submit this as a written contribution to the first Study Group meeting. In that effort, they should:</w:t>
      </w:r>
    </w:p>
    <w:p w14:paraId="0B019D93" w14:textId="77777777" w:rsidR="00A63D1D" w:rsidRPr="00FA4573" w:rsidRDefault="00A63D1D" w:rsidP="00A63D1D">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 xml:space="preserve">Give particular consideration to the requirements of </w:t>
      </w:r>
      <w:r w:rsidRPr="00FA4573">
        <w:rPr>
          <w:b/>
          <w:bCs/>
        </w:rPr>
        <w:t>competence</w:t>
      </w:r>
      <w:r w:rsidRPr="00FA4573">
        <w:t xml:space="preserve"> and </w:t>
      </w:r>
      <w:r w:rsidRPr="00FA4573">
        <w:rPr>
          <w:b/>
          <w:bCs/>
        </w:rPr>
        <w:t>equitable geographical distribution</w:t>
      </w:r>
      <w:r w:rsidRPr="00FA4573">
        <w:t xml:space="preserve"> as possible and to the need to promote more efficient participation by developing countries (per No. 242 of the ITU Convention, emphasis added);</w:t>
      </w:r>
    </w:p>
    <w:p w14:paraId="5806C5E6" w14:textId="77777777" w:rsidR="00A63D1D" w:rsidRPr="00FA4573" w:rsidRDefault="00A63D1D" w:rsidP="00A63D1D">
      <w:pPr>
        <w:pStyle w:val="ListParagraph"/>
        <w:numPr>
          <w:ilvl w:val="1"/>
          <w:numId w:val="25"/>
        </w:numPr>
        <w:tabs>
          <w:tab w:val="clear" w:pos="1134"/>
          <w:tab w:val="clear" w:pos="1871"/>
          <w:tab w:val="clear" w:pos="2268"/>
        </w:tabs>
        <w:overflowPunct/>
        <w:autoSpaceDE/>
        <w:autoSpaceDN/>
        <w:adjustRightInd/>
        <w:spacing w:before="0" w:after="160" w:line="259" w:lineRule="auto"/>
        <w:textAlignment w:val="auto"/>
      </w:pPr>
      <w:r w:rsidRPr="00FA4573">
        <w:t>This competence of any candidate should be evaluated based on the information provided by the BDT and supporting information provided by the nominating member;</w:t>
      </w:r>
    </w:p>
    <w:p w14:paraId="16E2FCEC" w14:textId="77777777" w:rsidR="00A63D1D" w:rsidRPr="00FA4573" w:rsidRDefault="00A63D1D" w:rsidP="00A63D1D">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 xml:space="preserve">Appoint </w:t>
      </w:r>
      <w:r w:rsidRPr="00FA4573">
        <w:rPr>
          <w:b/>
          <w:bCs/>
        </w:rPr>
        <w:t>only the number</w:t>
      </w:r>
      <w:r w:rsidRPr="00FA4573">
        <w:t xml:space="preserve"> </w:t>
      </w:r>
      <w:r w:rsidRPr="00FA4573">
        <w:rPr>
          <w:b/>
          <w:bCs/>
        </w:rPr>
        <w:t>of vice-rapporteurs deemed necessary</w:t>
      </w:r>
      <w:r w:rsidRPr="00FA4573">
        <w:t xml:space="preserve"> for the efficient and effective management and functioning of the Question (in alignment with PP Res 208 </w:t>
      </w:r>
      <w:r w:rsidRPr="00FA4573">
        <w:rPr>
          <w:i/>
          <w:iCs/>
        </w:rPr>
        <w:t xml:space="preserve">resolves </w:t>
      </w:r>
      <w:r w:rsidRPr="00FA4573">
        <w:t>2, emphasis added);</w:t>
      </w:r>
    </w:p>
    <w:p w14:paraId="1D0DA096" w14:textId="77777777" w:rsidR="00A63D1D" w:rsidRPr="00FA4573" w:rsidRDefault="00A63D1D" w:rsidP="00A63D1D">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 xml:space="preserve">Ensure appropriate representation from </w:t>
      </w:r>
      <w:r w:rsidRPr="00FA4573">
        <w:rPr>
          <w:b/>
          <w:bCs/>
        </w:rPr>
        <w:t>developing countries</w:t>
      </w:r>
      <w:r w:rsidRPr="00FA4573">
        <w:t xml:space="preserve">, including the least developed countries, small island developing states, landlocked developing countries and countries with economies in transition (in alignment with PP Resolution 208 Annex 2 </w:t>
      </w:r>
      <w:r w:rsidRPr="00FA4573">
        <w:rPr>
          <w:i/>
          <w:iCs/>
        </w:rPr>
        <w:t>recital</w:t>
      </w:r>
      <w:r w:rsidRPr="00FA4573">
        <w:t xml:space="preserve"> 1, emphasis added); and</w:t>
      </w:r>
    </w:p>
    <w:p w14:paraId="2ED64C79" w14:textId="77777777" w:rsidR="00A63D1D" w:rsidRPr="00FA4573" w:rsidRDefault="00A63D1D" w:rsidP="00A63D1D">
      <w:pPr>
        <w:pStyle w:val="ListParagraph"/>
        <w:numPr>
          <w:ilvl w:val="0"/>
          <w:numId w:val="25"/>
        </w:numPr>
        <w:tabs>
          <w:tab w:val="clear" w:pos="1134"/>
          <w:tab w:val="clear" w:pos="1871"/>
          <w:tab w:val="clear" w:pos="2268"/>
        </w:tabs>
        <w:overflowPunct/>
        <w:autoSpaceDE/>
        <w:autoSpaceDN/>
        <w:adjustRightInd/>
        <w:spacing w:before="0" w:after="160" w:line="259" w:lineRule="auto"/>
        <w:textAlignment w:val="auto"/>
      </w:pPr>
      <w:r w:rsidRPr="00FA4573">
        <w:t xml:space="preserve">Utilise the human resources of as </w:t>
      </w:r>
      <w:r w:rsidRPr="00FA4573">
        <w:rPr>
          <w:b/>
          <w:bCs/>
        </w:rPr>
        <w:t>broad a range of Member States and Sector Members</w:t>
      </w:r>
      <w:r w:rsidRPr="00FA4573">
        <w:t xml:space="preserve"> as possible within the rapporteur team (per PP Resolution 208 Annex 3 </w:t>
      </w:r>
      <w:r w:rsidRPr="00FA4573">
        <w:rPr>
          <w:i/>
          <w:iCs/>
        </w:rPr>
        <w:t xml:space="preserve">recital </w:t>
      </w:r>
      <w:r w:rsidRPr="00FA4573">
        <w:t>2, emphasis added).</w:t>
      </w:r>
    </w:p>
    <w:p w14:paraId="6E407759" w14:textId="77777777" w:rsidR="00A63D1D" w:rsidRPr="00FA4573" w:rsidRDefault="00A63D1D" w:rsidP="00A63D1D">
      <w:r w:rsidRPr="00FA4573">
        <w:t>Before submission of the draft proposal to the Study Group, it should be shared for consultation with the proposed rapporteurs (and/or co-rapporteurs, if appropriate), as relates only to the study Question for which they are provisionally to lead. The Study Group Chair may revise their draft proposal based on this consultation before submission.</w:t>
      </w:r>
    </w:p>
    <w:p w14:paraId="3A2F96C8" w14:textId="77777777" w:rsidR="00A63D1D" w:rsidRPr="00FA4573" w:rsidRDefault="00A63D1D" w:rsidP="00A63D1D">
      <w:pPr>
        <w:rPr>
          <w:rFonts w:eastAsia="Malgun Gothic"/>
          <w:lang w:eastAsia="ko-KR"/>
        </w:rPr>
      </w:pPr>
      <w:r w:rsidRPr="00FA4573">
        <w:t>Ultimately, this draft proposal will then need to be adopted by the Study Group at its first meeting, with or without amendments, in accordance with WTDC Res 1 3.3.5. This remains the formal process of appointment for all rapporteurs, co-rapporteurs, and vice rapporteurs.</w:t>
      </w:r>
    </w:p>
    <w:p w14:paraId="4EB83D77" w14:textId="77777777" w:rsidR="00A63D1D" w:rsidRPr="00FA4573" w:rsidRDefault="00A63D1D" w:rsidP="00A63D1D">
      <w:pPr>
        <w:tabs>
          <w:tab w:val="clear" w:pos="1134"/>
          <w:tab w:val="clear" w:pos="1871"/>
          <w:tab w:val="clear" w:pos="2268"/>
        </w:tabs>
        <w:overflowPunct/>
        <w:autoSpaceDE/>
        <w:autoSpaceDN/>
        <w:adjustRightInd/>
        <w:spacing w:before="0"/>
        <w:textAlignment w:val="auto"/>
        <w:rPr>
          <w:rFonts w:eastAsia="Malgun Gothic"/>
          <w:lang w:eastAsia="ko-KR"/>
        </w:rPr>
      </w:pPr>
    </w:p>
    <w:p w14:paraId="0D1ACAA9" w14:textId="77777777" w:rsidR="00A63D1D" w:rsidRPr="00FA4573" w:rsidRDefault="00A63D1D" w:rsidP="00A63D1D">
      <w:pPr>
        <w:tabs>
          <w:tab w:val="clear" w:pos="1134"/>
          <w:tab w:val="clear" w:pos="1871"/>
          <w:tab w:val="clear" w:pos="2268"/>
        </w:tabs>
        <w:overflowPunct/>
        <w:autoSpaceDE/>
        <w:autoSpaceDN/>
        <w:adjustRightInd/>
        <w:spacing w:before="0"/>
        <w:textAlignment w:val="auto"/>
        <w:rPr>
          <w:rFonts w:eastAsia="Malgun Gothic"/>
          <w:lang w:eastAsia="ko-KR"/>
        </w:rPr>
        <w:sectPr w:rsidR="00A63D1D" w:rsidRPr="00FA4573" w:rsidSect="00A63D1D">
          <w:headerReference w:type="default" r:id="rId145"/>
          <w:pgSz w:w="11907" w:h="16840" w:code="9"/>
          <w:pgMar w:top="1418" w:right="1134" w:bottom="900" w:left="1134" w:header="720" w:footer="720" w:gutter="0"/>
          <w:cols w:space="720"/>
          <w:docGrid w:linePitch="326"/>
        </w:sectPr>
      </w:pPr>
    </w:p>
    <w:p w14:paraId="57DD735C" w14:textId="77777777" w:rsidR="00A63D1D" w:rsidRPr="00FA4573" w:rsidRDefault="00A63D1D" w:rsidP="00A63D1D">
      <w:pPr>
        <w:overflowPunct/>
        <w:autoSpaceDE/>
        <w:autoSpaceDN/>
        <w:adjustRightInd/>
        <w:spacing w:after="120"/>
        <w:textAlignment w:val="auto"/>
        <w:rPr>
          <w:rFonts w:eastAsia="Malgun Gothic"/>
          <w:b/>
          <w:bCs/>
          <w:lang w:eastAsia="ko-KR"/>
        </w:rPr>
      </w:pPr>
      <w:r w:rsidRPr="00FA4573">
        <w:rPr>
          <w:b/>
          <w:bCs/>
        </w:rPr>
        <w:lastRenderedPageBreak/>
        <w:t xml:space="preserve">Annex </w:t>
      </w:r>
      <w:r w:rsidRPr="00FA4573">
        <w:rPr>
          <w:rFonts w:eastAsia="Malgun Gothic" w:hint="eastAsia"/>
          <w:b/>
          <w:bCs/>
          <w:lang w:eastAsia="ko-KR"/>
        </w:rPr>
        <w:t>5</w:t>
      </w:r>
      <w:r w:rsidRPr="00FA4573">
        <w:rPr>
          <w:b/>
          <w:bCs/>
        </w:rPr>
        <w:t xml:space="preserve">: Draft guidelines </w:t>
      </w:r>
      <w:r w:rsidRPr="00FA4573">
        <w:rPr>
          <w:rFonts w:eastAsia="Malgun Gothic" w:hint="eastAsia"/>
          <w:b/>
          <w:bCs/>
          <w:lang w:eastAsia="ko-KR"/>
        </w:rPr>
        <w:t>on b</w:t>
      </w:r>
      <w:r w:rsidRPr="00FA4573">
        <w:rPr>
          <w:b/>
          <w:bCs/>
        </w:rPr>
        <w:t>etter use of ITU-D Study Group products</w:t>
      </w:r>
    </w:p>
    <w:p w14:paraId="659F7293" w14:textId="77777777" w:rsidR="00A63D1D" w:rsidRPr="00474F78" w:rsidRDefault="00A63D1D" w:rsidP="00A63D1D">
      <w:pPr>
        <w:overflowPunct/>
        <w:autoSpaceDE/>
        <w:autoSpaceDN/>
        <w:adjustRightInd/>
        <w:spacing w:after="120"/>
        <w:textAlignment w:val="auto"/>
        <w:rPr>
          <w:rFonts w:eastAsia="Malgun Gothic"/>
          <w:lang w:eastAsia="ko-KR"/>
        </w:rPr>
      </w:pPr>
      <w:r w:rsidRPr="00FA4573">
        <w:rPr>
          <w:rFonts w:eastAsia="Malgun Gothic" w:hint="eastAsia"/>
          <w:lang w:eastAsia="ko-KR"/>
        </w:rPr>
        <w:t xml:space="preserve">Note: These guidelines were developed by </w:t>
      </w:r>
      <w:r w:rsidRPr="00FA4573">
        <w:rPr>
          <w:szCs w:val="18"/>
        </w:rPr>
        <w:t>Ms Nicola Bennett (Australia) and Mr Hideo Imanaka (Japan)</w:t>
      </w:r>
      <w:r w:rsidRPr="00FA4573">
        <w:rPr>
          <w:rFonts w:eastAsia="Malgun Gothic" w:hint="eastAsia"/>
          <w:szCs w:val="18"/>
          <w:lang w:eastAsia="ko-KR"/>
        </w:rPr>
        <w:t>.</w:t>
      </w:r>
    </w:p>
    <w:p w14:paraId="30FB6FA8" w14:textId="77777777" w:rsidR="00A63D1D" w:rsidRPr="00FA4573" w:rsidRDefault="00A63D1D" w:rsidP="00A63D1D">
      <w:pPr>
        <w:spacing w:before="160"/>
      </w:pPr>
      <w:r w:rsidRPr="00FA4573">
        <w:rPr>
          <w:b/>
          <w:bCs/>
          <w:u w:val="single"/>
        </w:rPr>
        <w:t>Purpose of document</w:t>
      </w:r>
      <w:r w:rsidRPr="00FA4573">
        <w:t xml:space="preserve">: </w:t>
      </w:r>
    </w:p>
    <w:p w14:paraId="38F75C58" w14:textId="77777777" w:rsidR="00A63D1D" w:rsidRPr="00FA4573" w:rsidRDefault="00A63D1D" w:rsidP="00A63D1D">
      <w:pPr>
        <w:spacing w:before="160"/>
      </w:pPr>
      <w:r w:rsidRPr="00FA4573">
        <w:t>To identify challenges impacting the effective</w:t>
      </w:r>
      <w:r w:rsidRPr="00FA4573">
        <w:rPr>
          <w:rFonts w:hint="eastAsia"/>
        </w:rPr>
        <w:t xml:space="preserve"> use</w:t>
      </w:r>
      <w:r w:rsidRPr="00FA4573">
        <w:t xml:space="preserve"> of ITU-D Study Group products, and propose potential solutions to address these pressure points. </w:t>
      </w:r>
    </w:p>
    <w:p w14:paraId="049E6D6B" w14:textId="77777777" w:rsidR="00A63D1D" w:rsidRPr="00FA4573" w:rsidRDefault="00A63D1D" w:rsidP="00A63D1D">
      <w:pPr>
        <w:spacing w:before="160"/>
      </w:pPr>
      <w:r w:rsidRPr="00FA4573">
        <w:rPr>
          <w:rFonts w:hint="eastAsia"/>
          <w:b/>
          <w:bCs/>
          <w:u w:val="single"/>
        </w:rPr>
        <w:t>Target ITU-D SG products</w:t>
      </w:r>
      <w:r w:rsidRPr="00FA4573">
        <w:t xml:space="preserve">: </w:t>
      </w:r>
    </w:p>
    <w:p w14:paraId="4CD8665B" w14:textId="77777777" w:rsidR="00A63D1D" w:rsidRPr="00FA4573" w:rsidRDefault="00A63D1D" w:rsidP="00A63D1D">
      <w:pPr>
        <w:spacing w:before="160"/>
      </w:pPr>
      <w:r w:rsidRPr="00FA4573">
        <w:t>ITU-D Study Group products include:</w:t>
      </w:r>
    </w:p>
    <w:p w14:paraId="24DB8BA6" w14:textId="77777777" w:rsidR="00A63D1D" w:rsidRPr="00FA4573" w:rsidRDefault="00A63D1D" w:rsidP="00A63D1D">
      <w:pPr>
        <w:pStyle w:val="ListParagraph"/>
        <w:numPr>
          <w:ilvl w:val="0"/>
          <w:numId w:val="28"/>
        </w:numPr>
        <w:tabs>
          <w:tab w:val="clear" w:pos="1134"/>
          <w:tab w:val="clear" w:pos="1871"/>
          <w:tab w:val="clear" w:pos="2268"/>
        </w:tabs>
        <w:overflowPunct/>
        <w:autoSpaceDE/>
        <w:autoSpaceDN/>
        <w:adjustRightInd/>
        <w:spacing w:before="160" w:after="160" w:line="259" w:lineRule="auto"/>
        <w:textAlignment w:val="auto"/>
      </w:pPr>
      <w:r w:rsidRPr="00FA4573">
        <w:t xml:space="preserve">Final Reports from each Study Group </w:t>
      </w:r>
      <w:r w:rsidRPr="00FA4573">
        <w:rPr>
          <w:rFonts w:hint="eastAsia"/>
        </w:rPr>
        <w:t xml:space="preserve">Question </w:t>
      </w:r>
      <w:r w:rsidRPr="00FA4573">
        <w:t>(quadrennial)</w:t>
      </w:r>
    </w:p>
    <w:p w14:paraId="158929F0" w14:textId="77777777" w:rsidR="00A63D1D" w:rsidRPr="00FA4573" w:rsidRDefault="00A63D1D" w:rsidP="00A63D1D">
      <w:pPr>
        <w:pStyle w:val="ListParagraph"/>
        <w:numPr>
          <w:ilvl w:val="0"/>
          <w:numId w:val="28"/>
        </w:numPr>
        <w:tabs>
          <w:tab w:val="clear" w:pos="1134"/>
          <w:tab w:val="clear" w:pos="1871"/>
          <w:tab w:val="clear" w:pos="2268"/>
        </w:tabs>
        <w:overflowPunct/>
        <w:autoSpaceDE/>
        <w:autoSpaceDN/>
        <w:adjustRightInd/>
        <w:spacing w:before="160" w:after="160" w:line="259" w:lineRule="auto"/>
        <w:textAlignment w:val="auto"/>
      </w:pPr>
      <w:r w:rsidRPr="00FA4573">
        <w:rPr>
          <w:rFonts w:hint="eastAsia"/>
        </w:rPr>
        <w:t>Interim reports from each Study Group Question (annually)</w:t>
      </w:r>
    </w:p>
    <w:p w14:paraId="4A1A8C5E" w14:textId="77777777" w:rsidR="00A63D1D" w:rsidRPr="00FA4573" w:rsidRDefault="00A63D1D" w:rsidP="00A63D1D">
      <w:pPr>
        <w:pStyle w:val="ListParagraph"/>
        <w:numPr>
          <w:ilvl w:val="0"/>
          <w:numId w:val="28"/>
        </w:numPr>
        <w:tabs>
          <w:tab w:val="clear" w:pos="1134"/>
          <w:tab w:val="clear" w:pos="1871"/>
          <w:tab w:val="clear" w:pos="2268"/>
        </w:tabs>
        <w:overflowPunct/>
        <w:autoSpaceDE/>
        <w:autoSpaceDN/>
        <w:adjustRightInd/>
        <w:spacing w:before="160" w:after="160" w:line="259" w:lineRule="auto"/>
        <w:textAlignment w:val="auto"/>
      </w:pPr>
      <w:r w:rsidRPr="00FA4573">
        <w:rPr>
          <w:rFonts w:hint="eastAsia"/>
        </w:rPr>
        <w:t>Workshop reports of each Study Group Question</w:t>
      </w:r>
    </w:p>
    <w:p w14:paraId="7787C41E" w14:textId="77777777" w:rsidR="00A63D1D" w:rsidRPr="00FA4573" w:rsidRDefault="00A63D1D" w:rsidP="00A63D1D">
      <w:pPr>
        <w:pStyle w:val="ListParagraph"/>
        <w:numPr>
          <w:ilvl w:val="0"/>
          <w:numId w:val="28"/>
        </w:numPr>
        <w:tabs>
          <w:tab w:val="clear" w:pos="1134"/>
          <w:tab w:val="clear" w:pos="1871"/>
          <w:tab w:val="clear" w:pos="2268"/>
        </w:tabs>
        <w:overflowPunct/>
        <w:autoSpaceDE/>
        <w:autoSpaceDN/>
        <w:adjustRightInd/>
        <w:spacing w:before="160" w:after="160" w:line="259" w:lineRule="auto"/>
        <w:textAlignment w:val="auto"/>
      </w:pPr>
      <w:r w:rsidRPr="00FA4573">
        <w:t xml:space="preserve">Best practice documents, guidelines, seminars, etc. </w:t>
      </w:r>
    </w:p>
    <w:tbl>
      <w:tblPr>
        <w:tblStyle w:val="GridTable1Light"/>
        <w:tblW w:w="5000" w:type="pct"/>
        <w:tblLook w:val="04A0" w:firstRow="1" w:lastRow="0" w:firstColumn="1" w:lastColumn="0" w:noHBand="0" w:noVBand="1"/>
      </w:tblPr>
      <w:tblGrid>
        <w:gridCol w:w="2061"/>
        <w:gridCol w:w="5160"/>
        <w:gridCol w:w="7291"/>
      </w:tblGrid>
      <w:tr w:rsidR="00A63D1D" w:rsidRPr="00FA4573" w14:paraId="45B2B765" w14:textId="77777777" w:rsidTr="00A23C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0" w:type="pct"/>
            <w:shd w:val="clear" w:color="auto" w:fill="EEECE1" w:themeFill="background2"/>
          </w:tcPr>
          <w:p w14:paraId="2E7BA82A" w14:textId="77777777" w:rsidR="00A63D1D" w:rsidRPr="00FA4573" w:rsidRDefault="00A63D1D" w:rsidP="00A23C7D">
            <w:pPr>
              <w:spacing w:before="160"/>
              <w:rPr>
                <w:sz w:val="22"/>
              </w:rPr>
            </w:pPr>
          </w:p>
        </w:tc>
        <w:tc>
          <w:tcPr>
            <w:tcW w:w="1778" w:type="pct"/>
            <w:shd w:val="clear" w:color="auto" w:fill="EEECE1" w:themeFill="background2"/>
          </w:tcPr>
          <w:p w14:paraId="58EF1113" w14:textId="77777777" w:rsidR="00A63D1D" w:rsidRPr="00FA4573" w:rsidRDefault="00A63D1D" w:rsidP="00A23C7D">
            <w:pPr>
              <w:spacing w:before="160"/>
              <w:cnfStyle w:val="100000000000" w:firstRow="1" w:lastRow="0" w:firstColumn="0" w:lastColumn="0" w:oddVBand="0" w:evenVBand="0" w:oddHBand="0" w:evenHBand="0" w:firstRowFirstColumn="0" w:firstRowLastColumn="0" w:lastRowFirstColumn="0" w:lastRowLastColumn="0"/>
              <w:rPr>
                <w:sz w:val="22"/>
              </w:rPr>
            </w:pPr>
            <w:r w:rsidRPr="00FA4573">
              <w:rPr>
                <w:sz w:val="22"/>
              </w:rPr>
              <w:t>Challenge</w:t>
            </w:r>
          </w:p>
        </w:tc>
        <w:tc>
          <w:tcPr>
            <w:tcW w:w="2512" w:type="pct"/>
            <w:shd w:val="clear" w:color="auto" w:fill="EEECE1" w:themeFill="background2"/>
          </w:tcPr>
          <w:p w14:paraId="666EDA1F" w14:textId="77777777" w:rsidR="00A63D1D" w:rsidRPr="00FA4573" w:rsidRDefault="00A63D1D" w:rsidP="00A23C7D">
            <w:pPr>
              <w:spacing w:before="160"/>
              <w:cnfStyle w:val="100000000000" w:firstRow="1" w:lastRow="0" w:firstColumn="0" w:lastColumn="0" w:oddVBand="0" w:evenVBand="0" w:oddHBand="0" w:evenHBand="0" w:firstRowFirstColumn="0" w:firstRowLastColumn="0" w:lastRowFirstColumn="0" w:lastRowLastColumn="0"/>
              <w:rPr>
                <w:sz w:val="22"/>
              </w:rPr>
            </w:pPr>
            <w:r w:rsidRPr="00FA4573">
              <w:rPr>
                <w:sz w:val="22"/>
              </w:rPr>
              <w:t>Proposed solutions</w:t>
            </w:r>
          </w:p>
        </w:tc>
      </w:tr>
      <w:tr w:rsidR="00A63D1D" w:rsidRPr="00FA4573" w14:paraId="4713455E" w14:textId="77777777" w:rsidTr="00A23C7D">
        <w:trPr>
          <w:trHeight w:val="679"/>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74327940" w14:textId="77777777" w:rsidR="00A63D1D" w:rsidRPr="00FA4573" w:rsidRDefault="00A63D1D" w:rsidP="00A23C7D">
            <w:pPr>
              <w:spacing w:before="160"/>
              <w:rPr>
                <w:sz w:val="22"/>
              </w:rPr>
            </w:pPr>
            <w:r w:rsidRPr="00FA4573">
              <w:rPr>
                <w:rFonts w:hint="eastAsia"/>
                <w:sz w:val="22"/>
              </w:rPr>
              <w:t>How to find ITU-D SG products</w:t>
            </w:r>
          </w:p>
        </w:tc>
        <w:tc>
          <w:tcPr>
            <w:tcW w:w="1778" w:type="pct"/>
          </w:tcPr>
          <w:p w14:paraId="4F628B1A"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Easy access to the products by </w:t>
            </w:r>
            <w:r w:rsidRPr="00FA4573">
              <w:rPr>
                <w:sz w:val="22"/>
              </w:rPr>
              <w:t>ITU website navigation</w:t>
            </w:r>
          </w:p>
          <w:p w14:paraId="127F5238"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w:t>
            </w:r>
            <w:r w:rsidRPr="00FA4573">
              <w:rPr>
                <w:rFonts w:hint="eastAsia"/>
                <w:sz w:val="22"/>
              </w:rPr>
              <w:t xml:space="preserve">current </w:t>
            </w:r>
            <w:r w:rsidRPr="00FA4573">
              <w:rPr>
                <w:sz w:val="22"/>
              </w:rPr>
              <w:t xml:space="preserve">ITU webpage makes it difficult to find information, as the reports/interim deliverables are spread out across multiple webpages. </w:t>
            </w:r>
          </w:p>
          <w:p w14:paraId="3981E5CB"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Example of duplicate landing pages for reports:</w:t>
            </w:r>
          </w:p>
          <w:p w14:paraId="4759601B"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hyperlink r:id="rId146" w:history="1">
              <w:r w:rsidRPr="00FA4573">
                <w:rPr>
                  <w:rStyle w:val="Hyperlink"/>
                  <w:sz w:val="22"/>
                </w:rPr>
                <w:t>Best practices being adopted on fit-for-purpose digital regulation tools for consumer protection - ITU</w:t>
              </w:r>
            </w:hyperlink>
            <w:r w:rsidRPr="00FA4573">
              <w:rPr>
                <w:rStyle w:val="Hyperlink"/>
                <w:sz w:val="22"/>
              </w:rPr>
              <w:t xml:space="preserve"> </w:t>
            </w:r>
            <w:r w:rsidRPr="00FA4573">
              <w:rPr>
                <w:sz w:val="22"/>
              </w:rPr>
              <w:t xml:space="preserve">(ITU hub) AND </w:t>
            </w:r>
            <w:hyperlink r:id="rId147" w:history="1">
              <w:r w:rsidRPr="00FA4573">
                <w:rPr>
                  <w:rStyle w:val="Hyperlink"/>
                  <w:sz w:val="22"/>
                </w:rPr>
                <w:t>Best practices being adopted on fit-for-purpose digital regulation tools for consumer protection</w:t>
              </w:r>
            </w:hyperlink>
            <w:r w:rsidRPr="00FA4573">
              <w:rPr>
                <w:rStyle w:val="Hyperlink"/>
                <w:sz w:val="22"/>
              </w:rPr>
              <w:t xml:space="preserve"> </w:t>
            </w:r>
            <w:r w:rsidRPr="00FA4573">
              <w:rPr>
                <w:sz w:val="22"/>
              </w:rPr>
              <w:t>(SG publication)</w:t>
            </w:r>
          </w:p>
          <w:p w14:paraId="4AC8D0F6"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hyperlink r:id="rId148" w:history="1">
              <w:r w:rsidRPr="00FA4573">
                <w:rPr>
                  <w:rStyle w:val="Hyperlink"/>
                  <w:sz w:val="22"/>
                </w:rPr>
                <w:t>1/1 report</w:t>
              </w:r>
            </w:hyperlink>
            <w:r w:rsidRPr="00FA4573">
              <w:rPr>
                <w:sz w:val="22"/>
              </w:rPr>
              <w:t xml:space="preserve"> (ITU hub) AND </w:t>
            </w:r>
            <w:hyperlink r:id="rId149" w:history="1">
              <w:r w:rsidRPr="00FA4573">
                <w:rPr>
                  <w:rStyle w:val="Hyperlink"/>
                  <w:sz w:val="22"/>
                </w:rPr>
                <w:t>1/1 Report</w:t>
              </w:r>
            </w:hyperlink>
            <w:r w:rsidRPr="00FA4573">
              <w:rPr>
                <w:sz w:val="22"/>
              </w:rPr>
              <w:t xml:space="preserve"> (SG publication)</w:t>
            </w:r>
          </w:p>
          <w:p w14:paraId="15054F74"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lastRenderedPageBreak/>
              <w:t>There is no search function/tag capability on the ITU</w:t>
            </w:r>
            <w:r w:rsidRPr="00FA4573">
              <w:rPr>
                <w:sz w:val="22"/>
              </w:rPr>
              <w:noBreakHyphen/>
              <w:t>D publications webpage to easily find topics of interest.</w:t>
            </w:r>
          </w:p>
          <w:p w14:paraId="07C5BFB4"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Note - there is a search function for the </w:t>
            </w:r>
            <w:hyperlink r:id="rId150" w:history="1">
              <w:r w:rsidRPr="00FA4573">
                <w:rPr>
                  <w:rStyle w:val="Hyperlink"/>
                  <w:sz w:val="22"/>
                </w:rPr>
                <w:t>general ITU hub</w:t>
              </w:r>
            </w:hyperlink>
            <w:r w:rsidRPr="00FA4573">
              <w:rPr>
                <w:sz w:val="22"/>
              </w:rPr>
              <w:t>.</w:t>
            </w:r>
          </w:p>
        </w:tc>
        <w:tc>
          <w:tcPr>
            <w:tcW w:w="2512" w:type="pct"/>
          </w:tcPr>
          <w:p w14:paraId="48581676"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lastRenderedPageBreak/>
              <w:t xml:space="preserve">Streamline duplicative webpages on the ITU website (examples provided in the </w:t>
            </w:r>
            <w:r w:rsidRPr="00FA4573">
              <w:rPr>
                <w:i/>
                <w:sz w:val="22"/>
              </w:rPr>
              <w:t>Challenge</w:t>
            </w:r>
            <w:r w:rsidRPr="00FA4573">
              <w:rPr>
                <w:sz w:val="22"/>
              </w:rPr>
              <w:t xml:space="preserve"> column).</w:t>
            </w:r>
          </w:p>
          <w:p w14:paraId="76627DF0"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Include a search/tag function on the </w:t>
            </w:r>
            <w:hyperlink r:id="rId151" w:history="1">
              <w:r w:rsidRPr="00FA4573">
                <w:rPr>
                  <w:rStyle w:val="Hyperlink"/>
                  <w:sz w:val="22"/>
                </w:rPr>
                <w:t>ITU-D Publications</w:t>
              </w:r>
            </w:hyperlink>
            <w:r w:rsidRPr="00FA4573">
              <w:rPr>
                <w:sz w:val="22"/>
              </w:rPr>
              <w:t xml:space="preserve"> webpage and a tag function for the </w:t>
            </w:r>
            <w:hyperlink r:id="rId152" w:history="1">
              <w:r w:rsidRPr="00FA4573">
                <w:rPr>
                  <w:rStyle w:val="Hyperlink"/>
                  <w:sz w:val="22"/>
                </w:rPr>
                <w:t>ITU hub</w:t>
              </w:r>
            </w:hyperlink>
            <w:r w:rsidRPr="00FA4573">
              <w:rPr>
                <w:sz w:val="22"/>
              </w:rPr>
              <w:t>, so users can more easily find the reports/topics they need.</w:t>
            </w:r>
          </w:p>
          <w:p w14:paraId="3B864E8F"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One of the tags should be able to filter Study Group products, to assist members searching for these.</w:t>
            </w:r>
          </w:p>
          <w:p w14:paraId="2A808CDB"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Reduce the number of hyperlinks to reach Study Group products.</w:t>
            </w:r>
          </w:p>
          <w:p w14:paraId="20A87D49"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From one of the ITU-D Study Groups webpages, you need to go through the following links to reach reports: </w:t>
            </w:r>
            <w:hyperlink r:id="rId153" w:history="1">
              <w:r w:rsidRPr="00FA4573">
                <w:rPr>
                  <w:rStyle w:val="Hyperlink"/>
                  <w:sz w:val="22"/>
                </w:rPr>
                <w:t>Study Groups</w:t>
              </w:r>
            </w:hyperlink>
            <w:r w:rsidRPr="00FA4573">
              <w:rPr>
                <w:sz w:val="22"/>
              </w:rPr>
              <w:t xml:space="preserve"> &gt; </w:t>
            </w:r>
            <w:hyperlink r:id="rId154" w:history="1">
              <w:r w:rsidRPr="00FA4573">
                <w:rPr>
                  <w:rStyle w:val="Hyperlink"/>
                  <w:sz w:val="22"/>
                </w:rPr>
                <w:t>Study Group publications</w:t>
              </w:r>
            </w:hyperlink>
            <w:r w:rsidRPr="00FA4573">
              <w:rPr>
                <w:sz w:val="22"/>
              </w:rPr>
              <w:t xml:space="preserve"> &gt; </w:t>
            </w:r>
            <w:hyperlink r:id="rId155" w:history="1">
              <w:r w:rsidRPr="00FA4573">
                <w:rPr>
                  <w:rStyle w:val="Hyperlink"/>
                  <w:sz w:val="22"/>
                </w:rPr>
                <w:t>SG1</w:t>
              </w:r>
            </w:hyperlink>
            <w:r w:rsidRPr="00FA4573">
              <w:rPr>
                <w:sz w:val="22"/>
              </w:rPr>
              <w:t xml:space="preserve"> &gt; </w:t>
            </w:r>
            <w:hyperlink r:id="rId156" w:history="1">
              <w:r w:rsidRPr="00FA4573">
                <w:rPr>
                  <w:rStyle w:val="Hyperlink"/>
                  <w:sz w:val="22"/>
                </w:rPr>
                <w:t>2021</w:t>
              </w:r>
            </w:hyperlink>
            <w:r w:rsidRPr="00FA4573">
              <w:rPr>
                <w:sz w:val="22"/>
              </w:rPr>
              <w:t xml:space="preserve"> &gt; </w:t>
            </w:r>
            <w:hyperlink r:id="rId157" w:history="1">
              <w:r w:rsidRPr="00FA4573">
                <w:rPr>
                  <w:rStyle w:val="Hyperlink"/>
                  <w:sz w:val="22"/>
                </w:rPr>
                <w:t>1/1 report</w:t>
              </w:r>
            </w:hyperlink>
          </w:p>
          <w:p w14:paraId="7ADB172F"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rStyle w:val="Hyperlink"/>
                <w:sz w:val="22"/>
              </w:rPr>
            </w:pPr>
            <w:r w:rsidRPr="00FA4573">
              <w:rPr>
                <w:sz w:val="22"/>
              </w:rPr>
              <w:t xml:space="preserve">This could be simplified to: </w:t>
            </w:r>
            <w:hyperlink r:id="rId158" w:history="1">
              <w:r w:rsidRPr="00FA4573">
                <w:rPr>
                  <w:rStyle w:val="Hyperlink"/>
                  <w:sz w:val="22"/>
                </w:rPr>
                <w:t>Study Groups</w:t>
              </w:r>
            </w:hyperlink>
            <w:r w:rsidRPr="00FA4573">
              <w:rPr>
                <w:sz w:val="22"/>
              </w:rPr>
              <w:t xml:space="preserve"> &gt; </w:t>
            </w:r>
            <w:hyperlink r:id="rId159" w:history="1">
              <w:r w:rsidRPr="00FA4573">
                <w:rPr>
                  <w:rStyle w:val="Hyperlink"/>
                  <w:sz w:val="22"/>
                </w:rPr>
                <w:t>ITU-D publications</w:t>
              </w:r>
            </w:hyperlink>
            <w:r w:rsidRPr="00FA4573">
              <w:rPr>
                <w:sz w:val="22"/>
              </w:rPr>
              <w:t xml:space="preserve"> OR </w:t>
            </w:r>
            <w:hyperlink r:id="rId160" w:history="1">
              <w:r w:rsidRPr="00FA4573">
                <w:rPr>
                  <w:rStyle w:val="Hyperlink"/>
                  <w:sz w:val="22"/>
                </w:rPr>
                <w:t>ITU hub</w:t>
              </w:r>
            </w:hyperlink>
            <w:r w:rsidRPr="00FA4573">
              <w:rPr>
                <w:sz w:val="22"/>
              </w:rPr>
              <w:t xml:space="preserve"> &gt; user searches/filters by the Study Group tag &gt; </w:t>
            </w:r>
            <w:hyperlink r:id="rId161" w:history="1">
              <w:r w:rsidRPr="00FA4573">
                <w:rPr>
                  <w:rStyle w:val="Hyperlink"/>
                  <w:sz w:val="22"/>
                </w:rPr>
                <w:t>1/1 report</w:t>
              </w:r>
            </w:hyperlink>
          </w:p>
          <w:p w14:paraId="421552B8" w14:textId="77777777" w:rsidR="00A63D1D" w:rsidRPr="00FA4573" w:rsidDel="00C613C1"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All study group final and interim reports to be accessible/searchable by topic and not by study period.</w:t>
            </w:r>
          </w:p>
        </w:tc>
      </w:tr>
      <w:tr w:rsidR="00A63D1D" w:rsidRPr="00FA4573" w14:paraId="7E9ECF0C" w14:textId="77777777" w:rsidTr="00A23C7D">
        <w:trPr>
          <w:trHeight w:val="679"/>
        </w:trPr>
        <w:tc>
          <w:tcPr>
            <w:cnfStyle w:val="001000000000" w:firstRow="0" w:lastRow="0" w:firstColumn="1" w:lastColumn="0" w:oddVBand="0" w:evenVBand="0" w:oddHBand="0" w:evenHBand="0" w:firstRowFirstColumn="0" w:firstRowLastColumn="0" w:lastRowFirstColumn="0" w:lastRowLastColumn="0"/>
            <w:tcW w:w="710" w:type="pct"/>
            <w:vMerge w:val="restart"/>
            <w:shd w:val="clear" w:color="auto" w:fill="C6D9F1" w:themeFill="text2" w:themeFillTint="33"/>
          </w:tcPr>
          <w:p w14:paraId="49590FE6" w14:textId="77777777" w:rsidR="00A63D1D" w:rsidRPr="00FA4573" w:rsidRDefault="00A63D1D" w:rsidP="00A23C7D">
            <w:pPr>
              <w:spacing w:before="160"/>
              <w:rPr>
                <w:b w:val="0"/>
                <w:bCs w:val="0"/>
                <w:sz w:val="22"/>
              </w:rPr>
            </w:pPr>
            <w:r w:rsidRPr="00FA4573">
              <w:rPr>
                <w:sz w:val="22"/>
              </w:rPr>
              <w:t xml:space="preserve">Finding, mapping and sharing information in the Final Reports </w:t>
            </w:r>
          </w:p>
        </w:tc>
        <w:tc>
          <w:tcPr>
            <w:tcW w:w="1778" w:type="pct"/>
          </w:tcPr>
          <w:p w14:paraId="78C3C1D8"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The current length and number of topics covered in the Final Reports makes it difficult to find and use information easily.</w:t>
            </w:r>
          </w:p>
          <w:p w14:paraId="08F06CC4"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Lack of precise items contributed to Questions - membership inputs can be too vague, resulting in broad and unspecific proposals which do not target specific Questions. </w:t>
            </w:r>
          </w:p>
          <w:p w14:paraId="0A8940E5"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can also make it difficult for editors to develop their reports.</w:t>
            </w:r>
          </w:p>
        </w:tc>
        <w:tc>
          <w:tcPr>
            <w:tcW w:w="2512" w:type="pct"/>
          </w:tcPr>
          <w:p w14:paraId="4E8B52AE"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Rethink how the quadrennial Final Reports are developed. Instead of providing lengthy reports covering many subtopics, the Final Reports could comprise of short reports on specific topics (e.g. the length and format of the </w:t>
            </w:r>
            <w:hyperlink r:id="rId162" w:history="1">
              <w:r w:rsidRPr="00FA4573">
                <w:rPr>
                  <w:rStyle w:val="Hyperlink"/>
                  <w:sz w:val="22"/>
                </w:rPr>
                <w:t>Best practices being adopted on fit-for-purpose digital regulation tools for consumer protection</w:t>
              </w:r>
            </w:hyperlink>
            <w:r w:rsidRPr="00FA4573">
              <w:rPr>
                <w:sz w:val="22"/>
              </w:rPr>
              <w:t>).</w:t>
            </w:r>
          </w:p>
          <w:p w14:paraId="51EFAD9C"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new approach to developing the Final Reports could be undertaken through the following steps:</w:t>
            </w:r>
          </w:p>
          <w:p w14:paraId="72E40FB0" w14:textId="77777777" w:rsidR="00A63D1D" w:rsidRPr="00FA4573" w:rsidRDefault="00A63D1D" w:rsidP="00A63D1D">
            <w:pPr>
              <w:pStyle w:val="ListParagraph"/>
              <w:spacing w:before="160" w:after="40"/>
              <w:ind w:left="360" w:hanging="360"/>
              <w:contextualSpacing w:val="0"/>
              <w:cnfStyle w:val="000000000000" w:firstRow="0" w:lastRow="0" w:firstColumn="0" w:lastColumn="0" w:oddVBand="0" w:evenVBand="0" w:oddHBand="0" w:evenHBand="0" w:firstRowFirstColumn="0" w:firstRowLastColumn="0" w:lastRowFirstColumn="0" w:lastRowLastColumn="0"/>
              <w:rPr>
                <w:sz w:val="22"/>
              </w:rPr>
            </w:pPr>
          </w:p>
          <w:p w14:paraId="323AC0DC" w14:textId="77777777" w:rsidR="00A63D1D" w:rsidRPr="00FA4573" w:rsidRDefault="00A63D1D" w:rsidP="00A63D1D">
            <w:pPr>
              <w:pStyle w:val="PlainText"/>
              <w:numPr>
                <w:ilvl w:val="0"/>
                <w:numId w:val="30"/>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Study Group Questions select specific topics to deliver 3-4 interim deliverable reports on, based on their Terms of Reference and mapped to the WTDC Action Plan/ITU-D Operational Plan and its KPIs.</w:t>
            </w:r>
          </w:p>
          <w:p w14:paraId="13057D62"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E.g. An interim deliverable report on best practices to improve access to digital services in remote communities would support the ITU-D Priority “Affordable Connectivity” (</w:t>
            </w:r>
            <w:r w:rsidRPr="00FA4573">
              <w:rPr>
                <w:i/>
                <w:sz w:val="22"/>
              </w:rPr>
              <w:t>KPI: Improved access to digital services by people in urban, rural and remote areas and underserved communities</w:t>
            </w:r>
            <w:r w:rsidRPr="00FA4573">
              <w:rPr>
                <w:sz w:val="22"/>
              </w:rPr>
              <w:t xml:space="preserve">) from the Kigali Action Plan. </w:t>
            </w:r>
          </w:p>
          <w:p w14:paraId="54A7DAB0" w14:textId="77777777" w:rsidR="00A63D1D" w:rsidRPr="00FA4573" w:rsidRDefault="00A63D1D" w:rsidP="00A23C7D">
            <w:pPr>
              <w:pStyle w:val="PlainText"/>
              <w:cnfStyle w:val="000000000000" w:firstRow="0" w:lastRow="0" w:firstColumn="0" w:lastColumn="0" w:oddVBand="0" w:evenVBand="0" w:oddHBand="0" w:evenHBand="0" w:firstRowFirstColumn="0" w:firstRowLastColumn="0" w:lastRowFirstColumn="0" w:lastRowLastColumn="0"/>
              <w:rPr>
                <w:szCs w:val="22"/>
              </w:rPr>
            </w:pPr>
          </w:p>
          <w:p w14:paraId="467D73B8" w14:textId="77777777" w:rsidR="00A63D1D" w:rsidRPr="00FA4573" w:rsidRDefault="00A63D1D" w:rsidP="00A63D1D">
            <w:pPr>
              <w:pStyle w:val="PlainText"/>
              <w:numPr>
                <w:ilvl w:val="0"/>
                <w:numId w:val="30"/>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Study Group Question meetings address these specific topics, encouraging inputs and running workshops that specifically support the development of interim deliverable reports on these topics.</w:t>
            </w:r>
          </w:p>
          <w:p w14:paraId="55CD3541" w14:textId="77777777" w:rsidR="00A63D1D" w:rsidRPr="00FA4573" w:rsidRDefault="00A63D1D" w:rsidP="00A23C7D">
            <w:pPr>
              <w:pStyle w:val="PlainText"/>
              <w:cnfStyle w:val="000000000000" w:firstRow="0" w:lastRow="0" w:firstColumn="0" w:lastColumn="0" w:oddVBand="0" w:evenVBand="0" w:oddHBand="0" w:evenHBand="0" w:firstRowFirstColumn="0" w:firstRowLastColumn="0" w:lastRowFirstColumn="0" w:lastRowLastColumn="0"/>
              <w:rPr>
                <w:szCs w:val="22"/>
              </w:rPr>
            </w:pPr>
          </w:p>
          <w:p w14:paraId="3C80EF88" w14:textId="77777777" w:rsidR="00A63D1D" w:rsidRPr="00FA4573" w:rsidRDefault="00A63D1D" w:rsidP="00A63D1D">
            <w:pPr>
              <w:pStyle w:val="PlainText"/>
              <w:numPr>
                <w:ilvl w:val="0"/>
                <w:numId w:val="30"/>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Following this method, 3-4 interim deliverable reports are delivered throughout the study cycle, and are the focus of the Study Group teams' efforts.</w:t>
            </w:r>
          </w:p>
          <w:p w14:paraId="397203FB" w14:textId="77777777" w:rsidR="00A63D1D" w:rsidRPr="00FA4573" w:rsidRDefault="00A63D1D" w:rsidP="00A23C7D">
            <w:pPr>
              <w:pStyle w:val="PlainText"/>
              <w:cnfStyle w:val="000000000000" w:firstRow="0" w:lastRow="0" w:firstColumn="0" w:lastColumn="0" w:oddVBand="0" w:evenVBand="0" w:oddHBand="0" w:evenHBand="0" w:firstRowFirstColumn="0" w:firstRowLastColumn="0" w:lastRowFirstColumn="0" w:lastRowLastColumn="0"/>
              <w:rPr>
                <w:szCs w:val="22"/>
              </w:rPr>
            </w:pPr>
          </w:p>
          <w:p w14:paraId="660F8A46" w14:textId="77777777" w:rsidR="00A63D1D" w:rsidRPr="00FA4573" w:rsidRDefault="00A63D1D" w:rsidP="00A63D1D">
            <w:pPr>
              <w:pStyle w:val="PlainText"/>
              <w:numPr>
                <w:ilvl w:val="0"/>
                <w:numId w:val="30"/>
              </w:numPr>
              <w:cnfStyle w:val="000000000000" w:firstRow="0" w:lastRow="0" w:firstColumn="0" w:lastColumn="0" w:oddVBand="0" w:evenVBand="0" w:oddHBand="0" w:evenHBand="0" w:firstRowFirstColumn="0" w:firstRowLastColumn="0" w:lastRowFirstColumn="0" w:lastRowLastColumn="0"/>
              <w:rPr>
                <w:szCs w:val="22"/>
              </w:rPr>
            </w:pPr>
            <w:r w:rsidRPr="00FA4573">
              <w:rPr>
                <w:szCs w:val="22"/>
              </w:rPr>
              <w:t>These 3-4 interim deliverable reports from each Study Question would be the content of the quadrennial Final Reports presented at WTDC.</w:t>
            </w:r>
          </w:p>
          <w:p w14:paraId="7D389450"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lastRenderedPageBreak/>
              <w:t xml:space="preserve">Following this method of focusing on interim deliverable reports, Study Group outputs would be easier to catalogue on the ITU website and disseminate to target audiences, because their subject matter would be clear and concise. </w:t>
            </w:r>
          </w:p>
        </w:tc>
      </w:tr>
      <w:tr w:rsidR="00A63D1D" w:rsidRPr="00FA4573" w14:paraId="1A8E8FEE" w14:textId="77777777" w:rsidTr="00A23C7D">
        <w:trPr>
          <w:trHeight w:val="1035"/>
        </w:trPr>
        <w:tc>
          <w:tcPr>
            <w:cnfStyle w:val="001000000000" w:firstRow="0" w:lastRow="0" w:firstColumn="1" w:lastColumn="0" w:oddVBand="0" w:evenVBand="0" w:oddHBand="0" w:evenHBand="0" w:firstRowFirstColumn="0" w:firstRowLastColumn="0" w:lastRowFirstColumn="0" w:lastRowLastColumn="0"/>
            <w:tcW w:w="710" w:type="pct"/>
            <w:vMerge/>
            <w:shd w:val="clear" w:color="auto" w:fill="C6D9F1" w:themeFill="text2" w:themeFillTint="33"/>
          </w:tcPr>
          <w:p w14:paraId="2D7A07A8" w14:textId="77777777" w:rsidR="00A63D1D" w:rsidRPr="00FA4573" w:rsidRDefault="00A63D1D" w:rsidP="00A23C7D">
            <w:pPr>
              <w:spacing w:before="160"/>
              <w:rPr>
                <w:sz w:val="22"/>
              </w:rPr>
            </w:pPr>
          </w:p>
        </w:tc>
        <w:tc>
          <w:tcPr>
            <w:tcW w:w="1778" w:type="pct"/>
          </w:tcPr>
          <w:p w14:paraId="3D847B18"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Poor dissemination and lack of visibility of products.</w:t>
            </w:r>
          </w:p>
          <w:p w14:paraId="1E731100" w14:textId="77777777" w:rsidR="00A63D1D" w:rsidRPr="00FA4573" w:rsidRDefault="00A63D1D" w:rsidP="00A63D1D">
            <w:pPr>
              <w:pStyle w:val="ListParagraph"/>
              <w:numPr>
                <w:ilvl w:val="0"/>
                <w:numId w:val="27"/>
              </w:numPr>
              <w:tabs>
                <w:tab w:val="left" w:pos="720"/>
              </w:tabs>
              <w:overflowPunct/>
              <w:autoSpaceDE/>
              <w:adjustRightInd/>
              <w:spacing w:before="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 xml:space="preserve">Products need to be shared more with different stakeholders in the ecosystem. </w:t>
            </w:r>
          </w:p>
          <w:p w14:paraId="3F5FF934" w14:textId="77777777" w:rsidR="00A63D1D" w:rsidRPr="00FA4573" w:rsidRDefault="00A63D1D" w:rsidP="00A63D1D">
            <w:pPr>
              <w:pStyle w:val="ListParagraph"/>
              <w:numPr>
                <w:ilvl w:val="0"/>
                <w:numId w:val="27"/>
              </w:numPr>
              <w:tabs>
                <w:tab w:val="left" w:pos="720"/>
              </w:tabs>
              <w:overflowPunct/>
              <w:autoSpaceDE/>
              <w:adjustRightInd/>
              <w:spacing w:before="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Unclear who the target audience is for products.</w:t>
            </w:r>
          </w:p>
        </w:tc>
        <w:tc>
          <w:tcPr>
            <w:tcW w:w="2512" w:type="pct"/>
          </w:tcPr>
          <w:p w14:paraId="5FE80F50"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The aforementioned reporting approach (3-4 shorter interim deliverable reports per study cycle) would make it easier for Members and ITU staff to share reports with interested parties because the report topics would be more precise.</w:t>
            </w:r>
          </w:p>
          <w:p w14:paraId="64A05E94"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Interim deliverable reports and their findings could be shared and discussed at relevant panels/workshops at ITU summits, symposiums, regional development forums, etc., as well as relevant events of other organisations (e.g. at forums of Regional Telecommunications Organisations).</w:t>
            </w:r>
          </w:p>
          <w:p w14:paraId="775950E5"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could include sharing partial or final outcomes in relevant ITU events where applicable, such as GSR workshops and panels, and at Regional activities and events where applicable.</w:t>
            </w:r>
          </w:p>
          <w:p w14:paraId="38814812"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Suggest not creating new, standalone workshops, as these would likely attract the usual Study Group participants, rather than a broader audience that attends other ITU summits/events.</w:t>
            </w:r>
          </w:p>
          <w:p w14:paraId="52B69D26" w14:textId="77777777" w:rsidR="00A63D1D" w:rsidRPr="00FA4573" w:rsidRDefault="00A63D1D" w:rsidP="00A63D1D">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To encourage engagement from a broader target audience, consider that workshop reports</w:t>
            </w:r>
            <w:r w:rsidRPr="00FA4573">
              <w:rPr>
                <w:rFonts w:hint="eastAsia"/>
                <w:sz w:val="22"/>
              </w:rPr>
              <w:t xml:space="preserve"> should be open to non ITU members.</w:t>
            </w:r>
          </w:p>
          <w:p w14:paraId="42B7A700" w14:textId="77777777" w:rsidR="00A63D1D" w:rsidRPr="00FA4573" w:rsidRDefault="00A63D1D" w:rsidP="00A63D1D">
            <w:pPr>
              <w:pStyle w:val="ListParagraph"/>
              <w:numPr>
                <w:ilvl w:val="0"/>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Study Group Question ToRs could be enhanced by incorporating text to support relevant action items from WTDC resolutions or other relevant resolutions that support the work of other ITU working groups (for example, the CWG-WSIS &amp; SDG for the period). Subsequently, Study Group deliverables linked to the mapped actionable could be presented to the relevant CWG annually.</w:t>
            </w:r>
          </w:p>
        </w:tc>
      </w:tr>
      <w:tr w:rsidR="00A63D1D" w:rsidRPr="00FA4573" w14:paraId="39388E62" w14:textId="77777777" w:rsidTr="00A23C7D">
        <w:trPr>
          <w:trHeight w:val="103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6A346AA3" w14:textId="77777777" w:rsidR="00A63D1D" w:rsidRPr="00FA4573" w:rsidRDefault="00A63D1D" w:rsidP="00A23C7D">
            <w:pPr>
              <w:spacing w:before="160"/>
              <w:rPr>
                <w:sz w:val="22"/>
              </w:rPr>
            </w:pPr>
            <w:r w:rsidRPr="00FA4573">
              <w:rPr>
                <w:rFonts w:hint="eastAsia"/>
                <w:sz w:val="22"/>
              </w:rPr>
              <w:t>Improving Quality of the Final Reports</w:t>
            </w:r>
          </w:p>
        </w:tc>
        <w:tc>
          <w:tcPr>
            <w:tcW w:w="1778" w:type="pct"/>
          </w:tcPr>
          <w:p w14:paraId="77EBCC7F"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Lack of clarity on contribution/input requirements to Study Group discussions.</w:t>
            </w:r>
          </w:p>
          <w:p w14:paraId="2C1129CF"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Lack of expertise to provide input to Study Group discussions where products are developed.</w:t>
            </w:r>
          </w:p>
          <w:p w14:paraId="297DC5D7"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Difficult to attract new participants/experts.</w:t>
            </w:r>
          </w:p>
        </w:tc>
        <w:tc>
          <w:tcPr>
            <w:tcW w:w="2512" w:type="pct"/>
          </w:tcPr>
          <w:p w14:paraId="591B8233"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An optional section could be added to the ITU-D Study Group contribution template for contributors to identify the relevant chapter or topic in the question.</w:t>
            </w:r>
          </w:p>
          <w:p w14:paraId="0F5EC81B"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The aforementioned reporting approach (3-4 shorter interim deliverable reports per study cycle) would assist with encouraging more concise contributions and attract specific expertise.</w:t>
            </w:r>
          </w:p>
          <w:p w14:paraId="422F64A9"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lastRenderedPageBreak/>
              <w:t>Meeting invitation letters could include a list of these interim deliverable topics for each Question, and encourage focused contributions to the Study Group meetings that support each interim deliverable.</w:t>
            </w:r>
          </w:p>
          <w:p w14:paraId="2F3591B8"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would encourage engagement from relevant experts in the Study Groups, because the topic of discussion/for contribution would be clearly specified and understood.</w:t>
            </w:r>
          </w:p>
          <w:p w14:paraId="35241005"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Contributors can easily access to draft reports, which are on-going work in Questions, and can search topics to find </w:t>
            </w:r>
            <w:r w:rsidRPr="00FA4573">
              <w:rPr>
                <w:sz w:val="22"/>
              </w:rPr>
              <w:t>appropriate</w:t>
            </w:r>
            <w:r w:rsidRPr="00FA4573">
              <w:rPr>
                <w:rFonts w:hint="eastAsia"/>
                <w:sz w:val="22"/>
              </w:rPr>
              <w:t xml:space="preserve"> target draft for contributions.</w:t>
            </w:r>
          </w:p>
          <w:p w14:paraId="438750EE"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rFonts w:hint="eastAsia"/>
                <w:sz w:val="22"/>
              </w:rPr>
              <w:t xml:space="preserve">If possible, mentors who can help contributors to improve quality of contributions might be allocated in each </w:t>
            </w:r>
            <w:r w:rsidRPr="00FA4573">
              <w:rPr>
                <w:sz w:val="22"/>
              </w:rPr>
              <w:t>Region</w:t>
            </w:r>
            <w:r w:rsidRPr="00FA4573">
              <w:rPr>
                <w:rFonts w:hint="eastAsia"/>
                <w:sz w:val="22"/>
              </w:rPr>
              <w:t xml:space="preserve"> or in each SG or each topic.</w:t>
            </w:r>
          </w:p>
        </w:tc>
      </w:tr>
      <w:tr w:rsidR="00A63D1D" w:rsidRPr="00FA4573" w14:paraId="0CC7038F" w14:textId="77777777" w:rsidTr="00A23C7D">
        <w:trPr>
          <w:trHeight w:val="675"/>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49BB09DC" w14:textId="77777777" w:rsidR="00A63D1D" w:rsidRPr="00FA4573" w:rsidRDefault="00A63D1D" w:rsidP="00A23C7D">
            <w:pPr>
              <w:spacing w:before="160"/>
              <w:rPr>
                <w:sz w:val="22"/>
              </w:rPr>
            </w:pPr>
            <w:r w:rsidRPr="00FA4573">
              <w:rPr>
                <w:sz w:val="22"/>
              </w:rPr>
              <w:lastRenderedPageBreak/>
              <w:t>Encouraging wider participation in ITU-D Study Groups to better develop and disseminate products</w:t>
            </w:r>
          </w:p>
        </w:tc>
        <w:tc>
          <w:tcPr>
            <w:tcW w:w="1778" w:type="pct"/>
          </w:tcPr>
          <w:p w14:paraId="277628F8"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Study Group processes are unclear for newcomers (including participation and development of outputs).</w:t>
            </w:r>
          </w:p>
          <w:p w14:paraId="7B0E8915"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Hard to attract expertise, including academia.</w:t>
            </w:r>
          </w:p>
          <w:p w14:paraId="77ADE668"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Lack of women, youth and persons with disabilities participating in Study Group work and the development of products.</w:t>
            </w:r>
          </w:p>
        </w:tc>
        <w:tc>
          <w:tcPr>
            <w:tcW w:w="2512" w:type="pct"/>
          </w:tcPr>
          <w:p w14:paraId="656D26AE"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Make information for newcomers more prominent on the ITU-D Study Group webpages and included in invitation and circular letters</w:t>
            </w:r>
          </w:p>
          <w:p w14:paraId="2771C7A4"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Note that a “</w:t>
            </w:r>
            <w:hyperlink r:id="rId163" w:history="1">
              <w:r w:rsidRPr="00FA4573">
                <w:rPr>
                  <w:rStyle w:val="Hyperlink"/>
                  <w:sz w:val="22"/>
                </w:rPr>
                <w:t>briefing for delegates</w:t>
              </w:r>
            </w:hyperlink>
            <w:r w:rsidRPr="00FA4573">
              <w:rPr>
                <w:sz w:val="22"/>
              </w:rPr>
              <w:t xml:space="preserve">” is available on the </w:t>
            </w:r>
            <w:hyperlink r:id="rId164" w:history="1">
              <w:r w:rsidRPr="00FA4573">
                <w:rPr>
                  <w:rStyle w:val="Hyperlink"/>
                  <w:sz w:val="22"/>
                </w:rPr>
                <w:t>Study Groups</w:t>
              </w:r>
            </w:hyperlink>
            <w:r w:rsidRPr="00FA4573">
              <w:rPr>
                <w:rStyle w:val="Hyperlink"/>
                <w:sz w:val="22"/>
              </w:rPr>
              <w:t xml:space="preserve"> </w:t>
            </w:r>
            <w:r w:rsidRPr="00FA4573">
              <w:rPr>
                <w:sz w:val="22"/>
              </w:rPr>
              <w:t xml:space="preserve">webpage, but not the </w:t>
            </w:r>
            <w:hyperlink r:id="rId165" w:history="1">
              <w:r w:rsidRPr="00FA4573">
                <w:rPr>
                  <w:rStyle w:val="Hyperlink"/>
                  <w:sz w:val="22"/>
                </w:rPr>
                <w:t>ITU-D</w:t>
              </w:r>
            </w:hyperlink>
            <w:r w:rsidRPr="00FA4573">
              <w:rPr>
                <w:rStyle w:val="Hyperlink"/>
                <w:sz w:val="22"/>
              </w:rPr>
              <w:t xml:space="preserve"> Study Groups</w:t>
            </w:r>
            <w:r w:rsidRPr="00FA4573">
              <w:rPr>
                <w:sz w:val="22"/>
              </w:rPr>
              <w:t xml:space="preserve"> Study Groups webpage</w:t>
            </w:r>
            <w:r w:rsidRPr="00FA4573">
              <w:rPr>
                <w:rFonts w:hint="eastAsia"/>
                <w:sz w:val="22"/>
              </w:rPr>
              <w:t>.</w:t>
            </w:r>
          </w:p>
          <w:p w14:paraId="53049DAB"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aforementioned reporting approach (3-4 shorter interim deliverable reports per study cycle) would also simplify engagement in Study Groups for newcomers, as a four-year cycle can be difficult to commit to. </w:t>
            </w:r>
          </w:p>
          <w:p w14:paraId="732180B6"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This approach would allow experts to prioritise engagement on specific topics/reports of interest.</w:t>
            </w:r>
          </w:p>
          <w:p w14:paraId="6753ACEB"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Focusing on the shorter interim deliverable reports may also appeal more to experts/new participants, as a product would be developed in a shorter timeframe.</w:t>
            </w:r>
          </w:p>
          <w:p w14:paraId="101D954E"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Continue encouraging Members to include women, youth and persons with disabilities in their delegations to ITU-D Study Groups. </w:t>
            </w:r>
          </w:p>
          <w:p w14:paraId="59F59452"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Update ITU webpages to have audio index/text to speech capabilities for people who are blind/visually impaired.</w:t>
            </w:r>
          </w:p>
          <w:p w14:paraId="3D47F677"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BDT focal points and other BDT staff in BDT HQ divisions</w:t>
            </w:r>
            <w:r w:rsidRPr="00FA4573" w:rsidDel="00625599">
              <w:rPr>
                <w:sz w:val="22"/>
              </w:rPr>
              <w:t xml:space="preserve"> </w:t>
            </w:r>
            <w:r w:rsidRPr="00FA4573">
              <w:rPr>
                <w:sz w:val="22"/>
              </w:rPr>
              <w:t xml:space="preserve">to consult with UN Women, ITU Generation Connect, ITU Secretary-General's Youth Advisory Board, and disability organisations (e.g. International Disability </w:t>
            </w:r>
            <w:r w:rsidRPr="00FA4573">
              <w:rPr>
                <w:sz w:val="22"/>
              </w:rPr>
              <w:lastRenderedPageBreak/>
              <w:t>Alliance). BDT should share the work of the Study Groups of interest to these groups and seek feedback on how to better engage these organisations/stakeholders in the work of the Study Groups.</w:t>
            </w:r>
          </w:p>
        </w:tc>
      </w:tr>
      <w:tr w:rsidR="00A63D1D" w:rsidRPr="00FA4573" w14:paraId="0D6D2C6C" w14:textId="77777777" w:rsidTr="00A23C7D">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49E02DA3" w14:textId="77777777" w:rsidR="00A63D1D" w:rsidRPr="00FA4573" w:rsidRDefault="00A63D1D" w:rsidP="00A23C7D">
            <w:pPr>
              <w:spacing w:before="160"/>
              <w:rPr>
                <w:sz w:val="22"/>
              </w:rPr>
            </w:pPr>
            <w:r w:rsidRPr="00FA4573">
              <w:rPr>
                <w:sz w:val="22"/>
              </w:rPr>
              <w:lastRenderedPageBreak/>
              <w:t>Support to Members to implement products</w:t>
            </w:r>
          </w:p>
        </w:tc>
        <w:tc>
          <w:tcPr>
            <w:tcW w:w="1778" w:type="pct"/>
          </w:tcPr>
          <w:p w14:paraId="384391E5"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Implementation of the products, particularly best practices/guidelines.</w:t>
            </w:r>
          </w:p>
          <w:p w14:paraId="1340C334"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lang w:val="en-US"/>
              </w:rPr>
              <w:t>Funding for developing countries.</w:t>
            </w:r>
          </w:p>
        </w:tc>
        <w:tc>
          <w:tcPr>
            <w:tcW w:w="2512" w:type="pct"/>
          </w:tcPr>
          <w:p w14:paraId="368D6088"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ITU Regional/Area Offices to share Study Group products, including at relevant ITU summits, symposiums, and development forums.</w:t>
            </w:r>
          </w:p>
          <w:p w14:paraId="68BD158C"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Relevant products (e.g. the </w:t>
            </w:r>
            <w:hyperlink r:id="rId166" w:history="1">
              <w:r w:rsidRPr="00FA4573">
                <w:rPr>
                  <w:rStyle w:val="Hyperlink"/>
                  <w:sz w:val="22"/>
                </w:rPr>
                <w:t>Best practices being adopted on fit-for-purpose digital regulation tools for consumer protection</w:t>
              </w:r>
            </w:hyperlink>
            <w:r w:rsidRPr="00FA4573">
              <w:rPr>
                <w:sz w:val="22"/>
              </w:rPr>
              <w:t>) should include contact details for the Regional Offices on the last page for Members to reach out to if they are interested in ITU development assistance on the topic discussed.</w:t>
            </w:r>
          </w:p>
          <w:p w14:paraId="38F09B63"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Development assistance would be discussed under the scope of ITU’s development projects.</w:t>
            </w:r>
          </w:p>
          <w:p w14:paraId="018604A7" w14:textId="77777777" w:rsidR="00A63D1D" w:rsidRPr="00FA4573" w:rsidRDefault="00A63D1D" w:rsidP="00A63D1D">
            <w:pPr>
              <w:pStyle w:val="ListParagraph"/>
              <w:numPr>
                <w:ilvl w:val="1"/>
                <w:numId w:val="31"/>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ITU Regional Offices can organise dialogues/workshops based on the topics of the report at Regional Development Forums, at the request of members.  </w:t>
            </w:r>
          </w:p>
        </w:tc>
      </w:tr>
      <w:tr w:rsidR="00A63D1D" w:rsidRPr="00FA4573" w14:paraId="59ED02AC" w14:textId="77777777" w:rsidTr="00A23C7D">
        <w:trPr>
          <w:trHeight w:val="1671"/>
        </w:trPr>
        <w:tc>
          <w:tcPr>
            <w:cnfStyle w:val="001000000000" w:firstRow="0" w:lastRow="0" w:firstColumn="1" w:lastColumn="0" w:oddVBand="0" w:evenVBand="0" w:oddHBand="0" w:evenHBand="0" w:firstRowFirstColumn="0" w:firstRowLastColumn="0" w:lastRowFirstColumn="0" w:lastRowLastColumn="0"/>
            <w:tcW w:w="710" w:type="pct"/>
            <w:shd w:val="clear" w:color="auto" w:fill="C6D9F1" w:themeFill="text2" w:themeFillTint="33"/>
          </w:tcPr>
          <w:p w14:paraId="304DF617" w14:textId="77777777" w:rsidR="00A63D1D" w:rsidRPr="00FA4573" w:rsidRDefault="00A63D1D" w:rsidP="00A23C7D">
            <w:pPr>
              <w:spacing w:before="160"/>
              <w:rPr>
                <w:sz w:val="22"/>
              </w:rPr>
            </w:pPr>
            <w:r w:rsidRPr="00FA4573">
              <w:rPr>
                <w:sz w:val="22"/>
              </w:rPr>
              <w:t xml:space="preserve">ITU-D members active in Study Groups as ambassadors to promote (awareness and use) of ITU-D study group products  </w:t>
            </w:r>
          </w:p>
        </w:tc>
        <w:tc>
          <w:tcPr>
            <w:tcW w:w="1778" w:type="pct"/>
          </w:tcPr>
          <w:p w14:paraId="39E6A0F1"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The study group products may be benefit other stakeholders in Government, Non-Government organisations, SMEs, private sector and academia who are not members of ITU-D because their core focus is not ICTS – e.g. Ministry of education, Consumer protection NGO, NGO of SMEs, Chamber of Commerce etc  </w:t>
            </w:r>
          </w:p>
        </w:tc>
        <w:tc>
          <w:tcPr>
            <w:tcW w:w="2512" w:type="pct"/>
          </w:tcPr>
          <w:p w14:paraId="5FB911CE" w14:textId="77777777" w:rsidR="00A63D1D" w:rsidRPr="00FA4573" w:rsidRDefault="00A63D1D" w:rsidP="00A63D1D">
            <w:pPr>
              <w:pStyle w:val="ListParagraph"/>
              <w:numPr>
                <w:ilvl w:val="0"/>
                <w:numId w:val="27"/>
              </w:numPr>
              <w:tabs>
                <w:tab w:val="clear" w:pos="1134"/>
                <w:tab w:val="clear" w:pos="1871"/>
                <w:tab w:val="clear" w:pos="2268"/>
              </w:tabs>
              <w:overflowPunct/>
              <w:autoSpaceDE/>
              <w:autoSpaceDN/>
              <w:adjustRightInd/>
              <w:spacing w:before="160"/>
              <w:textAlignment w:val="auto"/>
              <w:cnfStyle w:val="000000000000" w:firstRow="0" w:lastRow="0" w:firstColumn="0" w:lastColumn="0" w:oddVBand="0" w:evenVBand="0" w:oddHBand="0" w:evenHBand="0" w:firstRowFirstColumn="0" w:firstRowLastColumn="0" w:lastRowFirstColumn="0" w:lastRowLastColumn="0"/>
              <w:rPr>
                <w:sz w:val="22"/>
              </w:rPr>
            </w:pPr>
            <w:r w:rsidRPr="00FA4573">
              <w:rPr>
                <w:sz w:val="22"/>
              </w:rPr>
              <w:t xml:space="preserve">All active members in Study Groups to identify opportunities in their organisation level network to inform of the study group products. </w:t>
            </w:r>
          </w:p>
        </w:tc>
      </w:tr>
    </w:tbl>
    <w:p w14:paraId="748C5D78" w14:textId="77777777" w:rsidR="00A63D1D" w:rsidRPr="00FA4573" w:rsidRDefault="00A63D1D" w:rsidP="00A63D1D">
      <w:pPr>
        <w:rPr>
          <w:b/>
          <w:bCs/>
        </w:rPr>
      </w:pPr>
      <w:r w:rsidRPr="00FA4573">
        <w:rPr>
          <w:b/>
          <w:bCs/>
        </w:rPr>
        <w:t xml:space="preserve">Existing information referred to </w:t>
      </w:r>
    </w:p>
    <w:p w14:paraId="47EAAE64" w14:textId="77777777" w:rsidR="00A63D1D" w:rsidRPr="00FA4573" w:rsidRDefault="00A63D1D" w:rsidP="00A63D1D">
      <w:pPr>
        <w:pStyle w:val="ListParagraph"/>
        <w:numPr>
          <w:ilvl w:val="0"/>
          <w:numId w:val="29"/>
        </w:numPr>
        <w:tabs>
          <w:tab w:val="clear" w:pos="1134"/>
          <w:tab w:val="clear" w:pos="1871"/>
          <w:tab w:val="clear" w:pos="2268"/>
        </w:tabs>
        <w:overflowPunct/>
        <w:autoSpaceDE/>
        <w:autoSpaceDN/>
        <w:adjustRightInd/>
        <w:spacing w:before="0" w:after="160" w:line="259" w:lineRule="auto"/>
        <w:textAlignment w:val="auto"/>
      </w:pPr>
      <w:r w:rsidRPr="00FA4573">
        <w:rPr>
          <w:lang w:val="en-US"/>
        </w:rPr>
        <w:t xml:space="preserve">Responses of SG1 rapporteurs and vice Chairs received in October 2024 on the question: </w:t>
      </w:r>
      <w:r w:rsidRPr="00FA4573">
        <w:t>How do we ensure better use of ITU-D Study Groups outputs?</w:t>
      </w:r>
    </w:p>
    <w:p w14:paraId="11311E74" w14:textId="77777777" w:rsidR="00A63D1D" w:rsidRPr="00FA4573" w:rsidRDefault="00A63D1D" w:rsidP="00A63D1D">
      <w:pPr>
        <w:pStyle w:val="ListParagraph"/>
        <w:numPr>
          <w:ilvl w:val="0"/>
          <w:numId w:val="29"/>
        </w:numPr>
        <w:tabs>
          <w:tab w:val="clear" w:pos="1134"/>
          <w:tab w:val="clear" w:pos="1871"/>
          <w:tab w:val="clear" w:pos="2268"/>
        </w:tabs>
        <w:overflowPunct/>
        <w:autoSpaceDE/>
        <w:autoSpaceDN/>
        <w:adjustRightInd/>
        <w:spacing w:before="0" w:after="160" w:line="259" w:lineRule="auto"/>
        <w:textAlignment w:val="auto"/>
      </w:pPr>
      <w:r w:rsidRPr="00FA4573">
        <w:rPr>
          <w:lang w:val="en-US"/>
        </w:rPr>
        <w:t xml:space="preserve">October 2023 Joint SG1 and SG2 management team meeting </w:t>
      </w:r>
    </w:p>
    <w:p w14:paraId="2469FFBD" w14:textId="77777777" w:rsidR="00A63D1D" w:rsidRPr="00FA4573" w:rsidRDefault="00A63D1D" w:rsidP="00A63D1D">
      <w:pPr>
        <w:pStyle w:val="ListParagraph"/>
        <w:numPr>
          <w:ilvl w:val="0"/>
          <w:numId w:val="29"/>
        </w:numPr>
        <w:tabs>
          <w:tab w:val="clear" w:pos="1134"/>
          <w:tab w:val="clear" w:pos="1871"/>
          <w:tab w:val="clear" w:pos="2268"/>
        </w:tabs>
        <w:overflowPunct/>
        <w:autoSpaceDE/>
        <w:autoSpaceDN/>
        <w:adjustRightInd/>
        <w:spacing w:before="0" w:after="160" w:line="259" w:lineRule="auto"/>
        <w:textAlignment w:val="auto"/>
      </w:pPr>
      <w:r w:rsidRPr="00FA4573">
        <w:t>ITU-D Study Group 1 public hybrid workshops facilitated by BDT Innovation service on 8 and 10 May 2023 (annex to SG1 Chair’s report to TDAG 2023)</w:t>
      </w:r>
      <w:r w:rsidRPr="00FA4573">
        <w:br w:type="page"/>
      </w:r>
    </w:p>
    <w:p w14:paraId="1184C6F6" w14:textId="77777777" w:rsidR="00A63D1D" w:rsidRPr="00FA4573" w:rsidRDefault="00A63D1D" w:rsidP="00A63D1D">
      <w:pPr>
        <w:pStyle w:val="Heading1"/>
        <w:tabs>
          <w:tab w:val="left" w:pos="993"/>
        </w:tabs>
        <w:spacing w:after="120"/>
        <w:ind w:left="993" w:hanging="993"/>
      </w:pPr>
      <w:bookmarkStart w:id="9" w:name="_Ref194915035"/>
      <w:r w:rsidRPr="00FA4573">
        <w:rPr>
          <w:rFonts w:eastAsia="Malgun Gothic" w:hint="eastAsia"/>
          <w:lang w:eastAsia="ko-KR"/>
        </w:rPr>
        <w:lastRenderedPageBreak/>
        <w:t xml:space="preserve">Annex 6: </w:t>
      </w:r>
      <w:r w:rsidRPr="00FA4573">
        <w:rPr>
          <w:rFonts w:eastAsia="Malgun Gothic"/>
          <w:lang w:eastAsia="ko-KR"/>
        </w:rPr>
        <w:tab/>
      </w:r>
      <w:r w:rsidRPr="00FA4573">
        <w:t>Mapping table with possible topics of interest and related developing countries needs in the work of WTDC Resolution 9 (Rev. Kigali, 2022)</w:t>
      </w:r>
      <w:bookmarkEnd w:id="9"/>
    </w:p>
    <w:tbl>
      <w:tblPr>
        <w:tblStyle w:val="TableGrid"/>
        <w:tblW w:w="14454" w:type="dxa"/>
        <w:jc w:val="center"/>
        <w:tblLayout w:type="fixed"/>
        <w:tblLook w:val="04A0" w:firstRow="1" w:lastRow="0" w:firstColumn="1" w:lastColumn="0" w:noHBand="0" w:noVBand="1"/>
      </w:tblPr>
      <w:tblGrid>
        <w:gridCol w:w="1129"/>
        <w:gridCol w:w="2127"/>
        <w:gridCol w:w="1559"/>
        <w:gridCol w:w="1559"/>
        <w:gridCol w:w="1276"/>
        <w:gridCol w:w="3260"/>
        <w:gridCol w:w="3544"/>
      </w:tblGrid>
      <w:tr w:rsidR="00A63D1D" w:rsidRPr="00FA4573" w14:paraId="4F133F2D" w14:textId="77777777" w:rsidTr="00A23C7D">
        <w:trPr>
          <w:trHeight w:val="738"/>
          <w:tblHeader/>
          <w:jc w:val="center"/>
        </w:trPr>
        <w:tc>
          <w:tcPr>
            <w:tcW w:w="1129" w:type="dxa"/>
          </w:tcPr>
          <w:p w14:paraId="2DD181EB" w14:textId="77777777" w:rsidR="00A63D1D" w:rsidRPr="00FA4573" w:rsidRDefault="00A63D1D" w:rsidP="00A23C7D">
            <w:pPr>
              <w:jc w:val="center"/>
              <w:rPr>
                <w:rFonts w:ascii="Calibri" w:hAnsi="Calibri" w:cs="Calibri"/>
                <w:b/>
                <w:bCs/>
                <w:sz w:val="22"/>
                <w:szCs w:val="22"/>
              </w:rPr>
            </w:pPr>
            <w:r w:rsidRPr="00FA4573">
              <w:rPr>
                <w:rFonts w:ascii="Calibri" w:hAnsi="Calibri" w:cs="Calibri"/>
                <w:b/>
                <w:bCs/>
                <w:sz w:val="22"/>
                <w:szCs w:val="22"/>
              </w:rPr>
              <w:t>ITU-D Question</w:t>
            </w:r>
          </w:p>
        </w:tc>
        <w:tc>
          <w:tcPr>
            <w:tcW w:w="2127" w:type="dxa"/>
          </w:tcPr>
          <w:p w14:paraId="5971D0D6" w14:textId="77777777" w:rsidR="00A63D1D" w:rsidRPr="00FA4573" w:rsidRDefault="00A63D1D" w:rsidP="00A23C7D">
            <w:pPr>
              <w:jc w:val="center"/>
              <w:rPr>
                <w:rFonts w:ascii="Calibri" w:hAnsi="Calibri" w:cs="Calibri"/>
                <w:b/>
                <w:bCs/>
                <w:sz w:val="22"/>
                <w:szCs w:val="22"/>
              </w:rPr>
            </w:pPr>
            <w:r w:rsidRPr="00FA4573">
              <w:rPr>
                <w:rFonts w:ascii="Calibri" w:hAnsi="Calibri" w:cs="Calibri"/>
                <w:b/>
                <w:bCs/>
                <w:sz w:val="22"/>
                <w:szCs w:val="22"/>
              </w:rPr>
              <w:t>Title</w:t>
            </w:r>
          </w:p>
        </w:tc>
        <w:tc>
          <w:tcPr>
            <w:tcW w:w="1559" w:type="dxa"/>
          </w:tcPr>
          <w:p w14:paraId="7E6591FB" w14:textId="77777777" w:rsidR="00A63D1D" w:rsidRPr="00FA4573" w:rsidRDefault="00A63D1D" w:rsidP="00A23C7D">
            <w:pPr>
              <w:jc w:val="center"/>
              <w:rPr>
                <w:rFonts w:ascii="Calibri" w:hAnsi="Calibri" w:cs="Calibri"/>
                <w:b/>
                <w:bCs/>
                <w:sz w:val="22"/>
                <w:szCs w:val="22"/>
              </w:rPr>
            </w:pPr>
            <w:r w:rsidRPr="00FA4573">
              <w:rPr>
                <w:rFonts w:ascii="Calibri" w:hAnsi="Calibri" w:cs="Calibri"/>
                <w:b/>
                <w:bCs/>
                <w:sz w:val="22"/>
                <w:szCs w:val="22"/>
              </w:rPr>
              <w:t>Source</w:t>
            </w:r>
          </w:p>
        </w:tc>
        <w:tc>
          <w:tcPr>
            <w:tcW w:w="1559" w:type="dxa"/>
          </w:tcPr>
          <w:p w14:paraId="199E4E23" w14:textId="77777777" w:rsidR="00A63D1D" w:rsidRPr="00FA4573" w:rsidRDefault="00A63D1D" w:rsidP="00A23C7D">
            <w:pPr>
              <w:jc w:val="center"/>
              <w:rPr>
                <w:rFonts w:ascii="Calibri" w:hAnsi="Calibri" w:cs="Calibri"/>
                <w:b/>
                <w:bCs/>
                <w:sz w:val="22"/>
                <w:szCs w:val="22"/>
              </w:rPr>
            </w:pPr>
            <w:r w:rsidRPr="00FA4573">
              <w:rPr>
                <w:rFonts w:ascii="Calibri" w:hAnsi="Calibri" w:cs="Calibri"/>
                <w:b/>
                <w:bCs/>
                <w:sz w:val="22"/>
                <w:szCs w:val="22"/>
              </w:rPr>
              <w:t>Contribution</w:t>
            </w:r>
          </w:p>
        </w:tc>
        <w:tc>
          <w:tcPr>
            <w:tcW w:w="1276" w:type="dxa"/>
          </w:tcPr>
          <w:p w14:paraId="6928433E" w14:textId="77777777" w:rsidR="00A63D1D" w:rsidRPr="00FA4573" w:rsidRDefault="00A63D1D" w:rsidP="00A23C7D">
            <w:pPr>
              <w:jc w:val="center"/>
              <w:rPr>
                <w:rFonts w:ascii="Calibri" w:hAnsi="Calibri" w:cs="Calibri"/>
                <w:b/>
                <w:bCs/>
                <w:sz w:val="22"/>
                <w:szCs w:val="22"/>
              </w:rPr>
            </w:pPr>
            <w:r w:rsidRPr="00FA4573">
              <w:rPr>
                <w:rFonts w:ascii="Calibri" w:hAnsi="Calibri" w:cs="Calibri"/>
                <w:b/>
                <w:bCs/>
                <w:sz w:val="22"/>
                <w:szCs w:val="22"/>
                <w:lang w:eastAsia="ko-KR"/>
              </w:rPr>
              <w:t>T</w:t>
            </w:r>
            <w:r w:rsidRPr="00FA4573">
              <w:rPr>
                <w:rFonts w:ascii="Calibri" w:hAnsi="Calibri" w:cs="Calibri"/>
                <w:b/>
                <w:bCs/>
                <w:sz w:val="22"/>
                <w:szCs w:val="22"/>
              </w:rPr>
              <w:t>ype of assistance</w:t>
            </w:r>
          </w:p>
        </w:tc>
        <w:tc>
          <w:tcPr>
            <w:tcW w:w="3260" w:type="dxa"/>
          </w:tcPr>
          <w:p w14:paraId="48A89A02" w14:textId="77777777" w:rsidR="00A63D1D" w:rsidRPr="00FA4573" w:rsidRDefault="00A63D1D" w:rsidP="00A23C7D">
            <w:pPr>
              <w:jc w:val="center"/>
              <w:rPr>
                <w:rFonts w:ascii="Calibri" w:hAnsi="Calibri" w:cs="Calibri"/>
                <w:b/>
                <w:bCs/>
                <w:sz w:val="22"/>
                <w:szCs w:val="22"/>
              </w:rPr>
            </w:pPr>
            <w:r w:rsidRPr="00FA4573">
              <w:rPr>
                <w:rFonts w:ascii="Calibri" w:hAnsi="Calibri" w:cs="Calibri"/>
                <w:b/>
                <w:bCs/>
                <w:sz w:val="22"/>
                <w:szCs w:val="22"/>
                <w:lang w:eastAsia="ko-KR"/>
              </w:rPr>
              <w:t>Reason for mapping</w:t>
            </w:r>
          </w:p>
        </w:tc>
        <w:tc>
          <w:tcPr>
            <w:tcW w:w="3544" w:type="dxa"/>
          </w:tcPr>
          <w:p w14:paraId="07291B91" w14:textId="77777777" w:rsidR="00A63D1D" w:rsidRPr="00FA4573" w:rsidRDefault="00A63D1D" w:rsidP="00A23C7D">
            <w:pPr>
              <w:jc w:val="center"/>
              <w:rPr>
                <w:rFonts w:ascii="Calibri" w:hAnsi="Calibri" w:cs="Calibri"/>
                <w:b/>
                <w:bCs/>
                <w:sz w:val="22"/>
                <w:szCs w:val="22"/>
                <w:lang w:eastAsia="ko-KR"/>
              </w:rPr>
            </w:pPr>
            <w:r w:rsidRPr="00FA4573">
              <w:rPr>
                <w:rFonts w:ascii="Calibri" w:hAnsi="Calibri" w:cs="Calibri"/>
                <w:b/>
                <w:bCs/>
                <w:sz w:val="22"/>
                <w:szCs w:val="22"/>
                <w:lang w:eastAsia="ko-KR"/>
              </w:rPr>
              <w:t>Relevant quotes from the document</w:t>
            </w:r>
          </w:p>
        </w:tc>
      </w:tr>
      <w:tr w:rsidR="00A63D1D" w:rsidRPr="00FA4573" w14:paraId="66F768CA" w14:textId="77777777" w:rsidTr="00A23C7D">
        <w:trPr>
          <w:trHeight w:val="2587"/>
          <w:jc w:val="center"/>
        </w:trPr>
        <w:tc>
          <w:tcPr>
            <w:tcW w:w="1129" w:type="dxa"/>
          </w:tcPr>
          <w:p w14:paraId="306B6F59"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Q1/2, Q3/2, Q4/2, Q5/2</w:t>
            </w:r>
          </w:p>
        </w:tc>
        <w:tc>
          <w:tcPr>
            <w:tcW w:w="2127" w:type="dxa"/>
          </w:tcPr>
          <w:p w14:paraId="249B868B"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Egypt capacity building centre for African countries (EG-ATRC)</w:t>
            </w:r>
          </w:p>
        </w:tc>
        <w:tc>
          <w:tcPr>
            <w:tcW w:w="1559" w:type="dxa"/>
          </w:tcPr>
          <w:p w14:paraId="7D855AD5"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Egypt</w:t>
            </w:r>
          </w:p>
        </w:tc>
        <w:tc>
          <w:tcPr>
            <w:tcW w:w="1559" w:type="dxa"/>
          </w:tcPr>
          <w:p w14:paraId="7FFAA37F" w14:textId="77777777" w:rsidR="00A63D1D" w:rsidRPr="00FA4573" w:rsidRDefault="00A63D1D" w:rsidP="00A23C7D">
            <w:pPr>
              <w:spacing w:before="40" w:after="40"/>
              <w:jc w:val="center"/>
              <w:rPr>
                <w:rStyle w:val="Hyperlink"/>
                <w:rFonts w:ascii="Calibri" w:hAnsi="Calibri" w:cs="Calibri"/>
                <w:sz w:val="22"/>
                <w:szCs w:val="22"/>
              </w:rPr>
            </w:pPr>
            <w:hyperlink r:id="rId167" w:history="1">
              <w:r w:rsidRPr="00FA4573">
                <w:rPr>
                  <w:rStyle w:val="Hyperlink"/>
                  <w:rFonts w:ascii="Calibri" w:hAnsi="Calibri" w:cs="Calibri"/>
                  <w:sz w:val="22"/>
                  <w:szCs w:val="22"/>
                </w:rPr>
                <w:t>2/329</w:t>
              </w:r>
            </w:hyperlink>
          </w:p>
        </w:tc>
        <w:tc>
          <w:tcPr>
            <w:tcW w:w="1276" w:type="dxa"/>
          </w:tcPr>
          <w:p w14:paraId="4D5F44BC"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5ADCB50A"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Egypt's EG-ATRC initiative aligns with ITU-D's aim to provide training in spectrum management.</w:t>
            </w:r>
          </w:p>
        </w:tc>
        <w:tc>
          <w:tcPr>
            <w:tcW w:w="3544" w:type="dxa"/>
          </w:tcPr>
          <w:p w14:paraId="601A2B2E"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w:t>
            </w:r>
            <w:r w:rsidRPr="00FA4573">
              <w:rPr>
                <w:rFonts w:ascii="Calibri" w:hAnsi="Calibri" w:cs="Calibri"/>
                <w:b/>
                <w:sz w:val="22"/>
                <w:szCs w:val="22"/>
              </w:rPr>
              <w:t>Frequency spectrum</w:t>
            </w:r>
            <w:r w:rsidRPr="00FA4573">
              <w:rPr>
                <w:rFonts w:ascii="Calibri" w:hAnsi="Calibri" w:cs="Calibri"/>
                <w:bCs/>
                <w:sz w:val="22"/>
                <w:szCs w:val="22"/>
              </w:rPr>
              <w:t xml:space="preserve"> represents one of the vital issues in the continent of Africa, as this scarce resource requires distinct human competencies in order to be able to manage it optimally and benefit from it in a way that reflects positively on the communication services and the Internet."</w:t>
            </w:r>
          </w:p>
        </w:tc>
      </w:tr>
      <w:tr w:rsidR="00A63D1D" w:rsidRPr="00FA4573" w14:paraId="2AE007C5" w14:textId="77777777" w:rsidTr="00A23C7D">
        <w:trPr>
          <w:trHeight w:val="567"/>
          <w:jc w:val="center"/>
        </w:trPr>
        <w:tc>
          <w:tcPr>
            <w:tcW w:w="1129" w:type="dxa"/>
          </w:tcPr>
          <w:p w14:paraId="3C7BE87F"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Q2/2, Q5/2</w:t>
            </w:r>
          </w:p>
        </w:tc>
        <w:tc>
          <w:tcPr>
            <w:tcW w:w="2127" w:type="dxa"/>
          </w:tcPr>
          <w:p w14:paraId="7893252D"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color w:val="000000"/>
                <w:sz w:val="22"/>
                <w:szCs w:val="22"/>
              </w:rPr>
              <w:t>Delivering universal meaningful connectivity to enable e-services and applications</w:t>
            </w:r>
          </w:p>
        </w:tc>
        <w:tc>
          <w:tcPr>
            <w:tcW w:w="1559" w:type="dxa"/>
          </w:tcPr>
          <w:p w14:paraId="400635C5"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color w:val="000000"/>
                <w:sz w:val="22"/>
                <w:szCs w:val="22"/>
              </w:rPr>
              <w:t>International Chamber of Commerce</w:t>
            </w:r>
          </w:p>
        </w:tc>
        <w:tc>
          <w:tcPr>
            <w:tcW w:w="1559" w:type="dxa"/>
          </w:tcPr>
          <w:p w14:paraId="49499B4F" w14:textId="77777777" w:rsidR="00A63D1D" w:rsidRPr="00FA4573" w:rsidRDefault="00A63D1D" w:rsidP="00A23C7D">
            <w:pPr>
              <w:spacing w:before="40" w:after="40"/>
              <w:jc w:val="center"/>
              <w:rPr>
                <w:rFonts w:ascii="Calibri" w:hAnsi="Calibri" w:cs="Calibri"/>
                <w:sz w:val="22"/>
                <w:szCs w:val="22"/>
              </w:rPr>
            </w:pPr>
            <w:hyperlink r:id="rId168">
              <w:r w:rsidRPr="00FA4573">
                <w:rPr>
                  <w:rFonts w:ascii="Calibri" w:hAnsi="Calibri" w:cs="Calibri"/>
                  <w:color w:val="0000FF"/>
                  <w:sz w:val="22"/>
                  <w:szCs w:val="22"/>
                  <w:u w:val="single"/>
                </w:rPr>
                <w:t>SG2RGQ/46</w:t>
              </w:r>
            </w:hyperlink>
          </w:p>
          <w:p w14:paraId="27D81040" w14:textId="77777777" w:rsidR="00A63D1D" w:rsidRPr="00FA4573" w:rsidRDefault="00A63D1D" w:rsidP="00A23C7D">
            <w:pPr>
              <w:spacing w:before="40" w:after="40"/>
              <w:jc w:val="center"/>
              <w:rPr>
                <w:rStyle w:val="Hyperlink"/>
                <w:rFonts w:ascii="Calibri" w:hAnsi="Calibri" w:cs="Calibri"/>
                <w:sz w:val="22"/>
                <w:szCs w:val="22"/>
                <w:lang w:eastAsia="ko-KR"/>
              </w:rPr>
            </w:pPr>
            <w:r w:rsidRPr="00FA4573">
              <w:rPr>
                <w:rFonts w:ascii="Calibri" w:hAnsi="Calibri" w:cs="Calibri"/>
                <w:sz w:val="22"/>
                <w:szCs w:val="22"/>
                <w:lang w:eastAsia="ko-KR"/>
              </w:rPr>
              <w:t xml:space="preserve">+ ICC white paper </w:t>
            </w:r>
            <w:r w:rsidRPr="00FA4573">
              <w:rPr>
                <w:rFonts w:ascii="Calibri" w:hAnsi="Calibri" w:cs="Calibri"/>
                <w:sz w:val="22"/>
                <w:szCs w:val="22"/>
                <w:lang w:eastAsia="ko-KR"/>
              </w:rPr>
              <w:br/>
              <w:t>(</w:t>
            </w:r>
            <w:hyperlink r:id="rId169" w:anchor="page=10" w:history="1">
              <w:r w:rsidRPr="00FA4573">
                <w:rPr>
                  <w:rStyle w:val="Hyperlink"/>
                  <w:rFonts w:ascii="Calibri" w:hAnsi="Calibri" w:cs="Calibri"/>
                  <w:sz w:val="22"/>
                  <w:szCs w:val="22"/>
                  <w:lang w:eastAsia="ko-KR"/>
                </w:rPr>
                <w:t>page 10</w:t>
              </w:r>
            </w:hyperlink>
            <w:r w:rsidRPr="00FA4573">
              <w:rPr>
                <w:rFonts w:ascii="Calibri" w:hAnsi="Calibri" w:cs="Calibri"/>
                <w:sz w:val="22"/>
                <w:szCs w:val="22"/>
                <w:lang w:eastAsia="ko-KR"/>
              </w:rPr>
              <w:t>)</w:t>
            </w:r>
          </w:p>
        </w:tc>
        <w:tc>
          <w:tcPr>
            <w:tcW w:w="1276" w:type="dxa"/>
          </w:tcPr>
          <w:p w14:paraId="26F425F8"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7F614FD7"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A case study in Colombia discusses leveraging shared and unlicensed spectrum resources as a means to enable connectivity in challenging environments, which is relevant to assistance with emerging technologies and approaches in using spectrum.</w:t>
            </w:r>
          </w:p>
        </w:tc>
        <w:tc>
          <w:tcPr>
            <w:tcW w:w="3544" w:type="dxa"/>
          </w:tcPr>
          <w:p w14:paraId="5340E683"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 xml:space="preserve">"leverage </w:t>
            </w:r>
            <w:r w:rsidRPr="00FA4573">
              <w:rPr>
                <w:rFonts w:ascii="Calibri" w:hAnsi="Calibri" w:cs="Calibri"/>
                <w:b/>
                <w:sz w:val="22"/>
                <w:szCs w:val="22"/>
              </w:rPr>
              <w:t>shared and unlicensed spectrum resources</w:t>
            </w:r>
            <w:r w:rsidRPr="00FA4573">
              <w:rPr>
                <w:rFonts w:ascii="Calibri" w:hAnsi="Calibri" w:cs="Calibri"/>
                <w:bCs/>
                <w:sz w:val="22"/>
                <w:szCs w:val="22"/>
              </w:rPr>
              <w:t xml:space="preserve">" and </w:t>
            </w:r>
          </w:p>
          <w:p w14:paraId="7BD80FB8"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 xml:space="preserve">"a regulatory framework to enable unlicensed, secondary access to vacant TV channels in the UHF band, known as </w:t>
            </w:r>
            <w:r w:rsidRPr="00FA4573">
              <w:rPr>
                <w:rFonts w:ascii="Calibri" w:hAnsi="Calibri" w:cs="Calibri"/>
                <w:b/>
                <w:sz w:val="22"/>
                <w:szCs w:val="22"/>
              </w:rPr>
              <w:t>TV White Spaces (TVWS).</w:t>
            </w:r>
            <w:r w:rsidRPr="00FA4573">
              <w:rPr>
                <w:rFonts w:ascii="Calibri" w:hAnsi="Calibri" w:cs="Calibri"/>
                <w:bCs/>
                <w:sz w:val="22"/>
                <w:szCs w:val="22"/>
              </w:rPr>
              <w:t>"</w:t>
            </w:r>
          </w:p>
        </w:tc>
      </w:tr>
      <w:tr w:rsidR="00A63D1D" w:rsidRPr="00FA4573" w14:paraId="4F7936FB" w14:textId="77777777" w:rsidTr="00A23C7D">
        <w:trPr>
          <w:trHeight w:val="567"/>
          <w:jc w:val="center"/>
        </w:trPr>
        <w:tc>
          <w:tcPr>
            <w:tcW w:w="1129" w:type="dxa"/>
          </w:tcPr>
          <w:p w14:paraId="6F96E934"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Q3/2</w:t>
            </w:r>
          </w:p>
        </w:tc>
        <w:tc>
          <w:tcPr>
            <w:tcW w:w="2127" w:type="dxa"/>
          </w:tcPr>
          <w:p w14:paraId="0B7D6B87"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color w:val="000000"/>
                <w:sz w:val="22"/>
                <w:szCs w:val="22"/>
              </w:rPr>
              <w:t>Brazilian cybersecurity-related policies and regulations</w:t>
            </w:r>
          </w:p>
        </w:tc>
        <w:tc>
          <w:tcPr>
            <w:tcW w:w="1559" w:type="dxa"/>
          </w:tcPr>
          <w:p w14:paraId="6592C26D"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color w:val="000000"/>
                <w:sz w:val="22"/>
                <w:szCs w:val="22"/>
              </w:rPr>
              <w:t>Brazil</w:t>
            </w:r>
          </w:p>
        </w:tc>
        <w:tc>
          <w:tcPr>
            <w:tcW w:w="1559" w:type="dxa"/>
          </w:tcPr>
          <w:p w14:paraId="4A39CC21" w14:textId="77777777" w:rsidR="00A63D1D" w:rsidRPr="00FA4573" w:rsidRDefault="00A63D1D" w:rsidP="00A23C7D">
            <w:pPr>
              <w:spacing w:before="40" w:after="40"/>
              <w:jc w:val="center"/>
              <w:rPr>
                <w:rStyle w:val="Hyperlink"/>
                <w:rFonts w:ascii="Calibri" w:hAnsi="Calibri" w:cs="Calibri"/>
                <w:sz w:val="22"/>
                <w:szCs w:val="22"/>
              </w:rPr>
            </w:pPr>
            <w:hyperlink r:id="rId170">
              <w:r w:rsidRPr="00FA4573">
                <w:rPr>
                  <w:rFonts w:ascii="Calibri" w:hAnsi="Calibri" w:cs="Calibri"/>
                  <w:color w:val="0000FF"/>
                  <w:sz w:val="22"/>
                  <w:szCs w:val="22"/>
                  <w:u w:val="single"/>
                </w:rPr>
                <w:t>SG2RGQ/57</w:t>
              </w:r>
            </w:hyperlink>
          </w:p>
        </w:tc>
        <w:tc>
          <w:tcPr>
            <w:tcW w:w="1276" w:type="dxa"/>
          </w:tcPr>
          <w:p w14:paraId="2658E37C"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3B1BC930"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The contribution discusses the establishment of cybersecurity procedures and actions in the context of 5G applications, which are part of emerging technologies and approaches in using spectrum efficiently and securely.</w:t>
            </w:r>
          </w:p>
        </w:tc>
        <w:tc>
          <w:tcPr>
            <w:tcW w:w="3544" w:type="dxa"/>
          </w:tcPr>
          <w:p w14:paraId="340218AB"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 xml:space="preserve">"Finally, concerning 5G cybersecurity, the </w:t>
            </w:r>
            <w:r w:rsidRPr="00FA4573">
              <w:rPr>
                <w:rFonts w:ascii="Calibri" w:hAnsi="Calibri" w:cs="Calibri"/>
                <w:b/>
                <w:sz w:val="22"/>
                <w:szCs w:val="22"/>
              </w:rPr>
              <w:t>5G Spectrum Auction Notice</w:t>
            </w:r>
            <w:r w:rsidRPr="00FA4573">
              <w:rPr>
                <w:rFonts w:ascii="Calibri" w:hAnsi="Calibri" w:cs="Calibri"/>
                <w:bCs/>
                <w:sz w:val="22"/>
                <w:szCs w:val="22"/>
              </w:rPr>
              <w:t>, approved in September 2021, established that the bidders had to commit to establish procedures and actions for the promotion of the cybersecurity of the network and telecom services, in accordance with Anatel’s Cybersecurity Regulation which has been previously mentioned."</w:t>
            </w:r>
          </w:p>
        </w:tc>
      </w:tr>
      <w:tr w:rsidR="00A63D1D" w:rsidRPr="00FA4573" w14:paraId="3440E497" w14:textId="77777777" w:rsidTr="00A23C7D">
        <w:trPr>
          <w:trHeight w:val="567"/>
          <w:jc w:val="center"/>
        </w:trPr>
        <w:tc>
          <w:tcPr>
            <w:tcW w:w="1129" w:type="dxa"/>
          </w:tcPr>
          <w:p w14:paraId="783F135F"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lang w:eastAsia="ko-KR"/>
              </w:rPr>
              <w:lastRenderedPageBreak/>
              <w:t>Q5/2</w:t>
            </w:r>
          </w:p>
        </w:tc>
        <w:tc>
          <w:tcPr>
            <w:tcW w:w="2127" w:type="dxa"/>
          </w:tcPr>
          <w:p w14:paraId="26D71BB3"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Extension of licences and regulatory reforms to improve digital connectivity in Madagascar</w:t>
            </w:r>
          </w:p>
        </w:tc>
        <w:tc>
          <w:tcPr>
            <w:tcW w:w="1559" w:type="dxa"/>
          </w:tcPr>
          <w:p w14:paraId="254E62FE"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Madagascar</w:t>
            </w:r>
          </w:p>
        </w:tc>
        <w:tc>
          <w:tcPr>
            <w:tcW w:w="1559" w:type="dxa"/>
          </w:tcPr>
          <w:p w14:paraId="4B387042" w14:textId="77777777" w:rsidR="00A63D1D" w:rsidRPr="00FA4573" w:rsidRDefault="00A63D1D" w:rsidP="00A23C7D">
            <w:pPr>
              <w:spacing w:before="40" w:after="40"/>
              <w:jc w:val="center"/>
              <w:rPr>
                <w:rStyle w:val="Hyperlink"/>
                <w:rFonts w:ascii="Calibri" w:hAnsi="Calibri" w:cs="Calibri"/>
                <w:sz w:val="22"/>
                <w:szCs w:val="22"/>
              </w:rPr>
            </w:pPr>
            <w:hyperlink r:id="rId171" w:history="1">
              <w:r w:rsidRPr="00FA4573">
                <w:rPr>
                  <w:rStyle w:val="Hyperlink"/>
                  <w:rFonts w:ascii="Calibri" w:hAnsi="Calibri" w:cs="Calibri"/>
                  <w:sz w:val="22"/>
                  <w:szCs w:val="22"/>
                </w:rPr>
                <w:t>SG2RGQ/110</w:t>
              </w:r>
            </w:hyperlink>
          </w:p>
        </w:tc>
        <w:tc>
          <w:tcPr>
            <w:tcW w:w="1276" w:type="dxa"/>
          </w:tcPr>
          <w:p w14:paraId="4F37607A"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1A7D139F"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The contribution discusses regulatory reforms, including updates to licence categories that foster development of telecommunication infrastructure and services, which aligns with training in regulatory frameworks and spectrum management.</w:t>
            </w:r>
          </w:p>
        </w:tc>
        <w:tc>
          <w:tcPr>
            <w:tcW w:w="3544" w:type="dxa"/>
          </w:tcPr>
          <w:p w14:paraId="4B66726F"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 xml:space="preserve">"As part of the reform, other regulatory projects are being elaborated to guide the implementation of the new decree, in particular, draft decrees for the </w:t>
            </w:r>
            <w:r w:rsidRPr="00FA4573">
              <w:rPr>
                <w:rFonts w:ascii="Calibri" w:hAnsi="Calibri" w:cs="Calibri"/>
                <w:b/>
                <w:sz w:val="22"/>
                <w:szCs w:val="22"/>
              </w:rPr>
              <w:t>rules for managing and assigning spectrum resources</w:t>
            </w:r>
            <w:r w:rsidRPr="00FA4573">
              <w:rPr>
                <w:rFonts w:ascii="Calibri" w:hAnsi="Calibri" w:cs="Calibri"/>
                <w:bCs/>
                <w:sz w:val="22"/>
                <w:szCs w:val="22"/>
              </w:rPr>
              <w:t>..."</w:t>
            </w:r>
          </w:p>
        </w:tc>
      </w:tr>
      <w:tr w:rsidR="00A63D1D" w:rsidRPr="00FA4573" w14:paraId="2EA2BB91" w14:textId="77777777" w:rsidTr="00A23C7D">
        <w:trPr>
          <w:trHeight w:val="567"/>
          <w:jc w:val="center"/>
        </w:trPr>
        <w:tc>
          <w:tcPr>
            <w:tcW w:w="1129" w:type="dxa"/>
          </w:tcPr>
          <w:p w14:paraId="388E4DA5"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lang w:eastAsia="ko-KR"/>
              </w:rPr>
              <w:t>Q5/2</w:t>
            </w:r>
          </w:p>
        </w:tc>
        <w:tc>
          <w:tcPr>
            <w:tcW w:w="2127" w:type="dxa"/>
          </w:tcPr>
          <w:p w14:paraId="46459625"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sz w:val="22"/>
                <w:szCs w:val="22"/>
              </w:rPr>
              <w:t>Encourage collaboration with universities and leading technology schools to strengthen the specific digital skills of young professionals in Côte d'Ivoire</w:t>
            </w:r>
          </w:p>
        </w:tc>
        <w:tc>
          <w:tcPr>
            <w:tcW w:w="1559" w:type="dxa"/>
          </w:tcPr>
          <w:p w14:paraId="769DF629"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lang w:val="fr-FR"/>
              </w:rPr>
              <w:t>RIFEN</w:t>
            </w:r>
          </w:p>
        </w:tc>
        <w:tc>
          <w:tcPr>
            <w:tcW w:w="1559" w:type="dxa"/>
          </w:tcPr>
          <w:p w14:paraId="24F9723D" w14:textId="77777777" w:rsidR="00A63D1D" w:rsidRPr="00FA4573" w:rsidRDefault="00A63D1D" w:rsidP="00A23C7D">
            <w:pPr>
              <w:spacing w:before="40" w:after="40"/>
              <w:jc w:val="center"/>
              <w:rPr>
                <w:rStyle w:val="Hyperlink"/>
                <w:rFonts w:ascii="Calibri" w:hAnsi="Calibri" w:cs="Calibri"/>
                <w:sz w:val="22"/>
                <w:szCs w:val="22"/>
              </w:rPr>
            </w:pPr>
            <w:hyperlink r:id="rId172" w:history="1">
              <w:r w:rsidRPr="00FA4573">
                <w:rPr>
                  <w:rStyle w:val="Hyperlink"/>
                  <w:rFonts w:ascii="Calibri" w:hAnsi="Calibri" w:cs="Calibri"/>
                  <w:sz w:val="22"/>
                  <w:szCs w:val="22"/>
                </w:rPr>
                <w:t>SG2RGQ/158</w:t>
              </w:r>
            </w:hyperlink>
          </w:p>
        </w:tc>
        <w:tc>
          <w:tcPr>
            <w:tcW w:w="1276" w:type="dxa"/>
          </w:tcPr>
          <w:p w14:paraId="10A06501"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744F9ED8"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rPr>
              <w:t xml:space="preserve">The contribution mentions </w:t>
            </w:r>
            <w:r w:rsidRPr="00FA4573">
              <w:rPr>
                <w:rFonts w:ascii="Calibri" w:hAnsi="Calibri" w:cs="Calibri"/>
                <w:bCs/>
                <w:sz w:val="22"/>
                <w:szCs w:val="22"/>
                <w:lang w:eastAsia="ko-KR"/>
              </w:rPr>
              <w:t xml:space="preserve">the need to </w:t>
            </w:r>
            <w:r w:rsidRPr="00FA4573">
              <w:rPr>
                <w:rFonts w:ascii="Calibri" w:hAnsi="Calibri" w:cs="Calibri"/>
                <w:bCs/>
                <w:sz w:val="22"/>
                <w:szCs w:val="22"/>
              </w:rPr>
              <w:t xml:space="preserve">inform </w:t>
            </w:r>
            <w:r w:rsidRPr="00FA4573">
              <w:rPr>
                <w:rFonts w:ascii="Calibri" w:hAnsi="Calibri" w:cs="Calibri"/>
                <w:bCs/>
                <w:sz w:val="22"/>
                <w:szCs w:val="22"/>
                <w:lang w:eastAsia="ko-KR"/>
              </w:rPr>
              <w:t xml:space="preserve">university </w:t>
            </w:r>
            <w:r w:rsidRPr="00FA4573">
              <w:rPr>
                <w:rFonts w:ascii="Calibri" w:hAnsi="Calibri" w:cs="Calibri"/>
                <w:bCs/>
                <w:sz w:val="22"/>
                <w:szCs w:val="22"/>
              </w:rPr>
              <w:t>leaders about technological areas including spectrum management</w:t>
            </w:r>
            <w:r w:rsidRPr="00FA4573">
              <w:rPr>
                <w:rFonts w:ascii="Calibri" w:hAnsi="Calibri" w:cs="Calibri"/>
                <w:bCs/>
                <w:sz w:val="22"/>
                <w:szCs w:val="22"/>
                <w:lang w:eastAsia="ko-KR"/>
              </w:rPr>
              <w:t>.</w:t>
            </w:r>
          </w:p>
        </w:tc>
        <w:tc>
          <w:tcPr>
            <w:tcW w:w="3544" w:type="dxa"/>
          </w:tcPr>
          <w:p w14:paraId="2D8DA940"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“To inform the leaders of these universities about the technological areas covered by the ITU's ATC programme (ICT regulation, network infrastructure, </w:t>
            </w:r>
            <w:r w:rsidRPr="00FA4573">
              <w:rPr>
                <w:rFonts w:ascii="Calibri" w:hAnsi="Calibri" w:cs="Calibri"/>
                <w:b/>
                <w:sz w:val="22"/>
                <w:szCs w:val="22"/>
                <w:lang w:eastAsia="ko-KR"/>
              </w:rPr>
              <w:t>spectrum management</w:t>
            </w:r>
            <w:r w:rsidRPr="00FA4573">
              <w:rPr>
                <w:rFonts w:ascii="Calibri" w:hAnsi="Calibri" w:cs="Calibri"/>
                <w:bCs/>
                <w:sz w:val="22"/>
                <w:szCs w:val="22"/>
                <w:lang w:eastAsia="ko-KR"/>
              </w:rPr>
              <w:t>, cybersecurity, digital inclusion, digital services, etc.)”</w:t>
            </w:r>
          </w:p>
        </w:tc>
      </w:tr>
      <w:tr w:rsidR="00A63D1D" w:rsidRPr="00FA4573" w14:paraId="30EC5CA9" w14:textId="77777777" w:rsidTr="00A23C7D">
        <w:trPr>
          <w:trHeight w:val="567"/>
          <w:jc w:val="center"/>
        </w:trPr>
        <w:tc>
          <w:tcPr>
            <w:tcW w:w="1129" w:type="dxa"/>
          </w:tcPr>
          <w:p w14:paraId="34026FCF"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5C8832A3"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lang w:eastAsia="ko-KR"/>
              </w:rPr>
              <w:t>Human exposure to electromagnetic fields created by radio systems and mobile devices</w:t>
            </w:r>
          </w:p>
        </w:tc>
        <w:tc>
          <w:tcPr>
            <w:tcW w:w="1559" w:type="dxa"/>
          </w:tcPr>
          <w:p w14:paraId="700B7A44"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Central African Republic</w:t>
            </w:r>
          </w:p>
        </w:tc>
        <w:tc>
          <w:tcPr>
            <w:tcW w:w="1559" w:type="dxa"/>
          </w:tcPr>
          <w:p w14:paraId="035E87DB" w14:textId="77777777" w:rsidR="00A63D1D" w:rsidRPr="00FA4573" w:rsidRDefault="00A63D1D" w:rsidP="00A23C7D">
            <w:pPr>
              <w:spacing w:before="40" w:after="40"/>
              <w:jc w:val="center"/>
              <w:rPr>
                <w:rStyle w:val="Hyperlink"/>
                <w:rFonts w:ascii="Calibri" w:hAnsi="Calibri" w:cs="Calibri"/>
                <w:sz w:val="22"/>
                <w:szCs w:val="22"/>
              </w:rPr>
            </w:pPr>
            <w:hyperlink r:id="rId173" w:history="1">
              <w:r w:rsidRPr="00FA4573">
                <w:rPr>
                  <w:rStyle w:val="Hyperlink"/>
                  <w:rFonts w:ascii="Calibri" w:hAnsi="Calibri" w:cs="Calibri"/>
                  <w:sz w:val="22"/>
                  <w:szCs w:val="22"/>
                </w:rPr>
                <w:t>2/129</w:t>
              </w:r>
            </w:hyperlink>
          </w:p>
        </w:tc>
        <w:tc>
          <w:tcPr>
            <w:tcW w:w="1276" w:type="dxa"/>
          </w:tcPr>
          <w:p w14:paraId="5C8E877E"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2</w:t>
            </w:r>
          </w:p>
        </w:tc>
        <w:tc>
          <w:tcPr>
            <w:tcW w:w="3260" w:type="dxa"/>
          </w:tcPr>
          <w:p w14:paraId="62F0C9AF"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 xml:space="preserve">The </w:t>
            </w:r>
            <w:r w:rsidRPr="00FA4573">
              <w:rPr>
                <w:rFonts w:ascii="Calibri" w:hAnsi="Calibri" w:cs="Calibri"/>
                <w:bCs/>
                <w:sz w:val="22"/>
                <w:szCs w:val="22"/>
                <w:lang w:eastAsia="ko-KR"/>
              </w:rPr>
              <w:t>contribution</w:t>
            </w:r>
            <w:r w:rsidRPr="00FA4573">
              <w:rPr>
                <w:rFonts w:ascii="Calibri" w:hAnsi="Calibri" w:cs="Calibri"/>
                <w:bCs/>
                <w:sz w:val="22"/>
                <w:szCs w:val="22"/>
              </w:rPr>
              <w:t xml:space="preserve"> </w:t>
            </w:r>
            <w:r w:rsidRPr="00FA4573">
              <w:rPr>
                <w:rFonts w:ascii="Calibri" w:hAnsi="Calibri" w:cs="Calibri"/>
                <w:bCs/>
                <w:sz w:val="22"/>
                <w:szCs w:val="22"/>
                <w:lang w:eastAsia="ko-KR"/>
              </w:rPr>
              <w:t>includes</w:t>
            </w:r>
            <w:r w:rsidRPr="00FA4573">
              <w:rPr>
                <w:rFonts w:ascii="Calibri" w:hAnsi="Calibri" w:cs="Calibri"/>
                <w:bCs/>
                <w:sz w:val="22"/>
                <w:szCs w:val="22"/>
              </w:rPr>
              <w:t xml:space="preserve"> the intention of the Central African Republic to enhance its regulatory framework to ensure compliance with international standards, specifically ITU proposals concerning electromagnetic fields (EMFs)</w:t>
            </w:r>
          </w:p>
        </w:tc>
        <w:tc>
          <w:tcPr>
            <w:tcW w:w="3544" w:type="dxa"/>
          </w:tcPr>
          <w:p w14:paraId="4A762168"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“The Central African Republic intends to work on the following: </w:t>
            </w:r>
            <w:r w:rsidRPr="00FA4573">
              <w:rPr>
                <w:rFonts w:ascii="Symbol" w:eastAsia="Symbol" w:hAnsi="Symbol" w:cs="Symbol"/>
                <w:bCs/>
                <w:sz w:val="22"/>
                <w:szCs w:val="22"/>
                <w:lang w:eastAsia="ko-KR"/>
              </w:rPr>
              <w:t>-</w:t>
            </w:r>
            <w:r w:rsidRPr="00FA4573">
              <w:rPr>
                <w:rFonts w:ascii="Calibri" w:hAnsi="Calibri" w:cs="Calibri"/>
                <w:bCs/>
                <w:sz w:val="22"/>
                <w:szCs w:val="22"/>
                <w:lang w:eastAsia="ko-KR"/>
              </w:rPr>
              <w:t xml:space="preserve"> Strengthen regulatory sanctions to ensure compliance with </w:t>
            </w:r>
            <w:r w:rsidRPr="00FA4573">
              <w:rPr>
                <w:rFonts w:ascii="Calibri" w:hAnsi="Calibri" w:cs="Calibri"/>
                <w:b/>
                <w:sz w:val="22"/>
                <w:szCs w:val="22"/>
                <w:lang w:eastAsia="ko-KR"/>
              </w:rPr>
              <w:t>ITU Recommendations on EMFs</w:t>
            </w:r>
            <w:r w:rsidRPr="00FA4573">
              <w:rPr>
                <w:rFonts w:ascii="Calibri" w:hAnsi="Calibri" w:cs="Calibri"/>
                <w:bCs/>
                <w:sz w:val="22"/>
                <w:szCs w:val="22"/>
                <w:lang w:eastAsia="ko-KR"/>
              </w:rPr>
              <w:t xml:space="preserve"> used by operators; </w:t>
            </w:r>
            <w:r w:rsidRPr="00FA4573">
              <w:rPr>
                <w:rFonts w:ascii="Symbol" w:eastAsia="Symbol" w:hAnsi="Symbol" w:cs="Symbol"/>
                <w:bCs/>
                <w:sz w:val="22"/>
                <w:szCs w:val="22"/>
                <w:lang w:eastAsia="ko-KR"/>
              </w:rPr>
              <w:t>-</w:t>
            </w:r>
            <w:r w:rsidRPr="00FA4573">
              <w:rPr>
                <w:rFonts w:ascii="Calibri" w:hAnsi="Calibri" w:cs="Calibri"/>
                <w:bCs/>
                <w:sz w:val="22"/>
                <w:szCs w:val="22"/>
                <w:lang w:eastAsia="ko-KR"/>
              </w:rPr>
              <w:t xml:space="preserve"> Implement all ITU Recommendations pertaining to EMFs”</w:t>
            </w:r>
          </w:p>
        </w:tc>
      </w:tr>
      <w:tr w:rsidR="00A63D1D" w:rsidRPr="00FA4573" w14:paraId="288DF541" w14:textId="77777777" w:rsidTr="00A23C7D">
        <w:trPr>
          <w:trHeight w:val="567"/>
          <w:jc w:val="center"/>
        </w:trPr>
        <w:tc>
          <w:tcPr>
            <w:tcW w:w="1129" w:type="dxa"/>
          </w:tcPr>
          <w:p w14:paraId="76AB9CFA"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30B21E01"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Benin's experience in protecting populations against the effects of non-</w:t>
            </w:r>
            <w:r w:rsidRPr="00FA4573">
              <w:rPr>
                <w:rFonts w:ascii="Calibri" w:hAnsi="Calibri" w:cs="Calibri"/>
                <w:bCs/>
                <w:sz w:val="22"/>
                <w:szCs w:val="22"/>
              </w:rPr>
              <w:lastRenderedPageBreak/>
              <w:t>ionizing radiation from radio sites</w:t>
            </w:r>
          </w:p>
        </w:tc>
        <w:tc>
          <w:tcPr>
            <w:tcW w:w="1559" w:type="dxa"/>
          </w:tcPr>
          <w:p w14:paraId="3C35D784"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lastRenderedPageBreak/>
              <w:t>Benin</w:t>
            </w:r>
          </w:p>
        </w:tc>
        <w:tc>
          <w:tcPr>
            <w:tcW w:w="1559" w:type="dxa"/>
          </w:tcPr>
          <w:p w14:paraId="7899C3E8" w14:textId="77777777" w:rsidR="00A63D1D" w:rsidRPr="00FA4573" w:rsidRDefault="00A63D1D" w:rsidP="00A23C7D">
            <w:pPr>
              <w:spacing w:before="40" w:after="40"/>
              <w:jc w:val="center"/>
              <w:rPr>
                <w:rStyle w:val="Hyperlink"/>
                <w:rFonts w:ascii="Calibri" w:hAnsi="Calibri" w:cs="Calibri"/>
                <w:sz w:val="22"/>
                <w:szCs w:val="22"/>
              </w:rPr>
            </w:pPr>
            <w:hyperlink r:id="rId174" w:history="1">
              <w:r w:rsidRPr="00FA4573">
                <w:rPr>
                  <w:rStyle w:val="Hyperlink"/>
                  <w:rFonts w:ascii="Calibri" w:hAnsi="Calibri" w:cs="Calibri"/>
                  <w:sz w:val="22"/>
                  <w:szCs w:val="22"/>
                  <w:lang w:val="en-US"/>
                </w:rPr>
                <w:t>2/198</w:t>
              </w:r>
            </w:hyperlink>
          </w:p>
        </w:tc>
        <w:tc>
          <w:tcPr>
            <w:tcW w:w="1276" w:type="dxa"/>
          </w:tcPr>
          <w:p w14:paraId="3DFD9D22"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4581F2F3"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 xml:space="preserve">The contribution discusses the public's concerns and the need for awareness among both the population and policymakers regarding the health implications </w:t>
            </w:r>
            <w:r w:rsidRPr="00FA4573">
              <w:rPr>
                <w:rFonts w:ascii="Calibri" w:hAnsi="Calibri" w:cs="Calibri"/>
                <w:bCs/>
                <w:sz w:val="22"/>
                <w:szCs w:val="22"/>
              </w:rPr>
              <w:lastRenderedPageBreak/>
              <w:t>of radio-electric sites. This aligns with raising awareness of the importance of effective spectrum management and its impact on public health and safety.</w:t>
            </w:r>
          </w:p>
        </w:tc>
        <w:tc>
          <w:tcPr>
            <w:tcW w:w="3544" w:type="dxa"/>
          </w:tcPr>
          <w:p w14:paraId="255226B3"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lastRenderedPageBreak/>
              <w:t xml:space="preserve">(Translated from French) </w:t>
            </w:r>
          </w:p>
          <w:p w14:paraId="5BA3735F"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“Very early on, like international organizations, Benin began to consider the question of whether the </w:t>
            </w:r>
            <w:r w:rsidRPr="00FA4573">
              <w:rPr>
                <w:rFonts w:ascii="Calibri" w:hAnsi="Calibri" w:cs="Calibri"/>
                <w:b/>
                <w:sz w:val="22"/>
                <w:szCs w:val="22"/>
                <w:lang w:eastAsia="ko-KR"/>
              </w:rPr>
              <w:t xml:space="preserve">growing proximity between </w:t>
            </w:r>
            <w:r w:rsidRPr="00FA4573">
              <w:rPr>
                <w:rFonts w:ascii="Calibri" w:hAnsi="Calibri" w:cs="Calibri"/>
                <w:b/>
                <w:sz w:val="22"/>
                <w:szCs w:val="22"/>
                <w:lang w:eastAsia="ko-KR"/>
              </w:rPr>
              <w:lastRenderedPageBreak/>
              <w:t>radioelectric sites</w:t>
            </w:r>
            <w:r w:rsidRPr="00FA4573">
              <w:rPr>
                <w:rFonts w:ascii="Calibri" w:hAnsi="Calibri" w:cs="Calibri"/>
                <w:bCs/>
                <w:sz w:val="22"/>
                <w:szCs w:val="22"/>
                <w:lang w:eastAsia="ko-KR"/>
              </w:rPr>
              <w:t xml:space="preserve"> and homes</w:t>
            </w:r>
            <w:r w:rsidRPr="00FA4573">
              <w:rPr>
                <w:rFonts w:ascii="Calibri" w:hAnsi="Calibri" w:cs="Calibri" w:hint="eastAsia"/>
                <w:bCs/>
                <w:sz w:val="22"/>
                <w:szCs w:val="22"/>
                <w:lang w:eastAsia="ko-KR"/>
              </w:rPr>
              <w:t>,</w:t>
            </w:r>
            <w:r w:rsidRPr="00FA4573">
              <w:rPr>
                <w:rFonts w:ascii="Calibri" w:hAnsi="Calibri" w:cs="Calibri"/>
                <w:bCs/>
                <w:sz w:val="22"/>
                <w:szCs w:val="22"/>
                <w:lang w:eastAsia="ko-KR"/>
              </w:rPr>
              <w:t xml:space="preserve"> would have consequences on the </w:t>
            </w:r>
            <w:r w:rsidRPr="00FA4573">
              <w:rPr>
                <w:rFonts w:ascii="Calibri" w:hAnsi="Calibri" w:cs="Calibri"/>
                <w:b/>
                <w:sz w:val="22"/>
                <w:szCs w:val="22"/>
                <w:lang w:eastAsia="ko-KR"/>
              </w:rPr>
              <w:t>health</w:t>
            </w:r>
            <w:r w:rsidRPr="00FA4573">
              <w:rPr>
                <w:rFonts w:ascii="Calibri" w:hAnsi="Calibri" w:cs="Calibri" w:hint="eastAsia"/>
                <w:bCs/>
                <w:sz w:val="22"/>
                <w:szCs w:val="22"/>
                <w:lang w:eastAsia="ko-KR"/>
              </w:rPr>
              <w:t xml:space="preserve"> </w:t>
            </w:r>
            <w:r w:rsidRPr="00FA4573">
              <w:rPr>
                <w:rFonts w:ascii="Calibri" w:hAnsi="Calibri" w:cs="Calibri"/>
                <w:b/>
                <w:sz w:val="22"/>
                <w:szCs w:val="22"/>
                <w:lang w:eastAsia="ko-KR"/>
              </w:rPr>
              <w:t>safety</w:t>
            </w:r>
            <w:r w:rsidRPr="00FA4573">
              <w:rPr>
                <w:rFonts w:ascii="Calibri" w:hAnsi="Calibri" w:cs="Calibri"/>
                <w:bCs/>
                <w:sz w:val="22"/>
                <w:szCs w:val="22"/>
                <w:lang w:eastAsia="ko-KR"/>
              </w:rPr>
              <w:t xml:space="preserve"> of populations close to the sites.”</w:t>
            </w:r>
          </w:p>
        </w:tc>
      </w:tr>
      <w:tr w:rsidR="00A63D1D" w:rsidRPr="00FA4573" w14:paraId="76158525" w14:textId="77777777" w:rsidTr="00A23C7D">
        <w:trPr>
          <w:trHeight w:val="567"/>
          <w:jc w:val="center"/>
        </w:trPr>
        <w:tc>
          <w:tcPr>
            <w:tcW w:w="1129" w:type="dxa"/>
          </w:tcPr>
          <w:p w14:paraId="69068E1C"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lang w:eastAsia="ko-KR"/>
              </w:rPr>
              <w:lastRenderedPageBreak/>
              <w:t>Q7/2</w:t>
            </w:r>
          </w:p>
        </w:tc>
        <w:tc>
          <w:tcPr>
            <w:tcW w:w="2127" w:type="dxa"/>
          </w:tcPr>
          <w:p w14:paraId="3B86BDA9"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Consumer protection against exposure to electromagnetic waves</w:t>
            </w:r>
          </w:p>
        </w:tc>
        <w:tc>
          <w:tcPr>
            <w:tcW w:w="1559" w:type="dxa"/>
          </w:tcPr>
          <w:p w14:paraId="3B26CF0B"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Congo (Rep. of)</w:t>
            </w:r>
          </w:p>
        </w:tc>
        <w:tc>
          <w:tcPr>
            <w:tcW w:w="1559" w:type="dxa"/>
          </w:tcPr>
          <w:p w14:paraId="5AE199E2" w14:textId="77777777" w:rsidR="00A63D1D" w:rsidRPr="00FA4573" w:rsidRDefault="00A63D1D" w:rsidP="00A23C7D">
            <w:pPr>
              <w:spacing w:before="40" w:after="40"/>
              <w:jc w:val="center"/>
              <w:rPr>
                <w:rStyle w:val="Hyperlink"/>
                <w:rFonts w:ascii="Calibri" w:hAnsi="Calibri" w:cs="Calibri"/>
                <w:sz w:val="22"/>
                <w:szCs w:val="22"/>
              </w:rPr>
            </w:pPr>
            <w:hyperlink r:id="rId175" w:history="1">
              <w:r w:rsidRPr="00FA4573">
                <w:rPr>
                  <w:rStyle w:val="Hyperlink"/>
                  <w:rFonts w:ascii="Calibri" w:hAnsi="Calibri" w:cs="Calibri"/>
                  <w:sz w:val="22"/>
                  <w:szCs w:val="22"/>
                  <w:lang w:val="en-US"/>
                </w:rPr>
                <w:t>2/274</w:t>
              </w:r>
            </w:hyperlink>
          </w:p>
        </w:tc>
        <w:tc>
          <w:tcPr>
            <w:tcW w:w="1276" w:type="dxa"/>
          </w:tcPr>
          <w:p w14:paraId="1BD9587B"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7C24374E"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The</w:t>
            </w:r>
            <w:r w:rsidRPr="00FA4573">
              <w:rPr>
                <w:rFonts w:ascii="Calibri" w:hAnsi="Calibri" w:cs="Calibri"/>
                <w:bCs/>
                <w:sz w:val="22"/>
                <w:szCs w:val="22"/>
                <w:lang w:eastAsia="ko-KR"/>
              </w:rPr>
              <w:t xml:space="preserve"> contribution</w:t>
            </w:r>
            <w:r w:rsidRPr="00FA4573">
              <w:rPr>
                <w:rFonts w:ascii="Calibri" w:hAnsi="Calibri" w:cs="Calibri"/>
                <w:bCs/>
                <w:sz w:val="22"/>
                <w:szCs w:val="22"/>
              </w:rPr>
              <w:t xml:space="preserve"> refers to concerns about health effects related to the deployment of new technologies, specifically 5G, which relates to emerging technologies and approaches in using spectrum.</w:t>
            </w:r>
          </w:p>
        </w:tc>
        <w:tc>
          <w:tcPr>
            <w:tcW w:w="3544" w:type="dxa"/>
          </w:tcPr>
          <w:p w14:paraId="146A9643"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(Translated from French) </w:t>
            </w:r>
          </w:p>
          <w:p w14:paraId="5813439B"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w:t>
            </w:r>
            <w:r w:rsidRPr="00FA4573">
              <w:rPr>
                <w:rFonts w:ascii="Calibri" w:hAnsi="Calibri" w:cs="Calibri"/>
                <w:b/>
                <w:sz w:val="22"/>
                <w:szCs w:val="22"/>
                <w:lang w:eastAsia="ko-KR"/>
              </w:rPr>
              <w:t>5G</w:t>
            </w:r>
            <w:r w:rsidRPr="00FA4573">
              <w:rPr>
                <w:rFonts w:ascii="Calibri" w:hAnsi="Calibri" w:cs="Calibri"/>
                <w:bCs/>
                <w:sz w:val="22"/>
                <w:szCs w:val="22"/>
                <w:lang w:eastAsia="ko-KR"/>
              </w:rPr>
              <w:t xml:space="preserve"> and Antenna Densification: With the implementation of 5G, antenna density will increase, which could exacerbate concerns about the health effects of OEMs.”</w:t>
            </w:r>
          </w:p>
        </w:tc>
      </w:tr>
      <w:tr w:rsidR="00A63D1D" w:rsidRPr="00FA4573" w14:paraId="226DC387" w14:textId="77777777" w:rsidTr="00A23C7D">
        <w:trPr>
          <w:trHeight w:val="1639"/>
          <w:jc w:val="center"/>
        </w:trPr>
        <w:tc>
          <w:tcPr>
            <w:tcW w:w="1129" w:type="dxa"/>
          </w:tcPr>
          <w:p w14:paraId="32A1D59A"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058C43D9"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sz w:val="22"/>
                <w:szCs w:val="22"/>
              </w:rPr>
              <w:t>Managing human exposure to electromagnetic field radiation from telecommunication base stations</w:t>
            </w:r>
          </w:p>
        </w:tc>
        <w:tc>
          <w:tcPr>
            <w:tcW w:w="1559" w:type="dxa"/>
          </w:tcPr>
          <w:p w14:paraId="71139992"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Ghana</w:t>
            </w:r>
          </w:p>
        </w:tc>
        <w:tc>
          <w:tcPr>
            <w:tcW w:w="1559" w:type="dxa"/>
          </w:tcPr>
          <w:p w14:paraId="17F769A8" w14:textId="77777777" w:rsidR="00A63D1D" w:rsidRPr="00FA4573" w:rsidRDefault="00A63D1D" w:rsidP="00A23C7D">
            <w:pPr>
              <w:spacing w:before="40" w:after="40"/>
              <w:jc w:val="center"/>
              <w:rPr>
                <w:rStyle w:val="Hyperlink"/>
                <w:rFonts w:ascii="Calibri" w:hAnsi="Calibri" w:cs="Calibri"/>
                <w:sz w:val="22"/>
                <w:szCs w:val="22"/>
              </w:rPr>
            </w:pPr>
            <w:hyperlink r:id="rId176" w:history="1">
              <w:r w:rsidRPr="00FA4573">
                <w:rPr>
                  <w:rStyle w:val="Hyperlink"/>
                  <w:rFonts w:ascii="Calibri" w:hAnsi="Calibri" w:cs="Calibri"/>
                  <w:sz w:val="22"/>
                  <w:szCs w:val="22"/>
                  <w:lang w:val="en-US"/>
                </w:rPr>
                <w:t>SG2RGQ/1</w:t>
              </w:r>
            </w:hyperlink>
          </w:p>
        </w:tc>
        <w:tc>
          <w:tcPr>
            <w:tcW w:w="1276" w:type="dxa"/>
          </w:tcPr>
          <w:p w14:paraId="099D1000"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10</w:t>
            </w:r>
          </w:p>
        </w:tc>
        <w:tc>
          <w:tcPr>
            <w:tcW w:w="3260" w:type="dxa"/>
          </w:tcPr>
          <w:p w14:paraId="697B8BCA"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lang w:eastAsia="ko-KR"/>
              </w:rPr>
              <w:t xml:space="preserve">The contribution </w:t>
            </w:r>
            <w:r w:rsidRPr="00FA4573">
              <w:rPr>
                <w:rFonts w:ascii="Calibri" w:hAnsi="Calibri" w:cs="Calibri"/>
                <w:bCs/>
                <w:sz w:val="22"/>
                <w:szCs w:val="22"/>
              </w:rPr>
              <w:t>mentions the progression towards millimetre-wave technologies for 5G, which falls under the category of emerging technologies and approaches to the use of spectrum. It also highlights the need for public reassurance on the safety of these new cellular technologies, which is relevant to spectrum management in the context of emerging technologies like 5G.</w:t>
            </w:r>
          </w:p>
        </w:tc>
        <w:tc>
          <w:tcPr>
            <w:tcW w:w="3544" w:type="dxa"/>
          </w:tcPr>
          <w:p w14:paraId="43AEC2A3"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 xml:space="preserve">“More recently, there were widespread rumours and allegations linking the COVID-19 virus to </w:t>
            </w:r>
            <w:r w:rsidRPr="00FA4573">
              <w:rPr>
                <w:rFonts w:ascii="Calibri" w:hAnsi="Calibri" w:cs="Calibri"/>
                <w:b/>
                <w:sz w:val="22"/>
                <w:szCs w:val="22"/>
                <w:lang w:eastAsia="ko-KR"/>
              </w:rPr>
              <w:t>5G</w:t>
            </w:r>
            <w:r w:rsidRPr="00FA4573">
              <w:rPr>
                <w:rFonts w:ascii="Calibri" w:hAnsi="Calibri" w:cs="Calibri"/>
                <w:bCs/>
                <w:sz w:val="22"/>
                <w:szCs w:val="22"/>
                <w:lang w:eastAsia="ko-KR"/>
              </w:rPr>
              <w:t xml:space="preserve">, this had the potential to derail the gains made over the years in communications technology adoption. As Ghana progresses towards </w:t>
            </w:r>
            <w:r w:rsidRPr="00FA4573">
              <w:rPr>
                <w:rFonts w:ascii="Calibri" w:hAnsi="Calibri" w:cs="Calibri"/>
                <w:b/>
                <w:sz w:val="22"/>
                <w:szCs w:val="22"/>
                <w:lang w:eastAsia="ko-KR"/>
              </w:rPr>
              <w:t>millimetre-wave technologies</w:t>
            </w:r>
            <w:r w:rsidRPr="00FA4573">
              <w:rPr>
                <w:rFonts w:ascii="Calibri" w:hAnsi="Calibri" w:cs="Calibri"/>
                <w:bCs/>
                <w:sz w:val="22"/>
                <w:szCs w:val="22"/>
                <w:lang w:eastAsia="ko-KR"/>
              </w:rPr>
              <w:t>, which will require deployment of more base stations much closer to people, the Government found it instructive to reassure the public of the safety of new cellular technologies.”</w:t>
            </w:r>
          </w:p>
        </w:tc>
      </w:tr>
      <w:tr w:rsidR="00A63D1D" w:rsidRPr="00FA4573" w14:paraId="2DB9C535" w14:textId="77777777" w:rsidTr="00A23C7D">
        <w:trPr>
          <w:trHeight w:val="567"/>
          <w:jc w:val="center"/>
        </w:trPr>
        <w:tc>
          <w:tcPr>
            <w:tcW w:w="1129" w:type="dxa"/>
          </w:tcPr>
          <w:p w14:paraId="67F2E37D"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Q7/2</w:t>
            </w:r>
          </w:p>
        </w:tc>
        <w:tc>
          <w:tcPr>
            <w:tcW w:w="2127" w:type="dxa"/>
          </w:tcPr>
          <w:p w14:paraId="6C0E1D41" w14:textId="77777777" w:rsidR="00A63D1D" w:rsidRPr="00FA4573" w:rsidRDefault="00A63D1D" w:rsidP="00A23C7D">
            <w:pPr>
              <w:spacing w:before="40" w:after="40"/>
              <w:rPr>
                <w:rFonts w:ascii="Calibri" w:hAnsi="Calibri" w:cs="Calibri"/>
                <w:sz w:val="22"/>
                <w:szCs w:val="22"/>
                <w:lang w:val="en-US"/>
              </w:rPr>
            </w:pPr>
            <w:r w:rsidRPr="00FA4573">
              <w:rPr>
                <w:rFonts w:ascii="Calibri" w:hAnsi="Calibri" w:cs="Calibri"/>
                <w:color w:val="000000"/>
                <w:sz w:val="22"/>
                <w:szCs w:val="22"/>
              </w:rPr>
              <w:t>Status and strategies of EMF management and miscommunication in Uganda</w:t>
            </w:r>
          </w:p>
        </w:tc>
        <w:tc>
          <w:tcPr>
            <w:tcW w:w="1559" w:type="dxa"/>
          </w:tcPr>
          <w:p w14:paraId="74854790"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color w:val="000000"/>
                <w:sz w:val="22"/>
                <w:szCs w:val="22"/>
                <w:lang w:val="en-US"/>
              </w:rPr>
              <w:t>Uganda</w:t>
            </w:r>
          </w:p>
        </w:tc>
        <w:tc>
          <w:tcPr>
            <w:tcW w:w="1559" w:type="dxa"/>
          </w:tcPr>
          <w:p w14:paraId="38175061" w14:textId="77777777" w:rsidR="00A63D1D" w:rsidRPr="00FA4573" w:rsidRDefault="00A63D1D" w:rsidP="00A23C7D">
            <w:pPr>
              <w:spacing w:before="40" w:after="40"/>
              <w:jc w:val="center"/>
              <w:rPr>
                <w:rFonts w:ascii="Calibri" w:hAnsi="Calibri" w:cs="Calibri"/>
                <w:sz w:val="22"/>
                <w:szCs w:val="22"/>
              </w:rPr>
            </w:pPr>
            <w:hyperlink r:id="rId177" w:history="1">
              <w:r w:rsidRPr="00FA4573">
                <w:rPr>
                  <w:rStyle w:val="Hyperlink"/>
                  <w:rFonts w:ascii="Calibri" w:hAnsi="Calibri" w:cs="Calibri"/>
                  <w:sz w:val="22"/>
                  <w:szCs w:val="22"/>
                </w:rPr>
                <w:t>SG2RGQ/77</w:t>
              </w:r>
            </w:hyperlink>
          </w:p>
        </w:tc>
        <w:tc>
          <w:tcPr>
            <w:tcW w:w="1276" w:type="dxa"/>
          </w:tcPr>
          <w:p w14:paraId="717376D2"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1</w:t>
            </w:r>
          </w:p>
        </w:tc>
        <w:tc>
          <w:tcPr>
            <w:tcW w:w="3260" w:type="dxa"/>
          </w:tcPr>
          <w:p w14:paraId="75A25178"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 xml:space="preserve">The document includes information on the need for increased public awareness to build confidence among communities regarding the presence of base station sites, </w:t>
            </w:r>
            <w:r w:rsidRPr="00FA4573">
              <w:rPr>
                <w:rFonts w:ascii="Calibri" w:hAnsi="Calibri" w:cs="Calibri"/>
                <w:bCs/>
                <w:sz w:val="22"/>
                <w:szCs w:val="22"/>
              </w:rPr>
              <w:lastRenderedPageBreak/>
              <w:t>which aligns with raising awareness of national policymakers on the importance of effective spectrum management.</w:t>
            </w:r>
          </w:p>
        </w:tc>
        <w:tc>
          <w:tcPr>
            <w:tcW w:w="3544" w:type="dxa"/>
          </w:tcPr>
          <w:p w14:paraId="6F1C5A1C"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lastRenderedPageBreak/>
              <w:t xml:space="preserve">"The public interviews indicated that a person’s level of education has no bearing on </w:t>
            </w:r>
            <w:r w:rsidRPr="00FA4573">
              <w:rPr>
                <w:rFonts w:ascii="Calibri" w:hAnsi="Calibri" w:cs="Calibri"/>
                <w:b/>
                <w:sz w:val="22"/>
                <w:szCs w:val="22"/>
              </w:rPr>
              <w:t>uncertainty about the presence of base station sites</w:t>
            </w:r>
            <w:r w:rsidRPr="00FA4573">
              <w:rPr>
                <w:rFonts w:ascii="Calibri" w:hAnsi="Calibri" w:cs="Calibri"/>
                <w:bCs/>
                <w:sz w:val="22"/>
                <w:szCs w:val="22"/>
              </w:rPr>
              <w:t xml:space="preserve"> in their proximity and underscored the need for more awareness to increase </w:t>
            </w:r>
            <w:r w:rsidRPr="00FA4573">
              <w:rPr>
                <w:rFonts w:ascii="Calibri" w:hAnsi="Calibri" w:cs="Calibri"/>
                <w:bCs/>
                <w:sz w:val="22"/>
                <w:szCs w:val="22"/>
              </w:rPr>
              <w:lastRenderedPageBreak/>
              <w:t>confidence among the communities."</w:t>
            </w:r>
          </w:p>
        </w:tc>
      </w:tr>
      <w:tr w:rsidR="00A63D1D" w:rsidRPr="00FA4573" w14:paraId="2CCC7794" w14:textId="77777777" w:rsidTr="00A23C7D">
        <w:trPr>
          <w:trHeight w:val="567"/>
          <w:jc w:val="center"/>
        </w:trPr>
        <w:tc>
          <w:tcPr>
            <w:tcW w:w="1129" w:type="dxa"/>
          </w:tcPr>
          <w:p w14:paraId="4ACF3E6C"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lastRenderedPageBreak/>
              <w:t>Q7/2</w:t>
            </w:r>
          </w:p>
        </w:tc>
        <w:tc>
          <w:tcPr>
            <w:tcW w:w="2127" w:type="dxa"/>
          </w:tcPr>
          <w:p w14:paraId="0B9A899B"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sz w:val="22"/>
                <w:szCs w:val="22"/>
                <w:lang w:val="en-US"/>
              </w:rPr>
              <w:t>Regulatory decision on limit values for human exposure to electromagnetic fields in Haiti</w:t>
            </w:r>
          </w:p>
        </w:tc>
        <w:tc>
          <w:tcPr>
            <w:tcW w:w="1559" w:type="dxa"/>
          </w:tcPr>
          <w:p w14:paraId="429DC704" w14:textId="77777777" w:rsidR="00A63D1D" w:rsidRPr="00FA4573" w:rsidRDefault="00A63D1D" w:rsidP="00A23C7D">
            <w:pPr>
              <w:spacing w:before="40" w:after="40"/>
              <w:rPr>
                <w:rFonts w:ascii="Calibri" w:hAnsi="Calibri" w:cs="Calibri"/>
                <w:bCs/>
                <w:sz w:val="22"/>
                <w:szCs w:val="22"/>
                <w:lang w:eastAsia="ko-KR"/>
              </w:rPr>
            </w:pPr>
            <w:r w:rsidRPr="00FA4573">
              <w:rPr>
                <w:rFonts w:ascii="Calibri" w:hAnsi="Calibri" w:cs="Calibri"/>
                <w:bCs/>
                <w:sz w:val="22"/>
                <w:szCs w:val="22"/>
                <w:lang w:eastAsia="ko-KR"/>
              </w:rPr>
              <w:t>Haiti</w:t>
            </w:r>
          </w:p>
        </w:tc>
        <w:tc>
          <w:tcPr>
            <w:tcW w:w="1559" w:type="dxa"/>
          </w:tcPr>
          <w:p w14:paraId="39E8B7C6" w14:textId="77777777" w:rsidR="00A63D1D" w:rsidRPr="00FA4573" w:rsidRDefault="00A63D1D" w:rsidP="00A23C7D">
            <w:pPr>
              <w:spacing w:before="40" w:after="40"/>
              <w:jc w:val="center"/>
              <w:rPr>
                <w:rStyle w:val="Hyperlink"/>
                <w:rFonts w:ascii="Calibri" w:hAnsi="Calibri" w:cs="Calibri"/>
                <w:sz w:val="22"/>
                <w:szCs w:val="22"/>
              </w:rPr>
            </w:pPr>
            <w:hyperlink r:id="rId178" w:history="1">
              <w:r w:rsidRPr="00FA4573">
                <w:rPr>
                  <w:rStyle w:val="Hyperlink"/>
                  <w:rFonts w:ascii="Calibri" w:hAnsi="Calibri" w:cs="Calibri"/>
                  <w:sz w:val="22"/>
                  <w:szCs w:val="22"/>
                  <w:lang w:val="en-US"/>
                </w:rPr>
                <w:t>SG2RGQ/122</w:t>
              </w:r>
            </w:hyperlink>
          </w:p>
        </w:tc>
        <w:tc>
          <w:tcPr>
            <w:tcW w:w="1276" w:type="dxa"/>
          </w:tcPr>
          <w:p w14:paraId="2FDF002C" w14:textId="77777777" w:rsidR="00A63D1D" w:rsidRPr="00FA4573" w:rsidRDefault="00A63D1D" w:rsidP="00A23C7D">
            <w:pPr>
              <w:spacing w:before="40" w:after="40"/>
              <w:jc w:val="center"/>
              <w:rPr>
                <w:rFonts w:ascii="Calibri" w:hAnsi="Calibri" w:cs="Calibri"/>
                <w:bCs/>
                <w:sz w:val="22"/>
                <w:szCs w:val="22"/>
                <w:lang w:eastAsia="ko-KR"/>
              </w:rPr>
            </w:pPr>
            <w:r w:rsidRPr="00FA4573">
              <w:rPr>
                <w:rFonts w:ascii="Calibri" w:hAnsi="Calibri" w:cs="Calibri"/>
                <w:bCs/>
                <w:sz w:val="22"/>
                <w:szCs w:val="22"/>
                <w:lang w:eastAsia="ko-KR"/>
              </w:rPr>
              <w:t>2</w:t>
            </w:r>
          </w:p>
        </w:tc>
        <w:tc>
          <w:tcPr>
            <w:tcW w:w="3260" w:type="dxa"/>
          </w:tcPr>
          <w:p w14:paraId="19165847"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The contribution discusses the adoption of ITU and ICNIRP Guidelines for setting limit values for human exposure to electromagnetic fields, which requires training and dissemination of ITU documentation to ensure that the national regulations are aligned with international standards.</w:t>
            </w:r>
          </w:p>
        </w:tc>
        <w:tc>
          <w:tcPr>
            <w:tcW w:w="3544" w:type="dxa"/>
          </w:tcPr>
          <w:p w14:paraId="0945496E" w14:textId="77777777" w:rsidR="00A63D1D" w:rsidRPr="00FA4573" w:rsidRDefault="00A63D1D" w:rsidP="00A23C7D">
            <w:pPr>
              <w:spacing w:before="40" w:after="40"/>
              <w:rPr>
                <w:rFonts w:ascii="Calibri" w:hAnsi="Calibri" w:cs="Calibri"/>
                <w:bCs/>
                <w:sz w:val="22"/>
                <w:szCs w:val="22"/>
              </w:rPr>
            </w:pPr>
            <w:r w:rsidRPr="00FA4573">
              <w:rPr>
                <w:rFonts w:ascii="Calibri" w:hAnsi="Calibri" w:cs="Calibri"/>
                <w:bCs/>
                <w:sz w:val="22"/>
                <w:szCs w:val="22"/>
              </w:rPr>
              <w:t xml:space="preserve">"CONATEL adopts </w:t>
            </w:r>
            <w:r w:rsidRPr="00FA4573">
              <w:rPr>
                <w:rFonts w:ascii="Calibri" w:hAnsi="Calibri" w:cs="Calibri"/>
                <w:b/>
                <w:sz w:val="22"/>
                <w:szCs w:val="22"/>
              </w:rPr>
              <w:t>the international Telecommunication Union (ITU</w:t>
            </w:r>
            <w:r w:rsidRPr="00FA4573">
              <w:rPr>
                <w:rFonts w:ascii="Calibri" w:hAnsi="Calibri" w:cs="Calibri"/>
                <w:bCs/>
                <w:sz w:val="22"/>
                <w:szCs w:val="22"/>
              </w:rPr>
              <w:t xml:space="preserve">) and the International Commission on Non-Ionizing Radiation Protection (ICNIRP) </w:t>
            </w:r>
            <w:r w:rsidRPr="00FA4573">
              <w:rPr>
                <w:rFonts w:ascii="Calibri" w:hAnsi="Calibri" w:cs="Calibri"/>
                <w:b/>
                <w:sz w:val="22"/>
                <w:szCs w:val="22"/>
              </w:rPr>
              <w:t>recommendations</w:t>
            </w:r>
            <w:r w:rsidRPr="00FA4573">
              <w:rPr>
                <w:rFonts w:ascii="Calibri" w:hAnsi="Calibri" w:cs="Calibri"/>
                <w:bCs/>
                <w:sz w:val="22"/>
                <w:szCs w:val="22"/>
              </w:rPr>
              <w:t xml:space="preserve"> that are widely used in the world as the reference in this matter."</w:t>
            </w:r>
          </w:p>
          <w:p w14:paraId="421EA5D3" w14:textId="77777777" w:rsidR="00A63D1D" w:rsidRPr="00FA4573" w:rsidRDefault="00A63D1D" w:rsidP="00A23C7D">
            <w:pPr>
              <w:spacing w:before="40" w:after="40"/>
              <w:rPr>
                <w:rFonts w:ascii="Calibri" w:hAnsi="Calibri" w:cs="Calibri"/>
                <w:bCs/>
                <w:sz w:val="22"/>
                <w:szCs w:val="22"/>
              </w:rPr>
            </w:pPr>
          </w:p>
        </w:tc>
      </w:tr>
    </w:tbl>
    <w:p w14:paraId="3B144022" w14:textId="77777777" w:rsidR="00A63D1D" w:rsidRPr="00FA4573" w:rsidRDefault="00A63D1D" w:rsidP="00A63D1D">
      <w:pPr>
        <w:ind w:right="-126"/>
        <w:rPr>
          <w:rFonts w:eastAsia="Malgun Gothic"/>
          <w:lang w:eastAsia="ko-KR"/>
        </w:rPr>
        <w:sectPr w:rsidR="00A63D1D" w:rsidRPr="00FA4573" w:rsidSect="00A63D1D">
          <w:headerReference w:type="default" r:id="rId179"/>
          <w:pgSz w:w="16840" w:h="11907" w:orient="landscape" w:code="9"/>
          <w:pgMar w:top="1134" w:right="1418" w:bottom="1134" w:left="900" w:header="720" w:footer="720" w:gutter="0"/>
          <w:cols w:space="720"/>
          <w:docGrid w:linePitch="326"/>
        </w:sectPr>
      </w:pPr>
    </w:p>
    <w:p w14:paraId="12ED2A40" w14:textId="77777777" w:rsidR="00A63D1D" w:rsidRPr="00FA4573" w:rsidRDefault="00A63D1D" w:rsidP="00A63D1D">
      <w:pPr>
        <w:pStyle w:val="Heading1"/>
        <w:tabs>
          <w:tab w:val="left" w:pos="993"/>
        </w:tabs>
        <w:spacing w:before="120" w:after="120"/>
        <w:ind w:left="952" w:hanging="952"/>
      </w:pPr>
      <w:bookmarkStart w:id="10" w:name="_Hlk194776556"/>
      <w:bookmarkStart w:id="11" w:name="_Ref194915049"/>
      <w:r w:rsidRPr="00FA4573">
        <w:rPr>
          <w:rFonts w:eastAsia="Malgun Gothic" w:hint="eastAsia"/>
          <w:lang w:eastAsia="ko-KR"/>
        </w:rPr>
        <w:lastRenderedPageBreak/>
        <w:t xml:space="preserve">Annex 7: </w:t>
      </w:r>
      <w:r w:rsidRPr="00FA4573">
        <w:rPr>
          <w:rFonts w:hint="eastAsia"/>
        </w:rPr>
        <w:t>C</w:t>
      </w:r>
      <w:r w:rsidRPr="00FA4573">
        <w:t>ompilation table with the total numbers of possible topics of interest and related developing countries needs in the work of WTDC Resolution 9 (Rev. Kigali, 2022)</w:t>
      </w:r>
      <w:bookmarkEnd w:id="10"/>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0"/>
        <w:gridCol w:w="1889"/>
      </w:tblGrid>
      <w:tr w:rsidR="00A63D1D" w:rsidRPr="00FA4573" w14:paraId="50CF4910" w14:textId="77777777" w:rsidTr="00A23C7D">
        <w:trPr>
          <w:jc w:val="center"/>
        </w:trPr>
        <w:tc>
          <w:tcPr>
            <w:tcW w:w="7730" w:type="dxa"/>
            <w:tcMar>
              <w:top w:w="0" w:type="dxa"/>
              <w:left w:w="108" w:type="dxa"/>
              <w:bottom w:w="0" w:type="dxa"/>
              <w:right w:w="108" w:type="dxa"/>
            </w:tcMar>
            <w:vAlign w:val="center"/>
            <w:hideMark/>
          </w:tcPr>
          <w:p w14:paraId="2F7AA12F" w14:textId="77777777" w:rsidR="00A63D1D" w:rsidRPr="00FA4573" w:rsidRDefault="00A63D1D" w:rsidP="00A23C7D">
            <w:pPr>
              <w:pStyle w:val="NormalWeb"/>
              <w:spacing w:before="40" w:beforeAutospacing="0" w:after="40" w:afterAutospacing="0"/>
              <w:rPr>
                <w:rFonts w:asciiTheme="minorHAnsi" w:hAnsiTheme="minorHAnsi" w:cstheme="minorHAnsi"/>
                <w:color w:val="201F1E"/>
                <w:sz w:val="22"/>
                <w:szCs w:val="22"/>
              </w:rPr>
            </w:pPr>
            <w:r w:rsidRPr="00FA4573">
              <w:rPr>
                <w:rFonts w:asciiTheme="minorHAnsi" w:hAnsiTheme="minorHAnsi" w:cstheme="minorHAnsi"/>
                <w:b/>
                <w:bCs/>
                <w:color w:val="201F1E"/>
                <w:sz w:val="22"/>
                <w:szCs w:val="22"/>
                <w:bdr w:val="none" w:sz="0" w:space="0" w:color="auto" w:frame="1"/>
              </w:rPr>
              <w:t>Topic</w:t>
            </w:r>
          </w:p>
        </w:tc>
        <w:tc>
          <w:tcPr>
            <w:tcW w:w="1889" w:type="dxa"/>
            <w:tcMar>
              <w:top w:w="0" w:type="dxa"/>
              <w:left w:w="108" w:type="dxa"/>
              <w:bottom w:w="0" w:type="dxa"/>
              <w:right w:w="108" w:type="dxa"/>
            </w:tcMar>
            <w:hideMark/>
          </w:tcPr>
          <w:p w14:paraId="0E8649F1"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r w:rsidRPr="00FA4573">
              <w:rPr>
                <w:rFonts w:asciiTheme="minorHAnsi" w:hAnsiTheme="minorHAnsi" w:cstheme="minorHAnsi"/>
                <w:b/>
                <w:bCs/>
                <w:color w:val="201F1E"/>
                <w:sz w:val="22"/>
                <w:szCs w:val="22"/>
                <w:bdr w:val="none" w:sz="0" w:space="0" w:color="auto" w:frame="1"/>
              </w:rPr>
              <w:t>Number of related contributions</w:t>
            </w:r>
          </w:p>
        </w:tc>
      </w:tr>
      <w:tr w:rsidR="00A63D1D" w:rsidRPr="00FA4573" w14:paraId="66A22EA8" w14:textId="77777777" w:rsidTr="00A23C7D">
        <w:trPr>
          <w:jc w:val="center"/>
        </w:trPr>
        <w:tc>
          <w:tcPr>
            <w:tcW w:w="7730" w:type="dxa"/>
            <w:tcMar>
              <w:top w:w="0" w:type="dxa"/>
              <w:left w:w="108" w:type="dxa"/>
              <w:bottom w:w="0" w:type="dxa"/>
              <w:right w:w="108" w:type="dxa"/>
            </w:tcMar>
            <w:hideMark/>
          </w:tcPr>
          <w:p w14:paraId="3B32D297"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raising the awareness of national policy-makers as to the importance of effective spectrum management for a country's economic and social development</w:t>
            </w:r>
          </w:p>
        </w:tc>
        <w:tc>
          <w:tcPr>
            <w:tcW w:w="1889" w:type="dxa"/>
            <w:tcMar>
              <w:top w:w="0" w:type="dxa"/>
              <w:left w:w="108" w:type="dxa"/>
              <w:bottom w:w="0" w:type="dxa"/>
              <w:right w:w="108" w:type="dxa"/>
            </w:tcMar>
            <w:hideMark/>
          </w:tcPr>
          <w:p w14:paraId="27C5B449"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5</w:t>
            </w:r>
          </w:p>
        </w:tc>
      </w:tr>
      <w:tr w:rsidR="00A63D1D" w:rsidRPr="00FA4573" w14:paraId="1E954449" w14:textId="77777777" w:rsidTr="00A23C7D">
        <w:trPr>
          <w:trHeight w:val="451"/>
          <w:jc w:val="center"/>
        </w:trPr>
        <w:tc>
          <w:tcPr>
            <w:tcW w:w="7730" w:type="dxa"/>
            <w:tcMar>
              <w:top w:w="0" w:type="dxa"/>
              <w:left w:w="108" w:type="dxa"/>
              <w:bottom w:w="0" w:type="dxa"/>
              <w:right w:w="108" w:type="dxa"/>
            </w:tcMar>
            <w:hideMark/>
          </w:tcPr>
          <w:p w14:paraId="76E4D093"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Training and dissemination of available ITU documentation</w:t>
            </w:r>
          </w:p>
        </w:tc>
        <w:tc>
          <w:tcPr>
            <w:tcW w:w="1889" w:type="dxa"/>
            <w:tcMar>
              <w:top w:w="0" w:type="dxa"/>
              <w:left w:w="108" w:type="dxa"/>
              <w:bottom w:w="0" w:type="dxa"/>
              <w:right w:w="108" w:type="dxa"/>
            </w:tcMar>
            <w:hideMark/>
          </w:tcPr>
          <w:p w14:paraId="432286AC"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2</w:t>
            </w:r>
          </w:p>
        </w:tc>
      </w:tr>
      <w:tr w:rsidR="00A63D1D" w:rsidRPr="00FA4573" w14:paraId="4CBFA00D" w14:textId="77777777" w:rsidTr="00A23C7D">
        <w:trPr>
          <w:jc w:val="center"/>
        </w:trPr>
        <w:tc>
          <w:tcPr>
            <w:tcW w:w="7730" w:type="dxa"/>
            <w:tcMar>
              <w:top w:w="0" w:type="dxa"/>
              <w:left w:w="108" w:type="dxa"/>
              <w:bottom w:w="0" w:type="dxa"/>
              <w:right w:w="108" w:type="dxa"/>
            </w:tcMar>
            <w:hideMark/>
          </w:tcPr>
          <w:p w14:paraId="5F696927"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developing methodologies for establishing national tables of frequency allocations and spectrum redeployment</w:t>
            </w:r>
          </w:p>
        </w:tc>
        <w:tc>
          <w:tcPr>
            <w:tcW w:w="1889" w:type="dxa"/>
            <w:tcMar>
              <w:top w:w="0" w:type="dxa"/>
              <w:left w:w="108" w:type="dxa"/>
              <w:bottom w:w="0" w:type="dxa"/>
              <w:right w:w="108" w:type="dxa"/>
            </w:tcMar>
            <w:hideMark/>
          </w:tcPr>
          <w:p w14:paraId="69F3E5B1"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604D89A7" w14:textId="77777777" w:rsidTr="00A23C7D">
        <w:trPr>
          <w:jc w:val="center"/>
        </w:trPr>
        <w:tc>
          <w:tcPr>
            <w:tcW w:w="7730" w:type="dxa"/>
            <w:tcMar>
              <w:top w:w="0" w:type="dxa"/>
              <w:left w:w="108" w:type="dxa"/>
              <w:bottom w:w="0" w:type="dxa"/>
              <w:right w:w="108" w:type="dxa"/>
            </w:tcMar>
            <w:hideMark/>
          </w:tcPr>
          <w:p w14:paraId="6E6BEA03"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setting up computerized frequency management and monitoring systems</w:t>
            </w:r>
          </w:p>
        </w:tc>
        <w:tc>
          <w:tcPr>
            <w:tcW w:w="1889" w:type="dxa"/>
            <w:tcMar>
              <w:top w:w="0" w:type="dxa"/>
              <w:left w:w="108" w:type="dxa"/>
              <w:bottom w:w="0" w:type="dxa"/>
              <w:right w:w="108" w:type="dxa"/>
            </w:tcMar>
            <w:hideMark/>
          </w:tcPr>
          <w:p w14:paraId="3CFD6662"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154AD380" w14:textId="77777777" w:rsidTr="00A23C7D">
        <w:trPr>
          <w:jc w:val="center"/>
        </w:trPr>
        <w:tc>
          <w:tcPr>
            <w:tcW w:w="7730" w:type="dxa"/>
            <w:tcMar>
              <w:top w:w="0" w:type="dxa"/>
              <w:left w:w="108" w:type="dxa"/>
              <w:bottom w:w="0" w:type="dxa"/>
              <w:right w:w="108" w:type="dxa"/>
            </w:tcMar>
            <w:hideMark/>
          </w:tcPr>
          <w:p w14:paraId="19A6B385"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Economic and financial aspects of spectrum management</w:t>
            </w:r>
          </w:p>
        </w:tc>
        <w:tc>
          <w:tcPr>
            <w:tcW w:w="1889" w:type="dxa"/>
            <w:tcMar>
              <w:top w:w="0" w:type="dxa"/>
              <w:left w:w="108" w:type="dxa"/>
              <w:bottom w:w="0" w:type="dxa"/>
              <w:right w:w="108" w:type="dxa"/>
            </w:tcMar>
            <w:hideMark/>
          </w:tcPr>
          <w:p w14:paraId="2B41C5B7"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613D8602" w14:textId="77777777" w:rsidTr="00A23C7D">
        <w:trPr>
          <w:jc w:val="center"/>
        </w:trPr>
        <w:tc>
          <w:tcPr>
            <w:tcW w:w="7730" w:type="dxa"/>
            <w:tcMar>
              <w:top w:w="0" w:type="dxa"/>
              <w:left w:w="108" w:type="dxa"/>
              <w:bottom w:w="0" w:type="dxa"/>
              <w:right w:w="108" w:type="dxa"/>
            </w:tcMar>
            <w:hideMark/>
          </w:tcPr>
          <w:p w14:paraId="72A09D0E"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preparations for world radiocommunication conferences (WRC) and with follow-up and implementation of WRC decisions</w:t>
            </w:r>
          </w:p>
        </w:tc>
        <w:tc>
          <w:tcPr>
            <w:tcW w:w="1889" w:type="dxa"/>
            <w:tcMar>
              <w:top w:w="0" w:type="dxa"/>
              <w:left w:w="108" w:type="dxa"/>
              <w:bottom w:w="0" w:type="dxa"/>
              <w:right w:w="108" w:type="dxa"/>
            </w:tcMar>
            <w:hideMark/>
          </w:tcPr>
          <w:p w14:paraId="16B60DD6"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462507C8" w14:textId="77777777" w:rsidTr="00A23C7D">
        <w:trPr>
          <w:jc w:val="center"/>
        </w:trPr>
        <w:tc>
          <w:tcPr>
            <w:tcW w:w="7730" w:type="dxa"/>
            <w:tcMar>
              <w:top w:w="0" w:type="dxa"/>
              <w:left w:w="108" w:type="dxa"/>
              <w:bottom w:w="0" w:type="dxa"/>
              <w:right w:w="108" w:type="dxa"/>
            </w:tcMar>
            <w:hideMark/>
          </w:tcPr>
          <w:p w14:paraId="104AEE92"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participation in the work of the relevant ITU-R study groups and their working parties</w:t>
            </w:r>
          </w:p>
        </w:tc>
        <w:tc>
          <w:tcPr>
            <w:tcW w:w="1889" w:type="dxa"/>
            <w:tcMar>
              <w:top w:w="0" w:type="dxa"/>
              <w:left w:w="108" w:type="dxa"/>
              <w:bottom w:w="0" w:type="dxa"/>
              <w:right w:w="108" w:type="dxa"/>
            </w:tcMar>
            <w:hideMark/>
          </w:tcPr>
          <w:p w14:paraId="25AF0379"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54E7EBC7" w14:textId="77777777" w:rsidTr="00A23C7D">
        <w:trPr>
          <w:jc w:val="center"/>
        </w:trPr>
        <w:tc>
          <w:tcPr>
            <w:tcW w:w="7730" w:type="dxa"/>
            <w:tcMar>
              <w:top w:w="0" w:type="dxa"/>
              <w:left w:w="108" w:type="dxa"/>
              <w:bottom w:w="0" w:type="dxa"/>
              <w:right w:w="108" w:type="dxa"/>
            </w:tcMar>
            <w:hideMark/>
          </w:tcPr>
          <w:p w14:paraId="15A860CC"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Transition to digital terrestrial television broadcasting</w:t>
            </w:r>
          </w:p>
        </w:tc>
        <w:tc>
          <w:tcPr>
            <w:tcW w:w="1889" w:type="dxa"/>
            <w:tcMar>
              <w:top w:w="0" w:type="dxa"/>
              <w:left w:w="108" w:type="dxa"/>
              <w:bottom w:w="0" w:type="dxa"/>
              <w:right w:w="108" w:type="dxa"/>
            </w:tcMar>
            <w:hideMark/>
          </w:tcPr>
          <w:p w14:paraId="77961D1D"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3A0FB15B" w14:textId="77777777" w:rsidTr="00A23C7D">
        <w:trPr>
          <w:jc w:val="center"/>
        </w:trPr>
        <w:tc>
          <w:tcPr>
            <w:tcW w:w="7730" w:type="dxa"/>
            <w:tcMar>
              <w:top w:w="0" w:type="dxa"/>
              <w:left w:w="108" w:type="dxa"/>
              <w:bottom w:w="0" w:type="dxa"/>
              <w:right w:w="108" w:type="dxa"/>
            </w:tcMar>
            <w:hideMark/>
          </w:tcPr>
          <w:p w14:paraId="604D1013"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identifying the most efficient ways to utilize the digital dividend</w:t>
            </w:r>
          </w:p>
        </w:tc>
        <w:tc>
          <w:tcPr>
            <w:tcW w:w="1889" w:type="dxa"/>
            <w:tcMar>
              <w:top w:w="0" w:type="dxa"/>
              <w:left w:w="108" w:type="dxa"/>
              <w:bottom w:w="0" w:type="dxa"/>
              <w:right w:w="108" w:type="dxa"/>
            </w:tcMar>
            <w:hideMark/>
          </w:tcPr>
          <w:p w14:paraId="076EA07E"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76557B4E" w14:textId="77777777" w:rsidTr="00A23C7D">
        <w:trPr>
          <w:jc w:val="center"/>
        </w:trPr>
        <w:tc>
          <w:tcPr>
            <w:tcW w:w="7730" w:type="dxa"/>
            <w:tcMar>
              <w:top w:w="0" w:type="dxa"/>
              <w:left w:w="108" w:type="dxa"/>
              <w:bottom w:w="0" w:type="dxa"/>
              <w:right w:w="108" w:type="dxa"/>
            </w:tcMar>
            <w:hideMark/>
          </w:tcPr>
          <w:p w14:paraId="0713B0A7"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Emerging technologies and approaches in using spectrum</w:t>
            </w:r>
          </w:p>
        </w:tc>
        <w:tc>
          <w:tcPr>
            <w:tcW w:w="1889" w:type="dxa"/>
            <w:tcMar>
              <w:top w:w="0" w:type="dxa"/>
              <w:left w:w="108" w:type="dxa"/>
              <w:bottom w:w="0" w:type="dxa"/>
              <w:right w:w="108" w:type="dxa"/>
            </w:tcMar>
            <w:hideMark/>
          </w:tcPr>
          <w:p w14:paraId="196C99D0"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4</w:t>
            </w:r>
          </w:p>
        </w:tc>
      </w:tr>
      <w:tr w:rsidR="00A63D1D" w:rsidRPr="00FA4573" w14:paraId="44AB9356" w14:textId="77777777" w:rsidTr="00A23C7D">
        <w:trPr>
          <w:jc w:val="center"/>
        </w:trPr>
        <w:tc>
          <w:tcPr>
            <w:tcW w:w="7730" w:type="dxa"/>
            <w:tcMar>
              <w:top w:w="0" w:type="dxa"/>
              <w:left w:w="108" w:type="dxa"/>
              <w:bottom w:w="0" w:type="dxa"/>
              <w:right w:w="108" w:type="dxa"/>
            </w:tcMar>
            <w:hideMark/>
          </w:tcPr>
          <w:p w14:paraId="486848C3"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Innovative ways of spectrum licensing</w:t>
            </w:r>
          </w:p>
        </w:tc>
        <w:tc>
          <w:tcPr>
            <w:tcW w:w="1889" w:type="dxa"/>
            <w:tcMar>
              <w:top w:w="0" w:type="dxa"/>
              <w:left w:w="108" w:type="dxa"/>
              <w:bottom w:w="0" w:type="dxa"/>
              <w:right w:w="108" w:type="dxa"/>
            </w:tcMar>
            <w:hideMark/>
          </w:tcPr>
          <w:p w14:paraId="63BC2A31"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13232394" w14:textId="77777777" w:rsidTr="00A23C7D">
        <w:trPr>
          <w:jc w:val="center"/>
        </w:trPr>
        <w:tc>
          <w:tcPr>
            <w:tcW w:w="7730" w:type="dxa"/>
            <w:tcMar>
              <w:top w:w="0" w:type="dxa"/>
              <w:left w:w="108" w:type="dxa"/>
              <w:bottom w:w="0" w:type="dxa"/>
              <w:right w:w="108" w:type="dxa"/>
            </w:tcMar>
            <w:hideMark/>
          </w:tcPr>
          <w:p w14:paraId="0540158D"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with interference caused by devices in derogation of national spectrum allocations</w:t>
            </w:r>
          </w:p>
        </w:tc>
        <w:tc>
          <w:tcPr>
            <w:tcW w:w="1889" w:type="dxa"/>
            <w:tcMar>
              <w:top w:w="0" w:type="dxa"/>
              <w:left w:w="108" w:type="dxa"/>
              <w:bottom w:w="0" w:type="dxa"/>
              <w:right w:w="108" w:type="dxa"/>
            </w:tcMar>
            <w:hideMark/>
          </w:tcPr>
          <w:p w14:paraId="06876465"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52041499" w14:textId="77777777" w:rsidTr="00A23C7D">
        <w:trPr>
          <w:jc w:val="center"/>
        </w:trPr>
        <w:tc>
          <w:tcPr>
            <w:tcW w:w="7730" w:type="dxa"/>
            <w:tcMar>
              <w:top w:w="0" w:type="dxa"/>
              <w:left w:w="108" w:type="dxa"/>
              <w:bottom w:w="0" w:type="dxa"/>
              <w:right w:w="108" w:type="dxa"/>
            </w:tcMar>
            <w:hideMark/>
          </w:tcPr>
          <w:p w14:paraId="461890AC" w14:textId="77777777" w:rsidR="00A63D1D" w:rsidRPr="00FA4573" w:rsidRDefault="00A63D1D" w:rsidP="00A63D1D">
            <w:pPr>
              <w:pStyle w:val="NormalWeb"/>
              <w:numPr>
                <w:ilvl w:val="0"/>
                <w:numId w:val="32"/>
              </w:numPr>
              <w:spacing w:before="40" w:beforeAutospacing="0" w:after="40" w:afterAutospacing="0"/>
              <w:rPr>
                <w:rFonts w:asciiTheme="minorHAnsi" w:hAnsiTheme="minorHAnsi" w:cstheme="minorHAnsi"/>
                <w:bCs/>
                <w:color w:val="201F1E"/>
                <w:sz w:val="22"/>
                <w:szCs w:val="22"/>
              </w:rPr>
            </w:pPr>
            <w:r w:rsidRPr="00FA4573">
              <w:rPr>
                <w:rFonts w:asciiTheme="minorHAnsi" w:hAnsiTheme="minorHAnsi" w:cstheme="minorHAnsi"/>
                <w:color w:val="000000"/>
                <w:sz w:val="22"/>
                <w:szCs w:val="22"/>
                <w:bdr w:val="none" w:sz="0" w:space="0" w:color="auto" w:frame="1"/>
              </w:rPr>
              <w:t>Assistance in resolving seasonal interference caused by anomalous propagation of radiowaves</w:t>
            </w:r>
          </w:p>
        </w:tc>
        <w:tc>
          <w:tcPr>
            <w:tcW w:w="1889" w:type="dxa"/>
            <w:tcMar>
              <w:top w:w="0" w:type="dxa"/>
              <w:left w:w="108" w:type="dxa"/>
              <w:bottom w:w="0" w:type="dxa"/>
              <w:right w:w="108" w:type="dxa"/>
            </w:tcMar>
            <w:hideMark/>
          </w:tcPr>
          <w:p w14:paraId="37730142"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rPr>
            </w:pPr>
          </w:p>
        </w:tc>
      </w:tr>
      <w:tr w:rsidR="00A63D1D" w:rsidRPr="00FA4573" w14:paraId="79BA08DA" w14:textId="77777777" w:rsidTr="00A23C7D">
        <w:trPr>
          <w:jc w:val="center"/>
        </w:trPr>
        <w:tc>
          <w:tcPr>
            <w:tcW w:w="7730" w:type="dxa"/>
            <w:tcMar>
              <w:top w:w="0" w:type="dxa"/>
              <w:left w:w="108" w:type="dxa"/>
              <w:bottom w:w="0" w:type="dxa"/>
              <w:right w:w="108" w:type="dxa"/>
            </w:tcMar>
            <w:hideMark/>
          </w:tcPr>
          <w:p w14:paraId="01970056" w14:textId="77777777" w:rsidR="00A63D1D" w:rsidRPr="00FA4573" w:rsidRDefault="00A63D1D" w:rsidP="00A23C7D">
            <w:pPr>
              <w:pStyle w:val="NormalWeb"/>
              <w:spacing w:before="40" w:beforeAutospacing="0" w:after="40" w:afterAutospacing="0"/>
              <w:rPr>
                <w:rFonts w:asciiTheme="minorHAnsi" w:hAnsiTheme="minorHAnsi" w:cstheme="minorHAnsi"/>
                <w:b/>
                <w:color w:val="201F1E"/>
                <w:sz w:val="22"/>
                <w:szCs w:val="22"/>
              </w:rPr>
            </w:pPr>
            <w:r w:rsidRPr="00FA4573">
              <w:rPr>
                <w:rFonts w:asciiTheme="minorHAnsi" w:hAnsiTheme="minorHAnsi" w:cstheme="minorHAnsi"/>
                <w:b/>
                <w:color w:val="201F1E"/>
                <w:sz w:val="22"/>
                <w:szCs w:val="22"/>
                <w:bdr w:val="none" w:sz="0" w:space="0" w:color="auto" w:frame="1"/>
              </w:rPr>
              <w:t>Total</w:t>
            </w:r>
          </w:p>
        </w:tc>
        <w:tc>
          <w:tcPr>
            <w:tcW w:w="1889" w:type="dxa"/>
            <w:tcMar>
              <w:top w:w="0" w:type="dxa"/>
              <w:left w:w="108" w:type="dxa"/>
              <w:bottom w:w="0" w:type="dxa"/>
              <w:right w:w="108" w:type="dxa"/>
            </w:tcMar>
            <w:hideMark/>
          </w:tcPr>
          <w:p w14:paraId="18F4930D" w14:textId="77777777" w:rsidR="00A63D1D" w:rsidRPr="00FA4573" w:rsidRDefault="00A63D1D" w:rsidP="00A23C7D">
            <w:pPr>
              <w:pStyle w:val="NormalWeb"/>
              <w:spacing w:before="40" w:beforeAutospacing="0" w:after="40" w:afterAutospacing="0"/>
              <w:jc w:val="center"/>
              <w:rPr>
                <w:rFonts w:asciiTheme="minorHAnsi" w:hAnsiTheme="minorHAnsi" w:cstheme="minorHAnsi"/>
                <w:color w:val="201F1E"/>
                <w:sz w:val="22"/>
                <w:szCs w:val="22"/>
                <w:lang w:eastAsia="ko-KR"/>
              </w:rPr>
            </w:pPr>
            <w:r w:rsidRPr="00FA4573">
              <w:rPr>
                <w:rFonts w:asciiTheme="minorHAnsi" w:hAnsiTheme="minorHAnsi" w:cstheme="minorHAnsi" w:hint="eastAsia"/>
                <w:color w:val="201F1E"/>
                <w:sz w:val="22"/>
                <w:szCs w:val="22"/>
                <w:lang w:eastAsia="ko-KR"/>
              </w:rPr>
              <w:t>11</w:t>
            </w:r>
          </w:p>
        </w:tc>
      </w:tr>
    </w:tbl>
    <w:p w14:paraId="7844E894" w14:textId="77777777" w:rsidR="002172DB" w:rsidRDefault="002172DB" w:rsidP="00A63D1D">
      <w:pPr>
        <w:tabs>
          <w:tab w:val="clear" w:pos="1134"/>
          <w:tab w:val="clear" w:pos="1871"/>
          <w:tab w:val="clear" w:pos="2268"/>
        </w:tabs>
        <w:overflowPunct/>
        <w:autoSpaceDE/>
        <w:autoSpaceDN/>
        <w:adjustRightInd/>
        <w:spacing w:before="0"/>
        <w:textAlignment w:val="auto"/>
        <w:rPr>
          <w:rFonts w:cstheme="minorHAnsi"/>
        </w:rPr>
      </w:pPr>
    </w:p>
    <w:p w14:paraId="00BA6A23" w14:textId="32C630A5" w:rsidR="008311B3" w:rsidRDefault="006744CA" w:rsidP="006744CA">
      <w:pPr>
        <w:tabs>
          <w:tab w:val="clear" w:pos="1134"/>
          <w:tab w:val="clear" w:pos="1871"/>
          <w:tab w:val="clear" w:pos="2268"/>
        </w:tabs>
        <w:overflowPunct/>
        <w:autoSpaceDE/>
        <w:autoSpaceDN/>
        <w:adjustRightInd/>
        <w:spacing w:before="0"/>
        <w:jc w:val="center"/>
        <w:textAlignment w:val="auto"/>
        <w:rPr>
          <w:rFonts w:cstheme="minorHAnsi"/>
        </w:rPr>
      </w:pPr>
      <w:r>
        <w:rPr>
          <w:rFonts w:cstheme="minorHAnsi"/>
        </w:rPr>
        <w:t>________________</w:t>
      </w:r>
    </w:p>
    <w:sectPr w:rsidR="008311B3" w:rsidSect="00A63D1D">
      <w:headerReference w:type="default" r:id="rId180"/>
      <w:footerReference w:type="even" r:id="rId181"/>
      <w:headerReference w:type="first" r:id="rId182"/>
      <w:footerReference w:type="first" r:id="rId183"/>
      <w:pgSz w:w="11907" w:h="16840" w:code="9"/>
      <w:pgMar w:top="1418" w:right="1134" w:bottom="1418" w:left="1134" w:header="720" w:footer="720"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79C1" w14:textId="77777777" w:rsidR="00196F5F" w:rsidRDefault="00196F5F">
      <w:r>
        <w:separator/>
      </w:r>
    </w:p>
  </w:endnote>
  <w:endnote w:type="continuationSeparator" w:id="0">
    <w:p w14:paraId="3BF43DF1" w14:textId="77777777" w:rsidR="00196F5F" w:rsidRDefault="0019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A63D1D" w:rsidRPr="004D495C" w14:paraId="21B51048" w14:textId="77777777" w:rsidTr="00A23C7D">
      <w:tc>
        <w:tcPr>
          <w:tcW w:w="1526" w:type="dxa"/>
          <w:tcBorders>
            <w:top w:val="single" w:sz="4" w:space="0" w:color="000000"/>
          </w:tcBorders>
        </w:tcPr>
        <w:p w14:paraId="6B61BEC1" w14:textId="77777777" w:rsidR="00A63D1D" w:rsidRPr="00E53534" w:rsidRDefault="00A63D1D" w:rsidP="00E53534">
          <w:pPr>
            <w:pStyle w:val="FirstFooter"/>
            <w:tabs>
              <w:tab w:val="left" w:pos="1559"/>
              <w:tab w:val="left" w:pos="3828"/>
            </w:tabs>
            <w:rPr>
              <w:sz w:val="18"/>
              <w:szCs w:val="18"/>
            </w:rPr>
          </w:pPr>
          <w:r w:rsidRPr="00E53534">
            <w:rPr>
              <w:sz w:val="18"/>
              <w:szCs w:val="18"/>
              <w:lang w:val="en-US"/>
            </w:rPr>
            <w:t>Contact:</w:t>
          </w:r>
        </w:p>
      </w:tc>
      <w:tc>
        <w:tcPr>
          <w:tcW w:w="2410" w:type="dxa"/>
          <w:tcBorders>
            <w:top w:val="single" w:sz="4" w:space="0" w:color="000000"/>
          </w:tcBorders>
        </w:tcPr>
        <w:p w14:paraId="1FDFF46A" w14:textId="77777777" w:rsidR="00A63D1D" w:rsidRPr="00E53534" w:rsidRDefault="00A63D1D" w:rsidP="00E53534">
          <w:pPr>
            <w:pStyle w:val="FirstFooter"/>
            <w:tabs>
              <w:tab w:val="left" w:pos="2302"/>
            </w:tabs>
            <w:ind w:left="2302" w:hanging="2302"/>
            <w:rPr>
              <w:sz w:val="18"/>
              <w:szCs w:val="18"/>
              <w:lang w:val="en-US"/>
            </w:rPr>
          </w:pPr>
          <w:r w:rsidRPr="00E53534">
            <w:rPr>
              <w:sz w:val="18"/>
              <w:szCs w:val="18"/>
              <w:lang w:val="en-US"/>
            </w:rPr>
            <w:t>Name/Organization/Entity:</w:t>
          </w:r>
        </w:p>
      </w:tc>
      <w:tc>
        <w:tcPr>
          <w:tcW w:w="5987" w:type="dxa"/>
          <w:tcBorders>
            <w:top w:val="single" w:sz="4" w:space="0" w:color="000000"/>
          </w:tcBorders>
        </w:tcPr>
        <w:p w14:paraId="6DB05B8D" w14:textId="77777777" w:rsidR="00A63D1D" w:rsidRPr="00E53534" w:rsidRDefault="00A63D1D" w:rsidP="00E53534">
          <w:pPr>
            <w:pStyle w:val="FirstFooter"/>
            <w:tabs>
              <w:tab w:val="left" w:pos="2302"/>
            </w:tabs>
            <w:ind w:left="2302" w:hanging="2302"/>
            <w:rPr>
              <w:sz w:val="18"/>
              <w:szCs w:val="18"/>
              <w:highlight w:val="yellow"/>
              <w:lang w:val="en-US"/>
            </w:rPr>
          </w:pPr>
          <w:r w:rsidRPr="00E53534">
            <w:rPr>
              <w:sz w:val="18"/>
              <w:szCs w:val="18"/>
            </w:rPr>
            <w:t xml:space="preserve">Mr </w:t>
          </w:r>
          <w:r w:rsidRPr="00E53534">
            <w:rPr>
              <w:sz w:val="18"/>
              <w:szCs w:val="18"/>
              <w:lang w:val="en-US"/>
            </w:rPr>
            <w:t>Fadel Digham, Chair, ITU-D Study Group 2</w:t>
          </w:r>
        </w:p>
      </w:tc>
    </w:tr>
    <w:tr w:rsidR="00A63D1D" w:rsidRPr="004D495C" w14:paraId="72EC69CA" w14:textId="77777777" w:rsidTr="00A23C7D">
      <w:tc>
        <w:tcPr>
          <w:tcW w:w="1526" w:type="dxa"/>
        </w:tcPr>
        <w:p w14:paraId="3A3E6EE7" w14:textId="77777777" w:rsidR="00A63D1D" w:rsidRPr="00E53534" w:rsidRDefault="00A63D1D" w:rsidP="00E53534">
          <w:pPr>
            <w:pStyle w:val="FirstFooter"/>
            <w:tabs>
              <w:tab w:val="left" w:pos="1559"/>
              <w:tab w:val="left" w:pos="3828"/>
            </w:tabs>
            <w:rPr>
              <w:sz w:val="18"/>
              <w:szCs w:val="18"/>
              <w:lang w:val="en-US"/>
            </w:rPr>
          </w:pPr>
        </w:p>
      </w:tc>
      <w:tc>
        <w:tcPr>
          <w:tcW w:w="2410" w:type="dxa"/>
        </w:tcPr>
        <w:p w14:paraId="0831581B" w14:textId="77777777" w:rsidR="00A63D1D" w:rsidRPr="00E53534" w:rsidRDefault="00A63D1D" w:rsidP="00E53534">
          <w:pPr>
            <w:pStyle w:val="FirstFooter"/>
            <w:tabs>
              <w:tab w:val="left" w:pos="2302"/>
            </w:tabs>
            <w:rPr>
              <w:sz w:val="18"/>
              <w:szCs w:val="18"/>
              <w:lang w:val="en-US"/>
            </w:rPr>
          </w:pPr>
          <w:r w:rsidRPr="00E53534">
            <w:rPr>
              <w:sz w:val="18"/>
              <w:szCs w:val="18"/>
              <w:lang w:val="en-US"/>
            </w:rPr>
            <w:t>Phone number:</w:t>
          </w:r>
        </w:p>
      </w:tc>
      <w:tc>
        <w:tcPr>
          <w:tcW w:w="5987" w:type="dxa"/>
        </w:tcPr>
        <w:p w14:paraId="680DC285" w14:textId="77777777" w:rsidR="00A63D1D" w:rsidRPr="00E53534" w:rsidRDefault="00A63D1D" w:rsidP="00E53534">
          <w:pPr>
            <w:pStyle w:val="FirstFooter"/>
            <w:tabs>
              <w:tab w:val="left" w:pos="2302"/>
            </w:tabs>
            <w:rPr>
              <w:sz w:val="18"/>
              <w:szCs w:val="18"/>
              <w:highlight w:val="yellow"/>
              <w:lang w:val="en-US"/>
            </w:rPr>
          </w:pPr>
          <w:r w:rsidRPr="00E53534">
            <w:rPr>
              <w:bCs/>
              <w:sz w:val="18"/>
              <w:szCs w:val="18"/>
            </w:rPr>
            <w:t>+20 100225 8599</w:t>
          </w:r>
        </w:p>
      </w:tc>
    </w:tr>
    <w:tr w:rsidR="00A63D1D" w:rsidRPr="004D495C" w14:paraId="3B7ABD51" w14:textId="77777777" w:rsidTr="00A23C7D">
      <w:tc>
        <w:tcPr>
          <w:tcW w:w="1526" w:type="dxa"/>
        </w:tcPr>
        <w:p w14:paraId="72A365C9" w14:textId="77777777" w:rsidR="00A63D1D" w:rsidRPr="00E53534" w:rsidRDefault="00A63D1D" w:rsidP="00E53534">
          <w:pPr>
            <w:pStyle w:val="FirstFooter"/>
            <w:tabs>
              <w:tab w:val="left" w:pos="1559"/>
              <w:tab w:val="left" w:pos="3828"/>
            </w:tabs>
            <w:rPr>
              <w:sz w:val="18"/>
              <w:szCs w:val="18"/>
              <w:lang w:val="en-US"/>
            </w:rPr>
          </w:pPr>
        </w:p>
      </w:tc>
      <w:tc>
        <w:tcPr>
          <w:tcW w:w="2410" w:type="dxa"/>
        </w:tcPr>
        <w:p w14:paraId="0184D685" w14:textId="77777777" w:rsidR="00A63D1D" w:rsidRPr="00E53534" w:rsidRDefault="00A63D1D" w:rsidP="00E53534">
          <w:pPr>
            <w:pStyle w:val="FirstFooter"/>
            <w:tabs>
              <w:tab w:val="left" w:pos="2302"/>
            </w:tabs>
            <w:rPr>
              <w:sz w:val="18"/>
              <w:szCs w:val="18"/>
              <w:lang w:val="en-US"/>
            </w:rPr>
          </w:pPr>
          <w:r w:rsidRPr="00E53534">
            <w:rPr>
              <w:sz w:val="18"/>
              <w:szCs w:val="18"/>
              <w:lang w:val="en-US"/>
            </w:rPr>
            <w:t>E-mail:</w:t>
          </w:r>
        </w:p>
      </w:tc>
      <w:tc>
        <w:tcPr>
          <w:tcW w:w="5987" w:type="dxa"/>
        </w:tcPr>
        <w:p w14:paraId="60266197" w14:textId="77777777" w:rsidR="00A63D1D" w:rsidRPr="00E53534" w:rsidRDefault="00A63D1D" w:rsidP="00E53534">
          <w:pPr>
            <w:pStyle w:val="FirstFooter"/>
            <w:tabs>
              <w:tab w:val="left" w:pos="2302"/>
            </w:tabs>
            <w:rPr>
              <w:sz w:val="18"/>
              <w:szCs w:val="18"/>
              <w:highlight w:val="yellow"/>
              <w:lang w:val="en-US"/>
            </w:rPr>
          </w:pPr>
          <w:hyperlink r:id="rId1" w:history="1">
            <w:r w:rsidRPr="00E53534">
              <w:rPr>
                <w:rStyle w:val="Hyperlink"/>
                <w:sz w:val="18"/>
                <w:szCs w:val="18"/>
                <w:lang w:val="en-US"/>
              </w:rPr>
              <w:t>fdigham@tra.gov.eg</w:t>
            </w:r>
          </w:hyperlink>
          <w:r w:rsidRPr="00E53534">
            <w:rPr>
              <w:sz w:val="18"/>
              <w:szCs w:val="18"/>
              <w:lang w:val="en-US"/>
            </w:rPr>
            <w:t xml:space="preserve">; </w:t>
          </w:r>
          <w:hyperlink r:id="rId2" w:history="1">
            <w:r w:rsidRPr="00E53534">
              <w:rPr>
                <w:rStyle w:val="Hyperlink"/>
                <w:sz w:val="18"/>
                <w:szCs w:val="18"/>
                <w:lang w:val="en-US"/>
              </w:rPr>
              <w:t>fadel.digham@gmail.com</w:t>
            </w:r>
          </w:hyperlink>
        </w:p>
      </w:tc>
    </w:tr>
  </w:tbl>
  <w:p w14:paraId="6EBD9B19" w14:textId="1C04D0E0" w:rsidR="00A63D1D" w:rsidRDefault="00861398" w:rsidP="00861398">
    <w:pPr>
      <w:jc w:val="center"/>
    </w:pPr>
    <w:hyperlink r:id="rId3" w:history="1">
      <w:r w:rsidRPr="001260B7">
        <w:rPr>
          <w:rStyle w:val="Hyperlink"/>
          <w:sz w:val="20"/>
        </w:rPr>
        <w:t>WTDC</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5812" w14:textId="77777777" w:rsidR="00A63D1D" w:rsidRDefault="00A63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8164" w14:textId="77777777" w:rsidR="00E45D05" w:rsidRDefault="00E45D05">
    <w:pPr>
      <w:framePr w:wrap="around" w:vAnchor="text" w:hAnchor="margin" w:xAlign="right" w:y="1"/>
    </w:pPr>
    <w:r>
      <w:fldChar w:fldCharType="begin"/>
    </w:r>
    <w:r>
      <w:instrText xml:space="preserve">PAGE  </w:instrText>
    </w:r>
    <w:r>
      <w:fldChar w:fldCharType="end"/>
    </w:r>
  </w:p>
  <w:p w14:paraId="32A9A36F" w14:textId="0CD3F0D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04067">
      <w:rPr>
        <w:noProof/>
        <w:lang w:val="en-US"/>
      </w:rPr>
      <w:t>C:\Documents and Settings\murphy\My Documents\WCIT12 templates\WCIT12-E.docx</w:t>
    </w:r>
    <w:r>
      <w:fldChar w:fldCharType="end"/>
    </w:r>
    <w:r w:rsidRPr="0041348E">
      <w:rPr>
        <w:lang w:val="en-US"/>
      </w:rPr>
      <w:tab/>
    </w:r>
    <w:r>
      <w:fldChar w:fldCharType="begin"/>
    </w:r>
    <w:r>
      <w:instrText xml:space="preserve"> SAVEDATE \@ DD.MM.YY </w:instrText>
    </w:r>
    <w:r>
      <w:fldChar w:fldCharType="separate"/>
    </w:r>
    <w:r w:rsidR="00B66E71">
      <w:rPr>
        <w:noProof/>
      </w:rPr>
      <w:t>01.10.25</w:t>
    </w:r>
    <w:r>
      <w:fldChar w:fldCharType="end"/>
    </w:r>
    <w:r w:rsidRPr="0041348E">
      <w:rPr>
        <w:lang w:val="en-US"/>
      </w:rPr>
      <w:tab/>
    </w:r>
    <w:r>
      <w:fldChar w:fldCharType="begin"/>
    </w:r>
    <w:r>
      <w:instrText xml:space="preserve"> PRINTDATE \@ DD.MM.YY </w:instrText>
    </w:r>
    <w:r>
      <w:fldChar w:fldCharType="separate"/>
    </w:r>
    <w:r w:rsidR="00F04067">
      <w:rPr>
        <w:noProof/>
      </w:rPr>
      <w:t>24.08.11</w:t>
    </w:r>
    <w:r>
      <w:fldChar w:fldCharType="end"/>
    </w:r>
  </w:p>
  <w:p w14:paraId="55FB7E8C" w14:textId="77777777" w:rsidR="00A23C7D" w:rsidRDefault="00A23C7D"/>
  <w:p w14:paraId="20AC0897" w14:textId="77777777" w:rsidR="00A23C7D" w:rsidRDefault="00A23C7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2172DB" w:rsidRPr="004F2FAA" w14:paraId="647A0904" w14:textId="77777777" w:rsidTr="002172DB">
      <w:tc>
        <w:tcPr>
          <w:tcW w:w="1526" w:type="dxa"/>
          <w:tcBorders>
            <w:top w:val="single" w:sz="4" w:space="0" w:color="000000"/>
          </w:tcBorders>
        </w:tcPr>
        <w:p w14:paraId="2BEC923F" w14:textId="77777777" w:rsidR="002172DB" w:rsidRPr="004F2FAA" w:rsidRDefault="002172DB" w:rsidP="002172DB">
          <w:pPr>
            <w:pStyle w:val="FirstFooter"/>
            <w:tabs>
              <w:tab w:val="left" w:pos="1559"/>
              <w:tab w:val="left" w:pos="3828"/>
            </w:tabs>
            <w:rPr>
              <w:rFonts w:cstheme="minorHAnsi"/>
              <w:sz w:val="18"/>
              <w:szCs w:val="18"/>
            </w:rPr>
          </w:pPr>
          <w:r w:rsidRPr="004F2FAA">
            <w:rPr>
              <w:rFonts w:cstheme="minorHAnsi"/>
              <w:sz w:val="18"/>
              <w:szCs w:val="18"/>
            </w:rPr>
            <w:t>Contact:</w:t>
          </w:r>
        </w:p>
      </w:tc>
      <w:tc>
        <w:tcPr>
          <w:tcW w:w="2410" w:type="dxa"/>
          <w:tcBorders>
            <w:top w:val="single" w:sz="4" w:space="0" w:color="000000"/>
          </w:tcBorders>
        </w:tcPr>
        <w:p w14:paraId="2DB34B10" w14:textId="77777777" w:rsidR="002172DB" w:rsidRPr="004F2FAA" w:rsidRDefault="002172DB" w:rsidP="002172DB">
          <w:pPr>
            <w:pStyle w:val="FirstFooter"/>
            <w:tabs>
              <w:tab w:val="left" w:pos="2302"/>
            </w:tabs>
            <w:ind w:left="2302" w:hanging="2302"/>
            <w:rPr>
              <w:rFonts w:cstheme="minorHAnsi"/>
              <w:sz w:val="18"/>
              <w:szCs w:val="18"/>
            </w:rPr>
          </w:pPr>
          <w:r w:rsidRPr="004F2FAA">
            <w:rPr>
              <w:rFonts w:cstheme="minorHAnsi"/>
              <w:sz w:val="18"/>
              <w:szCs w:val="18"/>
            </w:rPr>
            <w:t>Name/Organization/Entity:</w:t>
          </w:r>
        </w:p>
      </w:tc>
      <w:tc>
        <w:tcPr>
          <w:tcW w:w="5987" w:type="dxa"/>
          <w:tcBorders>
            <w:top w:val="single" w:sz="4" w:space="0" w:color="000000"/>
          </w:tcBorders>
        </w:tcPr>
        <w:p w14:paraId="107EDA06" w14:textId="59871CF3" w:rsidR="002172DB" w:rsidRPr="004F2FAA" w:rsidRDefault="002172DB" w:rsidP="002172DB">
          <w:pPr>
            <w:pStyle w:val="FirstFooter"/>
            <w:tabs>
              <w:tab w:val="left" w:pos="2302"/>
            </w:tabs>
            <w:rPr>
              <w:rFonts w:cstheme="minorHAnsi"/>
              <w:sz w:val="18"/>
              <w:szCs w:val="18"/>
            </w:rPr>
          </w:pPr>
          <w:r w:rsidRPr="00C16F87">
            <w:rPr>
              <w:sz w:val="18"/>
              <w:szCs w:val="18"/>
            </w:rPr>
            <w:t xml:space="preserve">Mr </w:t>
          </w:r>
          <w:r w:rsidRPr="00C16F87">
            <w:rPr>
              <w:sz w:val="18"/>
              <w:szCs w:val="18"/>
              <w:lang w:val="en-US"/>
            </w:rPr>
            <w:t>Fadel Digham, Chair</w:t>
          </w:r>
          <w:r w:rsidRPr="004F6CC8">
            <w:rPr>
              <w:sz w:val="18"/>
              <w:szCs w:val="18"/>
              <w:lang w:val="en-US"/>
            </w:rPr>
            <w:t>, ITU-D Study Group 2</w:t>
          </w:r>
        </w:p>
      </w:tc>
      <w:bookmarkStart w:id="12" w:name="OrgName"/>
      <w:bookmarkEnd w:id="12"/>
    </w:tr>
    <w:tr w:rsidR="002172DB" w:rsidRPr="004F2FAA" w14:paraId="0E5A9A7D" w14:textId="77777777" w:rsidTr="002172DB">
      <w:tc>
        <w:tcPr>
          <w:tcW w:w="1526" w:type="dxa"/>
        </w:tcPr>
        <w:p w14:paraId="38B8C914" w14:textId="77777777" w:rsidR="002172DB" w:rsidRPr="004F2FAA" w:rsidRDefault="002172DB" w:rsidP="002172DB">
          <w:pPr>
            <w:pStyle w:val="FirstFooter"/>
            <w:tabs>
              <w:tab w:val="left" w:pos="1559"/>
              <w:tab w:val="left" w:pos="3828"/>
            </w:tabs>
            <w:rPr>
              <w:rFonts w:cstheme="minorHAnsi"/>
              <w:sz w:val="18"/>
              <w:szCs w:val="18"/>
            </w:rPr>
          </w:pPr>
        </w:p>
      </w:tc>
      <w:tc>
        <w:tcPr>
          <w:tcW w:w="2410" w:type="dxa"/>
        </w:tcPr>
        <w:p w14:paraId="2406C9F3" w14:textId="77777777" w:rsidR="002172DB" w:rsidRPr="004F2FAA" w:rsidRDefault="002172DB" w:rsidP="002172DB">
          <w:pPr>
            <w:pStyle w:val="FirstFooter"/>
            <w:tabs>
              <w:tab w:val="left" w:pos="2302"/>
            </w:tabs>
            <w:rPr>
              <w:rFonts w:cstheme="minorHAnsi"/>
              <w:sz w:val="18"/>
              <w:szCs w:val="18"/>
            </w:rPr>
          </w:pPr>
          <w:r w:rsidRPr="004F2FAA">
            <w:rPr>
              <w:rFonts w:cstheme="minorHAnsi"/>
              <w:sz w:val="18"/>
              <w:szCs w:val="18"/>
            </w:rPr>
            <w:t>Phone number:</w:t>
          </w:r>
        </w:p>
      </w:tc>
      <w:tc>
        <w:tcPr>
          <w:tcW w:w="5987" w:type="dxa"/>
        </w:tcPr>
        <w:p w14:paraId="34B9794F" w14:textId="2F6E876C" w:rsidR="002172DB" w:rsidRPr="004F2FAA" w:rsidRDefault="002172DB" w:rsidP="002172DB">
          <w:pPr>
            <w:pStyle w:val="FirstFooter"/>
            <w:tabs>
              <w:tab w:val="left" w:pos="2302"/>
            </w:tabs>
            <w:rPr>
              <w:rFonts w:cstheme="minorHAnsi"/>
              <w:sz w:val="18"/>
              <w:szCs w:val="18"/>
            </w:rPr>
          </w:pPr>
          <w:r w:rsidRPr="00C16F87">
            <w:rPr>
              <w:bCs/>
              <w:sz w:val="18"/>
              <w:szCs w:val="18"/>
            </w:rPr>
            <w:t>+20 100225 8599</w:t>
          </w:r>
        </w:p>
      </w:tc>
      <w:bookmarkStart w:id="13" w:name="PhoneNo"/>
      <w:bookmarkEnd w:id="13"/>
    </w:tr>
    <w:tr w:rsidR="002172DB" w:rsidRPr="004F2FAA" w14:paraId="582DBF55" w14:textId="77777777" w:rsidTr="002172DB">
      <w:tc>
        <w:tcPr>
          <w:tcW w:w="1526" w:type="dxa"/>
        </w:tcPr>
        <w:p w14:paraId="44E56395" w14:textId="77777777" w:rsidR="002172DB" w:rsidRPr="004F2FAA" w:rsidRDefault="002172DB" w:rsidP="002172DB">
          <w:pPr>
            <w:pStyle w:val="FirstFooter"/>
            <w:tabs>
              <w:tab w:val="left" w:pos="1559"/>
              <w:tab w:val="left" w:pos="3828"/>
            </w:tabs>
            <w:rPr>
              <w:rFonts w:cstheme="minorHAnsi"/>
              <w:sz w:val="18"/>
              <w:szCs w:val="18"/>
            </w:rPr>
          </w:pPr>
        </w:p>
      </w:tc>
      <w:tc>
        <w:tcPr>
          <w:tcW w:w="2410" w:type="dxa"/>
        </w:tcPr>
        <w:p w14:paraId="2F2A317B" w14:textId="77777777" w:rsidR="002172DB" w:rsidRPr="004F2FAA" w:rsidRDefault="002172DB" w:rsidP="002172DB">
          <w:pPr>
            <w:pStyle w:val="FirstFooter"/>
            <w:tabs>
              <w:tab w:val="left" w:pos="2302"/>
            </w:tabs>
            <w:rPr>
              <w:rFonts w:cstheme="minorHAnsi"/>
              <w:sz w:val="18"/>
              <w:szCs w:val="18"/>
            </w:rPr>
          </w:pPr>
          <w:r w:rsidRPr="004F2FAA">
            <w:rPr>
              <w:rFonts w:cstheme="minorHAnsi"/>
              <w:sz w:val="18"/>
              <w:szCs w:val="18"/>
            </w:rPr>
            <w:t>E-mail:</w:t>
          </w:r>
        </w:p>
      </w:tc>
      <w:tc>
        <w:tcPr>
          <w:tcW w:w="5987" w:type="dxa"/>
        </w:tcPr>
        <w:p w14:paraId="345D1CC7" w14:textId="3E4DF85A" w:rsidR="002172DB" w:rsidRDefault="002172DB" w:rsidP="002172DB">
          <w:pPr>
            <w:pStyle w:val="FirstFooter"/>
            <w:tabs>
              <w:tab w:val="left" w:pos="2302"/>
            </w:tabs>
          </w:pPr>
          <w:hyperlink r:id="rId1" w:history="1">
            <w:r w:rsidRPr="00C16F87">
              <w:rPr>
                <w:rStyle w:val="Hyperlink"/>
                <w:sz w:val="18"/>
                <w:szCs w:val="18"/>
                <w:lang w:val="en-US"/>
              </w:rPr>
              <w:t>fdigham@tra.gov.eg</w:t>
            </w:r>
          </w:hyperlink>
          <w:r w:rsidRPr="00C16F87">
            <w:rPr>
              <w:sz w:val="18"/>
              <w:szCs w:val="18"/>
              <w:lang w:val="en-US"/>
            </w:rPr>
            <w:t xml:space="preserve">; </w:t>
          </w:r>
          <w:hyperlink r:id="rId2" w:history="1">
            <w:r w:rsidRPr="00C16F87">
              <w:rPr>
                <w:rStyle w:val="Hyperlink"/>
                <w:sz w:val="18"/>
                <w:szCs w:val="18"/>
                <w:lang w:val="en-US"/>
              </w:rPr>
              <w:t>fadel.digham@gmail.com</w:t>
            </w:r>
          </w:hyperlink>
        </w:p>
      </w:tc>
      <w:bookmarkStart w:id="14" w:name="Email"/>
      <w:bookmarkEnd w:id="14"/>
    </w:tr>
  </w:tbl>
  <w:p w14:paraId="60A03F6F" w14:textId="6A23C7BD" w:rsidR="00E45D05" w:rsidRPr="00D83BF5" w:rsidRDefault="008B61EA" w:rsidP="00B2076B">
    <w:pPr>
      <w:jc w:val="center"/>
    </w:pPr>
    <w:hyperlink r:id="rId3" w:history="1">
      <w:r w:rsidRPr="001260B7">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DC90" w14:textId="77777777" w:rsidR="00196F5F" w:rsidRDefault="00196F5F">
      <w:r>
        <w:rPr>
          <w:b/>
        </w:rPr>
        <w:t>_______________</w:t>
      </w:r>
    </w:p>
  </w:footnote>
  <w:footnote w:type="continuationSeparator" w:id="0">
    <w:p w14:paraId="70A2B0E7" w14:textId="77777777" w:rsidR="00196F5F" w:rsidRDefault="00196F5F">
      <w:r>
        <w:continuationSeparator/>
      </w:r>
    </w:p>
  </w:footnote>
  <w:footnote w:id="1">
    <w:p w14:paraId="0FF8A118" w14:textId="77777777" w:rsidR="00A63D1D" w:rsidRPr="00F34118" w:rsidRDefault="00A63D1D" w:rsidP="00F34118">
      <w:pPr>
        <w:pStyle w:val="FootnoteText"/>
        <w:spacing w:before="0"/>
        <w:rPr>
          <w:rFonts w:eastAsia="Malgun Gothic"/>
        </w:rPr>
      </w:pPr>
      <w:r w:rsidRPr="00F34118">
        <w:rPr>
          <w:rStyle w:val="FootnoteReference"/>
          <w:sz w:val="20"/>
        </w:rPr>
        <w:footnoteRef/>
      </w:r>
      <w:r w:rsidRPr="00F34118">
        <w:t xml:space="preserve"> </w:t>
      </w:r>
      <w:r w:rsidRPr="00F34118">
        <w:tab/>
        <w:t xml:space="preserve">See </w:t>
      </w:r>
      <w:hyperlink r:id="rId1" w:history="1">
        <w:r w:rsidRPr="00F34118">
          <w:rPr>
            <w:rStyle w:val="Hyperlink"/>
          </w:rPr>
          <w:t>https://www.itu.int/en/ITU-D/Study-Groups/2022-2025/Pages/reference/Ongoing-Work.aspx</w:t>
        </w:r>
      </w:hyperlink>
    </w:p>
  </w:footnote>
  <w:footnote w:id="2">
    <w:p w14:paraId="5048CA2B" w14:textId="77777777" w:rsidR="00A63D1D" w:rsidRPr="00F34118" w:rsidRDefault="00A63D1D" w:rsidP="00F34118">
      <w:pPr>
        <w:pStyle w:val="FootnoteText"/>
        <w:spacing w:before="0"/>
        <w:rPr>
          <w:rFonts w:eastAsia="Malgun Gothic"/>
        </w:rPr>
      </w:pPr>
      <w:r w:rsidRPr="00F34118">
        <w:rPr>
          <w:rStyle w:val="FootnoteReference"/>
          <w:sz w:val="20"/>
        </w:rPr>
        <w:footnoteRef/>
      </w:r>
      <w:r w:rsidRPr="00F34118">
        <w:t xml:space="preserve"> </w:t>
      </w:r>
      <w:r w:rsidRPr="00F34118">
        <w:tab/>
      </w:r>
      <w:r w:rsidRPr="00F34118">
        <w:rPr>
          <w:i/>
          <w:iCs/>
        </w:rPr>
        <w:t>Ibid.</w:t>
      </w:r>
    </w:p>
  </w:footnote>
  <w:footnote w:id="3">
    <w:p w14:paraId="1380B328" w14:textId="77777777" w:rsidR="00A63D1D" w:rsidRPr="00F34118" w:rsidRDefault="00A63D1D" w:rsidP="00F34118">
      <w:pPr>
        <w:pStyle w:val="FootnoteText"/>
        <w:spacing w:before="0"/>
        <w:rPr>
          <w:lang w:val="en-US"/>
        </w:rPr>
      </w:pPr>
      <w:r w:rsidRPr="00F34118">
        <w:rPr>
          <w:rStyle w:val="FootnoteReference"/>
          <w:sz w:val="20"/>
        </w:rPr>
        <w:footnoteRef/>
      </w:r>
      <w:r w:rsidRPr="00F34118">
        <w:tab/>
      </w:r>
      <w:r w:rsidRPr="00F34118">
        <w:rPr>
          <w:rFonts w:cstheme="minorHAnsi"/>
        </w:rPr>
        <w:t xml:space="preserve">See the full list in </w:t>
      </w:r>
      <w:hyperlink r:id="rId2" w:history="1">
        <w:r w:rsidRPr="00F34118">
          <w:rPr>
            <w:rStyle w:val="Hyperlink"/>
          </w:rPr>
          <w:t>https://www.itu.int/en/ITU-D/Study-Groups/2022-2025/Pages/events_workshops.aspx</w:t>
        </w:r>
      </w:hyperlink>
      <w:r w:rsidRPr="00F34118">
        <w:rPr>
          <w:rFonts w:cstheme="minorHAnsi"/>
        </w:rPr>
        <w:t>.</w:t>
      </w:r>
    </w:p>
  </w:footnote>
  <w:footnote w:id="4">
    <w:p w14:paraId="4B65CFB6" w14:textId="308CE760" w:rsidR="00A63D1D" w:rsidRPr="00F34118" w:rsidRDefault="00A63D1D" w:rsidP="00F34118">
      <w:pPr>
        <w:pStyle w:val="FootnoteText"/>
        <w:spacing w:before="0"/>
        <w:rPr>
          <w:rFonts w:eastAsia="Malgun Gothic"/>
          <w:lang w:val="en-US"/>
        </w:rPr>
      </w:pPr>
      <w:r w:rsidRPr="00F34118">
        <w:rPr>
          <w:rStyle w:val="FootnoteReference"/>
          <w:sz w:val="20"/>
        </w:rPr>
        <w:footnoteRef/>
      </w:r>
      <w:r w:rsidR="00F34118">
        <w:tab/>
      </w:r>
      <w:hyperlink r:id="rId3" w:history="1">
        <w:r w:rsidR="00F34118" w:rsidRPr="00085C58">
          <w:rPr>
            <w:rStyle w:val="Hyperlink"/>
          </w:rPr>
          <w:t>https://www.itu.int/en/ITU-D/Regional-Presence/Americas/Pages/EVENTS/2024/cons-awa-2024.aspx</w:t>
        </w:r>
      </w:hyperlink>
    </w:p>
  </w:footnote>
  <w:footnote w:id="5">
    <w:p w14:paraId="1BDE4C37" w14:textId="77777777" w:rsidR="00A63D1D" w:rsidRPr="00F34118" w:rsidRDefault="00A63D1D" w:rsidP="00F34118">
      <w:pPr>
        <w:pStyle w:val="FootnoteText"/>
        <w:spacing w:before="0"/>
        <w:rPr>
          <w:rFonts w:eastAsia="Malgun Gothic"/>
        </w:rPr>
      </w:pPr>
      <w:r w:rsidRPr="00F34118">
        <w:rPr>
          <w:rStyle w:val="FootnoteReference"/>
          <w:sz w:val="20"/>
        </w:rPr>
        <w:footnoteRef/>
      </w:r>
      <w:r w:rsidRPr="00F34118">
        <w:t xml:space="preserve"> Changes in study group management </w:t>
      </w:r>
      <w:r w:rsidRPr="00F34118">
        <w:rPr>
          <w:rStyle w:val="ui-provider"/>
          <w:rFonts w:eastAsia="Malgun Gothic" w:hint="eastAsia"/>
        </w:rPr>
        <w:t>are</w:t>
      </w:r>
      <w:r w:rsidRPr="00F34118">
        <w:rPr>
          <w:rStyle w:val="ui-provider"/>
        </w:rPr>
        <w:t xml:space="preserve"> requested by the </w:t>
      </w:r>
      <w:r w:rsidRPr="00F34118">
        <w:rPr>
          <w:rStyle w:val="ui-provider"/>
          <w:rFonts w:hint="eastAsia"/>
        </w:rPr>
        <w:t>entity</w:t>
      </w:r>
      <w:r w:rsidRPr="00F34118">
        <w:rPr>
          <w:rStyle w:val="ui-provider"/>
        </w:rPr>
        <w:t xml:space="preserve"> when the person concerned unde</w:t>
      </w:r>
      <w:r w:rsidRPr="00F34118">
        <w:rPr>
          <w:rStyle w:val="ui-provider"/>
          <w:rFonts w:eastAsia="Malgun Gothic" w:hint="eastAsia"/>
        </w:rPr>
        <w:t>rgoes</w:t>
      </w:r>
      <w:r w:rsidRPr="00F34118">
        <w:rPr>
          <w:rStyle w:val="ui-provider"/>
        </w:rPr>
        <w:t xml:space="preserve"> a career movement.</w:t>
      </w:r>
    </w:p>
  </w:footnote>
  <w:footnote w:id="6">
    <w:p w14:paraId="3A1E9E51" w14:textId="77777777" w:rsidR="00A63D1D" w:rsidRPr="00F34118" w:rsidRDefault="00A63D1D" w:rsidP="00F34118">
      <w:pPr>
        <w:pStyle w:val="FootnoteText"/>
        <w:tabs>
          <w:tab w:val="clear" w:pos="255"/>
        </w:tabs>
        <w:spacing w:before="0"/>
        <w:rPr>
          <w:rFonts w:eastAsia="Malgun Gothic"/>
        </w:rPr>
      </w:pPr>
      <w:r w:rsidRPr="00F34118">
        <w:footnoteRef/>
      </w:r>
      <w:r w:rsidRPr="00F34118">
        <w:t xml:space="preserve"> </w:t>
      </w:r>
      <w:r w:rsidRPr="00F34118">
        <w:rPr>
          <w:rFonts w:hint="eastAsia"/>
        </w:rPr>
        <w:t>This figure does not include participants from the informal SG2 rapporteur group meeting and from the joint SG1</w:t>
      </w:r>
      <w:r w:rsidRPr="00F34118">
        <w:rPr>
          <w:rFonts w:eastAsia="Malgun Gothic" w:hint="eastAsia"/>
        </w:rPr>
        <w:t xml:space="preserve"> and SG2 meeting, which were both held in 2021.</w:t>
      </w:r>
    </w:p>
  </w:footnote>
  <w:footnote w:id="7">
    <w:p w14:paraId="43AC5614" w14:textId="77777777" w:rsidR="00A63D1D" w:rsidRPr="00F34118" w:rsidRDefault="00A63D1D" w:rsidP="00F34118">
      <w:pPr>
        <w:pStyle w:val="FootnoteText"/>
        <w:spacing w:before="0"/>
      </w:pPr>
      <w:r w:rsidRPr="00F34118">
        <w:rPr>
          <w:rStyle w:val="FootnoteReference"/>
          <w:position w:val="0"/>
          <w:sz w:val="20"/>
        </w:rPr>
        <w:footnoteRef/>
      </w:r>
      <w:r w:rsidRPr="00F34118">
        <w:t xml:space="preserve"> </w:t>
      </w:r>
      <w:r w:rsidRPr="00F34118">
        <w:rPr>
          <w:rFonts w:hint="eastAsia"/>
        </w:rPr>
        <w:t>This figure does not include documents from the informal SG2 rapporteur group meeting and from the joint SG1 and SG2 meeting, both held in 2021.</w:t>
      </w:r>
    </w:p>
  </w:footnote>
  <w:footnote w:id="8">
    <w:p w14:paraId="456F1023" w14:textId="77777777" w:rsidR="00A63D1D" w:rsidRPr="00F34118" w:rsidRDefault="00A63D1D" w:rsidP="00F34118">
      <w:pPr>
        <w:pStyle w:val="FootnoteText"/>
        <w:spacing w:before="0"/>
      </w:pPr>
      <w:r w:rsidRPr="00F34118">
        <w:rPr>
          <w:rStyle w:val="FootnoteReference"/>
          <w:position w:val="0"/>
          <w:sz w:val="20"/>
        </w:rPr>
        <w:footnoteRef/>
      </w:r>
      <w:r w:rsidRPr="00F34118">
        <w:t xml:space="preserve"> </w:t>
      </w:r>
      <w:r w:rsidRPr="00F34118">
        <w:rPr>
          <w:rFonts w:hint="eastAsia"/>
        </w:rPr>
        <w:t>This study period held 6 meetings, while the previous study period held 8 meetings (and 10 meetings if the informal SG2 rapporteur group meeting and the joint SG1-SG2 meeting are also counted in).</w:t>
      </w:r>
    </w:p>
  </w:footnote>
  <w:footnote w:id="9">
    <w:p w14:paraId="50CAE482" w14:textId="77777777" w:rsidR="00A63D1D" w:rsidRPr="00F34118" w:rsidRDefault="00A63D1D" w:rsidP="00F34118">
      <w:pPr>
        <w:pStyle w:val="FootnoteText"/>
        <w:spacing w:before="0"/>
      </w:pPr>
      <w:r w:rsidRPr="00F34118">
        <w:rPr>
          <w:rStyle w:val="FootnoteReference"/>
          <w:position w:val="0"/>
          <w:sz w:val="20"/>
        </w:rPr>
        <w:footnoteRef/>
      </w:r>
      <w:r w:rsidRPr="00F34118">
        <w:tab/>
      </w:r>
      <w:r w:rsidRPr="00F34118">
        <w:rPr>
          <w:rFonts w:hint="eastAsia"/>
        </w:rPr>
        <w:t>S</w:t>
      </w:r>
      <w:r w:rsidRPr="00F34118">
        <w:t xml:space="preserve">ome contributions </w:t>
      </w:r>
      <w:r w:rsidRPr="00F34118">
        <w:rPr>
          <w:rFonts w:hint="eastAsia"/>
        </w:rPr>
        <w:t>were</w:t>
      </w:r>
      <w:r w:rsidRPr="00F34118">
        <w:t xml:space="preserve"> counted more than once if allocated to more than one Question</w:t>
      </w:r>
      <w:r w:rsidRPr="00F34118">
        <w:rPr>
          <w:rFonts w:hint="eastAsia"/>
        </w:rPr>
        <w:t>.</w:t>
      </w:r>
    </w:p>
  </w:footnote>
  <w:footnote w:id="10">
    <w:p w14:paraId="12AD283F" w14:textId="77777777" w:rsidR="00A63D1D" w:rsidRPr="00F34118" w:rsidRDefault="00A63D1D" w:rsidP="00F34118">
      <w:pPr>
        <w:pStyle w:val="FootnoteText"/>
        <w:tabs>
          <w:tab w:val="clear" w:pos="255"/>
        </w:tabs>
        <w:spacing w:before="0"/>
        <w:ind w:left="224" w:hanging="224"/>
        <w:rPr>
          <w:rFonts w:eastAsia="Malgun Gothic"/>
        </w:rPr>
      </w:pPr>
      <w:r w:rsidRPr="00F34118">
        <w:footnoteRef/>
      </w:r>
      <w:r w:rsidRPr="00F34118">
        <w:t xml:space="preserve"> </w:t>
      </w:r>
      <w:r w:rsidRPr="00F34118">
        <w:rPr>
          <w:rFonts w:hint="eastAsia"/>
        </w:rPr>
        <w:t>These meetings were held at the following dates in 2025: 1) 27 January with Q6/2, 2) 29 January with Q4/2, 3) 10</w:t>
      </w:r>
      <w:r w:rsidRPr="00F34118">
        <w:rPr>
          <w:rFonts w:eastAsia="Malgun Gothic" w:hint="eastAsia"/>
        </w:rPr>
        <w:t xml:space="preserve"> February with Q1/2, 4) 10 February with Q3/2, 5) 13 February with Q7/2, 6) 20 February with Q2/2, and 7) 26 February with Q5/2.   </w:t>
      </w:r>
    </w:p>
  </w:footnote>
  <w:footnote w:id="11">
    <w:p w14:paraId="17EDA446" w14:textId="77777777" w:rsidR="00A63D1D" w:rsidRPr="00F34118" w:rsidRDefault="00A63D1D" w:rsidP="00F34118">
      <w:pPr>
        <w:pStyle w:val="FootnoteText"/>
        <w:spacing w:before="0"/>
        <w:rPr>
          <w:rFonts w:eastAsia="Malgun Gothic"/>
        </w:rPr>
      </w:pPr>
      <w:r w:rsidRPr="00F34118">
        <w:rPr>
          <w:rStyle w:val="FootnoteReference"/>
          <w:sz w:val="20"/>
        </w:rPr>
        <w:footnoteRef/>
      </w:r>
      <w:r w:rsidRPr="00F34118">
        <w:t xml:space="preserve"> </w:t>
      </w:r>
      <w:r w:rsidRPr="00F34118">
        <w:rPr>
          <w:rFonts w:eastAsia="Malgun Gothic"/>
        </w:rPr>
        <w:t xml:space="preserve">See </w:t>
      </w:r>
      <w:hyperlink r:id="rId4" w:history="1">
        <w:r w:rsidRPr="00F34118">
          <w:rPr>
            <w:rStyle w:val="Hyperlink"/>
            <w:rFonts w:eastAsia="Malgun Gothic"/>
          </w:rPr>
          <w:t>https://www.itu.int/en/ITU-D/Study-Groups/2022-2025/Pages/reference/Ongoing-Work.aspx</w:t>
        </w:r>
      </w:hyperlink>
    </w:p>
  </w:footnote>
  <w:footnote w:id="12">
    <w:p w14:paraId="12C3CB6D" w14:textId="77777777" w:rsidR="00A63D1D" w:rsidRPr="00F34118" w:rsidRDefault="00A63D1D" w:rsidP="00F34118">
      <w:pPr>
        <w:pStyle w:val="FootnoteText"/>
        <w:spacing w:before="0"/>
      </w:pPr>
      <w:r w:rsidRPr="00F34118">
        <w:rPr>
          <w:rStyle w:val="FootnoteReference"/>
          <w:sz w:val="20"/>
        </w:rPr>
        <w:footnoteRef/>
      </w:r>
      <w:r w:rsidRPr="00F34118">
        <w:t xml:space="preserve"> </w:t>
      </w:r>
      <w:hyperlink r:id="rId5" w:history="1">
        <w:r w:rsidRPr="00F34118">
          <w:rPr>
            <w:rStyle w:val="Hyperlink"/>
          </w:rPr>
          <w:t>https://www.itu.int/en/ITU-D/Regional-Presence/Americas/Pages/EVENTS/2024/cons-awa-2024.aspx</w:t>
        </w:r>
      </w:hyperlink>
      <w:r w:rsidRPr="00F34118">
        <w:t xml:space="preserve"> </w:t>
      </w:r>
    </w:p>
  </w:footnote>
  <w:footnote w:id="13">
    <w:p w14:paraId="7C5FDEB3" w14:textId="77777777" w:rsidR="00A63D1D" w:rsidRPr="00F34118" w:rsidRDefault="00A63D1D" w:rsidP="00F34118">
      <w:pPr>
        <w:pStyle w:val="FootnoteText"/>
        <w:spacing w:before="0"/>
        <w:rPr>
          <w:rFonts w:eastAsia="Malgun Gothic"/>
        </w:rPr>
      </w:pPr>
      <w:r w:rsidRPr="00F34118">
        <w:rPr>
          <w:rStyle w:val="FootnoteReference"/>
          <w:sz w:val="20"/>
        </w:rPr>
        <w:footnoteRef/>
      </w:r>
      <w:r w:rsidRPr="00F34118">
        <w:t xml:space="preserve"> </w:t>
      </w:r>
      <w:r w:rsidRPr="00F34118">
        <w:rPr>
          <w:rFonts w:eastAsia="Malgun Gothic" w:hint="eastAsia"/>
        </w:rPr>
        <w:t>While several other contributions on youth on women were submitted to various study Questions, they are omitted here for simplicity.</w:t>
      </w:r>
    </w:p>
  </w:footnote>
  <w:footnote w:id="14">
    <w:p w14:paraId="04EF6B86" w14:textId="77777777" w:rsidR="00A63D1D" w:rsidRPr="00F34118" w:rsidRDefault="00A63D1D" w:rsidP="00F34118">
      <w:pPr>
        <w:pStyle w:val="FootnoteText"/>
        <w:spacing w:before="0"/>
        <w:rPr>
          <w:rFonts w:eastAsia="Malgun Gothic"/>
        </w:rPr>
      </w:pPr>
      <w:r w:rsidRPr="00F34118">
        <w:rPr>
          <w:rStyle w:val="FootnoteReference"/>
          <w:sz w:val="20"/>
        </w:rPr>
        <w:footnoteRef/>
      </w:r>
      <w:r w:rsidRPr="00F34118">
        <w:tab/>
      </w:r>
      <w:r w:rsidRPr="00F34118">
        <w:rPr>
          <w:rFonts w:eastAsia="Malgun Gothic" w:hint="eastAsia"/>
        </w:rPr>
        <w:t>S</w:t>
      </w:r>
      <w:r w:rsidRPr="00F34118">
        <w:rPr>
          <w:rFonts w:eastAsia="Malgun Gothic"/>
        </w:rPr>
        <w:t>ee “</w:t>
      </w:r>
      <w:r w:rsidRPr="00F34118">
        <w:rPr>
          <w:i/>
          <w:iCs/>
        </w:rPr>
        <w:t>Outcome document of the high-level meeting of the General Assembly on the overall review of the implementation of the outcomes of the World Summit on the Information Society</w:t>
      </w:r>
      <w:r w:rsidRPr="00F34118">
        <w:t xml:space="preserve">”, </w:t>
      </w:r>
      <w:hyperlink r:id="rId6" w:history="1">
        <w:r w:rsidRPr="00F34118">
          <w:rPr>
            <w:rStyle w:val="Hyperlink"/>
            <w:rFonts w:eastAsia="SimSun" w:cs="Calibri"/>
          </w:rPr>
          <w:t>Res. A/70/125</w:t>
        </w:r>
      </w:hyperlink>
      <w:r w:rsidRPr="00F34118">
        <w:rPr>
          <w:rStyle w:val="Hyperlink"/>
          <w:rFonts w:eastAsia="SimSun" w:cs="Calibri"/>
        </w:rPr>
        <w:t>.</w:t>
      </w:r>
    </w:p>
  </w:footnote>
  <w:footnote w:id="15">
    <w:p w14:paraId="6FFC95C5" w14:textId="77777777" w:rsidR="00A63D1D" w:rsidRPr="00F34118" w:rsidRDefault="00A63D1D" w:rsidP="00F34118">
      <w:pPr>
        <w:pStyle w:val="FootnoteText"/>
        <w:spacing w:before="0"/>
        <w:rPr>
          <w:rFonts w:cstheme="minorHAnsi"/>
        </w:rPr>
      </w:pPr>
      <w:r w:rsidRPr="00F34118">
        <w:rPr>
          <w:rStyle w:val="FootnoteReference"/>
          <w:rFonts w:cstheme="minorHAnsi"/>
          <w:sz w:val="20"/>
        </w:rPr>
        <w:footnoteRef/>
      </w:r>
      <w:r w:rsidRPr="00F34118">
        <w:rPr>
          <w:rFonts w:cstheme="minorHAnsi"/>
        </w:rPr>
        <w:t xml:space="preserve"> The contributions repository &amp; dashboard can be found </w:t>
      </w:r>
      <w:hyperlink r:id="rId7" w:history="1">
        <w:r w:rsidRPr="00F34118">
          <w:rPr>
            <w:rStyle w:val="Hyperlink"/>
            <w:rFonts w:cstheme="minorHAnsi"/>
          </w:rPr>
          <w:t>here</w:t>
        </w:r>
      </w:hyperlink>
      <w:r w:rsidRPr="00F34118">
        <w:rPr>
          <w:rFonts w:cstheme="minorHAnsi"/>
        </w:rPr>
        <w:t xml:space="preserve">. </w:t>
      </w:r>
    </w:p>
  </w:footnote>
  <w:footnote w:id="16">
    <w:p w14:paraId="480A9935" w14:textId="77777777" w:rsidR="00A63D1D" w:rsidRPr="00F34118" w:rsidRDefault="00A63D1D" w:rsidP="00F34118">
      <w:pPr>
        <w:pStyle w:val="FootnoteText"/>
        <w:spacing w:before="0"/>
        <w:rPr>
          <w:rFonts w:cstheme="minorHAnsi"/>
        </w:rPr>
      </w:pPr>
      <w:r w:rsidRPr="00F34118">
        <w:rPr>
          <w:rStyle w:val="FootnoteReference"/>
          <w:rFonts w:cstheme="minorHAnsi"/>
          <w:sz w:val="20"/>
        </w:rPr>
        <w:footnoteRef/>
      </w:r>
      <w:r w:rsidRPr="00F34118">
        <w:rPr>
          <w:rFonts w:cstheme="minorHAnsi"/>
        </w:rPr>
        <w:t xml:space="preserve"> </w:t>
      </w:r>
      <w:hyperlink r:id="rId8" w:history="1">
        <w:r w:rsidRPr="00F34118">
          <w:rPr>
            <w:rStyle w:val="Hyperlink"/>
            <w:rFonts w:cstheme="minorHAnsi"/>
          </w:rPr>
          <w:t>https://translate.itu.int/documents</w:t>
        </w:r>
      </w:hyperlink>
      <w:r w:rsidRPr="00F34118">
        <w:rPr>
          <w:rFonts w:eastAsia="Malgun Gothic" w:cstheme="minorHAnsi" w:hint="eastAsia"/>
        </w:rPr>
        <w:t>.</w:t>
      </w:r>
    </w:p>
  </w:footnote>
  <w:footnote w:id="17">
    <w:p w14:paraId="59A45CCB" w14:textId="77777777" w:rsidR="00A63D1D" w:rsidRPr="00F34118" w:rsidRDefault="00A63D1D" w:rsidP="00F34118">
      <w:pPr>
        <w:pStyle w:val="FootnoteText"/>
        <w:spacing w:before="0"/>
      </w:pPr>
      <w:r w:rsidRPr="00F34118">
        <w:rPr>
          <w:rStyle w:val="FootnoteReference"/>
          <w:sz w:val="20"/>
        </w:rPr>
        <w:footnoteRef/>
      </w:r>
      <w:r w:rsidRPr="00F34118">
        <w:t xml:space="preserve"> The word ‘region’ here is concordant with the definition from WTDC Resolution 31.</w:t>
      </w:r>
    </w:p>
  </w:footnote>
  <w:footnote w:id="18">
    <w:p w14:paraId="1188D016" w14:textId="77777777" w:rsidR="00A63D1D" w:rsidRPr="00F34118" w:rsidRDefault="00A63D1D" w:rsidP="00F34118">
      <w:pPr>
        <w:pStyle w:val="FootnoteText"/>
        <w:spacing w:before="0"/>
      </w:pPr>
      <w:r w:rsidRPr="00F34118">
        <w:rPr>
          <w:rStyle w:val="FootnoteReference"/>
          <w:sz w:val="20"/>
        </w:rPr>
        <w:footnoteRef/>
      </w:r>
      <w:r w:rsidRPr="00F34118">
        <w:t xml:space="preserve"> For the avoidance of doubt, no member is required to take any of these mentioned actions: it remains the right of any member to submit nominations and to maintain them unchanged through this period of informal consultations.</w:t>
      </w:r>
    </w:p>
  </w:footnote>
  <w:footnote w:id="19">
    <w:p w14:paraId="48A38487" w14:textId="77777777" w:rsidR="00A63D1D" w:rsidRPr="00F34118" w:rsidRDefault="00A63D1D" w:rsidP="00F34118">
      <w:pPr>
        <w:pStyle w:val="FootnoteText"/>
        <w:spacing w:before="0"/>
      </w:pPr>
      <w:r w:rsidRPr="00F34118">
        <w:rPr>
          <w:rStyle w:val="FootnoteReference"/>
          <w:sz w:val="20"/>
        </w:rPr>
        <w:footnoteRef/>
      </w:r>
      <w:r w:rsidRPr="00F34118">
        <w:t xml:space="preserve"> This the order of items on this list does not assume any ranking between the items of this list.</w:t>
      </w:r>
    </w:p>
  </w:footnote>
  <w:footnote w:id="20">
    <w:p w14:paraId="44201326" w14:textId="77777777" w:rsidR="00A63D1D" w:rsidRPr="00F34118" w:rsidRDefault="00A63D1D" w:rsidP="00F34118">
      <w:pPr>
        <w:pStyle w:val="FootnoteText"/>
        <w:spacing w:before="0"/>
      </w:pPr>
      <w:r w:rsidRPr="00F34118">
        <w:rPr>
          <w:rStyle w:val="FootnoteReference"/>
          <w:sz w:val="20"/>
        </w:rPr>
        <w:footnoteRef/>
      </w:r>
      <w:r w:rsidRPr="00F34118">
        <w:t xml:space="preserve"> This the order of items on this list does not assume any ranking between the items of this list.</w:t>
      </w:r>
    </w:p>
  </w:footnote>
  <w:footnote w:id="21">
    <w:p w14:paraId="1D8B660F" w14:textId="77777777" w:rsidR="00A63D1D" w:rsidRPr="00F34118" w:rsidRDefault="00A63D1D" w:rsidP="00F34118">
      <w:pPr>
        <w:pStyle w:val="FootnoteText"/>
        <w:spacing w:before="0"/>
      </w:pPr>
      <w:r w:rsidRPr="00F34118">
        <w:rPr>
          <w:rStyle w:val="FootnoteReference"/>
          <w:sz w:val="20"/>
        </w:rPr>
        <w:footnoteRef/>
      </w:r>
      <w:r w:rsidRPr="00F34118">
        <w:t xml:space="preserve"> This includes editing chapters of text within the final report, any interim deliverable, and/or meeting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70B58" w14:textId="2D2007E4" w:rsidR="00A63D1D" w:rsidRDefault="00A63D1D" w:rsidP="00A23C7D">
    <w:pPr>
      <w:pStyle w:val="Header"/>
      <w:tabs>
        <w:tab w:val="clear" w:pos="1134"/>
        <w:tab w:val="clear" w:pos="1871"/>
        <w:tab w:val="clear" w:pos="2268"/>
        <w:tab w:val="center" w:pos="4860"/>
        <w:tab w:val="right" w:pos="9630"/>
      </w:tabs>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hAnsi="Calibri" w:cs="Calibri" w:hint="eastAsia"/>
        <w:color w:val="000000"/>
        <w:sz w:val="22"/>
        <w:szCs w:val="22"/>
        <w:lang w:val="en-US" w:eastAsia="ko-KR"/>
      </w:rPr>
      <w:t>1</w:t>
    </w:r>
    <w:r w:rsidR="00A571E1">
      <w:rPr>
        <w:rStyle w:val="normaltextrun"/>
        <w:rFonts w:ascii="Calibri" w:hAnsi="Calibri" w:cs="Calibri"/>
        <w:color w:val="000000"/>
        <w:sz w:val="22"/>
        <w:szCs w:val="22"/>
        <w:lang w:val="en-US" w:eastAsia="ko-KR"/>
      </w:rPr>
      <w:t>2</w:t>
    </w:r>
    <w:r>
      <w:rPr>
        <w:rStyle w:val="normaltextrun"/>
        <w:rFonts w:ascii="Calibri" w:hAnsi="Calibri" w:cs="Calibri"/>
        <w:color w:val="000000"/>
        <w:sz w:val="22"/>
        <w:szCs w:val="22"/>
        <w:lang w:val="en-US"/>
      </w:rPr>
      <w:t>-E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w:t>
    </w:r>
    <w:r w:rsidRPr="00186F2A">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AAA1" w14:textId="3C39390E" w:rsidR="00A63D1D" w:rsidRDefault="00A63D1D" w:rsidP="00A23C7D">
    <w:pPr>
      <w:pStyle w:val="Header"/>
      <w:tabs>
        <w:tab w:val="clear" w:pos="1134"/>
        <w:tab w:val="clear" w:pos="1871"/>
        <w:tab w:val="clear" w:pos="2268"/>
        <w:tab w:val="center" w:pos="7020"/>
        <w:tab w:val="right" w:pos="14004"/>
      </w:tabs>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hAnsi="Calibri" w:cs="Calibri" w:hint="eastAsia"/>
        <w:color w:val="000000"/>
        <w:sz w:val="22"/>
        <w:szCs w:val="22"/>
        <w:lang w:val="en-US" w:eastAsia="ko-KR"/>
      </w:rPr>
      <w:t>1</w:t>
    </w:r>
    <w:r w:rsidR="009A034E">
      <w:rPr>
        <w:rStyle w:val="normaltextrun"/>
        <w:rFonts w:ascii="Calibri" w:hAnsi="Calibri" w:cs="Calibri"/>
        <w:color w:val="000000"/>
        <w:sz w:val="22"/>
        <w:szCs w:val="22"/>
        <w:lang w:val="en-US" w:eastAsia="ko-KR"/>
      </w:rPr>
      <w:t>2</w:t>
    </w:r>
    <w:r>
      <w:rPr>
        <w:rStyle w:val="normaltextrun"/>
        <w:rFonts w:ascii="Calibri" w:hAnsi="Calibri" w:cs="Calibri"/>
        <w:color w:val="000000"/>
        <w:sz w:val="22"/>
        <w:szCs w:val="22"/>
        <w:lang w:val="en-US"/>
      </w:rPr>
      <w:t>-E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w:t>
    </w:r>
    <w:r w:rsidRPr="00186F2A">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1F34" w14:textId="77777777" w:rsidR="00A63D1D" w:rsidRDefault="00A63D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2005" w14:textId="37BDB310" w:rsidR="00A63D1D" w:rsidRPr="008937D2" w:rsidRDefault="00A63D1D" w:rsidP="00A23C7D">
    <w:pPr>
      <w:pStyle w:val="Header"/>
      <w:tabs>
        <w:tab w:val="clear" w:pos="1134"/>
        <w:tab w:val="clear" w:pos="1871"/>
        <w:tab w:val="clear" w:pos="2268"/>
        <w:tab w:val="center" w:pos="4770"/>
        <w:tab w:val="right" w:pos="14490"/>
      </w:tabs>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eastAsia="Malgun Gothic" w:hAnsi="Calibri" w:cs="Calibri" w:hint="eastAsia"/>
        <w:color w:val="000000"/>
        <w:sz w:val="22"/>
        <w:szCs w:val="22"/>
        <w:lang w:val="en-US" w:eastAsia="ko-KR"/>
      </w:rPr>
      <w:t>1</w:t>
    </w:r>
    <w:r w:rsidR="009A034E">
      <w:rPr>
        <w:rStyle w:val="normaltextrun"/>
        <w:rFonts w:ascii="Calibri" w:eastAsia="Malgun Gothic" w:hAnsi="Calibri" w:cs="Calibri"/>
        <w:color w:val="000000"/>
        <w:sz w:val="22"/>
        <w:szCs w:val="22"/>
        <w:lang w:val="en-US" w:eastAsia="ko-KR"/>
      </w:rPr>
      <w:t>2</w:t>
    </w:r>
    <w:r>
      <w:rPr>
        <w:rStyle w:val="normaltextrun"/>
        <w:rFonts w:ascii="Calibri" w:hAnsi="Calibri" w:cs="Calibri"/>
        <w:color w:val="000000"/>
        <w:sz w:val="22"/>
        <w:szCs w:val="22"/>
        <w:lang w:val="en-US"/>
      </w:rPr>
      <w:t>-E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23</w:t>
    </w:r>
    <w:r w:rsidRPr="00186F2A">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3A7C" w14:textId="368CE7BB" w:rsidR="00A63D1D" w:rsidRPr="00252783" w:rsidRDefault="00A63D1D" w:rsidP="00A23C7D">
    <w:pPr>
      <w:pStyle w:val="Header"/>
      <w:tabs>
        <w:tab w:val="clear" w:pos="1134"/>
        <w:tab w:val="clear" w:pos="1871"/>
        <w:tab w:val="clear" w:pos="2268"/>
        <w:tab w:val="center" w:pos="7371"/>
        <w:tab w:val="right" w:pos="14490"/>
      </w:tabs>
      <w:rPr>
        <w:rFonts w:eastAsia="Malgun Gothic"/>
        <w:lang w:eastAsia="ko-KR"/>
      </w:rPr>
    </w:pPr>
    <w:r>
      <w:rPr>
        <w:rStyle w:val="normaltextrun"/>
        <w:rFonts w:ascii="Calibri" w:hAnsi="Calibri" w:cs="Calibri"/>
        <w:color w:val="000000"/>
        <w:sz w:val="22"/>
        <w:szCs w:val="22"/>
        <w:lang w:val="en-US"/>
      </w:rPr>
      <w:tab/>
    </w:r>
    <w:r>
      <w:rPr>
        <w:rStyle w:val="normaltextrun"/>
        <w:rFonts w:ascii="Calibri" w:hAnsi="Calibri" w:cs="Calibri" w:hint="eastAsia"/>
        <w:color w:val="000000"/>
        <w:sz w:val="22"/>
        <w:szCs w:val="22"/>
        <w:lang w:val="en-US" w:eastAsia="ko-KR"/>
      </w:rPr>
      <w:t>WTDC</w:t>
    </w:r>
    <w:r w:rsidRPr="00186F2A">
      <w:rPr>
        <w:rStyle w:val="normaltextrun"/>
        <w:rFonts w:ascii="Calibri" w:hAnsi="Calibri" w:cs="Calibri"/>
        <w:color w:val="000000"/>
        <w:sz w:val="22"/>
        <w:szCs w:val="22"/>
        <w:lang w:val="en-US"/>
      </w:rPr>
      <w:t>-2</w:t>
    </w:r>
    <w:r>
      <w:rPr>
        <w:rStyle w:val="normaltextrun"/>
        <w:rFonts w:ascii="Calibri" w:eastAsia="Malgun Gothic" w:hAnsi="Calibri" w:cs="Calibri" w:hint="eastAsia"/>
        <w:color w:val="000000"/>
        <w:sz w:val="22"/>
        <w:szCs w:val="22"/>
        <w:lang w:val="en-US" w:eastAsia="ko-KR"/>
      </w:rPr>
      <w:t>5</w:t>
    </w:r>
    <w:r w:rsidRPr="00186F2A">
      <w:rPr>
        <w:rStyle w:val="normaltextrun"/>
        <w:rFonts w:ascii="Calibri" w:hAnsi="Calibri" w:cs="Calibri"/>
        <w:color w:val="000000"/>
        <w:sz w:val="22"/>
        <w:szCs w:val="22"/>
        <w:lang w:val="en-US"/>
      </w:rPr>
      <w:t>/</w:t>
    </w:r>
    <w:r>
      <w:rPr>
        <w:rStyle w:val="normaltextrun"/>
        <w:rFonts w:ascii="Calibri" w:eastAsia="Malgun Gothic" w:hAnsi="Calibri" w:cs="Calibri" w:hint="eastAsia"/>
        <w:color w:val="000000"/>
        <w:sz w:val="22"/>
        <w:szCs w:val="22"/>
        <w:lang w:val="en-US" w:eastAsia="ko-KR"/>
      </w:rPr>
      <w:t>1</w:t>
    </w:r>
    <w:r w:rsidR="00A571E1">
      <w:rPr>
        <w:rStyle w:val="normaltextrun"/>
        <w:rFonts w:ascii="Calibri" w:eastAsia="Malgun Gothic" w:hAnsi="Calibri" w:cs="Calibri"/>
        <w:color w:val="000000"/>
        <w:sz w:val="22"/>
        <w:szCs w:val="22"/>
        <w:lang w:val="en-US" w:eastAsia="ko-KR"/>
      </w:rPr>
      <w:t>2</w:t>
    </w:r>
    <w:r>
      <w:rPr>
        <w:rStyle w:val="normaltextrun"/>
        <w:rFonts w:ascii="Calibri" w:hAnsi="Calibri" w:cs="Calibri"/>
        <w:color w:val="000000"/>
        <w:sz w:val="22"/>
        <w:szCs w:val="22"/>
        <w:lang w:val="en-US"/>
      </w:rPr>
      <w:t>-E</w:t>
    </w:r>
    <w:r>
      <w:rPr>
        <w:rStyle w:val="normaltextrun"/>
        <w:rFonts w:ascii="Calibri" w:hAnsi="Calibri" w:cs="Calibri"/>
        <w:color w:val="000000"/>
        <w:sz w:val="22"/>
        <w:szCs w:val="22"/>
        <w:lang w:val="en-US"/>
      </w:rPr>
      <w:tab/>
    </w:r>
    <w:r w:rsidRPr="00186F2A">
      <w:rPr>
        <w:sz w:val="22"/>
        <w:szCs w:val="22"/>
        <w:lang w:val="de-CH"/>
      </w:rPr>
      <w:t xml:space="preserve">Page </w:t>
    </w:r>
    <w:r w:rsidRPr="00186F2A">
      <w:rPr>
        <w:sz w:val="22"/>
        <w:szCs w:val="22"/>
      </w:rPr>
      <w:fldChar w:fldCharType="begin"/>
    </w:r>
    <w:r w:rsidRPr="00186F2A">
      <w:rPr>
        <w:sz w:val="22"/>
        <w:szCs w:val="22"/>
        <w:lang w:val="de-CH"/>
      </w:rPr>
      <w:instrText xml:space="preserve"> PAGE </w:instrText>
    </w:r>
    <w:r w:rsidRPr="00186F2A">
      <w:rPr>
        <w:sz w:val="22"/>
        <w:szCs w:val="22"/>
      </w:rPr>
      <w:fldChar w:fldCharType="separate"/>
    </w:r>
    <w:r>
      <w:rPr>
        <w:sz w:val="22"/>
        <w:szCs w:val="22"/>
      </w:rPr>
      <w:t>23</w:t>
    </w:r>
    <w:r w:rsidRPr="00186F2A">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DDFD" w14:textId="0ED7E0BA" w:rsidR="00A066F1" w:rsidRPr="00181369" w:rsidRDefault="00181369" w:rsidP="00181369">
    <w:pPr>
      <w:tabs>
        <w:tab w:val="clear" w:pos="1134"/>
        <w:tab w:val="clear" w:pos="1871"/>
        <w:tab w:val="clear" w:pos="2268"/>
        <w:tab w:val="center" w:pos="4820"/>
        <w:tab w:val="right" w:pos="14003"/>
      </w:tabs>
      <w:ind w:right="1"/>
      <w:rPr>
        <w:rFonts w:ascii="Calibri" w:hAnsi="Calibri" w:cs="Calibri"/>
        <w:smallCaps/>
        <w:spacing w:val="24"/>
        <w:sz w:val="22"/>
        <w:szCs w:val="22"/>
        <w:lang w:val="es-ES"/>
      </w:rPr>
    </w:pPr>
    <w:r w:rsidRPr="001B52FA">
      <w:rPr>
        <w:rFonts w:ascii="Calibri" w:hAnsi="Calibri" w:cs="Calibri"/>
        <w:sz w:val="22"/>
        <w:szCs w:val="22"/>
      </w:rPr>
      <w:tab/>
    </w:r>
    <w:r>
      <w:rPr>
        <w:rFonts w:ascii="Calibri" w:hAnsi="Calibri" w:cs="Calibri"/>
        <w:sz w:val="22"/>
        <w:szCs w:val="22"/>
        <w:lang w:val="es-ES"/>
      </w:rPr>
      <w:t>WTDC</w:t>
    </w:r>
    <w:r w:rsidRPr="67EA7389">
      <w:rPr>
        <w:rFonts w:ascii="Calibri" w:hAnsi="Calibri" w:cs="Calibri"/>
        <w:sz w:val="22"/>
        <w:szCs w:val="22"/>
        <w:lang w:val="es-ES"/>
      </w:rPr>
      <w:t>-25/</w:t>
    </w:r>
    <w:r w:rsidR="002172DB">
      <w:rPr>
        <w:rFonts w:ascii="Calibri" w:hAnsi="Calibri" w:cs="Calibri" w:hint="eastAsia"/>
        <w:sz w:val="22"/>
        <w:szCs w:val="22"/>
        <w:lang w:val="es-ES" w:eastAsia="ko-KR"/>
      </w:rPr>
      <w:t>1</w:t>
    </w:r>
    <w:r w:rsidR="009A034E">
      <w:rPr>
        <w:rFonts w:ascii="Calibri" w:hAnsi="Calibri" w:cs="Calibri"/>
        <w:sz w:val="22"/>
        <w:szCs w:val="22"/>
        <w:lang w:val="es-ES" w:eastAsia="ko-KR"/>
      </w:rPr>
      <w:t>2</w:t>
    </w:r>
    <w:r w:rsidRPr="67EA7389">
      <w:rPr>
        <w:rFonts w:ascii="Calibri" w:hAnsi="Calibri" w:cs="Calibri"/>
        <w:sz w:val="22"/>
        <w:szCs w:val="22"/>
        <w:lang w:val="es-ES"/>
      </w:rPr>
      <w:t>-E</w:t>
    </w:r>
    <w:r w:rsidRPr="001B52FA">
      <w:rPr>
        <w:rFonts w:ascii="Calibri" w:hAnsi="Calibri" w:cs="Calibri"/>
        <w:sz w:val="22"/>
        <w:szCs w:val="22"/>
        <w:lang w:val="es-ES_tradnl"/>
      </w:rPr>
      <w:tab/>
    </w:r>
    <w:r w:rsidRPr="67EA7389">
      <w:rPr>
        <w:rFonts w:ascii="Calibri" w:hAnsi="Calibri" w:cs="Calibri"/>
        <w:sz w:val="22"/>
        <w:szCs w:val="22"/>
        <w:lang w:val="es-ES"/>
      </w:rPr>
      <w:t xml:space="preserve">Page </w:t>
    </w:r>
    <w:r w:rsidRPr="001B52FA">
      <w:rPr>
        <w:rFonts w:ascii="Calibri" w:hAnsi="Calibri" w:cs="Calibri"/>
        <w:sz w:val="22"/>
        <w:szCs w:val="22"/>
      </w:rPr>
      <w:fldChar w:fldCharType="begin"/>
    </w:r>
    <w:r w:rsidRPr="67EA7389">
      <w:rPr>
        <w:rFonts w:ascii="Calibri" w:hAnsi="Calibri" w:cs="Calibri"/>
        <w:sz w:val="22"/>
        <w:szCs w:val="22"/>
        <w:lang w:val="es-ES"/>
      </w:rPr>
      <w:instrText xml:space="preserve"> PAGE </w:instrText>
    </w:r>
    <w:r w:rsidRPr="001B52FA">
      <w:rPr>
        <w:rFonts w:ascii="Calibri" w:hAnsi="Calibri" w:cs="Calibri"/>
        <w:sz w:val="22"/>
        <w:szCs w:val="22"/>
      </w:rPr>
      <w:fldChar w:fldCharType="separate"/>
    </w:r>
    <w:r>
      <w:rPr>
        <w:rFonts w:ascii="Calibri" w:hAnsi="Calibri" w:cs="Calibri"/>
        <w:sz w:val="22"/>
        <w:szCs w:val="22"/>
      </w:rPr>
      <w:t>2</w:t>
    </w:r>
    <w:r w:rsidRPr="001B52FA">
      <w:rPr>
        <w:rFonts w:ascii="Calibri" w:hAnsi="Calibri" w:cs="Calibri"/>
        <w:sz w:val="22"/>
        <w:szCs w:val="22"/>
      </w:rPr>
      <w:fldChar w:fldCharType="end"/>
    </w:r>
  </w:p>
  <w:p w14:paraId="5083BDCD" w14:textId="77777777" w:rsidR="00A23C7D" w:rsidRDefault="00A23C7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CBED782" w14:paraId="43439C2A" w14:textId="77777777" w:rsidTr="0CBED782">
      <w:trPr>
        <w:trHeight w:val="300"/>
      </w:trPr>
      <w:tc>
        <w:tcPr>
          <w:tcW w:w="3210" w:type="dxa"/>
        </w:tcPr>
        <w:p w14:paraId="2CF7EE67" w14:textId="00EEBBDF" w:rsidR="0CBED782" w:rsidRDefault="0CBED782" w:rsidP="0CBED782">
          <w:pPr>
            <w:pStyle w:val="Header"/>
            <w:ind w:left="-115"/>
            <w:jc w:val="left"/>
          </w:pPr>
        </w:p>
      </w:tc>
      <w:tc>
        <w:tcPr>
          <w:tcW w:w="3210" w:type="dxa"/>
        </w:tcPr>
        <w:p w14:paraId="398FC739" w14:textId="243BD071" w:rsidR="0CBED782" w:rsidRDefault="0CBED782" w:rsidP="0CBED782">
          <w:pPr>
            <w:pStyle w:val="Header"/>
          </w:pPr>
        </w:p>
      </w:tc>
      <w:tc>
        <w:tcPr>
          <w:tcW w:w="3210" w:type="dxa"/>
        </w:tcPr>
        <w:p w14:paraId="04011C5D" w14:textId="07BEB51C" w:rsidR="0CBED782" w:rsidRDefault="0CBED782" w:rsidP="0CBED782">
          <w:pPr>
            <w:pStyle w:val="Header"/>
            <w:ind w:right="-115"/>
            <w:jc w:val="right"/>
          </w:pPr>
        </w:p>
      </w:tc>
    </w:tr>
  </w:tbl>
  <w:p w14:paraId="56AAA5A7" w14:textId="54450501" w:rsidR="0CBED782" w:rsidRDefault="0CBED782" w:rsidP="0CBED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00F30FBE"/>
    <w:multiLevelType w:val="hybridMultilevel"/>
    <w:tmpl w:val="2F509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60FFB"/>
    <w:multiLevelType w:val="hybridMultilevel"/>
    <w:tmpl w:val="6BF030DE"/>
    <w:lvl w:ilvl="0" w:tplc="F910A4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926237"/>
    <w:multiLevelType w:val="hybridMultilevel"/>
    <w:tmpl w:val="4F18B784"/>
    <w:lvl w:ilvl="0" w:tplc="F910A486">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01AB346D"/>
    <w:multiLevelType w:val="hybridMultilevel"/>
    <w:tmpl w:val="6D3058AE"/>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6F5399"/>
    <w:multiLevelType w:val="hybridMultilevel"/>
    <w:tmpl w:val="A708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B5B1B"/>
    <w:multiLevelType w:val="hybridMultilevel"/>
    <w:tmpl w:val="51C43E56"/>
    <w:lvl w:ilvl="0" w:tplc="F910A4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0A7535"/>
    <w:multiLevelType w:val="hybridMultilevel"/>
    <w:tmpl w:val="8C982C88"/>
    <w:lvl w:ilvl="0" w:tplc="BD1A1B0E">
      <w:start w:val="6"/>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D59F3"/>
    <w:multiLevelType w:val="hybridMultilevel"/>
    <w:tmpl w:val="01C43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B6B11"/>
    <w:multiLevelType w:val="hybridMultilevel"/>
    <w:tmpl w:val="251E4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E2441"/>
    <w:multiLevelType w:val="hybridMultilevel"/>
    <w:tmpl w:val="9B3E1F4E"/>
    <w:lvl w:ilvl="0" w:tplc="8DBCFE9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D532B2"/>
    <w:multiLevelType w:val="hybridMultilevel"/>
    <w:tmpl w:val="2D06A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F7284"/>
    <w:multiLevelType w:val="hybridMultilevel"/>
    <w:tmpl w:val="FE3AA25A"/>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1A1137"/>
    <w:multiLevelType w:val="hybridMultilevel"/>
    <w:tmpl w:val="643E3A3C"/>
    <w:lvl w:ilvl="0" w:tplc="D8AA70EE">
      <w:start w:val="1"/>
      <w:numFmt w:val="bullet"/>
      <w:lvlText w:val=""/>
      <w:lvlJc w:val="left"/>
      <w:pPr>
        <w:ind w:left="783" w:hanging="360"/>
      </w:pPr>
      <w:rPr>
        <w:rFonts w:ascii="Symbol" w:hAnsi="Symbol" w:hint="default"/>
      </w:rPr>
    </w:lvl>
    <w:lvl w:ilvl="1" w:tplc="08090003">
      <w:start w:val="1"/>
      <w:numFmt w:val="bullet"/>
      <w:lvlText w:val="o"/>
      <w:lvlJc w:val="left"/>
      <w:pPr>
        <w:ind w:left="1209"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2C1F5E59"/>
    <w:multiLevelType w:val="hybridMultilevel"/>
    <w:tmpl w:val="85EE95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8016C8"/>
    <w:multiLevelType w:val="hybridMultilevel"/>
    <w:tmpl w:val="F24E60D8"/>
    <w:lvl w:ilvl="0" w:tplc="F910A48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5D0345"/>
    <w:multiLevelType w:val="hybridMultilevel"/>
    <w:tmpl w:val="1F5EB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2D2140"/>
    <w:multiLevelType w:val="hybridMultilevel"/>
    <w:tmpl w:val="792ADB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2340C4B"/>
    <w:multiLevelType w:val="hybridMultilevel"/>
    <w:tmpl w:val="E7183C44"/>
    <w:lvl w:ilvl="0" w:tplc="F910A48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B11D02"/>
    <w:multiLevelType w:val="hybridMultilevel"/>
    <w:tmpl w:val="F5707AE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707CB0"/>
    <w:multiLevelType w:val="hybridMultilevel"/>
    <w:tmpl w:val="CCAE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A46AA"/>
    <w:multiLevelType w:val="hybridMultilevel"/>
    <w:tmpl w:val="67DA8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36668"/>
    <w:multiLevelType w:val="hybridMultilevel"/>
    <w:tmpl w:val="C77C7E86"/>
    <w:lvl w:ilvl="0" w:tplc="DB0264FA">
      <w:start w:val="5"/>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47AC0"/>
    <w:multiLevelType w:val="hybridMultilevel"/>
    <w:tmpl w:val="F8BCF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18510B"/>
    <w:multiLevelType w:val="hybridMultilevel"/>
    <w:tmpl w:val="41A6FE4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7E39FB"/>
    <w:multiLevelType w:val="hybridMultilevel"/>
    <w:tmpl w:val="C6B48FF8"/>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8F37159"/>
    <w:multiLevelType w:val="hybridMultilevel"/>
    <w:tmpl w:val="20A0F0FC"/>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853458"/>
    <w:multiLevelType w:val="hybridMultilevel"/>
    <w:tmpl w:val="A89CFE3C"/>
    <w:lvl w:ilvl="0" w:tplc="5024D01C">
      <w:start w:val="2"/>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606502"/>
    <w:multiLevelType w:val="hybridMultilevel"/>
    <w:tmpl w:val="8604DA6E"/>
    <w:lvl w:ilvl="0" w:tplc="F910A48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803F8C"/>
    <w:multiLevelType w:val="hybridMultilevel"/>
    <w:tmpl w:val="24289B0E"/>
    <w:lvl w:ilvl="0" w:tplc="72D4B984">
      <w:start w:val="1"/>
      <w:numFmt w:val="lowerLetter"/>
      <w:lvlText w:val="%1."/>
      <w:lvlJc w:val="left"/>
      <w:pPr>
        <w:tabs>
          <w:tab w:val="num" w:pos="1440"/>
        </w:tabs>
        <w:ind w:left="1440" w:hanging="360"/>
      </w:pPr>
      <w:rPr>
        <w:rFonts w:hint="default"/>
      </w:rPr>
    </w:lvl>
    <w:lvl w:ilvl="1" w:tplc="E258DE48">
      <w:start w:val="1"/>
      <w:numFmt w:val="lowerLetter"/>
      <w:pStyle w:val="CEOindent-abc"/>
      <w:lvlText w:val="%2."/>
      <w:lvlJc w:val="left"/>
      <w:pPr>
        <w:tabs>
          <w:tab w:val="num" w:pos="1440"/>
        </w:tabs>
        <w:ind w:left="1440" w:hanging="360"/>
      </w:pPr>
      <w:rPr>
        <w:rFonts w:hint="default"/>
      </w:rPr>
    </w:lvl>
    <w:lvl w:ilvl="2" w:tplc="08CA73EA">
      <w:start w:val="1"/>
      <w:numFmt w:val="lowerRoman"/>
      <w:pStyle w:val="CEOIndenti-ii-iii"/>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9C0F84"/>
    <w:multiLevelType w:val="hybridMultilevel"/>
    <w:tmpl w:val="525271CA"/>
    <w:lvl w:ilvl="0" w:tplc="58D4582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67616"/>
    <w:multiLevelType w:val="hybridMultilevel"/>
    <w:tmpl w:val="71AE80EE"/>
    <w:lvl w:ilvl="0" w:tplc="F910A486">
      <w:start w:val="1"/>
      <w:numFmt w:val="bullet"/>
      <w:lvlText w:val=""/>
      <w:lvlJc w:val="left"/>
      <w:pPr>
        <w:ind w:left="-354" w:hanging="360"/>
      </w:pPr>
      <w:rPr>
        <w:rFonts w:ascii="Symbol" w:hAnsi="Symbol" w:hint="default"/>
      </w:rPr>
    </w:lvl>
    <w:lvl w:ilvl="1" w:tplc="FFFFFFFF" w:tentative="1">
      <w:start w:val="1"/>
      <w:numFmt w:val="bullet"/>
      <w:lvlText w:val="o"/>
      <w:lvlJc w:val="left"/>
      <w:pPr>
        <w:ind w:left="366" w:hanging="360"/>
      </w:pPr>
      <w:rPr>
        <w:rFonts w:ascii="Courier New" w:hAnsi="Courier New" w:cs="Courier New" w:hint="default"/>
      </w:rPr>
    </w:lvl>
    <w:lvl w:ilvl="2" w:tplc="FFFFFFFF" w:tentative="1">
      <w:start w:val="1"/>
      <w:numFmt w:val="bullet"/>
      <w:lvlText w:val=""/>
      <w:lvlJc w:val="left"/>
      <w:pPr>
        <w:ind w:left="1086" w:hanging="360"/>
      </w:pPr>
      <w:rPr>
        <w:rFonts w:ascii="Wingdings" w:hAnsi="Wingdings" w:hint="default"/>
      </w:rPr>
    </w:lvl>
    <w:lvl w:ilvl="3" w:tplc="FFFFFFFF" w:tentative="1">
      <w:start w:val="1"/>
      <w:numFmt w:val="bullet"/>
      <w:lvlText w:val=""/>
      <w:lvlJc w:val="left"/>
      <w:pPr>
        <w:ind w:left="1806" w:hanging="360"/>
      </w:pPr>
      <w:rPr>
        <w:rFonts w:ascii="Symbol" w:hAnsi="Symbol" w:hint="default"/>
      </w:rPr>
    </w:lvl>
    <w:lvl w:ilvl="4" w:tplc="FFFFFFFF" w:tentative="1">
      <w:start w:val="1"/>
      <w:numFmt w:val="bullet"/>
      <w:lvlText w:val="o"/>
      <w:lvlJc w:val="left"/>
      <w:pPr>
        <w:ind w:left="2526" w:hanging="360"/>
      </w:pPr>
      <w:rPr>
        <w:rFonts w:ascii="Courier New" w:hAnsi="Courier New" w:cs="Courier New" w:hint="default"/>
      </w:rPr>
    </w:lvl>
    <w:lvl w:ilvl="5" w:tplc="FFFFFFFF" w:tentative="1">
      <w:start w:val="1"/>
      <w:numFmt w:val="bullet"/>
      <w:lvlText w:val=""/>
      <w:lvlJc w:val="left"/>
      <w:pPr>
        <w:ind w:left="3246" w:hanging="360"/>
      </w:pPr>
      <w:rPr>
        <w:rFonts w:ascii="Wingdings" w:hAnsi="Wingdings" w:hint="default"/>
      </w:rPr>
    </w:lvl>
    <w:lvl w:ilvl="6" w:tplc="FFFFFFFF" w:tentative="1">
      <w:start w:val="1"/>
      <w:numFmt w:val="bullet"/>
      <w:lvlText w:val=""/>
      <w:lvlJc w:val="left"/>
      <w:pPr>
        <w:ind w:left="3966" w:hanging="360"/>
      </w:pPr>
      <w:rPr>
        <w:rFonts w:ascii="Symbol" w:hAnsi="Symbol" w:hint="default"/>
      </w:rPr>
    </w:lvl>
    <w:lvl w:ilvl="7" w:tplc="FFFFFFFF" w:tentative="1">
      <w:start w:val="1"/>
      <w:numFmt w:val="bullet"/>
      <w:lvlText w:val="o"/>
      <w:lvlJc w:val="left"/>
      <w:pPr>
        <w:ind w:left="4686" w:hanging="360"/>
      </w:pPr>
      <w:rPr>
        <w:rFonts w:ascii="Courier New" w:hAnsi="Courier New" w:cs="Courier New" w:hint="default"/>
      </w:rPr>
    </w:lvl>
    <w:lvl w:ilvl="8" w:tplc="FFFFFFFF" w:tentative="1">
      <w:start w:val="1"/>
      <w:numFmt w:val="bullet"/>
      <w:lvlText w:val=""/>
      <w:lvlJc w:val="left"/>
      <w:pPr>
        <w:ind w:left="5406" w:hanging="360"/>
      </w:pPr>
      <w:rPr>
        <w:rFonts w:ascii="Wingdings" w:hAnsi="Wingdings" w:hint="default"/>
      </w:rPr>
    </w:lvl>
  </w:abstractNum>
  <w:num w:numId="1" w16cid:durableId="1361474329">
    <w:abstractNumId w:val="0"/>
  </w:num>
  <w:num w:numId="2" w16cid:durableId="1744568562">
    <w:abstractNumId w:val="21"/>
  </w:num>
  <w:num w:numId="3" w16cid:durableId="1034890111">
    <w:abstractNumId w:val="32"/>
  </w:num>
  <w:num w:numId="4" w16cid:durableId="1244873180">
    <w:abstractNumId w:val="29"/>
  </w:num>
  <w:num w:numId="5" w16cid:durableId="168328880">
    <w:abstractNumId w:val="19"/>
  </w:num>
  <w:num w:numId="6" w16cid:durableId="528496684">
    <w:abstractNumId w:val="33"/>
  </w:num>
  <w:num w:numId="7" w16cid:durableId="301270313">
    <w:abstractNumId w:val="12"/>
  </w:num>
  <w:num w:numId="8" w16cid:durableId="169108063">
    <w:abstractNumId w:val="28"/>
  </w:num>
  <w:num w:numId="9" w16cid:durableId="957684403">
    <w:abstractNumId w:val="17"/>
  </w:num>
  <w:num w:numId="10" w16cid:durableId="1723364388">
    <w:abstractNumId w:val="6"/>
  </w:num>
  <w:num w:numId="11" w16cid:durableId="808547152">
    <w:abstractNumId w:val="13"/>
  </w:num>
  <w:num w:numId="12" w16cid:durableId="1474372275">
    <w:abstractNumId w:val="31"/>
  </w:num>
  <w:num w:numId="13" w16cid:durableId="940528584">
    <w:abstractNumId w:val="20"/>
  </w:num>
  <w:num w:numId="14" w16cid:durableId="1938439600">
    <w:abstractNumId w:val="34"/>
  </w:num>
  <w:num w:numId="15" w16cid:durableId="1439058379">
    <w:abstractNumId w:val="9"/>
  </w:num>
  <w:num w:numId="16" w16cid:durableId="511069841">
    <w:abstractNumId w:val="27"/>
  </w:num>
  <w:num w:numId="17" w16cid:durableId="538128235">
    <w:abstractNumId w:val="30"/>
  </w:num>
  <w:num w:numId="18" w16cid:durableId="648822259">
    <w:abstractNumId w:val="25"/>
  </w:num>
  <w:num w:numId="19" w16cid:durableId="658197435">
    <w:abstractNumId w:val="7"/>
  </w:num>
  <w:num w:numId="20" w16cid:durableId="122162554">
    <w:abstractNumId w:val="16"/>
  </w:num>
  <w:num w:numId="21" w16cid:durableId="455952244">
    <w:abstractNumId w:val="1"/>
  </w:num>
  <w:num w:numId="22" w16cid:durableId="528375864">
    <w:abstractNumId w:val="5"/>
  </w:num>
  <w:num w:numId="23" w16cid:durableId="1423647577">
    <w:abstractNumId w:val="24"/>
  </w:num>
  <w:num w:numId="24" w16cid:durableId="1483235836">
    <w:abstractNumId w:val="23"/>
  </w:num>
  <w:num w:numId="25" w16cid:durableId="60063673">
    <w:abstractNumId w:val="11"/>
  </w:num>
  <w:num w:numId="26" w16cid:durableId="169108774">
    <w:abstractNumId w:val="8"/>
  </w:num>
  <w:num w:numId="27" w16cid:durableId="1062943183">
    <w:abstractNumId w:val="4"/>
  </w:num>
  <w:num w:numId="28" w16cid:durableId="1959678697">
    <w:abstractNumId w:val="26"/>
  </w:num>
  <w:num w:numId="29" w16cid:durableId="2074502329">
    <w:abstractNumId w:val="10"/>
  </w:num>
  <w:num w:numId="30" w16cid:durableId="2122340445">
    <w:abstractNumId w:val="22"/>
  </w:num>
  <w:num w:numId="31" w16cid:durableId="1355955475">
    <w:abstractNumId w:val="18"/>
  </w:num>
  <w:num w:numId="32" w16cid:durableId="762799692">
    <w:abstractNumId w:val="14"/>
  </w:num>
  <w:num w:numId="33" w16cid:durableId="393821521">
    <w:abstractNumId w:val="2"/>
  </w:num>
  <w:num w:numId="34" w16cid:durableId="412046974">
    <w:abstractNumId w:val="15"/>
  </w:num>
  <w:num w:numId="35" w16cid:durableId="338116411">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141E"/>
    <w:rsid w:val="00003068"/>
    <w:rsid w:val="000041EA"/>
    <w:rsid w:val="00016665"/>
    <w:rsid w:val="00022A29"/>
    <w:rsid w:val="000355FD"/>
    <w:rsid w:val="00051E39"/>
    <w:rsid w:val="00071E48"/>
    <w:rsid w:val="000750CD"/>
    <w:rsid w:val="00075C63"/>
    <w:rsid w:val="00077239"/>
    <w:rsid w:val="00080905"/>
    <w:rsid w:val="000822BE"/>
    <w:rsid w:val="00086491"/>
    <w:rsid w:val="00091346"/>
    <w:rsid w:val="000F728C"/>
    <w:rsid w:val="000F73FF"/>
    <w:rsid w:val="00114CF7"/>
    <w:rsid w:val="00115637"/>
    <w:rsid w:val="00123B68"/>
    <w:rsid w:val="001260B7"/>
    <w:rsid w:val="00126F2E"/>
    <w:rsid w:val="00146F6F"/>
    <w:rsid w:val="00147DA1"/>
    <w:rsid w:val="00152957"/>
    <w:rsid w:val="00154066"/>
    <w:rsid w:val="00181369"/>
    <w:rsid w:val="00187BD9"/>
    <w:rsid w:val="00190B55"/>
    <w:rsid w:val="00194CFB"/>
    <w:rsid w:val="00196F5F"/>
    <w:rsid w:val="001B2ED3"/>
    <w:rsid w:val="001C3B5F"/>
    <w:rsid w:val="001C6A57"/>
    <w:rsid w:val="001D058F"/>
    <w:rsid w:val="002009EA"/>
    <w:rsid w:val="00202CA0"/>
    <w:rsid w:val="002154A6"/>
    <w:rsid w:val="002162CD"/>
    <w:rsid w:val="002172DB"/>
    <w:rsid w:val="002255B3"/>
    <w:rsid w:val="00236E8A"/>
    <w:rsid w:val="00257FFE"/>
    <w:rsid w:val="00271316"/>
    <w:rsid w:val="00293CB8"/>
    <w:rsid w:val="00296313"/>
    <w:rsid w:val="00296810"/>
    <w:rsid w:val="002B7B3A"/>
    <w:rsid w:val="002C2FC2"/>
    <w:rsid w:val="002D58BE"/>
    <w:rsid w:val="003013EE"/>
    <w:rsid w:val="00325C0C"/>
    <w:rsid w:val="003500E7"/>
    <w:rsid w:val="00350A11"/>
    <w:rsid w:val="00363EEF"/>
    <w:rsid w:val="00377BD3"/>
    <w:rsid w:val="00384088"/>
    <w:rsid w:val="0038489B"/>
    <w:rsid w:val="0039169B"/>
    <w:rsid w:val="003A7F8C"/>
    <w:rsid w:val="003B532E"/>
    <w:rsid w:val="003B6F14"/>
    <w:rsid w:val="003C49A6"/>
    <w:rsid w:val="003D0F8B"/>
    <w:rsid w:val="00405217"/>
    <w:rsid w:val="004131D4"/>
    <w:rsid w:val="0041348E"/>
    <w:rsid w:val="00415190"/>
    <w:rsid w:val="0042286D"/>
    <w:rsid w:val="004254C1"/>
    <w:rsid w:val="0043554A"/>
    <w:rsid w:val="00447308"/>
    <w:rsid w:val="00460A99"/>
    <w:rsid w:val="00465185"/>
    <w:rsid w:val="004667C6"/>
    <w:rsid w:val="00473B18"/>
    <w:rsid w:val="004765FF"/>
    <w:rsid w:val="004811DC"/>
    <w:rsid w:val="00492075"/>
    <w:rsid w:val="004969AD"/>
    <w:rsid w:val="004A43D4"/>
    <w:rsid w:val="004B13CB"/>
    <w:rsid w:val="004B4FDF"/>
    <w:rsid w:val="004C5636"/>
    <w:rsid w:val="004D5D5C"/>
    <w:rsid w:val="004E3AA6"/>
    <w:rsid w:val="004F233F"/>
    <w:rsid w:val="0050139F"/>
    <w:rsid w:val="00520EA7"/>
    <w:rsid w:val="00521223"/>
    <w:rsid w:val="00524DF1"/>
    <w:rsid w:val="00547748"/>
    <w:rsid w:val="0055140B"/>
    <w:rsid w:val="00554C4F"/>
    <w:rsid w:val="00561D72"/>
    <w:rsid w:val="0056230B"/>
    <w:rsid w:val="00591C2A"/>
    <w:rsid w:val="005964AB"/>
    <w:rsid w:val="005A762E"/>
    <w:rsid w:val="005B44F5"/>
    <w:rsid w:val="005C099A"/>
    <w:rsid w:val="005C31A5"/>
    <w:rsid w:val="005E10C9"/>
    <w:rsid w:val="005E61DD"/>
    <w:rsid w:val="005E6321"/>
    <w:rsid w:val="006023DF"/>
    <w:rsid w:val="0064322F"/>
    <w:rsid w:val="00657DE0"/>
    <w:rsid w:val="00662D81"/>
    <w:rsid w:val="00667F33"/>
    <w:rsid w:val="0067199F"/>
    <w:rsid w:val="006744CA"/>
    <w:rsid w:val="0068108E"/>
    <w:rsid w:val="00685313"/>
    <w:rsid w:val="006A6E9B"/>
    <w:rsid w:val="006B7C2A"/>
    <w:rsid w:val="006C23DA"/>
    <w:rsid w:val="006C5434"/>
    <w:rsid w:val="006E3D45"/>
    <w:rsid w:val="006F7392"/>
    <w:rsid w:val="007149F9"/>
    <w:rsid w:val="00733A30"/>
    <w:rsid w:val="00745AEE"/>
    <w:rsid w:val="007479EA"/>
    <w:rsid w:val="00750F10"/>
    <w:rsid w:val="00772AF4"/>
    <w:rsid w:val="007742CA"/>
    <w:rsid w:val="007920FB"/>
    <w:rsid w:val="007A0E6A"/>
    <w:rsid w:val="007B1905"/>
    <w:rsid w:val="007D06F0"/>
    <w:rsid w:val="007D45E3"/>
    <w:rsid w:val="007D5320"/>
    <w:rsid w:val="007D7DA7"/>
    <w:rsid w:val="007F735C"/>
    <w:rsid w:val="00800972"/>
    <w:rsid w:val="00804475"/>
    <w:rsid w:val="00811633"/>
    <w:rsid w:val="008141F7"/>
    <w:rsid w:val="00821CEF"/>
    <w:rsid w:val="008311B3"/>
    <w:rsid w:val="00832828"/>
    <w:rsid w:val="0083645A"/>
    <w:rsid w:val="00840B0F"/>
    <w:rsid w:val="008438B1"/>
    <w:rsid w:val="008525A2"/>
    <w:rsid w:val="00861398"/>
    <w:rsid w:val="00864AFD"/>
    <w:rsid w:val="008711AE"/>
    <w:rsid w:val="00872FC8"/>
    <w:rsid w:val="008768EC"/>
    <w:rsid w:val="008801D3"/>
    <w:rsid w:val="008845D0"/>
    <w:rsid w:val="008902C6"/>
    <w:rsid w:val="008B43F2"/>
    <w:rsid w:val="008B4A25"/>
    <w:rsid w:val="008B61EA"/>
    <w:rsid w:val="008B6CFF"/>
    <w:rsid w:val="008C0C1B"/>
    <w:rsid w:val="008C6457"/>
    <w:rsid w:val="008C7CB5"/>
    <w:rsid w:val="008D412C"/>
    <w:rsid w:val="00900378"/>
    <w:rsid w:val="00906387"/>
    <w:rsid w:val="00910B26"/>
    <w:rsid w:val="009274B4"/>
    <w:rsid w:val="0093006E"/>
    <w:rsid w:val="00934EA2"/>
    <w:rsid w:val="009363C3"/>
    <w:rsid w:val="00944A5C"/>
    <w:rsid w:val="00952A66"/>
    <w:rsid w:val="00976273"/>
    <w:rsid w:val="009A034E"/>
    <w:rsid w:val="009A2D71"/>
    <w:rsid w:val="009C56E5"/>
    <w:rsid w:val="009D3571"/>
    <w:rsid w:val="009E41D5"/>
    <w:rsid w:val="009E5FC8"/>
    <w:rsid w:val="009E687A"/>
    <w:rsid w:val="00A03C5C"/>
    <w:rsid w:val="00A066F1"/>
    <w:rsid w:val="00A141AF"/>
    <w:rsid w:val="00A15C2E"/>
    <w:rsid w:val="00A1664E"/>
    <w:rsid w:val="00A16D29"/>
    <w:rsid w:val="00A20E5E"/>
    <w:rsid w:val="00A21FD5"/>
    <w:rsid w:val="00A23C7D"/>
    <w:rsid w:val="00A24250"/>
    <w:rsid w:val="00A26CF6"/>
    <w:rsid w:val="00A30305"/>
    <w:rsid w:val="00A31D2D"/>
    <w:rsid w:val="00A4600A"/>
    <w:rsid w:val="00A47A9C"/>
    <w:rsid w:val="00A538A6"/>
    <w:rsid w:val="00A54C25"/>
    <w:rsid w:val="00A56A24"/>
    <w:rsid w:val="00A571E1"/>
    <w:rsid w:val="00A63D1D"/>
    <w:rsid w:val="00A710E7"/>
    <w:rsid w:val="00A73711"/>
    <w:rsid w:val="00A7372E"/>
    <w:rsid w:val="00A93B85"/>
    <w:rsid w:val="00AA0B18"/>
    <w:rsid w:val="00AA666F"/>
    <w:rsid w:val="00AB20E3"/>
    <w:rsid w:val="00AB4927"/>
    <w:rsid w:val="00AC0DF3"/>
    <w:rsid w:val="00AC3E73"/>
    <w:rsid w:val="00AC797F"/>
    <w:rsid w:val="00AD4898"/>
    <w:rsid w:val="00AF151F"/>
    <w:rsid w:val="00B004E5"/>
    <w:rsid w:val="00B03556"/>
    <w:rsid w:val="00B15F9D"/>
    <w:rsid w:val="00B2076B"/>
    <w:rsid w:val="00B301F1"/>
    <w:rsid w:val="00B34FA2"/>
    <w:rsid w:val="00B44137"/>
    <w:rsid w:val="00B55E9B"/>
    <w:rsid w:val="00B620E1"/>
    <w:rsid w:val="00B639E9"/>
    <w:rsid w:val="00B66E71"/>
    <w:rsid w:val="00B777B1"/>
    <w:rsid w:val="00B817CD"/>
    <w:rsid w:val="00B911B2"/>
    <w:rsid w:val="00B951D0"/>
    <w:rsid w:val="00BB29C8"/>
    <w:rsid w:val="00BB3A95"/>
    <w:rsid w:val="00BB60D1"/>
    <w:rsid w:val="00BC0382"/>
    <w:rsid w:val="00BD63D0"/>
    <w:rsid w:val="00C0018F"/>
    <w:rsid w:val="00C20466"/>
    <w:rsid w:val="00C214ED"/>
    <w:rsid w:val="00C234E6"/>
    <w:rsid w:val="00C23FFD"/>
    <w:rsid w:val="00C324A8"/>
    <w:rsid w:val="00C33BE0"/>
    <w:rsid w:val="00C41366"/>
    <w:rsid w:val="00C52142"/>
    <w:rsid w:val="00C54517"/>
    <w:rsid w:val="00C64CD8"/>
    <w:rsid w:val="00C94205"/>
    <w:rsid w:val="00C96576"/>
    <w:rsid w:val="00C97C68"/>
    <w:rsid w:val="00CA1A47"/>
    <w:rsid w:val="00CC247A"/>
    <w:rsid w:val="00CD447F"/>
    <w:rsid w:val="00CE156F"/>
    <w:rsid w:val="00CE5E47"/>
    <w:rsid w:val="00CF020F"/>
    <w:rsid w:val="00CF2B5B"/>
    <w:rsid w:val="00D01FF4"/>
    <w:rsid w:val="00D14CE0"/>
    <w:rsid w:val="00D36333"/>
    <w:rsid w:val="00D5651D"/>
    <w:rsid w:val="00D65B9C"/>
    <w:rsid w:val="00D74898"/>
    <w:rsid w:val="00D801ED"/>
    <w:rsid w:val="00D83BF5"/>
    <w:rsid w:val="00D842D4"/>
    <w:rsid w:val="00D85AB2"/>
    <w:rsid w:val="00D925C2"/>
    <w:rsid w:val="00D936BC"/>
    <w:rsid w:val="00D9621A"/>
    <w:rsid w:val="00D96530"/>
    <w:rsid w:val="00D96B4B"/>
    <w:rsid w:val="00D976AD"/>
    <w:rsid w:val="00DA2345"/>
    <w:rsid w:val="00DA453A"/>
    <w:rsid w:val="00DA7078"/>
    <w:rsid w:val="00DB60B1"/>
    <w:rsid w:val="00DD08B4"/>
    <w:rsid w:val="00DD44AF"/>
    <w:rsid w:val="00DE2AC3"/>
    <w:rsid w:val="00DE434C"/>
    <w:rsid w:val="00DE5692"/>
    <w:rsid w:val="00DF6F8E"/>
    <w:rsid w:val="00E03C94"/>
    <w:rsid w:val="00E07105"/>
    <w:rsid w:val="00E102F0"/>
    <w:rsid w:val="00E230B2"/>
    <w:rsid w:val="00E26226"/>
    <w:rsid w:val="00E4165C"/>
    <w:rsid w:val="00E45D05"/>
    <w:rsid w:val="00E4743F"/>
    <w:rsid w:val="00E53534"/>
    <w:rsid w:val="00E55816"/>
    <w:rsid w:val="00E55AEF"/>
    <w:rsid w:val="00E976C1"/>
    <w:rsid w:val="00EA12E5"/>
    <w:rsid w:val="00EE25F8"/>
    <w:rsid w:val="00EE3DE5"/>
    <w:rsid w:val="00F02766"/>
    <w:rsid w:val="00F04067"/>
    <w:rsid w:val="00F05BD4"/>
    <w:rsid w:val="00F11A98"/>
    <w:rsid w:val="00F21A1D"/>
    <w:rsid w:val="00F25C22"/>
    <w:rsid w:val="00F34118"/>
    <w:rsid w:val="00F65C19"/>
    <w:rsid w:val="00F8541E"/>
    <w:rsid w:val="00FB0CB9"/>
    <w:rsid w:val="00FB589C"/>
    <w:rsid w:val="00FC193A"/>
    <w:rsid w:val="00FD2546"/>
    <w:rsid w:val="00FD772E"/>
    <w:rsid w:val="00FE3926"/>
    <w:rsid w:val="00FE78C7"/>
    <w:rsid w:val="00FF43AC"/>
    <w:rsid w:val="0210841A"/>
    <w:rsid w:val="025044F4"/>
    <w:rsid w:val="029594E7"/>
    <w:rsid w:val="0745819A"/>
    <w:rsid w:val="0BDFD573"/>
    <w:rsid w:val="0CBED782"/>
    <w:rsid w:val="196AC032"/>
    <w:rsid w:val="1EB37000"/>
    <w:rsid w:val="2E3E68B0"/>
    <w:rsid w:val="30E1FA1E"/>
    <w:rsid w:val="34A7BEAB"/>
    <w:rsid w:val="34CB70EC"/>
    <w:rsid w:val="409A0992"/>
    <w:rsid w:val="4EB8408E"/>
    <w:rsid w:val="54B82659"/>
    <w:rsid w:val="5AF35138"/>
    <w:rsid w:val="5E2C4A0F"/>
    <w:rsid w:val="6245C500"/>
    <w:rsid w:val="695BD47D"/>
    <w:rsid w:val="6BACDB6A"/>
    <w:rsid w:val="7174A4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45BA0"/>
  <w15:docId w15:val="{C50B0FD9-E59A-49C6-A287-BBF37FB2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link w:val="Heading3Char"/>
    <w:qFormat/>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qFormat/>
    <w:pPr>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qForma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link w:val="FiguretitleChar"/>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aliases w:val="footer odd,footer,fo,pie de página"/>
    <w:basedOn w:val="Normal"/>
    <w:link w:val="FooterChar"/>
    <w:qFormat/>
    <w:rsid w:val="00745AEE"/>
    <w:pPr>
      <w:tabs>
        <w:tab w:val="clear" w:pos="1134"/>
        <w:tab w:val="clear" w:pos="2268"/>
        <w:tab w:val="left" w:pos="5954"/>
        <w:tab w:val="right" w:pos="9639"/>
      </w:tabs>
      <w:spacing w:before="0"/>
    </w:pPr>
    <w:rPr>
      <w:caps/>
      <w:noProof/>
      <w:sz w:val="16"/>
    </w:rPr>
  </w:style>
  <w:style w:type="character" w:customStyle="1" w:styleId="FooterChar">
    <w:name w:val="Footer Char"/>
    <w:aliases w:val="footer odd Char,footer Char,fo Char,pie de página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qFormat/>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uiPriority w:val="99"/>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qFormat/>
    <w:rsid w:val="00A63D1D"/>
    <w:pPr>
      <w:keepLines/>
      <w:tabs>
        <w:tab w:val="left" w:pos="255"/>
      </w:tabs>
      <w:spacing w:before="60"/>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A63D1D"/>
    <w:rPr>
      <w:rFonts w:asciiTheme="minorHAnsi" w:hAnsiTheme="minorHAnsi"/>
      <w:lang w:val="en-GB" w:eastAsia="en-US"/>
    </w:rPr>
  </w:style>
  <w:style w:type="paragraph" w:styleId="Header">
    <w:name w:val="header"/>
    <w:aliases w:val="h,Header/Footer,header odd,header entry,HE,页眉,header odd1,header odd2,header,header odd3,header odd4,header odd5,header odd6,header1,header2,header3,header odd11,header odd21,header odd7,header4,header odd8,header odd9,header5,header odd12"/>
    <w:basedOn w:val="Normal"/>
    <w:link w:val="HeaderChar"/>
    <w:qFormat/>
    <w:rsid w:val="00745AEE"/>
    <w:pPr>
      <w:spacing w:before="0"/>
      <w:jc w:val="center"/>
    </w:pPr>
    <w:rPr>
      <w:sz w:val="18"/>
    </w:rPr>
  </w:style>
  <w:style w:type="character" w:customStyle="1" w:styleId="HeaderChar">
    <w:name w:val="Header Char"/>
    <w:aliases w:val="h Char,Header/Footer Char,header odd Char,header entry Char,HE Char,页眉 Char,header odd1 Char,header odd2 Char,header Char,header odd3 Char,header odd4 Char,header odd5 Char,header odd6 Char,header1 Char,header2 Char,header3 Char,header4 Char"/>
    <w:basedOn w:val="DefaultParagraphFont"/>
    <w:link w:val="Header"/>
    <w:qFormat/>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link w:val="SourceChar"/>
    <w:qFormat/>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qFormat/>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qFormat/>
    <w:rsid w:val="001D058F"/>
    <w:pPr>
      <w:spacing w:before="120"/>
    </w:pPr>
  </w:style>
  <w:style w:type="paragraph" w:styleId="TOC3">
    <w:name w:val="toc 3"/>
    <w:basedOn w:val="TOC2"/>
    <w:qFormat/>
    <w:rsid w:val="001D058F"/>
  </w:style>
  <w:style w:type="paragraph" w:styleId="TOC4">
    <w:name w:val="toc 4"/>
    <w:basedOn w:val="TOC3"/>
    <w:qFormat/>
    <w:rsid w:val="001D058F"/>
  </w:style>
  <w:style w:type="paragraph" w:styleId="TOC5">
    <w:name w:val="toc 5"/>
    <w:basedOn w:val="TOC4"/>
    <w:qFormat/>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link w:val="Title1Char"/>
    <w:qFormat/>
    <w:rsid w:val="001D058F"/>
    <w:pPr>
      <w:spacing w:before="240"/>
    </w:pPr>
    <w:rPr>
      <w:b w:val="0"/>
      <w:caps/>
    </w:rPr>
  </w:style>
  <w:style w:type="paragraph" w:customStyle="1" w:styleId="Title2">
    <w:name w:val="Title 2"/>
    <w:basedOn w:val="Source"/>
    <w:next w:val="Normal"/>
    <w:qFormat/>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qFormat/>
    <w:rsid w:val="001D058F"/>
    <w:rPr>
      <w:b/>
    </w:rPr>
  </w:style>
  <w:style w:type="paragraph" w:customStyle="1" w:styleId="Tabletext">
    <w:name w:val="Table_text"/>
    <w:basedOn w:val="Normal"/>
    <w:link w:val="TabletextChar"/>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D96B4B"/>
    <w:pPr>
      <w:spacing w:before="160"/>
    </w:pPr>
    <w:rPr>
      <w:rFonts w:cs="Times New Roman Bold"/>
      <w:b/>
      <w:lang w:val="fr-CH"/>
    </w:rPr>
  </w:style>
  <w:style w:type="paragraph" w:customStyle="1" w:styleId="Note">
    <w:name w:val="Note"/>
    <w:basedOn w:val="Normal"/>
    <w:next w:val="Normal"/>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qFormat/>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styleId="FollowedHyperlink">
    <w:name w:val="FollowedHyperlink"/>
    <w:basedOn w:val="DefaultParagraphFont"/>
    <w:unhideWhenUsed/>
    <w:rsid w:val="001260B7"/>
    <w:rPr>
      <w:color w:val="800080" w:themeColor="followedHyperlink"/>
      <w:u w:val="single"/>
    </w:rPr>
  </w:style>
  <w:style w:type="character" w:customStyle="1" w:styleId="UnresolvedMention1">
    <w:name w:val="Unresolved Mention1"/>
    <w:basedOn w:val="DefaultParagraphFont"/>
    <w:uiPriority w:val="99"/>
    <w:semiHidden/>
    <w:unhideWhenUsed/>
    <w:rsid w:val="001260B7"/>
    <w:rPr>
      <w:color w:val="605E5C"/>
      <w:shd w:val="clear" w:color="auto" w:fill="E1DFDD"/>
    </w:rPr>
  </w:style>
  <w:style w:type="table" w:styleId="TableGrid">
    <w:name w:val="Table Grid"/>
    <w:basedOn w:val="TableNormal"/>
    <w:uiPriority w:val="39"/>
    <w:qFormat/>
    <w:rsid w:val="006F7392"/>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6F7392"/>
    <w:rPr>
      <w:rFonts w:asciiTheme="minorHAnsi" w:hAnsiTheme="minorHAnsi"/>
      <w:sz w:val="24"/>
      <w:lang w:val="en-GB" w:eastAsia="en-US"/>
    </w:rPr>
  </w:style>
  <w:style w:type="paragraph" w:customStyle="1" w:styleId="Default">
    <w:name w:val="Default"/>
    <w:qFormat/>
    <w:rsid w:val="006F7392"/>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qFormat/>
    <w:rsid w:val="006F7392"/>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unhideWhenUsed/>
    <w:rsid w:val="006F7392"/>
    <w:rPr>
      <w:sz w:val="16"/>
      <w:szCs w:val="16"/>
    </w:rPr>
  </w:style>
  <w:style w:type="paragraph" w:styleId="CommentText">
    <w:name w:val="annotation text"/>
    <w:basedOn w:val="Normal"/>
    <w:link w:val="CommentTextChar"/>
    <w:unhideWhenUsed/>
    <w:qFormat/>
    <w:rsid w:val="006F7392"/>
    <w:pPr>
      <w:tabs>
        <w:tab w:val="clear" w:pos="1134"/>
        <w:tab w:val="clear" w:pos="1871"/>
        <w:tab w:val="clear" w:pos="2268"/>
      </w:tabs>
      <w:overflowPunct/>
      <w:autoSpaceDE/>
      <w:autoSpaceDN/>
      <w:adjustRightInd/>
      <w:spacing w:before="0"/>
      <w:textAlignment w:val="auto"/>
    </w:pPr>
    <w:rPr>
      <w:rFonts w:ascii="Times New Roman" w:hAnsi="Times New Roman"/>
      <w:sz w:val="20"/>
      <w:szCs w:val="24"/>
      <w:lang w:val="en-US"/>
    </w:rPr>
  </w:style>
  <w:style w:type="character" w:customStyle="1" w:styleId="CommentTextChar">
    <w:name w:val="Comment Text Char"/>
    <w:basedOn w:val="DefaultParagraphFont"/>
    <w:link w:val="CommentText"/>
    <w:rsid w:val="006F7392"/>
    <w:rPr>
      <w:rFonts w:ascii="Times New Roman" w:hAnsi="Times New Roman"/>
      <w:szCs w:val="24"/>
      <w:lang w:eastAsia="en-US"/>
    </w:rPr>
  </w:style>
  <w:style w:type="paragraph" w:styleId="CommentSubject">
    <w:name w:val="annotation subject"/>
    <w:basedOn w:val="CommentText"/>
    <w:next w:val="CommentText"/>
    <w:link w:val="CommentSubjectChar"/>
    <w:unhideWhenUsed/>
    <w:rsid w:val="006F7392"/>
    <w:rPr>
      <w:b/>
      <w:bCs/>
    </w:rPr>
  </w:style>
  <w:style w:type="character" w:customStyle="1" w:styleId="CommentSubjectChar">
    <w:name w:val="Comment Subject Char"/>
    <w:basedOn w:val="CommentTextChar"/>
    <w:link w:val="CommentSubject"/>
    <w:rsid w:val="006F7392"/>
    <w:rPr>
      <w:rFonts w:ascii="Times New Roman" w:hAnsi="Times New Roman"/>
      <w:b/>
      <w:bCs/>
      <w:szCs w:val="24"/>
      <w:lang w:eastAsia="en-US"/>
    </w:rPr>
  </w:style>
  <w:style w:type="paragraph" w:styleId="Revision">
    <w:name w:val="Revision"/>
    <w:hidden/>
    <w:uiPriority w:val="99"/>
    <w:rsid w:val="006F7392"/>
    <w:rPr>
      <w:rFonts w:asciiTheme="minorHAnsi" w:hAnsiTheme="minorHAnsi"/>
      <w:sz w:val="24"/>
      <w:lang w:val="en-GB" w:eastAsia="en-US"/>
    </w:rPr>
  </w:style>
  <w:style w:type="paragraph" w:customStyle="1" w:styleId="CEOAgendaItemN">
    <w:name w:val="CEO_AgendaItemN°"/>
    <w:basedOn w:val="Normal"/>
    <w:qFormat/>
    <w:rsid w:val="006F7392"/>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6F7392"/>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6F7392"/>
    <w:rPr>
      <w:color w:val="605E5C"/>
      <w:shd w:val="clear" w:color="auto" w:fill="E1DFDD"/>
    </w:rPr>
  </w:style>
  <w:style w:type="paragraph" w:styleId="HTMLPreformatted">
    <w:name w:val="HTML Preformatted"/>
    <w:basedOn w:val="Normal"/>
    <w:link w:val="HTMLPreformattedChar"/>
    <w:uiPriority w:val="99"/>
    <w:unhideWhenUsed/>
    <w:qFormat/>
    <w:rsid w:val="006F7392"/>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F7392"/>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6F7392"/>
    <w:rPr>
      <w:color w:val="605E5C"/>
      <w:shd w:val="clear" w:color="auto" w:fill="E1DFDD"/>
    </w:rPr>
  </w:style>
  <w:style w:type="paragraph" w:styleId="NormalWeb">
    <w:name w:val="Normal (Web)"/>
    <w:basedOn w:val="Normal"/>
    <w:uiPriority w:val="99"/>
    <w:unhideWhenUsed/>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paragraph" w:customStyle="1" w:styleId="paragraph">
    <w:name w:val="paragraph"/>
    <w:basedOn w:val="Normal"/>
    <w:rsid w:val="006F7392"/>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hAnsi="Times New Roman"/>
      <w:szCs w:val="24"/>
      <w:lang w:val="en-US"/>
    </w:rPr>
  </w:style>
  <w:style w:type="character" w:customStyle="1" w:styleId="normaltextrun">
    <w:name w:val="normaltextrun"/>
    <w:basedOn w:val="DefaultParagraphFont"/>
    <w:rsid w:val="006F7392"/>
  </w:style>
  <w:style w:type="character" w:customStyle="1" w:styleId="eop">
    <w:name w:val="eop"/>
    <w:basedOn w:val="DefaultParagraphFont"/>
    <w:rsid w:val="006F7392"/>
  </w:style>
  <w:style w:type="character" w:customStyle="1" w:styleId="scxw258445063">
    <w:name w:val="scxw258445063"/>
    <w:basedOn w:val="DefaultParagraphFont"/>
    <w:rsid w:val="006F7392"/>
  </w:style>
  <w:style w:type="character" w:customStyle="1" w:styleId="scxw107409825">
    <w:name w:val="scxw107409825"/>
    <w:basedOn w:val="DefaultParagraphFont"/>
    <w:rsid w:val="006F7392"/>
  </w:style>
  <w:style w:type="character" w:customStyle="1" w:styleId="scxw173330466">
    <w:name w:val="scxw173330466"/>
    <w:basedOn w:val="DefaultParagraphFont"/>
    <w:rsid w:val="006F7392"/>
  </w:style>
  <w:style w:type="character" w:styleId="Strong">
    <w:name w:val="Strong"/>
    <w:basedOn w:val="DefaultParagraphFont"/>
    <w:uiPriority w:val="22"/>
    <w:qFormat/>
    <w:rsid w:val="006F7392"/>
    <w:rPr>
      <w:b/>
      <w:bCs/>
    </w:rPr>
  </w:style>
  <w:style w:type="character" w:styleId="Emphasis">
    <w:name w:val="Emphasis"/>
    <w:basedOn w:val="DefaultParagraphFont"/>
    <w:uiPriority w:val="20"/>
    <w:qFormat/>
    <w:rsid w:val="00A73711"/>
    <w:rPr>
      <w:i/>
      <w:iCs/>
    </w:rPr>
  </w:style>
  <w:style w:type="character" w:customStyle="1" w:styleId="CEOHeader1Char">
    <w:name w:val="CEO_Header1 Char"/>
    <w:basedOn w:val="DefaultParagraphFont"/>
    <w:link w:val="CEOHeader1"/>
    <w:locked/>
    <w:rsid w:val="00A73711"/>
    <w:rPr>
      <w:rFonts w:ascii="Verdana" w:hAnsi="Verdana" w:cs="Simplified Arabic"/>
      <w:b/>
      <w:bCs/>
      <w:sz w:val="19"/>
      <w:szCs w:val="19"/>
      <w:lang w:eastAsia="en-US"/>
    </w:rPr>
  </w:style>
  <w:style w:type="paragraph" w:customStyle="1" w:styleId="CEOHeader1">
    <w:name w:val="CEO_Header1"/>
    <w:basedOn w:val="Normal"/>
    <w:link w:val="CEOHeader1Char"/>
    <w:rsid w:val="00A73711"/>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character" w:customStyle="1" w:styleId="Heading1Char">
    <w:name w:val="Heading 1 Char"/>
    <w:link w:val="Heading1"/>
    <w:rsid w:val="00A63D1D"/>
    <w:rPr>
      <w:rFonts w:asciiTheme="minorHAnsi" w:hAnsiTheme="minorHAnsi"/>
      <w:b/>
      <w:sz w:val="28"/>
      <w:lang w:val="en-GB" w:eastAsia="en-US"/>
    </w:rPr>
  </w:style>
  <w:style w:type="character" w:customStyle="1" w:styleId="Heading2Char">
    <w:name w:val="Heading 2 Char"/>
    <w:link w:val="Heading2"/>
    <w:rsid w:val="00A63D1D"/>
    <w:rPr>
      <w:rFonts w:asciiTheme="minorHAnsi" w:hAnsiTheme="minorHAnsi"/>
      <w:b/>
      <w:sz w:val="24"/>
      <w:lang w:val="en-GB" w:eastAsia="en-US"/>
    </w:rPr>
  </w:style>
  <w:style w:type="character" w:customStyle="1" w:styleId="Heading3Char">
    <w:name w:val="Heading 3 Char"/>
    <w:link w:val="Heading3"/>
    <w:rsid w:val="00A63D1D"/>
    <w:rPr>
      <w:rFonts w:asciiTheme="minorHAnsi" w:hAnsiTheme="minorHAnsi"/>
      <w:b/>
      <w:sz w:val="24"/>
      <w:lang w:val="en-GB" w:eastAsia="en-US"/>
    </w:rPr>
  </w:style>
  <w:style w:type="character" w:customStyle="1" w:styleId="Heading4Char">
    <w:name w:val="Heading 4 Char"/>
    <w:basedOn w:val="DefaultParagraphFont"/>
    <w:link w:val="Heading4"/>
    <w:rsid w:val="00A63D1D"/>
    <w:rPr>
      <w:rFonts w:asciiTheme="minorHAnsi" w:hAnsiTheme="minorHAnsi"/>
      <w:b/>
      <w:sz w:val="24"/>
      <w:lang w:val="en-GB" w:eastAsia="en-US"/>
    </w:rPr>
  </w:style>
  <w:style w:type="character" w:customStyle="1" w:styleId="Heading5Char">
    <w:name w:val="Heading 5 Char"/>
    <w:basedOn w:val="DefaultParagraphFont"/>
    <w:link w:val="Heading5"/>
    <w:rsid w:val="00A63D1D"/>
    <w:rPr>
      <w:rFonts w:asciiTheme="minorHAnsi" w:hAnsiTheme="minorHAnsi"/>
      <w:b/>
      <w:sz w:val="24"/>
      <w:lang w:val="en-GB" w:eastAsia="en-US"/>
    </w:rPr>
  </w:style>
  <w:style w:type="character" w:customStyle="1" w:styleId="Heading6Char">
    <w:name w:val="Heading 6 Char"/>
    <w:basedOn w:val="DefaultParagraphFont"/>
    <w:link w:val="Heading6"/>
    <w:rsid w:val="00A63D1D"/>
    <w:rPr>
      <w:rFonts w:asciiTheme="minorHAnsi" w:hAnsiTheme="minorHAnsi"/>
      <w:b/>
      <w:sz w:val="24"/>
      <w:lang w:val="en-GB" w:eastAsia="en-US"/>
    </w:rPr>
  </w:style>
  <w:style w:type="character" w:customStyle="1" w:styleId="Heading7Char">
    <w:name w:val="Heading 7 Char"/>
    <w:basedOn w:val="DefaultParagraphFont"/>
    <w:link w:val="Heading7"/>
    <w:rsid w:val="00A63D1D"/>
    <w:rPr>
      <w:rFonts w:asciiTheme="minorHAnsi" w:hAnsiTheme="minorHAnsi"/>
      <w:b/>
      <w:sz w:val="24"/>
      <w:lang w:val="en-GB" w:eastAsia="en-US"/>
    </w:rPr>
  </w:style>
  <w:style w:type="character" w:customStyle="1" w:styleId="Heading8Char">
    <w:name w:val="Heading 8 Char"/>
    <w:basedOn w:val="DefaultParagraphFont"/>
    <w:link w:val="Heading8"/>
    <w:rsid w:val="00A63D1D"/>
    <w:rPr>
      <w:rFonts w:asciiTheme="minorHAnsi" w:hAnsiTheme="minorHAnsi"/>
      <w:b/>
      <w:sz w:val="24"/>
      <w:lang w:val="en-GB" w:eastAsia="en-US"/>
    </w:rPr>
  </w:style>
  <w:style w:type="character" w:customStyle="1" w:styleId="Heading9Char">
    <w:name w:val="Heading 9 Char"/>
    <w:basedOn w:val="DefaultParagraphFont"/>
    <w:link w:val="Heading9"/>
    <w:rsid w:val="00A63D1D"/>
    <w:rPr>
      <w:rFonts w:asciiTheme="minorHAnsi" w:hAnsiTheme="minorHAnsi"/>
      <w:b/>
      <w:sz w:val="24"/>
      <w:lang w:val="en-GB" w:eastAsia="en-US"/>
    </w:rPr>
  </w:style>
  <w:style w:type="character" w:customStyle="1" w:styleId="CallChar">
    <w:name w:val="Call Char"/>
    <w:link w:val="Call"/>
    <w:rsid w:val="00A63D1D"/>
    <w:rPr>
      <w:rFonts w:asciiTheme="minorHAnsi" w:hAnsiTheme="minorHAnsi"/>
      <w:i/>
      <w:sz w:val="24"/>
      <w:lang w:val="en-GB" w:eastAsia="en-US"/>
    </w:rPr>
  </w:style>
  <w:style w:type="character" w:customStyle="1" w:styleId="FigureNoChar">
    <w:name w:val="Figure_No Char"/>
    <w:basedOn w:val="DefaultParagraphFont"/>
    <w:link w:val="FigureNo"/>
    <w:rsid w:val="00A63D1D"/>
    <w:rPr>
      <w:rFonts w:asciiTheme="minorHAnsi" w:hAnsiTheme="minorHAnsi"/>
      <w:caps/>
      <w:lang w:val="en-GB" w:eastAsia="en-US"/>
    </w:rPr>
  </w:style>
  <w:style w:type="character" w:customStyle="1" w:styleId="FiguretitleChar">
    <w:name w:val="Figure_title Char"/>
    <w:basedOn w:val="DefaultParagraphFont"/>
    <w:link w:val="Figuretitle"/>
    <w:rsid w:val="00A63D1D"/>
    <w:rPr>
      <w:rFonts w:asciiTheme="minorHAnsi" w:hAnsiTheme="minorHAnsi"/>
      <w:b/>
      <w:lang w:val="en-GB" w:eastAsia="en-US"/>
    </w:rPr>
  </w:style>
  <w:style w:type="character" w:customStyle="1" w:styleId="SourceChar">
    <w:name w:val="Source Char"/>
    <w:link w:val="Source"/>
    <w:locked/>
    <w:rsid w:val="00A63D1D"/>
    <w:rPr>
      <w:rFonts w:asciiTheme="minorHAnsi" w:hAnsiTheme="minorHAnsi"/>
      <w:b/>
      <w:sz w:val="28"/>
      <w:lang w:val="en-GB" w:eastAsia="en-US"/>
    </w:rPr>
  </w:style>
  <w:style w:type="character" w:customStyle="1" w:styleId="Title1Char">
    <w:name w:val="Title 1 Char"/>
    <w:link w:val="Title1"/>
    <w:qFormat/>
    <w:locked/>
    <w:rsid w:val="00A63D1D"/>
    <w:rPr>
      <w:rFonts w:asciiTheme="minorHAnsi" w:hAnsiTheme="minorHAnsi"/>
      <w:caps/>
      <w:sz w:val="28"/>
      <w:lang w:val="en-GB" w:eastAsia="en-US"/>
    </w:rPr>
  </w:style>
  <w:style w:type="character" w:customStyle="1" w:styleId="TabletextChar">
    <w:name w:val="Table_text Char"/>
    <w:link w:val="Tabletext"/>
    <w:locked/>
    <w:rsid w:val="00A63D1D"/>
    <w:rPr>
      <w:rFonts w:asciiTheme="minorHAnsi" w:hAnsiTheme="minorHAnsi"/>
      <w:lang w:val="en-GB" w:eastAsia="en-US"/>
    </w:rPr>
  </w:style>
  <w:style w:type="character" w:customStyle="1" w:styleId="HeadingbChar">
    <w:name w:val="Heading_b Char"/>
    <w:basedOn w:val="DefaultParagraphFont"/>
    <w:link w:val="Headingb"/>
    <w:locked/>
    <w:rsid w:val="00A63D1D"/>
    <w:rPr>
      <w:rFonts w:asciiTheme="minorHAnsi" w:hAnsiTheme="minorHAnsi" w:cs="Times New Roman Bold"/>
      <w:b/>
      <w:sz w:val="24"/>
      <w:lang w:val="fr-CH" w:eastAsia="en-US"/>
    </w:rPr>
  </w:style>
  <w:style w:type="character" w:customStyle="1" w:styleId="ResNoChar">
    <w:name w:val="Res_No Char"/>
    <w:basedOn w:val="DefaultParagraphFont"/>
    <w:link w:val="ResNo"/>
    <w:rsid w:val="00A63D1D"/>
    <w:rPr>
      <w:rFonts w:asciiTheme="minorHAnsi" w:hAnsiTheme="minorHAnsi"/>
      <w:caps/>
      <w:sz w:val="28"/>
      <w:lang w:val="en-GB" w:eastAsia="en-US"/>
    </w:rPr>
  </w:style>
  <w:style w:type="character" w:customStyle="1" w:styleId="RestitleChar">
    <w:name w:val="Res_title Char"/>
    <w:link w:val="Restitle"/>
    <w:rsid w:val="00A63D1D"/>
    <w:rPr>
      <w:rFonts w:asciiTheme="minorHAnsi" w:hAnsiTheme="minorHAnsi"/>
      <w:b/>
      <w:sz w:val="28"/>
      <w:lang w:val="en-GB" w:eastAsia="en-US"/>
    </w:rPr>
  </w:style>
  <w:style w:type="paragraph" w:customStyle="1" w:styleId="m-6302565922324221804msolistparagraph">
    <w:name w:val="m_-6302565922324221804msolistparagraph"/>
    <w:basedOn w:val="Normal"/>
    <w:rsid w:val="00A63D1D"/>
    <w:pPr>
      <w:widowControl w:val="0"/>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Theme="minorHAnsi" w:hAnsi="Times New Roman"/>
      <w:szCs w:val="24"/>
      <w:lang w:val="fr-FR" w:eastAsia="fr-FR"/>
    </w:rPr>
  </w:style>
  <w:style w:type="character" w:customStyle="1" w:styleId="ms-rtethemeforecolor-2-0">
    <w:name w:val="ms-rtethemeforecolor-2-0"/>
    <w:basedOn w:val="DefaultParagraphFont"/>
    <w:rsid w:val="00A63D1D"/>
  </w:style>
  <w:style w:type="paragraph" w:customStyle="1" w:styleId="Docnumber">
    <w:name w:val="Docnumber"/>
    <w:basedOn w:val="Normal"/>
    <w:link w:val="DocnumberChar"/>
    <w:qFormat/>
    <w:rsid w:val="00A63D1D"/>
    <w:pPr>
      <w:tabs>
        <w:tab w:val="clear" w:pos="1134"/>
        <w:tab w:val="clear" w:pos="1871"/>
        <w:tab w:val="clear" w:pos="2268"/>
        <w:tab w:val="left" w:pos="794"/>
        <w:tab w:val="left" w:pos="1191"/>
        <w:tab w:val="left" w:pos="1588"/>
        <w:tab w:val="left" w:pos="1985"/>
      </w:tabs>
      <w:jc w:val="right"/>
    </w:pPr>
    <w:rPr>
      <w:rFonts w:ascii="Times New Roman" w:eastAsia="SimSun" w:hAnsi="Times New Roman"/>
      <w:b/>
      <w:sz w:val="40"/>
    </w:rPr>
  </w:style>
  <w:style w:type="character" w:customStyle="1" w:styleId="DocnumberChar">
    <w:name w:val="Docnumber Char"/>
    <w:link w:val="Docnumber"/>
    <w:qFormat/>
    <w:rsid w:val="00A63D1D"/>
    <w:rPr>
      <w:rFonts w:ascii="Times New Roman" w:eastAsia="SimSun" w:hAnsi="Times New Roman"/>
      <w:b/>
      <w:sz w:val="40"/>
      <w:lang w:val="en-GB" w:eastAsia="en-US"/>
    </w:rPr>
  </w:style>
  <w:style w:type="paragraph" w:styleId="Index7">
    <w:name w:val="index 7"/>
    <w:basedOn w:val="Normal"/>
    <w:next w:val="Normal"/>
    <w:qFormat/>
    <w:rsid w:val="00A63D1D"/>
    <w:pPr>
      <w:tabs>
        <w:tab w:val="clear" w:pos="1134"/>
        <w:tab w:val="clear" w:pos="1871"/>
        <w:tab w:val="clear" w:pos="2268"/>
        <w:tab w:val="left" w:pos="794"/>
        <w:tab w:val="left" w:pos="1191"/>
        <w:tab w:val="left" w:pos="1588"/>
        <w:tab w:val="left" w:pos="1985"/>
      </w:tabs>
      <w:ind w:left="1698"/>
    </w:pPr>
    <w:rPr>
      <w:rFonts w:ascii="Calibri" w:eastAsia="SimSun" w:hAnsi="Calibri"/>
    </w:rPr>
  </w:style>
  <w:style w:type="paragraph" w:styleId="Index6">
    <w:name w:val="index 6"/>
    <w:basedOn w:val="Normal"/>
    <w:next w:val="Normal"/>
    <w:qFormat/>
    <w:rsid w:val="00A63D1D"/>
    <w:pPr>
      <w:tabs>
        <w:tab w:val="clear" w:pos="1134"/>
        <w:tab w:val="clear" w:pos="1871"/>
        <w:tab w:val="clear" w:pos="2268"/>
        <w:tab w:val="left" w:pos="794"/>
        <w:tab w:val="left" w:pos="1191"/>
        <w:tab w:val="left" w:pos="1588"/>
        <w:tab w:val="left" w:pos="1985"/>
      </w:tabs>
      <w:ind w:left="1415"/>
    </w:pPr>
    <w:rPr>
      <w:rFonts w:ascii="Calibri" w:eastAsia="SimSun" w:hAnsi="Calibri"/>
    </w:rPr>
  </w:style>
  <w:style w:type="paragraph" w:styleId="Index5">
    <w:name w:val="index 5"/>
    <w:basedOn w:val="Normal"/>
    <w:next w:val="Normal"/>
    <w:rsid w:val="00A63D1D"/>
    <w:pPr>
      <w:tabs>
        <w:tab w:val="clear" w:pos="1134"/>
        <w:tab w:val="clear" w:pos="1871"/>
        <w:tab w:val="clear" w:pos="2268"/>
        <w:tab w:val="left" w:pos="794"/>
        <w:tab w:val="left" w:pos="1191"/>
        <w:tab w:val="left" w:pos="1588"/>
        <w:tab w:val="left" w:pos="1985"/>
      </w:tabs>
      <w:ind w:left="1132"/>
    </w:pPr>
    <w:rPr>
      <w:rFonts w:ascii="Calibri" w:eastAsia="SimSun" w:hAnsi="Calibri"/>
    </w:rPr>
  </w:style>
  <w:style w:type="paragraph" w:styleId="Index4">
    <w:name w:val="index 4"/>
    <w:basedOn w:val="Normal"/>
    <w:next w:val="Normal"/>
    <w:qFormat/>
    <w:rsid w:val="00A63D1D"/>
    <w:pPr>
      <w:tabs>
        <w:tab w:val="clear" w:pos="1134"/>
        <w:tab w:val="clear" w:pos="1871"/>
        <w:tab w:val="clear" w:pos="2268"/>
        <w:tab w:val="left" w:pos="794"/>
        <w:tab w:val="left" w:pos="1191"/>
        <w:tab w:val="left" w:pos="1588"/>
        <w:tab w:val="left" w:pos="1985"/>
      </w:tabs>
      <w:ind w:left="849"/>
    </w:pPr>
    <w:rPr>
      <w:rFonts w:ascii="Calibri" w:eastAsia="SimSun" w:hAnsi="Calibri"/>
    </w:rPr>
  </w:style>
  <w:style w:type="paragraph" w:styleId="Index1">
    <w:name w:val="index 1"/>
    <w:basedOn w:val="Normal"/>
    <w:next w:val="Normal"/>
    <w:rsid w:val="00A63D1D"/>
    <w:pPr>
      <w:tabs>
        <w:tab w:val="clear" w:pos="1134"/>
        <w:tab w:val="clear" w:pos="1871"/>
        <w:tab w:val="clear" w:pos="2268"/>
        <w:tab w:val="left" w:pos="794"/>
        <w:tab w:val="left" w:pos="1191"/>
        <w:tab w:val="left" w:pos="1588"/>
        <w:tab w:val="left" w:pos="1985"/>
      </w:tabs>
    </w:pPr>
    <w:rPr>
      <w:rFonts w:ascii="Calibri" w:eastAsia="SimSun" w:hAnsi="Calibri"/>
    </w:rPr>
  </w:style>
  <w:style w:type="character" w:styleId="LineNumber">
    <w:name w:val="line number"/>
    <w:basedOn w:val="DefaultParagraphFont"/>
    <w:rsid w:val="00A63D1D"/>
  </w:style>
  <w:style w:type="paragraph" w:styleId="IndexHeading">
    <w:name w:val="index heading"/>
    <w:basedOn w:val="Normal"/>
    <w:next w:val="Index1"/>
    <w:rsid w:val="00A63D1D"/>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toc0">
    <w:name w:val="toc 0"/>
    <w:basedOn w:val="Normal"/>
    <w:next w:val="TOC1"/>
    <w:rsid w:val="00A63D1D"/>
    <w:pPr>
      <w:tabs>
        <w:tab w:val="clear" w:pos="1134"/>
        <w:tab w:val="clear" w:pos="1871"/>
        <w:tab w:val="clear" w:pos="2268"/>
        <w:tab w:val="right" w:pos="9781"/>
      </w:tabs>
    </w:pPr>
    <w:rPr>
      <w:rFonts w:ascii="Calibri" w:eastAsia="SimSun" w:hAnsi="Calibri"/>
      <w:b/>
    </w:rPr>
  </w:style>
  <w:style w:type="paragraph" w:customStyle="1" w:styleId="ASN1">
    <w:name w:val="ASN.1"/>
    <w:basedOn w:val="Normal"/>
    <w:rsid w:val="00A63D1D"/>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SimSun" w:hAnsi="Times New Roman Bold"/>
      <w:b/>
      <w:noProof/>
      <w:sz w:val="20"/>
    </w:rPr>
  </w:style>
  <w:style w:type="paragraph" w:styleId="TOC9">
    <w:name w:val="toc 9"/>
    <w:basedOn w:val="TOC3"/>
    <w:next w:val="Normal"/>
    <w:qFormat/>
    <w:rsid w:val="00A63D1D"/>
    <w:pPr>
      <w:tabs>
        <w:tab w:val="clear" w:pos="1871"/>
        <w:tab w:val="clear" w:pos="7938"/>
        <w:tab w:val="left" w:pos="964"/>
        <w:tab w:val="left" w:leader="dot" w:pos="8647"/>
      </w:tabs>
      <w:ind w:left="964" w:hanging="964"/>
    </w:pPr>
    <w:rPr>
      <w:rFonts w:ascii="Calibri" w:eastAsia="SimSun" w:hAnsi="Calibri"/>
    </w:rPr>
  </w:style>
  <w:style w:type="paragraph" w:customStyle="1" w:styleId="ddate">
    <w:name w:val="ddate"/>
    <w:basedOn w:val="Normal"/>
    <w:rsid w:val="00A63D1D"/>
    <w:pPr>
      <w:framePr w:hSpace="181" w:wrap="around" w:vAnchor="page" w:hAnchor="margin" w:y="852"/>
      <w:shd w:val="solid" w:color="FFFFFF" w:fill="FFFFFF"/>
      <w:spacing w:before="0"/>
    </w:pPr>
    <w:rPr>
      <w:rFonts w:ascii="Calibri" w:eastAsia="SimSun" w:hAnsi="Calibri"/>
      <w:b/>
      <w:bCs/>
    </w:rPr>
  </w:style>
  <w:style w:type="paragraph" w:customStyle="1" w:styleId="dnum">
    <w:name w:val="dnum"/>
    <w:basedOn w:val="Normal"/>
    <w:rsid w:val="00A63D1D"/>
    <w:pPr>
      <w:framePr w:hSpace="181" w:wrap="around" w:vAnchor="page" w:hAnchor="margin" w:y="852"/>
      <w:shd w:val="solid" w:color="FFFFFF" w:fill="FFFFFF"/>
    </w:pPr>
    <w:rPr>
      <w:rFonts w:ascii="Calibri" w:eastAsia="SimSun" w:hAnsi="Calibri"/>
      <w:b/>
      <w:bCs/>
    </w:rPr>
  </w:style>
  <w:style w:type="paragraph" w:customStyle="1" w:styleId="dorlang">
    <w:name w:val="dorlang"/>
    <w:basedOn w:val="Normal"/>
    <w:rsid w:val="00A63D1D"/>
    <w:pPr>
      <w:framePr w:hSpace="181" w:wrap="around" w:vAnchor="page" w:hAnchor="margin" w:y="852"/>
      <w:shd w:val="solid" w:color="FFFFFF" w:fill="FFFFFF"/>
      <w:spacing w:before="0"/>
    </w:pPr>
    <w:rPr>
      <w:rFonts w:ascii="Calibri" w:eastAsia="SimSun" w:hAnsi="Calibri"/>
      <w:b/>
      <w:bCs/>
    </w:rPr>
  </w:style>
  <w:style w:type="character" w:styleId="EndnoteReference">
    <w:name w:val="endnote reference"/>
    <w:rsid w:val="00A63D1D"/>
    <w:rPr>
      <w:vertAlign w:val="superscript"/>
    </w:rPr>
  </w:style>
  <w:style w:type="paragraph" w:customStyle="1" w:styleId="Recref">
    <w:name w:val="Rec_ref"/>
    <w:basedOn w:val="Rectitle"/>
    <w:next w:val="Recdate"/>
    <w:rsid w:val="00A63D1D"/>
    <w:pPr>
      <w:tabs>
        <w:tab w:val="clear" w:pos="1134"/>
        <w:tab w:val="clear" w:pos="1871"/>
        <w:tab w:val="clear" w:pos="2268"/>
      </w:tabs>
      <w:spacing w:before="120"/>
    </w:pPr>
    <w:rPr>
      <w:rFonts w:ascii="Calibri" w:eastAsia="SimSun" w:hAnsi="Calibri"/>
      <w:b w:val="0"/>
      <w:i/>
      <w:sz w:val="24"/>
    </w:rPr>
  </w:style>
  <w:style w:type="paragraph" w:customStyle="1" w:styleId="Questionref">
    <w:name w:val="Question_ref"/>
    <w:basedOn w:val="Recref"/>
    <w:next w:val="Questiondate"/>
    <w:rsid w:val="00A63D1D"/>
  </w:style>
  <w:style w:type="character" w:customStyle="1" w:styleId="Recdef">
    <w:name w:val="Rec_def"/>
    <w:rsid w:val="00A63D1D"/>
    <w:rPr>
      <w:rFonts w:ascii="Calibri" w:hAnsi="Calibri"/>
      <w:b/>
    </w:rPr>
  </w:style>
  <w:style w:type="paragraph" w:customStyle="1" w:styleId="Reftext">
    <w:name w:val="Ref_text"/>
    <w:basedOn w:val="Normal"/>
    <w:rsid w:val="00A63D1D"/>
    <w:pPr>
      <w:tabs>
        <w:tab w:val="clear" w:pos="1134"/>
        <w:tab w:val="clear" w:pos="1871"/>
        <w:tab w:val="clear" w:pos="2268"/>
        <w:tab w:val="left" w:pos="794"/>
        <w:tab w:val="left" w:pos="1191"/>
        <w:tab w:val="left" w:pos="1588"/>
        <w:tab w:val="left" w:pos="1985"/>
      </w:tabs>
      <w:ind w:left="794" w:hanging="794"/>
    </w:pPr>
    <w:rPr>
      <w:rFonts w:ascii="Calibri" w:eastAsia="SimSun" w:hAnsi="Calibri"/>
    </w:rPr>
  </w:style>
  <w:style w:type="paragraph" w:customStyle="1" w:styleId="Reftitle">
    <w:name w:val="Ref_title"/>
    <w:basedOn w:val="Normal"/>
    <w:next w:val="Reftext"/>
    <w:rsid w:val="00A63D1D"/>
    <w:pPr>
      <w:tabs>
        <w:tab w:val="clear" w:pos="1134"/>
        <w:tab w:val="clear" w:pos="1871"/>
        <w:tab w:val="clear" w:pos="2268"/>
        <w:tab w:val="left" w:pos="794"/>
        <w:tab w:val="left" w:pos="1191"/>
        <w:tab w:val="left" w:pos="1588"/>
        <w:tab w:val="left" w:pos="1985"/>
      </w:tabs>
      <w:spacing w:before="480"/>
      <w:jc w:val="center"/>
    </w:pPr>
    <w:rPr>
      <w:rFonts w:ascii="Calibri" w:eastAsia="SimSun" w:hAnsi="Calibri"/>
      <w:caps/>
    </w:rPr>
  </w:style>
  <w:style w:type="paragraph" w:customStyle="1" w:styleId="Repdate">
    <w:name w:val="Rep_date"/>
    <w:basedOn w:val="Recdate"/>
    <w:next w:val="Normalaftertitle"/>
    <w:rsid w:val="00A63D1D"/>
    <w:pPr>
      <w:tabs>
        <w:tab w:val="clear" w:pos="1134"/>
        <w:tab w:val="clear" w:pos="1871"/>
        <w:tab w:val="clear" w:pos="2268"/>
      </w:tabs>
    </w:pPr>
    <w:rPr>
      <w:rFonts w:ascii="Calibri" w:eastAsia="SimSun" w:hAnsi="Calibri"/>
      <w:i/>
    </w:rPr>
  </w:style>
  <w:style w:type="paragraph" w:customStyle="1" w:styleId="RepNo">
    <w:name w:val="Rep_No"/>
    <w:basedOn w:val="RecNo"/>
    <w:next w:val="Reptitle"/>
    <w:rsid w:val="00A63D1D"/>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title">
    <w:name w:val="Rep_title"/>
    <w:basedOn w:val="Rectitle"/>
    <w:next w:val="Repref"/>
    <w:rsid w:val="00A63D1D"/>
    <w:pPr>
      <w:tabs>
        <w:tab w:val="clear" w:pos="1134"/>
        <w:tab w:val="clear" w:pos="1871"/>
        <w:tab w:val="clear" w:pos="2268"/>
        <w:tab w:val="left" w:pos="794"/>
        <w:tab w:val="left" w:pos="1191"/>
        <w:tab w:val="left" w:pos="1588"/>
        <w:tab w:val="left" w:pos="1985"/>
      </w:tabs>
    </w:pPr>
    <w:rPr>
      <w:rFonts w:ascii="Calibri" w:eastAsia="SimSun" w:hAnsi="Calibri"/>
    </w:rPr>
  </w:style>
  <w:style w:type="paragraph" w:customStyle="1" w:styleId="Repref">
    <w:name w:val="Rep_ref"/>
    <w:basedOn w:val="Recref"/>
    <w:next w:val="Repdate"/>
    <w:rsid w:val="00A63D1D"/>
  </w:style>
  <w:style w:type="paragraph" w:customStyle="1" w:styleId="Resdate">
    <w:name w:val="Res_date"/>
    <w:basedOn w:val="Recdate"/>
    <w:next w:val="Normalaftertitle"/>
    <w:rsid w:val="00A63D1D"/>
    <w:pPr>
      <w:tabs>
        <w:tab w:val="clear" w:pos="1134"/>
        <w:tab w:val="clear" w:pos="1871"/>
        <w:tab w:val="clear" w:pos="2268"/>
      </w:tabs>
    </w:pPr>
    <w:rPr>
      <w:rFonts w:ascii="Calibri" w:eastAsia="SimSun" w:hAnsi="Calibri"/>
      <w:i/>
    </w:rPr>
  </w:style>
  <w:style w:type="character" w:customStyle="1" w:styleId="Resdef">
    <w:name w:val="Res_def"/>
    <w:rsid w:val="00A63D1D"/>
    <w:rPr>
      <w:rFonts w:ascii="Calibri" w:hAnsi="Calibri"/>
      <w:b/>
    </w:rPr>
  </w:style>
  <w:style w:type="paragraph" w:customStyle="1" w:styleId="Resref">
    <w:name w:val="Res_ref"/>
    <w:basedOn w:val="Recref"/>
    <w:next w:val="Resdate"/>
    <w:rsid w:val="00A63D1D"/>
  </w:style>
  <w:style w:type="character" w:styleId="PageNumber">
    <w:name w:val="page number"/>
    <w:rsid w:val="00A63D1D"/>
    <w:rPr>
      <w:rFonts w:ascii="Calibri" w:hAnsi="Calibri"/>
    </w:rPr>
  </w:style>
  <w:style w:type="character" w:customStyle="1" w:styleId="-">
    <w:name w:val="Интернет-ссылка"/>
    <w:rsid w:val="00A63D1D"/>
    <w:rPr>
      <w:color w:val="0000FF"/>
      <w:u w:val="single"/>
    </w:rPr>
  </w:style>
  <w:style w:type="character" w:customStyle="1" w:styleId="CEOChairNameChar">
    <w:name w:val="CEO_ChairName Char"/>
    <w:link w:val="CEOChairName"/>
    <w:locked/>
    <w:rsid w:val="00A63D1D"/>
    <w:rPr>
      <w:rFonts w:ascii="Verdana" w:hAnsi="Verdana"/>
      <w:sz w:val="18"/>
      <w:szCs w:val="19"/>
      <w:lang w:val="en-GB" w:eastAsia="en-US"/>
    </w:rPr>
  </w:style>
  <w:style w:type="paragraph" w:customStyle="1" w:styleId="CEOChairName">
    <w:name w:val="CEO_ChairName"/>
    <w:basedOn w:val="Normal"/>
    <w:link w:val="CEOChairNameChar"/>
    <w:rsid w:val="00A63D1D"/>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A63D1D"/>
    <w:pPr>
      <w:tabs>
        <w:tab w:val="clear" w:pos="1134"/>
        <w:tab w:val="clear" w:pos="1871"/>
        <w:tab w:val="clear" w:pos="2268"/>
        <w:tab w:val="left" w:pos="993"/>
      </w:tabs>
      <w:spacing w:before="240"/>
      <w:ind w:left="993" w:hanging="993"/>
      <w:textAlignment w:val="auto"/>
    </w:pPr>
    <w:rPr>
      <w:rFonts w:ascii="Arial" w:eastAsia="SimSun" w:hAnsi="Arial"/>
      <w:sz w:val="22"/>
      <w:szCs w:val="22"/>
    </w:rPr>
  </w:style>
  <w:style w:type="paragraph" w:styleId="Date">
    <w:name w:val="Date"/>
    <w:basedOn w:val="Normal"/>
    <w:next w:val="Normal"/>
    <w:link w:val="DateChar"/>
    <w:qFormat/>
    <w:rsid w:val="00A63D1D"/>
    <w:pPr>
      <w:tabs>
        <w:tab w:val="clear" w:pos="1134"/>
        <w:tab w:val="clear" w:pos="1871"/>
        <w:tab w:val="clear" w:pos="2268"/>
        <w:tab w:val="left" w:pos="794"/>
        <w:tab w:val="left" w:pos="1191"/>
        <w:tab w:val="left" w:pos="1588"/>
        <w:tab w:val="left" w:pos="1985"/>
      </w:tabs>
    </w:pPr>
    <w:rPr>
      <w:rFonts w:ascii="Calibri" w:eastAsia="SimSun" w:hAnsi="Calibri"/>
    </w:rPr>
  </w:style>
  <w:style w:type="character" w:customStyle="1" w:styleId="DateChar">
    <w:name w:val="Date Char"/>
    <w:basedOn w:val="DefaultParagraphFont"/>
    <w:link w:val="Date"/>
    <w:rsid w:val="00A63D1D"/>
    <w:rPr>
      <w:rFonts w:ascii="Calibri" w:eastAsia="SimSun" w:hAnsi="Calibri"/>
      <w:sz w:val="24"/>
      <w:lang w:val="en-GB" w:eastAsia="en-US"/>
    </w:rPr>
  </w:style>
  <w:style w:type="character" w:customStyle="1" w:styleId="InternetLink">
    <w:name w:val="Internet Link"/>
    <w:rsid w:val="00A63D1D"/>
    <w:rPr>
      <w:color w:val="0000FF"/>
      <w:u w:val="single"/>
    </w:rPr>
  </w:style>
  <w:style w:type="paragraph" w:customStyle="1" w:styleId="CEOindent-abc">
    <w:name w:val="CEO_indent-abc"/>
    <w:basedOn w:val="Normal"/>
    <w:rsid w:val="00A63D1D"/>
    <w:pPr>
      <w:numPr>
        <w:ilvl w:val="1"/>
        <w:numId w:val="3"/>
      </w:numPr>
      <w:tabs>
        <w:tab w:val="clear" w:pos="1134"/>
        <w:tab w:val="clear" w:pos="1871"/>
        <w:tab w:val="clear" w:pos="2268"/>
      </w:tabs>
      <w:overflowPunct/>
      <w:autoSpaceDE/>
      <w:autoSpaceDN/>
      <w:adjustRightInd/>
      <w:spacing w:before="0"/>
      <w:textAlignment w:val="auto"/>
    </w:pPr>
    <w:rPr>
      <w:rFonts w:ascii="Verdana" w:eastAsia="SimHei" w:hAnsi="Verdana" w:cs="Traditional Arabic"/>
      <w:bCs/>
      <w:sz w:val="18"/>
      <w:szCs w:val="28"/>
    </w:rPr>
  </w:style>
  <w:style w:type="paragraph" w:customStyle="1" w:styleId="CEOIndenti-ii-iii">
    <w:name w:val="CEO_Indenti-ii-iii"/>
    <w:rsid w:val="00A63D1D"/>
    <w:pPr>
      <w:numPr>
        <w:ilvl w:val="2"/>
        <w:numId w:val="3"/>
      </w:numPr>
      <w:spacing w:before="120" w:after="120"/>
    </w:pPr>
    <w:rPr>
      <w:rFonts w:ascii="Verdana" w:eastAsia="SimHei" w:hAnsi="Verdana" w:cs="Traditional Arabic"/>
      <w:bCs/>
      <w:sz w:val="18"/>
      <w:szCs w:val="28"/>
      <w:lang w:val="en-GB" w:eastAsia="en-US"/>
    </w:rPr>
  </w:style>
  <w:style w:type="paragraph" w:styleId="PlainText">
    <w:name w:val="Plain Text"/>
    <w:basedOn w:val="Normal"/>
    <w:link w:val="PlainTextChar"/>
    <w:uiPriority w:val="99"/>
    <w:unhideWhenUsed/>
    <w:rsid w:val="00A63D1D"/>
    <w:pPr>
      <w:tabs>
        <w:tab w:val="clear" w:pos="1134"/>
        <w:tab w:val="clear" w:pos="1871"/>
        <w:tab w:val="clear" w:pos="2268"/>
      </w:tabs>
      <w:overflowPunct/>
      <w:autoSpaceDE/>
      <w:autoSpaceDN/>
      <w:adjustRightInd/>
      <w:spacing w:before="0"/>
      <w:textAlignment w:val="auto"/>
    </w:pPr>
    <w:rPr>
      <w:rFonts w:ascii="Calibri" w:eastAsia="SimSun" w:hAnsi="Calibri"/>
      <w:sz w:val="22"/>
      <w:szCs w:val="21"/>
      <w:lang w:val="x-none" w:eastAsia="x-none"/>
    </w:rPr>
  </w:style>
  <w:style w:type="character" w:customStyle="1" w:styleId="PlainTextChar">
    <w:name w:val="Plain Text Char"/>
    <w:basedOn w:val="DefaultParagraphFont"/>
    <w:link w:val="PlainText"/>
    <w:uiPriority w:val="99"/>
    <w:rsid w:val="00A63D1D"/>
    <w:rPr>
      <w:rFonts w:ascii="Calibri" w:eastAsia="SimSun" w:hAnsi="Calibri"/>
      <w:sz w:val="22"/>
      <w:szCs w:val="21"/>
      <w:lang w:val="x-none" w:eastAsia="x-none"/>
    </w:rPr>
  </w:style>
  <w:style w:type="paragraph" w:styleId="TOCHeading">
    <w:name w:val="TOC Heading"/>
    <w:basedOn w:val="Heading1"/>
    <w:next w:val="Normal"/>
    <w:uiPriority w:val="39"/>
    <w:unhideWhenUsed/>
    <w:qFormat/>
    <w:rsid w:val="00A63D1D"/>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Cambria" w:eastAsia="SimSun" w:hAnsi="Cambria"/>
      <w:b w:val="0"/>
      <w:noProof/>
      <w:color w:val="365F91"/>
      <w:sz w:val="32"/>
      <w:szCs w:val="32"/>
      <w:lang w:val="ru-RU" w:eastAsia="ru-RU"/>
    </w:rPr>
  </w:style>
  <w:style w:type="paragraph" w:styleId="DocumentMap">
    <w:name w:val="Document Map"/>
    <w:basedOn w:val="Normal"/>
    <w:link w:val="DocumentMapChar"/>
    <w:unhideWhenUsed/>
    <w:rsid w:val="00A63D1D"/>
    <w:pPr>
      <w:tabs>
        <w:tab w:val="clear" w:pos="1134"/>
        <w:tab w:val="clear" w:pos="1871"/>
        <w:tab w:val="clear" w:pos="2268"/>
        <w:tab w:val="left" w:pos="794"/>
        <w:tab w:val="left" w:pos="1191"/>
        <w:tab w:val="left" w:pos="1588"/>
        <w:tab w:val="left" w:pos="1985"/>
      </w:tabs>
    </w:pPr>
    <w:rPr>
      <w:rFonts w:ascii="SimSun" w:eastAsia="SimSun" w:hAnsi="Calibri"/>
      <w:sz w:val="18"/>
      <w:szCs w:val="18"/>
    </w:rPr>
  </w:style>
  <w:style w:type="character" w:customStyle="1" w:styleId="DocumentMapChar">
    <w:name w:val="Document Map Char"/>
    <w:basedOn w:val="DefaultParagraphFont"/>
    <w:link w:val="DocumentMap"/>
    <w:rsid w:val="00A63D1D"/>
    <w:rPr>
      <w:rFonts w:ascii="SimSun" w:eastAsia="SimSun" w:hAnsi="Calibri"/>
      <w:sz w:val="18"/>
      <w:szCs w:val="18"/>
      <w:lang w:val="en-GB" w:eastAsia="en-US"/>
    </w:rPr>
  </w:style>
  <w:style w:type="character" w:customStyle="1" w:styleId="apple-converted-space">
    <w:name w:val="apple-converted-space"/>
    <w:rsid w:val="00A63D1D"/>
  </w:style>
  <w:style w:type="paragraph" w:customStyle="1" w:styleId="LSDeadline">
    <w:name w:val="LSDeadline"/>
    <w:basedOn w:val="LSForAction"/>
    <w:next w:val="Normal"/>
    <w:qFormat/>
    <w:rsid w:val="00A63D1D"/>
    <w:rPr>
      <w:bCs w:val="0"/>
    </w:rPr>
  </w:style>
  <w:style w:type="paragraph" w:customStyle="1" w:styleId="LSForAction">
    <w:name w:val="LSForAction"/>
    <w:basedOn w:val="Normal"/>
    <w:qFormat/>
    <w:rsid w:val="00A63D1D"/>
    <w:pPr>
      <w:tabs>
        <w:tab w:val="clear" w:pos="1134"/>
        <w:tab w:val="clear" w:pos="1871"/>
        <w:tab w:val="clear" w:pos="2268"/>
        <w:tab w:val="left" w:pos="794"/>
        <w:tab w:val="left" w:pos="1191"/>
        <w:tab w:val="left" w:pos="1588"/>
        <w:tab w:val="left" w:pos="1985"/>
      </w:tabs>
    </w:pPr>
    <w:rPr>
      <w:rFonts w:ascii="Times New Roman" w:eastAsia="Times New Roman" w:hAnsi="Times New Roman"/>
      <w:bCs/>
    </w:rPr>
  </w:style>
  <w:style w:type="paragraph" w:customStyle="1" w:styleId="LSForComment">
    <w:name w:val="LSForComment"/>
    <w:basedOn w:val="LSForAction"/>
    <w:next w:val="Normal"/>
    <w:qFormat/>
    <w:rsid w:val="00A63D1D"/>
  </w:style>
  <w:style w:type="character" w:customStyle="1" w:styleId="href">
    <w:name w:val="href"/>
    <w:basedOn w:val="DefaultParagraphFont"/>
    <w:rsid w:val="00A63D1D"/>
    <w:rPr>
      <w:color w:val="auto"/>
    </w:rPr>
  </w:style>
  <w:style w:type="paragraph" w:customStyle="1" w:styleId="Res">
    <w:name w:val="Res_#"/>
    <w:basedOn w:val="Normal"/>
    <w:next w:val="Restitle"/>
    <w:rsid w:val="00A63D1D"/>
    <w:pPr>
      <w:keepNext/>
      <w:keepLines/>
      <w:tabs>
        <w:tab w:val="left" w:pos="567"/>
        <w:tab w:val="left" w:pos="1701"/>
        <w:tab w:val="left" w:pos="2835"/>
      </w:tabs>
      <w:spacing w:before="720"/>
      <w:jc w:val="center"/>
      <w:textAlignment w:val="auto"/>
    </w:pPr>
    <w:rPr>
      <w:rFonts w:ascii="Times New Roman" w:eastAsia="Times New Roman" w:hAnsi="Times New Roman"/>
      <w:sz w:val="28"/>
    </w:rPr>
  </w:style>
  <w:style w:type="paragraph" w:customStyle="1" w:styleId="Dectitle">
    <w:name w:val="Dec_title"/>
    <w:basedOn w:val="Normal"/>
    <w:next w:val="Normal"/>
    <w:qFormat/>
    <w:rsid w:val="00A63D1D"/>
    <w:pPr>
      <w:tabs>
        <w:tab w:val="clear" w:pos="1871"/>
        <w:tab w:val="left" w:pos="567"/>
        <w:tab w:val="left" w:pos="1701"/>
        <w:tab w:val="left" w:pos="2835"/>
      </w:tabs>
      <w:spacing w:before="240" w:after="240"/>
      <w:jc w:val="center"/>
      <w:textAlignment w:val="auto"/>
    </w:pPr>
    <w:rPr>
      <w:rFonts w:ascii="Calibri" w:eastAsia="Times New Roman" w:hAnsi="Calibri"/>
      <w:b/>
      <w:sz w:val="28"/>
    </w:rPr>
  </w:style>
  <w:style w:type="paragraph" w:customStyle="1" w:styleId="DecNo">
    <w:name w:val="Dec_No"/>
    <w:basedOn w:val="Normal"/>
    <w:next w:val="Dectitle"/>
    <w:qFormat/>
    <w:rsid w:val="00A63D1D"/>
    <w:pPr>
      <w:tabs>
        <w:tab w:val="clear" w:pos="1871"/>
        <w:tab w:val="left" w:pos="567"/>
        <w:tab w:val="left" w:pos="1701"/>
        <w:tab w:val="left" w:pos="2835"/>
      </w:tabs>
      <w:spacing w:before="720"/>
      <w:jc w:val="center"/>
      <w:textAlignment w:val="auto"/>
    </w:pPr>
    <w:rPr>
      <w:rFonts w:ascii="Calibri" w:eastAsia="Times New Roman" w:hAnsi="Calibri"/>
      <w:caps/>
      <w:sz w:val="28"/>
    </w:rPr>
  </w:style>
  <w:style w:type="character" w:customStyle="1" w:styleId="7">
    <w:name w:val="Сноска7"/>
    <w:basedOn w:val="DefaultParagraphFont"/>
    <w:uiPriority w:val="99"/>
    <w:rsid w:val="00A63D1D"/>
    <w:rPr>
      <w:rFonts w:ascii="Calibri" w:hAnsi="Calibri" w:cs="Calibri" w:hint="default"/>
      <w:sz w:val="16"/>
      <w:szCs w:val="16"/>
      <w:shd w:val="clear" w:color="auto" w:fill="FFFFFF"/>
    </w:rPr>
  </w:style>
  <w:style w:type="paragraph" w:customStyle="1" w:styleId="LSForInfo">
    <w:name w:val="LSForInfo"/>
    <w:basedOn w:val="LSForAction"/>
    <w:next w:val="Normal"/>
    <w:qFormat/>
    <w:rsid w:val="00A63D1D"/>
  </w:style>
  <w:style w:type="paragraph" w:customStyle="1" w:styleId="AnnexNotitle">
    <w:name w:val="Annex_No &amp; title"/>
    <w:basedOn w:val="Normal"/>
    <w:next w:val="Normal"/>
    <w:rsid w:val="00A63D1D"/>
    <w:pPr>
      <w:keepNext/>
      <w:keepLines/>
      <w:tabs>
        <w:tab w:val="clear" w:pos="1134"/>
        <w:tab w:val="clear" w:pos="1871"/>
        <w:tab w:val="clear" w:pos="2268"/>
        <w:tab w:val="left" w:pos="794"/>
        <w:tab w:val="left" w:pos="1191"/>
        <w:tab w:val="left" w:pos="1588"/>
        <w:tab w:val="left" w:pos="1985"/>
      </w:tabs>
      <w:spacing w:before="480"/>
      <w:jc w:val="center"/>
    </w:pPr>
    <w:rPr>
      <w:rFonts w:ascii="Times New Roman" w:eastAsia="Times New Roman" w:hAnsi="Times New Roman"/>
      <w:b/>
      <w:sz w:val="28"/>
    </w:rPr>
  </w:style>
  <w:style w:type="paragraph" w:customStyle="1" w:styleId="AppendixNotitle">
    <w:name w:val="Appendix_No &amp; title"/>
    <w:basedOn w:val="AnnexNotitle"/>
    <w:next w:val="Normal"/>
    <w:rsid w:val="00A63D1D"/>
  </w:style>
  <w:style w:type="paragraph" w:customStyle="1" w:styleId="CorrectionSeparatorBegin">
    <w:name w:val="Correction Separator Begin"/>
    <w:basedOn w:val="Normal"/>
    <w:rsid w:val="00A63D1D"/>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eastAsia="Times New Roman" w:hAnsi="Times New Roman"/>
      <w:b/>
      <w:i/>
      <w:sz w:val="20"/>
      <w:lang w:val="en-US"/>
    </w:rPr>
  </w:style>
  <w:style w:type="paragraph" w:customStyle="1" w:styleId="CorrectionSeparatorEnd">
    <w:name w:val="Correction Separator End"/>
    <w:basedOn w:val="Normal"/>
    <w:rsid w:val="00A63D1D"/>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rFonts w:ascii="Times New Roman" w:eastAsia="Times New Roman" w:hAnsi="Times New Roman"/>
      <w:b/>
      <w:i/>
      <w:sz w:val="20"/>
      <w:lang w:val="en-US"/>
    </w:rPr>
  </w:style>
  <w:style w:type="paragraph" w:customStyle="1" w:styleId="FigureNotitle">
    <w:name w:val="Figure_No &amp; title"/>
    <w:basedOn w:val="Normal"/>
    <w:next w:val="Normal"/>
    <w:qFormat/>
    <w:rsid w:val="00A63D1D"/>
    <w:pPr>
      <w:keepLines/>
      <w:tabs>
        <w:tab w:val="clear" w:pos="1134"/>
        <w:tab w:val="clear" w:pos="1871"/>
        <w:tab w:val="clear" w:pos="2268"/>
        <w:tab w:val="left" w:pos="794"/>
        <w:tab w:val="left" w:pos="1191"/>
        <w:tab w:val="left" w:pos="1588"/>
        <w:tab w:val="left" w:pos="1985"/>
      </w:tabs>
      <w:spacing w:before="240" w:after="120"/>
      <w:jc w:val="center"/>
    </w:pPr>
    <w:rPr>
      <w:rFonts w:ascii="Times New Roman" w:eastAsiaTheme="minorEastAsia" w:hAnsi="Times New Roman"/>
      <w:b/>
      <w:lang w:eastAsia="ja-JP"/>
    </w:rPr>
  </w:style>
  <w:style w:type="paragraph" w:customStyle="1" w:styleId="Formal">
    <w:name w:val="Formal"/>
    <w:basedOn w:val="Normal"/>
    <w:rsid w:val="00A63D1D"/>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Headingib">
    <w:name w:val="Heading_ib"/>
    <w:basedOn w:val="Headingi"/>
    <w:next w:val="Normal"/>
    <w:qFormat/>
    <w:rsid w:val="00A63D1D"/>
    <w:pPr>
      <w:keepNext/>
      <w:tabs>
        <w:tab w:val="clear" w:pos="1134"/>
        <w:tab w:val="clear" w:pos="1871"/>
        <w:tab w:val="clear" w:pos="2268"/>
        <w:tab w:val="left" w:pos="794"/>
        <w:tab w:val="left" w:pos="1191"/>
        <w:tab w:val="left" w:pos="1588"/>
        <w:tab w:val="left" w:pos="1985"/>
      </w:tabs>
    </w:pPr>
    <w:rPr>
      <w:rFonts w:ascii="Times New Roman" w:eastAsiaTheme="minorEastAsia" w:hAnsi="Times New Roman"/>
      <w:b/>
      <w:bCs/>
      <w:lang w:eastAsia="ja-JP"/>
    </w:rPr>
  </w:style>
  <w:style w:type="paragraph" w:customStyle="1" w:styleId="Normalbeforetable">
    <w:name w:val="Normal before table"/>
    <w:basedOn w:val="Normal"/>
    <w:rsid w:val="00A63D1D"/>
    <w:pPr>
      <w:keepNext/>
      <w:tabs>
        <w:tab w:val="clear" w:pos="1134"/>
        <w:tab w:val="clear" w:pos="1871"/>
        <w:tab w:val="clear" w:pos="2268"/>
      </w:tabs>
      <w:overflowPunct/>
      <w:autoSpaceDE/>
      <w:autoSpaceDN/>
      <w:adjustRightInd/>
      <w:spacing w:after="120"/>
      <w:textAlignment w:val="auto"/>
    </w:pPr>
    <w:rPr>
      <w:rFonts w:ascii="Times New Roman" w:eastAsia="????" w:hAnsi="Times New Roman"/>
      <w:szCs w:val="24"/>
    </w:rPr>
  </w:style>
  <w:style w:type="paragraph" w:customStyle="1" w:styleId="TableNotitle">
    <w:name w:val="Table_No &amp; title"/>
    <w:basedOn w:val="Normal"/>
    <w:next w:val="Normal"/>
    <w:qFormat/>
    <w:rsid w:val="00A63D1D"/>
    <w:pPr>
      <w:keepNext/>
      <w:keepLines/>
      <w:tabs>
        <w:tab w:val="clear" w:pos="1134"/>
        <w:tab w:val="clear" w:pos="1871"/>
        <w:tab w:val="clear" w:pos="2268"/>
        <w:tab w:val="left" w:pos="794"/>
        <w:tab w:val="left" w:pos="1191"/>
        <w:tab w:val="left" w:pos="1588"/>
        <w:tab w:val="left" w:pos="1985"/>
      </w:tabs>
      <w:spacing w:before="360" w:after="120"/>
      <w:jc w:val="center"/>
    </w:pPr>
    <w:rPr>
      <w:rFonts w:ascii="Times New Roman" w:eastAsiaTheme="minorEastAsia" w:hAnsi="Times New Roman"/>
      <w:b/>
      <w:lang w:eastAsia="ja-JP"/>
    </w:rPr>
  </w:style>
  <w:style w:type="paragraph" w:styleId="TableofFigures">
    <w:name w:val="table of figures"/>
    <w:basedOn w:val="Normal"/>
    <w:next w:val="Normal"/>
    <w:uiPriority w:val="99"/>
    <w:rsid w:val="00A63D1D"/>
    <w:pPr>
      <w:tabs>
        <w:tab w:val="clear" w:pos="1134"/>
        <w:tab w:val="clear" w:pos="1871"/>
        <w:tab w:val="clear" w:pos="2268"/>
        <w:tab w:val="right" w:leader="dot" w:pos="9639"/>
      </w:tabs>
      <w:overflowPunct/>
      <w:autoSpaceDE/>
      <w:autoSpaceDN/>
      <w:adjustRightInd/>
      <w:textAlignment w:val="auto"/>
    </w:pPr>
    <w:rPr>
      <w:rFonts w:ascii="Times New Roman" w:eastAsia="MS Mincho" w:hAnsi="Times New Roman"/>
      <w:szCs w:val="24"/>
      <w:lang w:eastAsia="ja-JP"/>
    </w:rPr>
  </w:style>
  <w:style w:type="paragraph" w:styleId="Subtitle">
    <w:name w:val="Subtitle"/>
    <w:basedOn w:val="Normal"/>
    <w:next w:val="Normal"/>
    <w:link w:val="SubtitleChar"/>
    <w:qFormat/>
    <w:rsid w:val="00A63D1D"/>
    <w:pPr>
      <w:numPr>
        <w:ilvl w:val="1"/>
      </w:numPr>
      <w:tabs>
        <w:tab w:val="clear" w:pos="1134"/>
        <w:tab w:val="clear" w:pos="1871"/>
        <w:tab w:val="clear" w:pos="2268"/>
      </w:tabs>
      <w:overflowPunct/>
      <w:autoSpaceDE/>
      <w:autoSpaceDN/>
      <w:adjustRightInd/>
      <w:spacing w:after="160"/>
      <w:textAlignment w:val="auto"/>
    </w:pPr>
    <w:rPr>
      <w:rFonts w:eastAsiaTheme="minorEastAsia"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A63D1D"/>
    <w:rPr>
      <w:rFonts w:asciiTheme="minorHAnsi" w:eastAsiaTheme="minorEastAsia" w:hAnsiTheme="minorHAnsi" w:cstheme="minorBidi"/>
      <w:color w:val="5A5A5A" w:themeColor="text1" w:themeTint="A5"/>
      <w:spacing w:val="15"/>
      <w:sz w:val="22"/>
      <w:szCs w:val="22"/>
      <w:lang w:val="en-GB" w:eastAsia="ja-JP"/>
    </w:rPr>
  </w:style>
  <w:style w:type="paragraph" w:styleId="Quote">
    <w:name w:val="Quote"/>
    <w:basedOn w:val="Normal"/>
    <w:next w:val="Normal"/>
    <w:link w:val="QuoteChar"/>
    <w:uiPriority w:val="29"/>
    <w:rsid w:val="00A63D1D"/>
    <w:pPr>
      <w:tabs>
        <w:tab w:val="clear" w:pos="1134"/>
        <w:tab w:val="clear" w:pos="1871"/>
        <w:tab w:val="clear" w:pos="2268"/>
      </w:tabs>
      <w:overflowPunct/>
      <w:autoSpaceDE/>
      <w:autoSpaceDN/>
      <w:adjustRightInd/>
      <w:spacing w:before="200" w:after="160"/>
      <w:ind w:left="864" w:right="864"/>
      <w:jc w:val="center"/>
      <w:textAlignment w:val="auto"/>
    </w:pPr>
    <w:rPr>
      <w:rFonts w:ascii="Times New Roman" w:eastAsiaTheme="minorEastAsia" w:hAnsi="Times New Roman"/>
      <w:i/>
      <w:iCs/>
      <w:color w:val="404040" w:themeColor="text1" w:themeTint="BF"/>
      <w:szCs w:val="24"/>
      <w:lang w:eastAsia="ja-JP"/>
    </w:rPr>
  </w:style>
  <w:style w:type="character" w:customStyle="1" w:styleId="QuoteChar">
    <w:name w:val="Quote Char"/>
    <w:basedOn w:val="DefaultParagraphFont"/>
    <w:link w:val="Quote"/>
    <w:uiPriority w:val="29"/>
    <w:rsid w:val="00A63D1D"/>
    <w:rPr>
      <w:rFonts w:ascii="Times New Roman" w:eastAsiaTheme="minorEastAsia" w:hAnsi="Times New Roman"/>
      <w:i/>
      <w:iCs/>
      <w:color w:val="404040" w:themeColor="text1" w:themeTint="BF"/>
      <w:sz w:val="24"/>
      <w:szCs w:val="24"/>
      <w:lang w:val="en-GB" w:eastAsia="ja-JP"/>
    </w:rPr>
  </w:style>
  <w:style w:type="character" w:customStyle="1" w:styleId="Enumlev1Char0">
    <w:name w:val="Enumlev1 Char"/>
    <w:link w:val="Enumlev10"/>
    <w:uiPriority w:val="99"/>
    <w:rsid w:val="00A63D1D"/>
    <w:rPr>
      <w:sz w:val="24"/>
      <w:lang w:eastAsia="en-US"/>
    </w:rPr>
  </w:style>
  <w:style w:type="paragraph" w:customStyle="1" w:styleId="Enumlev10">
    <w:name w:val="Enumlev1"/>
    <w:basedOn w:val="Normal"/>
    <w:link w:val="Enumlev1Char0"/>
    <w:uiPriority w:val="99"/>
    <w:rsid w:val="00A63D1D"/>
    <w:pPr>
      <w:tabs>
        <w:tab w:val="clear" w:pos="1134"/>
        <w:tab w:val="clear" w:pos="1871"/>
        <w:tab w:val="clear" w:pos="2268"/>
      </w:tabs>
      <w:overflowPunct/>
      <w:autoSpaceDE/>
      <w:autoSpaceDN/>
      <w:adjustRightInd/>
      <w:spacing w:before="80" w:after="200" w:line="276" w:lineRule="auto"/>
      <w:ind w:left="794" w:hanging="794"/>
      <w:textAlignment w:val="auto"/>
    </w:pPr>
    <w:rPr>
      <w:rFonts w:ascii="Times" w:hAnsi="Times"/>
      <w:lang w:val="en-US"/>
    </w:rPr>
  </w:style>
  <w:style w:type="paragraph" w:customStyle="1" w:styleId="Normalaftertitle0">
    <w:name w:val="Normal_after_title"/>
    <w:basedOn w:val="Normal"/>
    <w:next w:val="Normal"/>
    <w:rsid w:val="00A63D1D"/>
    <w:pPr>
      <w:spacing w:before="360"/>
    </w:pPr>
    <w:rPr>
      <w:rFonts w:ascii="Times New Roman" w:eastAsia="Times New Roman" w:hAnsi="Times New Roman"/>
    </w:rPr>
  </w:style>
  <w:style w:type="paragraph" w:customStyle="1" w:styleId="CEOAbstract">
    <w:name w:val="CEO_Abstract"/>
    <w:rsid w:val="00A63D1D"/>
    <w:pPr>
      <w:tabs>
        <w:tab w:val="left" w:pos="2127"/>
      </w:tabs>
      <w:spacing w:before="360" w:after="120"/>
    </w:pPr>
    <w:rPr>
      <w:rFonts w:ascii="Verdana" w:eastAsia="SimHei" w:hAnsi="Verdana" w:cs="Simplified Arabic"/>
      <w:b/>
      <w:sz w:val="19"/>
      <w:szCs w:val="22"/>
      <w:lang w:val="fr-CA"/>
    </w:rPr>
  </w:style>
  <w:style w:type="paragraph" w:customStyle="1" w:styleId="headingb0">
    <w:name w:val="heading_b"/>
    <w:basedOn w:val="Heading3"/>
    <w:next w:val="Normal"/>
    <w:uiPriority w:val="99"/>
    <w:rsid w:val="00A63D1D"/>
    <w:pPr>
      <w:keepLines w:val="0"/>
      <w:numPr>
        <w:ilvl w:val="2"/>
      </w:numPr>
      <w:tabs>
        <w:tab w:val="clear" w:pos="1871"/>
        <w:tab w:val="clear" w:pos="2268"/>
        <w:tab w:val="left" w:pos="794"/>
        <w:tab w:val="left" w:pos="2127"/>
        <w:tab w:val="left" w:pos="2410"/>
        <w:tab w:val="left" w:pos="2921"/>
        <w:tab w:val="left" w:pos="3261"/>
      </w:tabs>
      <w:overflowPunct/>
      <w:autoSpaceDE/>
      <w:autoSpaceDN/>
      <w:adjustRightInd/>
      <w:spacing w:before="160" w:after="120"/>
      <w:ind w:left="1134" w:hanging="1134"/>
      <w:textAlignment w:val="auto"/>
      <w:outlineLvl w:val="9"/>
    </w:pPr>
    <w:rPr>
      <w:rFonts w:ascii="Times New Roman" w:eastAsiaTheme="minorEastAsia" w:hAnsi="Times New Roman" w:cs="Simplified Arabic"/>
      <w:szCs w:val="24"/>
    </w:rPr>
  </w:style>
  <w:style w:type="paragraph" w:customStyle="1" w:styleId="Head">
    <w:name w:val="Head"/>
    <w:basedOn w:val="Normal"/>
    <w:uiPriority w:val="99"/>
    <w:rsid w:val="00A63D1D"/>
    <w:pPr>
      <w:tabs>
        <w:tab w:val="clear" w:pos="1134"/>
        <w:tab w:val="clear" w:pos="1871"/>
        <w:tab w:val="clear" w:pos="2268"/>
        <w:tab w:val="left" w:pos="6663"/>
      </w:tabs>
      <w:overflowPunct/>
      <w:autoSpaceDE/>
      <w:autoSpaceDN/>
      <w:adjustRightInd/>
      <w:spacing w:before="0"/>
      <w:textAlignment w:val="auto"/>
    </w:pPr>
    <w:rPr>
      <w:rFonts w:ascii="Times New Roman" w:eastAsia="MS Mincho" w:hAnsi="Times New Roman"/>
    </w:rPr>
  </w:style>
  <w:style w:type="paragraph" w:customStyle="1" w:styleId="FigureNoBR">
    <w:name w:val="Figure_No_BR"/>
    <w:basedOn w:val="Normal"/>
    <w:next w:val="Normal"/>
    <w:rsid w:val="00A63D1D"/>
    <w:pPr>
      <w:keepNext/>
      <w:keepLines/>
      <w:tabs>
        <w:tab w:val="clear" w:pos="1134"/>
        <w:tab w:val="clear" w:pos="1871"/>
        <w:tab w:val="clear" w:pos="2268"/>
        <w:tab w:val="left" w:pos="794"/>
        <w:tab w:val="left" w:pos="1191"/>
        <w:tab w:val="left" w:pos="1588"/>
        <w:tab w:val="left" w:pos="1985"/>
      </w:tabs>
      <w:spacing w:before="480" w:after="120"/>
      <w:jc w:val="center"/>
    </w:pPr>
    <w:rPr>
      <w:rFonts w:ascii="Times New Roman" w:eastAsia="Times New Roman" w:hAnsi="Times New Roman"/>
      <w:caps/>
    </w:rPr>
  </w:style>
  <w:style w:type="paragraph" w:styleId="Title">
    <w:name w:val="Title"/>
    <w:basedOn w:val="Normal"/>
    <w:next w:val="Normal"/>
    <w:link w:val="TitleChar"/>
    <w:qFormat/>
    <w:rsid w:val="00A63D1D"/>
    <w:pPr>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A63D1D"/>
    <w:rPr>
      <w:rFonts w:asciiTheme="majorHAnsi" w:eastAsia="SimSun" w:hAnsiTheme="majorHAnsi" w:cstheme="majorBidi"/>
      <w:b/>
      <w:bCs/>
      <w:sz w:val="32"/>
      <w:szCs w:val="32"/>
      <w:lang w:eastAsia="en-US"/>
    </w:rPr>
  </w:style>
  <w:style w:type="paragraph" w:styleId="BodyText">
    <w:name w:val="Body Text"/>
    <w:basedOn w:val="Normal"/>
    <w:link w:val="BodyTextChar"/>
    <w:qFormat/>
    <w:rsid w:val="00A63D1D"/>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hAnsi="LMMNHP+BookmanOldStyle"/>
      <w:color w:val="000000"/>
      <w:kern w:val="2"/>
      <w:szCs w:val="24"/>
      <w:lang w:val="en-US" w:eastAsia="ja-JP"/>
    </w:rPr>
  </w:style>
  <w:style w:type="character" w:customStyle="1" w:styleId="BodyTextChar">
    <w:name w:val="Body Text Char"/>
    <w:basedOn w:val="DefaultParagraphFont"/>
    <w:link w:val="BodyText"/>
    <w:rsid w:val="00A63D1D"/>
    <w:rPr>
      <w:rFonts w:ascii="LMMNHP+BookmanOldStyle" w:hAnsi="LMMNHP+BookmanOldStyle"/>
      <w:color w:val="000000"/>
      <w:kern w:val="2"/>
      <w:sz w:val="24"/>
      <w:szCs w:val="24"/>
      <w:lang w:eastAsia="ja-JP"/>
    </w:rPr>
  </w:style>
  <w:style w:type="paragraph" w:styleId="List">
    <w:name w:val="List"/>
    <w:basedOn w:val="Normal"/>
    <w:uiPriority w:val="99"/>
    <w:rsid w:val="00A63D1D"/>
    <w:pPr>
      <w:tabs>
        <w:tab w:val="clear" w:pos="1134"/>
        <w:tab w:val="clear" w:pos="1871"/>
        <w:tab w:val="clear" w:pos="2268"/>
        <w:tab w:val="left" w:pos="1701"/>
        <w:tab w:val="left" w:pos="2127"/>
      </w:tabs>
      <w:overflowPunct/>
      <w:autoSpaceDE/>
      <w:autoSpaceDN/>
      <w:adjustRightInd/>
      <w:spacing w:before="0"/>
      <w:ind w:left="2127" w:hanging="2127"/>
      <w:textAlignment w:val="auto"/>
    </w:pPr>
    <w:rPr>
      <w:rFonts w:ascii="Times New Roman" w:eastAsia="Times New Roman" w:hAnsi="Times New Roman"/>
    </w:rPr>
  </w:style>
  <w:style w:type="paragraph" w:styleId="BodyText2">
    <w:name w:val="Body Text 2"/>
    <w:basedOn w:val="Normal"/>
    <w:link w:val="BodyText2Char"/>
    <w:uiPriority w:val="99"/>
    <w:rsid w:val="00A63D1D"/>
    <w:pPr>
      <w:widowControl w:val="0"/>
      <w:tabs>
        <w:tab w:val="clear" w:pos="1134"/>
        <w:tab w:val="clear" w:pos="1871"/>
        <w:tab w:val="clear" w:pos="2268"/>
      </w:tabs>
      <w:overflowPunct/>
      <w:autoSpaceDE/>
      <w:autoSpaceDN/>
      <w:adjustRightInd/>
      <w:spacing w:before="0"/>
      <w:textAlignment w:val="auto"/>
    </w:pPr>
    <w:rPr>
      <w:rFonts w:ascii="Times New Roman" w:eastAsia="Times New Roman" w:hAnsi="Times New Roman"/>
      <w:lang w:val="en-US"/>
    </w:rPr>
  </w:style>
  <w:style w:type="character" w:customStyle="1" w:styleId="BodyText2Char">
    <w:name w:val="Body Text 2 Char"/>
    <w:basedOn w:val="DefaultParagraphFont"/>
    <w:link w:val="BodyText2"/>
    <w:uiPriority w:val="99"/>
    <w:rsid w:val="00A63D1D"/>
    <w:rPr>
      <w:rFonts w:ascii="Times New Roman" w:eastAsia="Times New Roman" w:hAnsi="Times New Roman"/>
      <w:sz w:val="24"/>
      <w:lang w:eastAsia="en-US"/>
    </w:rPr>
  </w:style>
  <w:style w:type="paragraph" w:styleId="ListBullet">
    <w:name w:val="List Bullet"/>
    <w:basedOn w:val="List"/>
    <w:uiPriority w:val="99"/>
    <w:rsid w:val="00A63D1D"/>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A63D1D"/>
    <w:pPr>
      <w:tabs>
        <w:tab w:val="clear" w:pos="1134"/>
        <w:tab w:val="clear" w:pos="1871"/>
        <w:tab w:val="clear" w:pos="2268"/>
      </w:tabs>
      <w:overflowPunct/>
      <w:autoSpaceDE/>
      <w:autoSpaceDN/>
      <w:adjustRightInd/>
      <w:spacing w:before="0" w:after="120"/>
      <w:ind w:left="360"/>
      <w:textAlignment w:val="auto"/>
    </w:pPr>
    <w:rPr>
      <w:rFonts w:ascii="Times New Roman" w:eastAsia="Times New Roman" w:hAnsi="Times New Roman"/>
    </w:rPr>
  </w:style>
  <w:style w:type="character" w:customStyle="1" w:styleId="BodyTextIndentChar">
    <w:name w:val="Body Text Indent Char"/>
    <w:basedOn w:val="DefaultParagraphFont"/>
    <w:link w:val="BodyTextIndent"/>
    <w:rsid w:val="00A63D1D"/>
    <w:rPr>
      <w:rFonts w:ascii="Times New Roman" w:eastAsia="Times New Roman" w:hAnsi="Times New Roman"/>
      <w:sz w:val="24"/>
      <w:lang w:val="en-GB" w:eastAsia="en-US"/>
    </w:rPr>
  </w:style>
  <w:style w:type="paragraph" w:styleId="List2">
    <w:name w:val="List 2"/>
    <w:basedOn w:val="Normal"/>
    <w:uiPriority w:val="99"/>
    <w:rsid w:val="00A63D1D"/>
    <w:pPr>
      <w:tabs>
        <w:tab w:val="clear" w:pos="1134"/>
        <w:tab w:val="clear" w:pos="1871"/>
        <w:tab w:val="clear" w:pos="2268"/>
      </w:tabs>
      <w:overflowPunct/>
      <w:autoSpaceDE/>
      <w:autoSpaceDN/>
      <w:adjustRightInd/>
      <w:spacing w:before="0"/>
      <w:ind w:left="720" w:hanging="360"/>
      <w:textAlignment w:val="auto"/>
    </w:pPr>
    <w:rPr>
      <w:rFonts w:ascii="Times New Roman" w:eastAsia="Times New Roman" w:hAnsi="Times New Roman"/>
    </w:rPr>
  </w:style>
  <w:style w:type="paragraph" w:styleId="BodyTextIndent2">
    <w:name w:val="Body Text Indent 2"/>
    <w:basedOn w:val="Normal"/>
    <w:link w:val="BodyTextIndent2Char"/>
    <w:rsid w:val="00A63D1D"/>
    <w:pPr>
      <w:tabs>
        <w:tab w:val="clear" w:pos="1134"/>
        <w:tab w:val="clear" w:pos="1871"/>
        <w:tab w:val="clear" w:pos="2268"/>
        <w:tab w:val="left" w:pos="720"/>
        <w:tab w:val="left" w:pos="1191"/>
        <w:tab w:val="left" w:pos="1588"/>
        <w:tab w:val="left" w:pos="1985"/>
      </w:tabs>
      <w:ind w:left="720" w:hanging="720"/>
    </w:pPr>
    <w:rPr>
      <w:rFonts w:ascii="Times New Roman" w:hAnsi="Times New Roman"/>
      <w:szCs w:val="24"/>
    </w:rPr>
  </w:style>
  <w:style w:type="character" w:customStyle="1" w:styleId="BodyTextIndent2Char">
    <w:name w:val="Body Text Indent 2 Char"/>
    <w:basedOn w:val="DefaultParagraphFont"/>
    <w:link w:val="BodyTextIndent2"/>
    <w:rsid w:val="00A63D1D"/>
    <w:rPr>
      <w:rFonts w:ascii="Times New Roman" w:hAnsi="Times New Roman"/>
      <w:sz w:val="24"/>
      <w:szCs w:val="24"/>
      <w:lang w:val="en-GB" w:eastAsia="en-US"/>
    </w:rPr>
  </w:style>
  <w:style w:type="paragraph" w:styleId="EndnoteText">
    <w:name w:val="endnote text"/>
    <w:basedOn w:val="Normal"/>
    <w:link w:val="EndnoteTextChar"/>
    <w:rsid w:val="00A63D1D"/>
    <w:pPr>
      <w:spacing w:before="0"/>
    </w:pPr>
    <w:rPr>
      <w:rFonts w:ascii="Times New Roman" w:hAnsi="Times New Roman"/>
      <w:sz w:val="20"/>
    </w:rPr>
  </w:style>
  <w:style w:type="character" w:customStyle="1" w:styleId="EndnoteTextChar">
    <w:name w:val="Endnote Text Char"/>
    <w:basedOn w:val="DefaultParagraphFont"/>
    <w:link w:val="EndnoteText"/>
    <w:rsid w:val="00A63D1D"/>
    <w:rPr>
      <w:rFonts w:ascii="Times New Roman" w:hAnsi="Times New Roman"/>
      <w:lang w:val="en-GB" w:eastAsia="en-US"/>
    </w:rPr>
  </w:style>
  <w:style w:type="paragraph" w:styleId="NoSpacing">
    <w:name w:val="No Spacing"/>
    <w:uiPriority w:val="1"/>
    <w:qFormat/>
    <w:rsid w:val="00A63D1D"/>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character" w:styleId="SubtleEmphasis">
    <w:name w:val="Subtle Emphasis"/>
    <w:basedOn w:val="DefaultParagraphFont"/>
    <w:uiPriority w:val="19"/>
    <w:qFormat/>
    <w:rsid w:val="00A63D1D"/>
    <w:rPr>
      <w:i/>
      <w:iCs/>
      <w:color w:val="808080" w:themeColor="text1" w:themeTint="7F"/>
    </w:rPr>
  </w:style>
  <w:style w:type="paragraph" w:styleId="BodyText3">
    <w:name w:val="Body Text 3"/>
    <w:basedOn w:val="Normal"/>
    <w:link w:val="BodyText3Char"/>
    <w:rsid w:val="00A63D1D"/>
    <w:pPr>
      <w:widowControl w:val="0"/>
      <w:tabs>
        <w:tab w:val="clear" w:pos="1134"/>
        <w:tab w:val="clear" w:pos="1871"/>
        <w:tab w:val="clear" w:pos="2268"/>
        <w:tab w:val="left" w:pos="567"/>
      </w:tabs>
      <w:suppressAutoHyphens/>
      <w:overflowPunct/>
      <w:autoSpaceDE/>
      <w:autoSpaceDN/>
      <w:adjustRightInd/>
      <w:spacing w:before="0"/>
      <w:ind w:left="658" w:hanging="420"/>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A63D1D"/>
    <w:rPr>
      <w:rFonts w:ascii="Arial" w:eastAsia="BatangChe" w:hAnsi="Arial" w:cs="Arial"/>
      <w:kern w:val="1"/>
      <w:sz w:val="22"/>
      <w:szCs w:val="22"/>
      <w:lang w:val="en-AU" w:eastAsia="ar-SA"/>
    </w:rPr>
  </w:style>
  <w:style w:type="paragraph" w:customStyle="1" w:styleId="Body">
    <w:name w:val="Body"/>
    <w:rsid w:val="00A63D1D"/>
    <w:pPr>
      <w:pBdr>
        <w:top w:val="nil"/>
        <w:left w:val="nil"/>
        <w:bottom w:val="nil"/>
        <w:right w:val="nil"/>
        <w:between w:val="nil"/>
        <w:bar w:val="nil"/>
      </w:pBdr>
      <w:tabs>
        <w:tab w:val="left" w:pos="1134"/>
        <w:tab w:val="left" w:pos="1871"/>
        <w:tab w:val="left" w:pos="2268"/>
      </w:tabs>
      <w:spacing w:before="120"/>
    </w:pPr>
    <w:rPr>
      <w:rFonts w:ascii="Times New Roman" w:eastAsia="Times New Roman" w:hAnsi="Times New Roman"/>
      <w:color w:val="000000"/>
      <w:sz w:val="24"/>
      <w:szCs w:val="24"/>
      <w:u w:color="000000"/>
      <w:bdr w:val="nil"/>
      <w:lang w:val="en-GB" w:eastAsia="en-GB"/>
    </w:rPr>
  </w:style>
  <w:style w:type="character" w:customStyle="1" w:styleId="Hyperlink1">
    <w:name w:val="Hyperlink.1"/>
    <w:basedOn w:val="DefaultParagraphFont"/>
    <w:rsid w:val="00A63D1D"/>
    <w:rPr>
      <w:rFonts w:ascii="Cambria" w:eastAsia="Cambria" w:hAnsi="Cambria" w:cs="Cambria"/>
      <w:color w:val="000066"/>
      <w:u w:val="single" w:color="000066"/>
      <w:lang w:val="en-US"/>
    </w:rPr>
  </w:style>
  <w:style w:type="character" w:customStyle="1" w:styleId="Hyperlink2">
    <w:name w:val="Hyperlink.2"/>
    <w:basedOn w:val="DefaultParagraphFont"/>
    <w:rsid w:val="00A63D1D"/>
    <w:rPr>
      <w:rFonts w:ascii="Cambria" w:eastAsia="Cambria" w:hAnsi="Cambria" w:cs="Cambria"/>
      <w:color w:val="000066"/>
      <w:u w:val="single" w:color="000066"/>
      <w:lang w:val="en-US"/>
    </w:rPr>
  </w:style>
  <w:style w:type="character" w:customStyle="1" w:styleId="Hyperlink3">
    <w:name w:val="Hyperlink.3"/>
    <w:basedOn w:val="DefaultParagraphFont"/>
    <w:rsid w:val="00A63D1D"/>
    <w:rPr>
      <w:color w:val="0000FF"/>
      <w:u w:val="single" w:color="0000FF"/>
      <w:lang w:val="en-US"/>
    </w:rPr>
  </w:style>
  <w:style w:type="character" w:customStyle="1" w:styleId="Hyperlink4">
    <w:name w:val="Hyperlink.4"/>
    <w:basedOn w:val="PageNumber"/>
    <w:rsid w:val="00A63D1D"/>
    <w:rPr>
      <w:rFonts w:asciiTheme="minorHAnsi" w:hAnsiTheme="minorHAnsi"/>
      <w:color w:val="0000FF"/>
      <w:u w:val="single" w:color="0000FF"/>
      <w:lang w:val="en-US"/>
    </w:rPr>
  </w:style>
  <w:style w:type="paragraph" w:customStyle="1" w:styleId="Tablefin">
    <w:name w:val="Table_fin"/>
    <w:basedOn w:val="Normal"/>
    <w:qFormat/>
    <w:rsid w:val="00A63D1D"/>
    <w:pPr>
      <w:spacing w:before="0"/>
    </w:pPr>
    <w:rPr>
      <w:rFonts w:ascii="Times New Roman" w:eastAsia="Times New Roman" w:hAnsi="Times New Roman"/>
      <w:sz w:val="20"/>
    </w:rPr>
  </w:style>
  <w:style w:type="paragraph" w:customStyle="1" w:styleId="Style124">
    <w:name w:val="_Style 124"/>
    <w:basedOn w:val="Heading1"/>
    <w:next w:val="Normal"/>
    <w:uiPriority w:val="39"/>
    <w:unhideWhenUsed/>
    <w:qFormat/>
    <w:rsid w:val="00A63D1D"/>
    <w:pPr>
      <w:tabs>
        <w:tab w:val="clear" w:pos="1134"/>
        <w:tab w:val="clear" w:pos="1871"/>
        <w:tab w:val="clear" w:pos="2268"/>
        <w:tab w:val="left" w:pos="794"/>
        <w:tab w:val="left" w:pos="1191"/>
        <w:tab w:val="left" w:pos="1588"/>
        <w:tab w:val="left" w:pos="1985"/>
      </w:tabs>
      <w:overflowPunct/>
      <w:autoSpaceDE/>
      <w:autoSpaceDN/>
      <w:adjustRightInd/>
      <w:spacing w:before="240" w:after="160" w:line="259" w:lineRule="auto"/>
      <w:ind w:left="0" w:firstLine="0"/>
      <w:textAlignment w:val="auto"/>
      <w:outlineLvl w:val="9"/>
    </w:pPr>
    <w:rPr>
      <w:rFonts w:ascii="Cambria" w:eastAsia="SimSun" w:hAnsi="Cambria"/>
      <w:b w:val="0"/>
      <w:noProof/>
      <w:color w:val="365F91"/>
      <w:sz w:val="32"/>
      <w:szCs w:val="32"/>
      <w:lang w:val="ru-RU" w:eastAsia="ru-RU"/>
    </w:rPr>
  </w:style>
  <w:style w:type="character" w:customStyle="1" w:styleId="ms-offscreen">
    <w:name w:val="ms-offscreen"/>
    <w:basedOn w:val="DefaultParagraphFont"/>
    <w:rsid w:val="00A63D1D"/>
  </w:style>
  <w:style w:type="character" w:customStyle="1" w:styleId="ms-list-addnew-imgspan16">
    <w:name w:val="ms-list-addnew-imgspan16"/>
    <w:basedOn w:val="DefaultParagraphFont"/>
    <w:rsid w:val="00A63D1D"/>
  </w:style>
  <w:style w:type="character" w:customStyle="1" w:styleId="ms-tasklistshortcutcalloutspan">
    <w:name w:val="ms-tasklistshortcutcalloutspan"/>
    <w:basedOn w:val="DefaultParagraphFont"/>
    <w:rsid w:val="00A63D1D"/>
  </w:style>
  <w:style w:type="character" w:customStyle="1" w:styleId="ms-menu-hovarw4">
    <w:name w:val="ms-menu-hovarw4"/>
    <w:basedOn w:val="DefaultParagraphFont"/>
    <w:rsid w:val="00A63D1D"/>
  </w:style>
  <w:style w:type="character" w:customStyle="1" w:styleId="ms-navedit-itemspan">
    <w:name w:val="ms-navedit-itemspan"/>
    <w:basedOn w:val="DefaultParagraphFont"/>
    <w:rsid w:val="00A63D1D"/>
  </w:style>
  <w:style w:type="character" w:customStyle="1" w:styleId="ms-viewselectorhover">
    <w:name w:val="ms-viewselectorhover"/>
    <w:basedOn w:val="DefaultParagraphFont"/>
    <w:rsid w:val="00A63D1D"/>
    <w:rPr>
      <w:bdr w:val="none" w:sz="0" w:space="0" w:color="auto"/>
    </w:rPr>
  </w:style>
  <w:style w:type="character" w:customStyle="1" w:styleId="ms-viewselector2">
    <w:name w:val="ms-viewselector2"/>
    <w:basedOn w:val="DefaultParagraphFont"/>
    <w:rsid w:val="00A63D1D"/>
    <w:rPr>
      <w:bdr w:val="none" w:sz="0" w:space="0" w:color="auto"/>
    </w:rPr>
  </w:style>
  <w:style w:type="character" w:customStyle="1" w:styleId="ms-cui-mrusb-selecteditem">
    <w:name w:val="ms-cui-mrusb-selecteditem"/>
    <w:basedOn w:val="DefaultParagraphFont"/>
    <w:rsid w:val="00A63D1D"/>
  </w:style>
  <w:style w:type="character" w:customStyle="1" w:styleId="ms-featurestatustext">
    <w:name w:val="ms-featurestatustext"/>
    <w:basedOn w:val="DefaultParagraphFont"/>
    <w:rsid w:val="00A63D1D"/>
  </w:style>
  <w:style w:type="paragraph" w:styleId="Index3">
    <w:name w:val="index 3"/>
    <w:basedOn w:val="Normal"/>
    <w:next w:val="Normal"/>
    <w:semiHidden/>
    <w:rsid w:val="00A63D1D"/>
    <w:pPr>
      <w:tabs>
        <w:tab w:val="clear" w:pos="1134"/>
        <w:tab w:val="clear" w:pos="1871"/>
        <w:tab w:val="clear" w:pos="2268"/>
        <w:tab w:val="left" w:pos="794"/>
        <w:tab w:val="left" w:pos="1191"/>
        <w:tab w:val="left" w:pos="1588"/>
        <w:tab w:val="left" w:pos="1985"/>
      </w:tabs>
      <w:ind w:left="566"/>
    </w:pPr>
    <w:rPr>
      <w:rFonts w:ascii="Calibri" w:eastAsia="SimSun" w:hAnsi="Calibri"/>
    </w:rPr>
  </w:style>
  <w:style w:type="paragraph" w:styleId="Index2">
    <w:name w:val="index 2"/>
    <w:basedOn w:val="Normal"/>
    <w:next w:val="Normal"/>
    <w:semiHidden/>
    <w:rsid w:val="00A63D1D"/>
    <w:pPr>
      <w:tabs>
        <w:tab w:val="clear" w:pos="1134"/>
        <w:tab w:val="clear" w:pos="1871"/>
        <w:tab w:val="clear" w:pos="2268"/>
        <w:tab w:val="left" w:pos="794"/>
        <w:tab w:val="left" w:pos="1191"/>
        <w:tab w:val="left" w:pos="1588"/>
        <w:tab w:val="left" w:pos="1985"/>
      </w:tabs>
      <w:ind w:left="283"/>
    </w:pPr>
    <w:rPr>
      <w:rFonts w:ascii="Calibri" w:eastAsia="SimSun" w:hAnsi="Calibri"/>
    </w:rPr>
  </w:style>
  <w:style w:type="table" w:customStyle="1" w:styleId="TableGrid1">
    <w:name w:val="Table Grid1"/>
    <w:basedOn w:val="TableNormal"/>
    <w:next w:val="TableGrid"/>
    <w:uiPriority w:val="59"/>
    <w:rsid w:val="00A63D1D"/>
    <w:rPr>
      <w:rFonts w:ascii="CG Times" w:eastAsia="SimSun" w:hAnsi="CG Times"/>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未处理的提及"/>
    <w:uiPriority w:val="99"/>
    <w:semiHidden/>
    <w:unhideWhenUsed/>
    <w:rsid w:val="00A63D1D"/>
    <w:rPr>
      <w:color w:val="605E5C"/>
      <w:shd w:val="clear" w:color="auto" w:fill="E1DFDD"/>
    </w:rPr>
  </w:style>
  <w:style w:type="character" w:styleId="PlaceholderText">
    <w:name w:val="Placeholder Text"/>
    <w:basedOn w:val="DefaultParagraphFont"/>
    <w:uiPriority w:val="99"/>
    <w:semiHidden/>
    <w:rsid w:val="00A63D1D"/>
    <w:rPr>
      <w:rFonts w:ascii="Times New Roman" w:hAnsi="Times New Roman"/>
      <w:color w:val="808080"/>
    </w:rPr>
  </w:style>
  <w:style w:type="paragraph" w:styleId="Caption">
    <w:name w:val="caption"/>
    <w:basedOn w:val="Normal"/>
    <w:next w:val="Normal"/>
    <w:uiPriority w:val="35"/>
    <w:unhideWhenUsed/>
    <w:rsid w:val="00A63D1D"/>
    <w:pPr>
      <w:tabs>
        <w:tab w:val="clear" w:pos="1134"/>
        <w:tab w:val="clear" w:pos="1871"/>
        <w:tab w:val="clear" w:pos="2268"/>
      </w:tabs>
      <w:overflowPunct/>
      <w:autoSpaceDE/>
      <w:autoSpaceDN/>
      <w:adjustRightInd/>
      <w:spacing w:before="0" w:after="200"/>
      <w:textAlignment w:val="auto"/>
    </w:pPr>
    <w:rPr>
      <w:rFonts w:ascii="Times New Roman" w:eastAsiaTheme="minorEastAsia" w:hAnsi="Times New Roman"/>
      <w:i/>
      <w:iCs/>
      <w:color w:val="1F497D" w:themeColor="text2"/>
      <w:sz w:val="18"/>
      <w:szCs w:val="18"/>
      <w:lang w:eastAsia="ja-JP"/>
    </w:rPr>
  </w:style>
  <w:style w:type="character" w:customStyle="1" w:styleId="CommentTextChar1">
    <w:name w:val="Comment Text Char1"/>
    <w:basedOn w:val="DefaultParagraphFont"/>
    <w:semiHidden/>
    <w:rsid w:val="00A63D1D"/>
    <w:rPr>
      <w:rFonts w:asciiTheme="minorHAnsi" w:hAnsiTheme="minorHAnsi"/>
      <w:lang w:val="en-GB" w:eastAsia="en-US"/>
    </w:rPr>
  </w:style>
  <w:style w:type="character" w:customStyle="1" w:styleId="CommentSubjectChar1">
    <w:name w:val="Comment Subject Char1"/>
    <w:basedOn w:val="CommentTextChar1"/>
    <w:semiHidden/>
    <w:rsid w:val="00A63D1D"/>
    <w:rPr>
      <w:rFonts w:asciiTheme="minorHAnsi" w:hAnsiTheme="minorHAnsi"/>
      <w:b/>
      <w:bCs/>
      <w:lang w:val="en-GB" w:eastAsia="en-US"/>
    </w:rPr>
  </w:style>
  <w:style w:type="paragraph" w:customStyle="1" w:styleId="Style125">
    <w:name w:val="_Style 125"/>
    <w:hidden/>
    <w:uiPriority w:val="99"/>
    <w:semiHidden/>
    <w:rsid w:val="00A63D1D"/>
    <w:pPr>
      <w:spacing w:after="160" w:line="259" w:lineRule="auto"/>
    </w:pPr>
    <w:rPr>
      <w:rFonts w:ascii="Times New Roman" w:eastAsia="SimSun" w:hAnsi="Times New Roman"/>
      <w:sz w:val="24"/>
      <w:szCs w:val="24"/>
      <w:lang w:val="en-GB" w:eastAsia="ja-JP"/>
    </w:rPr>
  </w:style>
  <w:style w:type="paragraph" w:customStyle="1" w:styleId="CEONormal">
    <w:name w:val="CEO_Normal"/>
    <w:link w:val="CEONormalChar"/>
    <w:qFormat/>
    <w:rsid w:val="00A63D1D"/>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A63D1D"/>
    <w:rPr>
      <w:rFonts w:ascii="Calibri" w:eastAsia="SimSun" w:hAnsi="Calibri" w:cs="Simplified Arabic"/>
      <w:sz w:val="22"/>
      <w:szCs w:val="19"/>
      <w:lang w:val="en-GB" w:eastAsia="en-US"/>
    </w:rPr>
  </w:style>
  <w:style w:type="paragraph" w:customStyle="1" w:styleId="CEOcontribution-H123">
    <w:name w:val="CEO_contribution-H123"/>
    <w:uiPriority w:val="99"/>
    <w:rsid w:val="00A63D1D"/>
    <w:pPr>
      <w:numPr>
        <w:numId w:val="9"/>
      </w:numPr>
      <w:spacing w:before="120" w:after="120"/>
    </w:pPr>
    <w:rPr>
      <w:rFonts w:ascii="Calibri" w:eastAsia="SimHei" w:hAnsi="Calibri" w:cs="Simplified Arabic"/>
      <w:b/>
      <w:sz w:val="22"/>
      <w:szCs w:val="19"/>
      <w:lang w:val="en-GB" w:eastAsia="en-US"/>
    </w:rPr>
  </w:style>
  <w:style w:type="table" w:styleId="GridTable4-Accent1">
    <w:name w:val="Grid Table 4 Accent 1"/>
    <w:basedOn w:val="TableNormal"/>
    <w:uiPriority w:val="49"/>
    <w:rsid w:val="00A63D1D"/>
    <w:rPr>
      <w:rFonts w:ascii="CG Times" w:hAnsi="CG Time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A63D1D"/>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i-provider">
    <w:name w:val="ui-provider"/>
    <w:basedOn w:val="DefaultParagraphFont"/>
    <w:rsid w:val="00A63D1D"/>
  </w:style>
  <w:style w:type="character" w:customStyle="1" w:styleId="UnresolvedMention3">
    <w:name w:val="Unresolved Mention3"/>
    <w:basedOn w:val="DefaultParagraphFont"/>
    <w:uiPriority w:val="99"/>
    <w:semiHidden/>
    <w:unhideWhenUsed/>
    <w:rsid w:val="00A63D1D"/>
    <w:rPr>
      <w:color w:val="605E5C"/>
      <w:shd w:val="clear" w:color="auto" w:fill="E1DFDD"/>
    </w:rPr>
  </w:style>
  <w:style w:type="paragraph" w:customStyle="1" w:styleId="MOS-DayDates">
    <w:name w:val="MOS-DayDates"/>
    <w:basedOn w:val="Normal"/>
    <w:rsid w:val="00A63D1D"/>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table" w:styleId="GridTable1Light">
    <w:name w:val="Grid Table 1 Light"/>
    <w:basedOn w:val="TableNormal"/>
    <w:uiPriority w:val="46"/>
    <w:rsid w:val="00A63D1D"/>
    <w:rPr>
      <w:rFonts w:asciiTheme="minorHAnsi" w:eastAsiaTheme="minorEastAsia" w:hAnsiTheme="minorHAnsi" w:cstheme="minorBidi"/>
      <w:sz w:val="22"/>
      <w:szCs w:val="22"/>
      <w:lang w:val="en-AU"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D22-SG02-C-0178" TargetMode="External"/><Relationship Id="rId21" Type="http://schemas.openxmlformats.org/officeDocument/2006/relationships/image" Target="media/image3.emf"/><Relationship Id="rId42" Type="http://schemas.openxmlformats.org/officeDocument/2006/relationships/hyperlink" Target="https://www.itu.int/md/D22-SG02.RGQ-R-0008" TargetMode="External"/><Relationship Id="rId63" Type="http://schemas.openxmlformats.org/officeDocument/2006/relationships/hyperlink" Target="https://www.itu.int/en/ITU-D/Study-Groups/2022-2025/Pages/meetings/workshop-Q4-2_may24.aspx" TargetMode="External"/><Relationship Id="rId84" Type="http://schemas.openxmlformats.org/officeDocument/2006/relationships/hyperlink" Target="https://www.itu.int/en/ITU-D/Conferences/TDAG/Pages/2024/TDAG_WG_futureSGQ.aspx" TargetMode="External"/><Relationship Id="rId138" Type="http://schemas.openxmlformats.org/officeDocument/2006/relationships/hyperlink" Target="https://www.itu.int/net4/ITU-D/CDS/sg/blkmeetings.asp?lg=1&amp;stg=&amp;sp=2022&amp;blk=29015" TargetMode="External"/><Relationship Id="rId159" Type="http://schemas.openxmlformats.org/officeDocument/2006/relationships/hyperlink" Target="https://www.itu.int/en/ITU-D/Pages/itu-d-publications.aspx" TargetMode="External"/><Relationship Id="rId170" Type="http://schemas.openxmlformats.org/officeDocument/2006/relationships/hyperlink" Target="https://www.itu.int/md/D22-SG02.RGQ-C-0057/" TargetMode="External"/><Relationship Id="rId107" Type="http://schemas.openxmlformats.org/officeDocument/2006/relationships/hyperlink" Target="https://www.itu.int/md/D22-SG02-C-0168" TargetMode="External"/><Relationship Id="rId11" Type="http://schemas.openxmlformats.org/officeDocument/2006/relationships/image" Target="media/image1.jpeg"/><Relationship Id="rId32" Type="http://schemas.openxmlformats.org/officeDocument/2006/relationships/hyperlink" Target="https://www.itu.int/md/D22-SG02-R-0009" TargetMode="External"/><Relationship Id="rId53" Type="http://schemas.openxmlformats.org/officeDocument/2006/relationships/hyperlink" Target="https://www.itu.int/md/D22-SG02-R-0009" TargetMode="External"/><Relationship Id="rId74" Type="http://schemas.openxmlformats.org/officeDocument/2006/relationships/hyperlink" Target="https://www.itu.int/en/ITU-D/Study-Groups/2022-2025/Pages/meetings/workshop-Q6-2_may24.aspx" TargetMode="External"/><Relationship Id="rId128" Type="http://schemas.openxmlformats.org/officeDocument/2006/relationships/hyperlink" Target="https://www.itu.int/en/ITU-D/Study-Groups/2022-2025/Pages/reference/Collaborative-Tools.aspx" TargetMode="External"/><Relationship Id="rId149" Type="http://schemas.openxmlformats.org/officeDocument/2006/relationships/hyperlink" Target="https://www.itu.int/pub/D-STG-SG01.01.2-2021" TargetMode="External"/><Relationship Id="rId5" Type="http://schemas.openxmlformats.org/officeDocument/2006/relationships/numbering" Target="numbering.xml"/><Relationship Id="rId95" Type="http://schemas.openxmlformats.org/officeDocument/2006/relationships/hyperlink" Target="https://extranet.itu.int/rsg-meetings/ccv/Share/CCT%20meeting%202024-06-25/Input%20contributions/060e.docx" TargetMode="External"/><Relationship Id="rId160" Type="http://schemas.openxmlformats.org/officeDocument/2006/relationships/hyperlink" Target="https://www.itu.int/hub/?s=&amp;post_type=publication" TargetMode="External"/><Relationship Id="rId181" Type="http://schemas.openxmlformats.org/officeDocument/2006/relationships/footer" Target="footer3.xml"/><Relationship Id="rId22" Type="http://schemas.openxmlformats.org/officeDocument/2006/relationships/image" Target="media/image4.png"/><Relationship Id="rId43" Type="http://schemas.openxmlformats.org/officeDocument/2006/relationships/hyperlink" Target="https://www.itu.int/md/D22-TDAG.WG.SGQ-C-0048" TargetMode="External"/><Relationship Id="rId64" Type="http://schemas.openxmlformats.org/officeDocument/2006/relationships/hyperlink" Target="https://www.itu.int/md/D22-SG02.RGQ-R-0011" TargetMode="External"/><Relationship Id="rId118" Type="http://schemas.openxmlformats.org/officeDocument/2006/relationships/hyperlink" Target="https://www.itu.int/md/D22-SG02-C-0250" TargetMode="External"/><Relationship Id="rId139" Type="http://schemas.openxmlformats.org/officeDocument/2006/relationships/hyperlink" Target="https://www.itu.int/net4/ITU-D/CDS/sg/blkmeetings.asp?lg=1&amp;stg=&amp;sp=2022&amp;blk=28817" TargetMode="External"/><Relationship Id="rId85" Type="http://schemas.openxmlformats.org/officeDocument/2006/relationships/hyperlink" Target="https://www.itu.int/md/D22-TDAG.WG.SGQ-C-0022" TargetMode="External"/><Relationship Id="rId150" Type="http://schemas.openxmlformats.org/officeDocument/2006/relationships/hyperlink" Target="https://www.itu.int/hub/?s=&amp;post_type=publication" TargetMode="External"/><Relationship Id="rId171" Type="http://schemas.openxmlformats.org/officeDocument/2006/relationships/hyperlink" Target="https://www.itu.int/md/D22-SG02.RGQ-C-0110/" TargetMode="External"/><Relationship Id="rId12" Type="http://schemas.openxmlformats.org/officeDocument/2006/relationships/image" Target="media/image2.png"/><Relationship Id="rId33" Type="http://schemas.openxmlformats.org/officeDocument/2006/relationships/hyperlink" Target="https://www.itu.int/en/ITU-D/Study-Groups/2022-2025/Pages/TIES_Protected/session-BDT-projects-oct23.aspx" TargetMode="External"/><Relationship Id="rId108" Type="http://schemas.openxmlformats.org/officeDocument/2006/relationships/hyperlink" Target="https://www.itu.int/md/D22-SG02-C-0292" TargetMode="External"/><Relationship Id="rId129" Type="http://schemas.openxmlformats.org/officeDocument/2006/relationships/hyperlink" Target="https://www.itu.int/md/D22-CA-CIR-0007" TargetMode="External"/><Relationship Id="rId54" Type="http://schemas.openxmlformats.org/officeDocument/2006/relationships/hyperlink" Target="https://www.itu.int/hub/publication/d-stg-sg02.03.2-2024/" TargetMode="External"/><Relationship Id="rId75" Type="http://schemas.openxmlformats.org/officeDocument/2006/relationships/hyperlink" Target="https://www.itu.int/md/D22-SG02.RGQ-R-0013" TargetMode="External"/><Relationship Id="rId96" Type="http://schemas.openxmlformats.org/officeDocument/2006/relationships/hyperlink" Target="https://extranet.itu.int/rsg-meetings/ccv/Share/CCT%20meeting%202024-09-17/073e.docx" TargetMode="External"/><Relationship Id="rId140" Type="http://schemas.openxmlformats.org/officeDocument/2006/relationships/hyperlink" Target="https://www.itu.int/net4/ITU-D/CDS/sg/blkmeetings.asp?lg=1&amp;sp=2022&amp;blk=28246" TargetMode="External"/><Relationship Id="rId161" Type="http://schemas.openxmlformats.org/officeDocument/2006/relationships/hyperlink" Target="https://www.itu.int/hub/publication/d-stg-sg01-01-2-2021/" TargetMode="External"/><Relationship Id="rId182" Type="http://schemas.openxmlformats.org/officeDocument/2006/relationships/header" Target="header7.xml"/><Relationship Id="rId6" Type="http://schemas.openxmlformats.org/officeDocument/2006/relationships/styles" Target="styles.xml"/><Relationship Id="rId23" Type="http://schemas.openxmlformats.org/officeDocument/2006/relationships/image" Target="media/image5.png"/><Relationship Id="rId119" Type="http://schemas.openxmlformats.org/officeDocument/2006/relationships/hyperlink" Target="https://www.itu.int/md/D22-SG02-C-0256" TargetMode="External"/><Relationship Id="rId44" Type="http://schemas.openxmlformats.org/officeDocument/2006/relationships/hyperlink" Target="https://www.itu.int/md/D22-SG02-C-0359" TargetMode="External"/><Relationship Id="rId65" Type="http://schemas.openxmlformats.org/officeDocument/2006/relationships/hyperlink" Target="https://www.itu.int/md/D22-TDAG.WG.SGQ-C-0048" TargetMode="External"/><Relationship Id="rId86" Type="http://schemas.openxmlformats.org/officeDocument/2006/relationships/hyperlink" Target="https://www.itu.int/md/D22-TDAG.WG.SGQ-C-0048" TargetMode="External"/><Relationship Id="rId130" Type="http://schemas.openxmlformats.org/officeDocument/2006/relationships/hyperlink" Target="https://www.itu.int/md/D22-SG02-C-0385/" TargetMode="External"/><Relationship Id="rId151" Type="http://schemas.openxmlformats.org/officeDocument/2006/relationships/hyperlink" Target="https://www.itu.int/en/ITU-D/Pages/itu-d-publications.aspx" TargetMode="External"/><Relationship Id="rId172" Type="http://schemas.openxmlformats.org/officeDocument/2006/relationships/hyperlink" Target="https://www.itu.int/md/D22-SG02.RGQ-C-0158/" TargetMode="External"/><Relationship Id="rId13" Type="http://schemas.openxmlformats.org/officeDocument/2006/relationships/hyperlink" Target="https://www.itu.int/md/D22-TDAG30-C-0006" TargetMode="External"/><Relationship Id="rId18" Type="http://schemas.openxmlformats.org/officeDocument/2006/relationships/hyperlink" Target="https://www.itu.int/md/D22-SG02-R-0017" TargetMode="External"/><Relationship Id="rId39" Type="http://schemas.openxmlformats.org/officeDocument/2006/relationships/hyperlink" Target="https://www.itu.int/en/ITU-D/Study-Groups/2022-2025/Pages/meetings/session-Q1-2-may23.aspx" TargetMode="External"/><Relationship Id="rId109" Type="http://schemas.openxmlformats.org/officeDocument/2006/relationships/hyperlink" Target="https://www.itu.int/md/D22-SG02-C-0061" TargetMode="External"/><Relationship Id="rId34" Type="http://schemas.openxmlformats.org/officeDocument/2006/relationships/hyperlink" Target="https://www.itu.int/md/D22-SG02-R-0009" TargetMode="External"/><Relationship Id="rId50" Type="http://schemas.openxmlformats.org/officeDocument/2006/relationships/hyperlink" Target="https://www.itu.int/md/D22-SG02-C-0360" TargetMode="External"/><Relationship Id="rId55" Type="http://schemas.openxmlformats.org/officeDocument/2006/relationships/hyperlink" Target="https://www.itu.int/en/ITU-D/Study-Groups/2022-2025/Pages/meetings/session-Q3-2-may23.aspx" TargetMode="External"/><Relationship Id="rId76" Type="http://schemas.openxmlformats.org/officeDocument/2006/relationships/hyperlink" Target="https://www.itu.int/md/D22-TDAG.WG.SGQ-C-0048" TargetMode="External"/><Relationship Id="rId97" Type="http://schemas.openxmlformats.org/officeDocument/2006/relationships/hyperlink" Target="https://extranet.itu.int/rsg-meetings/ccv/Share/CCT%20meeting%202024-12-10/Input%20contributions/087e.docx" TargetMode="External"/><Relationship Id="rId104" Type="http://schemas.openxmlformats.org/officeDocument/2006/relationships/hyperlink" Target="https://www.itu.int/md/D22-SG02-C-0174" TargetMode="External"/><Relationship Id="rId120" Type="http://schemas.openxmlformats.org/officeDocument/2006/relationships/hyperlink" Target="https://www.itu.int/md/D22-SG02-C-0062" TargetMode="External"/><Relationship Id="rId125" Type="http://schemas.openxmlformats.org/officeDocument/2006/relationships/hyperlink" Target="https://www.itu.int/md/D22-SG02-C-0176" TargetMode="External"/><Relationship Id="rId141" Type="http://schemas.openxmlformats.org/officeDocument/2006/relationships/hyperlink" Target="https://www.itu.int/net4/ITU-D/CDS/sg/blkmeetings.asp?lg=1&amp;sp=2022&amp;blk=28157" TargetMode="External"/><Relationship Id="rId146" Type="http://schemas.openxmlformats.org/officeDocument/2006/relationships/hyperlink" Target="https://www.itu.int/hub/publication/d-stg-sg01-06-3-2023/" TargetMode="External"/><Relationship Id="rId167" Type="http://schemas.openxmlformats.org/officeDocument/2006/relationships/hyperlink" Target="https://www.itu.int/md/D22-SG02-C-0329/" TargetMode="External"/><Relationship Id="rId7" Type="http://schemas.openxmlformats.org/officeDocument/2006/relationships/settings" Target="settings.xml"/><Relationship Id="rId71" Type="http://schemas.openxmlformats.org/officeDocument/2006/relationships/hyperlink" Target="https://www.itu.int/md/D18-SG02-C-0363" TargetMode="External"/><Relationship Id="rId92" Type="http://schemas.openxmlformats.org/officeDocument/2006/relationships/hyperlink" Target="https://www.itu.int/md/R19-CCV-C-0051" TargetMode="External"/><Relationship Id="rId162" Type="http://schemas.openxmlformats.org/officeDocument/2006/relationships/hyperlink" Target="https://www.itu.int/pub/D-STG-SG01.06.3-2023" TargetMode="External"/><Relationship Id="rId183"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www.itu.int/md/D22-SG02-ADM-0004/en" TargetMode="External"/><Relationship Id="rId24" Type="http://schemas.openxmlformats.org/officeDocument/2006/relationships/image" Target="media/image6.png"/><Relationship Id="rId40" Type="http://schemas.openxmlformats.org/officeDocument/2006/relationships/hyperlink" Target="https://www.itu.int/md/D22-SG02.RGQ-R-0001" TargetMode="External"/><Relationship Id="rId45" Type="http://schemas.openxmlformats.org/officeDocument/2006/relationships/hyperlink" Target="https://www.itu.int/en/ITU-D/Study-Groups/2022-2025/Pages/meetings/session-Q2-2-may23.aspx" TargetMode="External"/><Relationship Id="rId66" Type="http://schemas.openxmlformats.org/officeDocument/2006/relationships/hyperlink" Target="https://www.itu.int/md/D22-SG02-C-0362" TargetMode="External"/><Relationship Id="rId87" Type="http://schemas.openxmlformats.org/officeDocument/2006/relationships/hyperlink" Target="https://www.itu.int/en/general-secretariat/ties/ISCGDocumentLibrary/Liaisons%20Statements%20on%20Inter-Sectoral%20Coordination%20Activities/Table%201.pdf" TargetMode="External"/><Relationship Id="rId110" Type="http://schemas.openxmlformats.org/officeDocument/2006/relationships/hyperlink" Target="https://www.itu.int/md/D22-SG02-C-0170" TargetMode="External"/><Relationship Id="rId115" Type="http://schemas.openxmlformats.org/officeDocument/2006/relationships/hyperlink" Target="https://www.itu.int/md/D22-SG02-C-0060" TargetMode="External"/><Relationship Id="rId131" Type="http://schemas.openxmlformats.org/officeDocument/2006/relationships/header" Target="header1.xml"/><Relationship Id="rId136" Type="http://schemas.openxmlformats.org/officeDocument/2006/relationships/footer" Target="footer2.xml"/><Relationship Id="rId157" Type="http://schemas.openxmlformats.org/officeDocument/2006/relationships/hyperlink" Target="https://www.itu.int/pub/D-STG-SG01.01.2-2021" TargetMode="External"/><Relationship Id="rId178" Type="http://schemas.openxmlformats.org/officeDocument/2006/relationships/hyperlink" Target="https://www.itu.int/md/D22-SG02.RGQ-C-0122/" TargetMode="External"/><Relationship Id="rId61" Type="http://schemas.openxmlformats.org/officeDocument/2006/relationships/hyperlink" Target="https://www.itu.int/en/ITU-D/Study-Groups/2022-2025/Pages/meetings/session-Q4-2-june23.aspx" TargetMode="External"/><Relationship Id="rId82" Type="http://schemas.openxmlformats.org/officeDocument/2006/relationships/hyperlink" Target="https://www.itu.int/md/D22-TDAG.WG.SGQ-C-0048" TargetMode="External"/><Relationship Id="rId152" Type="http://schemas.openxmlformats.org/officeDocument/2006/relationships/hyperlink" Target="https://www.itu.int/hub/?s=&amp;post_type=publication" TargetMode="External"/><Relationship Id="rId173" Type="http://schemas.openxmlformats.org/officeDocument/2006/relationships/hyperlink" Target="https://www.itu.int/md/D22-SG02-C-0129/" TargetMode="External"/><Relationship Id="rId19" Type="http://schemas.openxmlformats.org/officeDocument/2006/relationships/hyperlink" Target="https://www.itu.int/md/D22-SG02-R-0025" TargetMode="External"/><Relationship Id="rId14" Type="http://schemas.openxmlformats.org/officeDocument/2006/relationships/hyperlink" Target="https://www.itu.int/md/D22-TDAG31-C-0006" TargetMode="External"/><Relationship Id="rId30" Type="http://schemas.openxmlformats.org/officeDocument/2006/relationships/hyperlink" Target="https://www.itu.int/md/D22-SG02-R-0008" TargetMode="External"/><Relationship Id="rId35" Type="http://schemas.openxmlformats.org/officeDocument/2006/relationships/hyperlink" Target="https://www.itu.int/md/D22-SG02-R-0009" TargetMode="External"/><Relationship Id="rId56" Type="http://schemas.openxmlformats.org/officeDocument/2006/relationships/hyperlink" Target="https://www.itu.int/md/D22-SG02.RGQ-R-0003" TargetMode="External"/><Relationship Id="rId77" Type="http://schemas.openxmlformats.org/officeDocument/2006/relationships/hyperlink" Target="https://www.itu.int/md/D18-SG02-C-0364" TargetMode="External"/><Relationship Id="rId100" Type="http://schemas.openxmlformats.org/officeDocument/2006/relationships/hyperlink" Target="https://extranet.itu.int/rsg-meetings/ccv/Share/CCT%20meeting%202025-07-01/Input%20contributions/137e.docx" TargetMode="External"/><Relationship Id="rId105" Type="http://schemas.openxmlformats.org/officeDocument/2006/relationships/hyperlink" Target="https://www.itu.int/md/D22-SG02-C-0323" TargetMode="External"/><Relationship Id="rId126" Type="http://schemas.openxmlformats.org/officeDocument/2006/relationships/hyperlink" Target="https://www.itu.int/md/D22-SG02-C-0308" TargetMode="External"/><Relationship Id="rId147" Type="http://schemas.openxmlformats.org/officeDocument/2006/relationships/hyperlink" Target="https://www.itu.int/pub/D-STG-SG01.06.3-2023" TargetMode="External"/><Relationship Id="rId168" Type="http://schemas.openxmlformats.org/officeDocument/2006/relationships/hyperlink" Target="https://www.itu.int/md/D22-SG02.RGQ-C-0046/" TargetMode="External"/><Relationship Id="rId8" Type="http://schemas.openxmlformats.org/officeDocument/2006/relationships/webSettings" Target="webSettings.xml"/><Relationship Id="rId51" Type="http://schemas.openxmlformats.org/officeDocument/2006/relationships/hyperlink" Target="https://www.itu.int/hub/publication/d-stg-sg02-03-2-2023/" TargetMode="External"/><Relationship Id="rId72" Type="http://schemas.openxmlformats.org/officeDocument/2006/relationships/hyperlink" Target="https://www.itu.int/en/ITU-D/Study-Groups/2022-2025/Pages/meetings/session-Q6-2-may23.aspx" TargetMode="External"/><Relationship Id="rId93" Type="http://schemas.openxmlformats.org/officeDocument/2006/relationships/hyperlink" Target="https://extranet.itu.int/rsg-meetings/ccv/Share/CCT%20meeting%202023-07-21/Input%20contributions/001e.docx" TargetMode="External"/><Relationship Id="rId98" Type="http://schemas.openxmlformats.org/officeDocument/2006/relationships/hyperlink" Target="https://extranet.itu.int/rsg-meetings/ccv/Share/CCT%20meeting%202025-01-30/Input%20contributions/097e.docx" TargetMode="External"/><Relationship Id="rId121" Type="http://schemas.openxmlformats.org/officeDocument/2006/relationships/hyperlink" Target="https://www.itu.int/md/D22-SG02-C-0063" TargetMode="External"/><Relationship Id="rId142" Type="http://schemas.openxmlformats.org/officeDocument/2006/relationships/hyperlink" Target="https://www.itu.int/net4/ITU-D/CDS/sg/blkmeetings.asp?lg=1&amp;stg=&amp;sp=2022&amp;blk=28791" TargetMode="External"/><Relationship Id="rId163" Type="http://schemas.openxmlformats.org/officeDocument/2006/relationships/hyperlink" Target="https://www.itu.int/oth/D072D000001/en"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image" Target="media/image7.png"/><Relationship Id="rId46" Type="http://schemas.openxmlformats.org/officeDocument/2006/relationships/hyperlink" Target="https://www.itu.int/md/D22-SG02.RGQ-R-0002" TargetMode="External"/><Relationship Id="rId67" Type="http://schemas.openxmlformats.org/officeDocument/2006/relationships/hyperlink" Target="https://www.itu.int/en/ITU-D/Study-Groups/2022-2025/Pages/meetings/session-Q5-2-may23.aspx" TargetMode="External"/><Relationship Id="rId116" Type="http://schemas.openxmlformats.org/officeDocument/2006/relationships/hyperlink" Target="https://www.itu.int/md/D22-SG02-C-0160" TargetMode="External"/><Relationship Id="rId137" Type="http://schemas.openxmlformats.org/officeDocument/2006/relationships/header" Target="header3.xml"/><Relationship Id="rId158" Type="http://schemas.openxmlformats.org/officeDocument/2006/relationships/hyperlink" Target="https://www.itu.int/itu-d/sites/studygroups/" TargetMode="External"/><Relationship Id="rId20" Type="http://schemas.openxmlformats.org/officeDocument/2006/relationships/hyperlink" Target="https://www.itu.int/md/D22-SG02-C-0002" TargetMode="External"/><Relationship Id="rId41" Type="http://schemas.openxmlformats.org/officeDocument/2006/relationships/hyperlink" Target="https://www.itu.int/en/ITU-D/Study-Groups/2022-2025/Pages/meetings/workshop-Q1-2_april24.aspx" TargetMode="External"/><Relationship Id="rId62" Type="http://schemas.openxmlformats.org/officeDocument/2006/relationships/hyperlink" Target="https://www.itu.int/md/D22-SG02.RGQ-R-0004" TargetMode="External"/><Relationship Id="rId83" Type="http://schemas.openxmlformats.org/officeDocument/2006/relationships/hyperlink" Target="https://www.itu.int/md/D22-SG02-C-0403" TargetMode="External"/><Relationship Id="rId88" Type="http://schemas.openxmlformats.org/officeDocument/2006/relationships/hyperlink" Target="https://www.itu.int/en/general-secretariat/ties/ISCGDocumentLibrary/Liaisons%20Statements%20on%20Inter-Sectoral%20Coordination%20Activities/Table%203.pdf" TargetMode="External"/><Relationship Id="rId111" Type="http://schemas.openxmlformats.org/officeDocument/2006/relationships/hyperlink" Target="https://www.itu.int/md/D22-SG02-C-0305" TargetMode="External"/><Relationship Id="rId132" Type="http://schemas.openxmlformats.org/officeDocument/2006/relationships/footer" Target="footer1.xml"/><Relationship Id="rId153" Type="http://schemas.openxmlformats.org/officeDocument/2006/relationships/hyperlink" Target="https://www.itu.int/itu-d/sites/studygroups/" TargetMode="External"/><Relationship Id="rId174" Type="http://schemas.openxmlformats.org/officeDocument/2006/relationships/hyperlink" Target="https://www.itu.int/md/D22-SG02-C-0198/" TargetMode="External"/><Relationship Id="rId179" Type="http://schemas.openxmlformats.org/officeDocument/2006/relationships/header" Target="header5.xml"/><Relationship Id="rId15" Type="http://schemas.openxmlformats.org/officeDocument/2006/relationships/hyperlink" Target="https://www.itu.int/md/D22-TDAG32-C-0007" TargetMode="External"/><Relationship Id="rId36" Type="http://schemas.openxmlformats.org/officeDocument/2006/relationships/hyperlink" Target="https://www.itu.int/md/D22-SG02-R-0017/" TargetMode="External"/><Relationship Id="rId57" Type="http://schemas.openxmlformats.org/officeDocument/2006/relationships/hyperlink" Target="https://www.itu.int/en/ITU-D/Study-Groups/2022-2025/Pages/meetings/workshop-Q3-2_may24.aspx" TargetMode="External"/><Relationship Id="rId106" Type="http://schemas.openxmlformats.org/officeDocument/2006/relationships/hyperlink" Target="https://www.itu.int/md/D22-SG02-C-0057" TargetMode="External"/><Relationship Id="rId127" Type="http://schemas.openxmlformats.org/officeDocument/2006/relationships/hyperlink" Target="https://www.itu.int/md/D22-SG02-C-0412/" TargetMode="External"/><Relationship Id="rId10" Type="http://schemas.openxmlformats.org/officeDocument/2006/relationships/endnotes" Target="endnotes.xml"/><Relationship Id="rId31" Type="http://schemas.openxmlformats.org/officeDocument/2006/relationships/hyperlink" Target="https://www.itu.int/en/ITU-D/Study-Groups/2022-2025/Pages/TIES_Protected/session-cybersecurity-oct23.aspx" TargetMode="External"/><Relationship Id="rId52" Type="http://schemas.openxmlformats.org/officeDocument/2006/relationships/hyperlink" Target="https://www.itu.int/en/ITU-D/Study-Groups/2022-2025/Pages/TIES_Protected/session-cybersecurity-oct23.aspx" TargetMode="External"/><Relationship Id="rId73" Type="http://schemas.openxmlformats.org/officeDocument/2006/relationships/hyperlink" Target="https://www.itu.int/md/D22-SG02.RGQ-R-0006" TargetMode="External"/><Relationship Id="rId78" Type="http://schemas.openxmlformats.org/officeDocument/2006/relationships/hyperlink" Target="https://www.itu.int/en/ITU-D/Study-Groups/2022-2025/Pages/meetings/session-Q7-2-may23.aspx" TargetMode="External"/><Relationship Id="rId94" Type="http://schemas.openxmlformats.org/officeDocument/2006/relationships/hyperlink" Target="https://extranet.itu.int/rsg-meetings/ccv/Share/CCT%20meeting%202023-09-26/Input%20contributions/037e.docx" TargetMode="External"/><Relationship Id="rId99" Type="http://schemas.openxmlformats.org/officeDocument/2006/relationships/hyperlink" Target="https://extranet.itu.int/rsg-meetings/ccv/Share/CCT%20meeting%202025-03-11/Input%20contributions/110e.docx" TargetMode="External"/><Relationship Id="rId101" Type="http://schemas.openxmlformats.org/officeDocument/2006/relationships/hyperlink" Target="https://www.itu.int/md/D22-SG02-C-0159" TargetMode="External"/><Relationship Id="rId122" Type="http://schemas.openxmlformats.org/officeDocument/2006/relationships/hyperlink" Target="https://www.itu.int/md/D22-SG02-C-0064" TargetMode="External"/><Relationship Id="rId143" Type="http://schemas.openxmlformats.org/officeDocument/2006/relationships/hyperlink" Target="https://www.itu.int/net4/ITU-D/CDS/sg/blkmeetings.asp?lg=1&amp;stg=&amp;sp=2022&amp;blk=28225" TargetMode="External"/><Relationship Id="rId148" Type="http://schemas.openxmlformats.org/officeDocument/2006/relationships/hyperlink" Target="https://www.itu.int/hub/publication/d-stg-sg01-01-2-2021/" TargetMode="External"/><Relationship Id="rId164" Type="http://schemas.openxmlformats.org/officeDocument/2006/relationships/hyperlink" Target="https://www.itu.int/net4/ITU-D/CDS/sg/index.asp?lg=1&amp;sp=2022" TargetMode="External"/><Relationship Id="rId169" Type="http://schemas.openxmlformats.org/officeDocument/2006/relationships/hyperlink" Target="https://iccwbo.org/wp-content/uploads/sites/3/2022/05/2022-icc-white-paper-delivering-connectivity.pdf" TargetMode="External"/><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6.xml"/><Relationship Id="rId26" Type="http://schemas.openxmlformats.org/officeDocument/2006/relationships/image" Target="media/image8.png"/><Relationship Id="rId47" Type="http://schemas.openxmlformats.org/officeDocument/2006/relationships/hyperlink" Target="https://www.itu.int/en/ITU-D/Study-Groups/2022-2025/Pages/meetings/workshop-Q2-2_april24.aspx" TargetMode="External"/><Relationship Id="rId68" Type="http://schemas.openxmlformats.org/officeDocument/2006/relationships/hyperlink" Target="https://www.itu.int/md/D22-SG02.RGQ-R-0005" TargetMode="External"/><Relationship Id="rId89" Type="http://schemas.openxmlformats.org/officeDocument/2006/relationships/hyperlink" Target="https://www.itu.int/md/D22-TDAG30-C-0006" TargetMode="External"/><Relationship Id="rId112" Type="http://schemas.openxmlformats.org/officeDocument/2006/relationships/hyperlink" Target="https://www.itu.int/en/ITU-D/Study-Groups/2022-2025/Pages/TIES_Protected/session-BDT-projects-oct23.aspx" TargetMode="External"/><Relationship Id="rId133" Type="http://schemas.openxmlformats.org/officeDocument/2006/relationships/hyperlink" Target="https://www.itu.int/en/ITU-D/Conferences/WTDC/WTDC21/Pages/SG_TDAG_appointed-chairs-and-vice-chairs.aspx" TargetMode="External"/><Relationship Id="rId154" Type="http://schemas.openxmlformats.org/officeDocument/2006/relationships/hyperlink" Target="https://www.itu.int/pub/D-STG" TargetMode="External"/><Relationship Id="rId175" Type="http://schemas.openxmlformats.org/officeDocument/2006/relationships/hyperlink" Target="https://www.itu.int/md/D22-SG02-C-0274/" TargetMode="External"/><Relationship Id="rId16" Type="http://schemas.openxmlformats.org/officeDocument/2006/relationships/hyperlink" Target="https://www.itu.int/md/D22-SG02-R-0008" TargetMode="External"/><Relationship Id="rId37" Type="http://schemas.openxmlformats.org/officeDocument/2006/relationships/hyperlink" Target="https://www.itu.int/md/D18-SG02-R-0025" TargetMode="External"/><Relationship Id="rId58" Type="http://schemas.openxmlformats.org/officeDocument/2006/relationships/hyperlink" Target="https://www.itu.int/md/D22-SG02.RGQ-R-0010" TargetMode="External"/><Relationship Id="rId79" Type="http://schemas.openxmlformats.org/officeDocument/2006/relationships/hyperlink" Target="https://www.itu.int/md/D22-SG02.RGQ-R-0007" TargetMode="External"/><Relationship Id="rId102" Type="http://schemas.openxmlformats.org/officeDocument/2006/relationships/hyperlink" Target="https://www.itu.int/md/D22-SG02-C-0286" TargetMode="External"/><Relationship Id="rId123" Type="http://schemas.openxmlformats.org/officeDocument/2006/relationships/hyperlink" Target="https://www.itu.int/md/D22-SG02-C-0065" TargetMode="External"/><Relationship Id="rId144" Type="http://schemas.openxmlformats.org/officeDocument/2006/relationships/hyperlink" Target="https://www.itu.int/en/ITU-D/Study-Groups/2022-2025/Pages/events_workshops.aspx" TargetMode="External"/><Relationship Id="rId90" Type="http://schemas.openxmlformats.org/officeDocument/2006/relationships/hyperlink" Target="https://www.itu.int/md/D22-SG02-C-0161" TargetMode="External"/><Relationship Id="rId165" Type="http://schemas.openxmlformats.org/officeDocument/2006/relationships/hyperlink" Target="https://www.itu.int/itu-d/sites/studygroups/" TargetMode="External"/><Relationship Id="rId27" Type="http://schemas.openxmlformats.org/officeDocument/2006/relationships/image" Target="media/image9.png"/><Relationship Id="rId48" Type="http://schemas.openxmlformats.org/officeDocument/2006/relationships/hyperlink" Target="https://www.itu.int/md/D22-SG02.RGQ-R-0009" TargetMode="External"/><Relationship Id="rId69" Type="http://schemas.openxmlformats.org/officeDocument/2006/relationships/hyperlink" Target="https://www.itu.int/en/ITU-D/Study-Groups/2022-2025/Pages/meetings/workshop-Q5-2_may24.aspx" TargetMode="External"/><Relationship Id="rId113" Type="http://schemas.openxmlformats.org/officeDocument/2006/relationships/hyperlink" Target="https://www.itu.int/md/D22-SG02-R-0009" TargetMode="External"/><Relationship Id="rId134" Type="http://schemas.openxmlformats.org/officeDocument/2006/relationships/hyperlink" Target="https://www.itu.int/net4/ITU-D/CDS/sg/rapporteurs.asp?lg=1&amp;sp=2022" TargetMode="External"/><Relationship Id="rId80" Type="http://schemas.openxmlformats.org/officeDocument/2006/relationships/hyperlink" Target="https://www.itu.int/en/ITU-D/Study-Groups/2022-2025/Pages/meetings/workshop-Q7-2_may24.aspx" TargetMode="External"/><Relationship Id="rId155" Type="http://schemas.openxmlformats.org/officeDocument/2006/relationships/hyperlink" Target="https://www.itu.int/pub/D-STG-SG01" TargetMode="External"/><Relationship Id="rId176" Type="http://schemas.openxmlformats.org/officeDocument/2006/relationships/hyperlink" Target="https://www.itu.int/md/D22-SG02.RGQ-C-0001/" TargetMode="External"/><Relationship Id="rId17" Type="http://schemas.openxmlformats.org/officeDocument/2006/relationships/hyperlink" Target="https://www.itu.int/md/D22-SG02-R-0009" TargetMode="External"/><Relationship Id="rId38" Type="http://schemas.openxmlformats.org/officeDocument/2006/relationships/hyperlink" Target="https://www.itu.int/md/D22-SG02-C-0358" TargetMode="External"/><Relationship Id="rId59" Type="http://schemas.openxmlformats.org/officeDocument/2006/relationships/hyperlink" Target="https://www.itu.int/md/D22-TDAG.WG.SGQ-C-0048" TargetMode="External"/><Relationship Id="rId103" Type="http://schemas.openxmlformats.org/officeDocument/2006/relationships/hyperlink" Target="https://www.itu.int/md/D22-SG02-C-0372/" TargetMode="External"/><Relationship Id="rId124" Type="http://schemas.openxmlformats.org/officeDocument/2006/relationships/hyperlink" Target="https://www.itu.int/md/D22-SG02-C-0066" TargetMode="External"/><Relationship Id="rId70" Type="http://schemas.openxmlformats.org/officeDocument/2006/relationships/hyperlink" Target="https://www.itu.int/md/D22-SG02.RGQ-R-0012" TargetMode="External"/><Relationship Id="rId91" Type="http://schemas.openxmlformats.org/officeDocument/2006/relationships/hyperlink" Target="https://www.itu.int/md/D22-SG02-C-0402/" TargetMode="External"/><Relationship Id="rId145" Type="http://schemas.openxmlformats.org/officeDocument/2006/relationships/header" Target="header4.xml"/><Relationship Id="rId166" Type="http://schemas.openxmlformats.org/officeDocument/2006/relationships/hyperlink" Target="https://www.itu.int/pub/D-STG-SG01.06.3-2023" TargetMode="External"/><Relationship Id="rId1" Type="http://schemas.openxmlformats.org/officeDocument/2006/relationships/customXml" Target="../customXml/item1.xml"/><Relationship Id="rId28" Type="http://schemas.openxmlformats.org/officeDocument/2006/relationships/image" Target="media/image10.png"/><Relationship Id="rId49" Type="http://schemas.openxmlformats.org/officeDocument/2006/relationships/hyperlink" Target="https://www.itu.int/md/D22-TDAG.WG.SGQ-C-0048" TargetMode="External"/><Relationship Id="rId114" Type="http://schemas.openxmlformats.org/officeDocument/2006/relationships/hyperlink" Target="https://www.itu.int/md/D22-SG02-C-0288" TargetMode="External"/><Relationship Id="rId60" Type="http://schemas.openxmlformats.org/officeDocument/2006/relationships/hyperlink" Target="https://www.itu.int/md/D22-SG02-C-0361" TargetMode="External"/><Relationship Id="rId81" Type="http://schemas.openxmlformats.org/officeDocument/2006/relationships/hyperlink" Target="https://www.itu.int/md/D22-SG02.RGQ-R-0014" TargetMode="External"/><Relationship Id="rId135" Type="http://schemas.openxmlformats.org/officeDocument/2006/relationships/header" Target="header2.xml"/><Relationship Id="rId156" Type="http://schemas.openxmlformats.org/officeDocument/2006/relationships/hyperlink" Target="https://www.itu.int/en/publications/ITU-D/pages/publications.aspx?parent=D-STG-SG01&amp;version_date=2021" TargetMode="External"/><Relationship Id="rId177" Type="http://schemas.openxmlformats.org/officeDocument/2006/relationships/hyperlink" Target="https://www.itu.int/md/D22-SG02.RGQ-C-007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fadel.digham@gmail.com" TargetMode="External"/><Relationship Id="rId1" Type="http://schemas.openxmlformats.org/officeDocument/2006/relationships/hyperlink" Target="mailto:fdigham@tra.gov.eg"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www.itu.int/itu-d/meetings/wtdc25/" TargetMode="External"/><Relationship Id="rId2" Type="http://schemas.openxmlformats.org/officeDocument/2006/relationships/hyperlink" Target="mailto:fadel.digham@gmail.com" TargetMode="External"/><Relationship Id="rId1" Type="http://schemas.openxmlformats.org/officeDocument/2006/relationships/hyperlink" Target="mailto:fdigham@tra.gov.e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ranslate.itu.int/documents" TargetMode="External"/><Relationship Id="rId3" Type="http://schemas.openxmlformats.org/officeDocument/2006/relationships/hyperlink" Target="https://www.itu.int/en/ITU-D/Regional-Presence/Americas/Pages/EVENTS/2024/cons-awa-2024.aspx" TargetMode="External"/><Relationship Id="rId7" Type="http://schemas.openxmlformats.org/officeDocument/2006/relationships/hyperlink" Target="https://www.itu.int/en/ITU-D/Study-Groups/2022-2025/Pages/TIES_Protected/contributions_dashboard_2022_2025.aspx" TargetMode="External"/><Relationship Id="rId2" Type="http://schemas.openxmlformats.org/officeDocument/2006/relationships/hyperlink" Target="https://www.itu.int/en/ITU-D/Study-Groups/2022-2025/Pages/events_workshops.asp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unctad.org/en/PublicationsLibrary/ares70d125_en.pdf" TargetMode="External"/><Relationship Id="rId5" Type="http://schemas.openxmlformats.org/officeDocument/2006/relationships/hyperlink" Target="https://www.itu.int/en/ITU-D/Regional-Presence/Americas/Pages/EVENTS/2024/cons-awa-2024.aspx" TargetMode="External"/><Relationship Id="rId4" Type="http://schemas.openxmlformats.org/officeDocument/2006/relationships/hyperlink" Target="https://www.itu.int/en/ITU-D/Study-Groups/2022-2025/Pages/reference/Ongoing-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B66DDE41-749A-43E1-B0DC-706F10853438}">
  <ds:schemaRefs>
    <ds:schemaRef ds:uri="http://schemas.openxmlformats.org/officeDocument/2006/bibliography"/>
  </ds:schemaRefs>
</ds:datastoreItem>
</file>

<file path=customXml/itemProps2.xml><?xml version="1.0" encoding="utf-8"?>
<ds:datastoreItem xmlns:ds="http://schemas.openxmlformats.org/officeDocument/2006/customXml" ds:itemID="{65201A50-8C8F-4B23-8AA5-9D8F4FCC4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b6109c62-af78-494c-a825-80e1ffe32798"/>
    <ds:schemaRef ds:uri="54151c7f-6a84-4427-a6ce-bf1d7f28364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43</Pages>
  <Words>14953</Words>
  <Characters>85235</Characters>
  <Application>Microsoft Office Word</Application>
  <DocSecurity>0</DocSecurity>
  <Lines>710</Lines>
  <Paragraphs>199</Paragraphs>
  <ScaleCrop>false</ScaleCrop>
  <Manager>General Secretariat - Pool</Manager>
  <Company/>
  <LinksUpToDate>false</LinksUpToDate>
  <CharactersWithSpaces>99989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dc:description/>
  <cp:lastModifiedBy>BDT-ND</cp:lastModifiedBy>
  <cp:revision>35</cp:revision>
  <cp:lastPrinted>2011-08-24T16:41:00Z</cp:lastPrinted>
  <dcterms:created xsi:type="dcterms:W3CDTF">2025-08-02T00:42:00Z</dcterms:created>
  <dcterms:modified xsi:type="dcterms:W3CDTF">2025-10-01T07:24:00Z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y fmtid="{D5CDD505-2E9C-101B-9397-08002B2CF9AE}" pid="11" name="MediaServiceImageTags">
    <vt:lpwstr/>
  </property>
  <property fmtid="{D5CDD505-2E9C-101B-9397-08002B2CF9AE}" pid="12" name="docLang">
    <vt:lpwstr>en</vt:lpwstr>
  </property>
</Properties>
</file>