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Layout w:type="fixed"/>
        <w:tblLook w:val="0000" w:firstRow="0" w:lastRow="0" w:firstColumn="0" w:lastColumn="0" w:noHBand="0" w:noVBand="0"/>
      </w:tblPr>
      <w:tblGrid>
        <w:gridCol w:w="1499"/>
        <w:gridCol w:w="4885"/>
        <w:gridCol w:w="1131"/>
        <w:gridCol w:w="2267"/>
      </w:tblGrid>
      <w:tr w:rsidR="00961D12" w:rsidRPr="00C13BC9" w14:paraId="23658664" w14:textId="77777777" w:rsidTr="00AF411C">
        <w:trPr>
          <w:cantSplit/>
          <w:trHeight w:val="1134"/>
        </w:trPr>
        <w:tc>
          <w:tcPr>
            <w:tcW w:w="766" w:type="pct"/>
          </w:tcPr>
          <w:p w14:paraId="7B75E2CA" w14:textId="2314B8B9" w:rsidR="00E80D1A" w:rsidRPr="00C13BC9" w:rsidRDefault="00A864A5" w:rsidP="00AA25E0">
            <w:pPr>
              <w:tabs>
                <w:tab w:val="clear" w:pos="1134"/>
              </w:tabs>
              <w:rPr>
                <w:b/>
                <w:bCs/>
                <w:szCs w:val="24"/>
                <w:lang w:val="fr-FR"/>
              </w:rPr>
            </w:pPr>
            <w:r w:rsidRPr="00C13BC9">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075" w:type="pct"/>
            <w:gridSpan w:val="2"/>
          </w:tcPr>
          <w:p w14:paraId="7B7782C2" w14:textId="2059173A" w:rsidR="00E80D1A" w:rsidRPr="00C13BC9" w:rsidRDefault="00E80D1A" w:rsidP="0055124D">
            <w:pPr>
              <w:tabs>
                <w:tab w:val="clear" w:pos="1134"/>
              </w:tabs>
              <w:spacing w:before="240" w:line="240" w:lineRule="atLeast"/>
              <w:ind w:left="34"/>
              <w:rPr>
                <w:rFonts w:cstheme="minorHAnsi"/>
                <w:lang w:val="fr-FR"/>
              </w:rPr>
            </w:pPr>
            <w:r w:rsidRPr="00C13BC9">
              <w:rPr>
                <w:b/>
                <w:bCs/>
                <w:sz w:val="30"/>
                <w:szCs w:val="30"/>
                <w:lang w:val="fr-FR"/>
              </w:rPr>
              <w:t>Conférence mondiale de développement des télécommunications de 2025 (CMDT-25)</w:t>
            </w:r>
            <w:r w:rsidRPr="00C13BC9">
              <w:rPr>
                <w:b/>
                <w:bCs/>
                <w:sz w:val="32"/>
                <w:szCs w:val="32"/>
                <w:lang w:val="fr-FR"/>
              </w:rPr>
              <w:br/>
            </w:r>
            <w:r w:rsidRPr="00C13BC9">
              <w:rPr>
                <w:b/>
                <w:bCs/>
                <w:szCs w:val="24"/>
                <w:lang w:val="fr-FR"/>
              </w:rPr>
              <w:t>Bakou (République d'Azerbaïdjan), 17</w:t>
            </w:r>
            <w:r w:rsidR="009903FC" w:rsidRPr="00C13BC9">
              <w:rPr>
                <w:b/>
                <w:bCs/>
                <w:szCs w:val="24"/>
                <w:lang w:val="fr-FR"/>
              </w:rPr>
              <w:t>-</w:t>
            </w:r>
            <w:r w:rsidRPr="00C13BC9">
              <w:rPr>
                <w:b/>
                <w:bCs/>
                <w:szCs w:val="24"/>
                <w:lang w:val="fr-FR"/>
              </w:rPr>
              <w:t>28 novembre 2025</w:t>
            </w:r>
          </w:p>
        </w:tc>
        <w:tc>
          <w:tcPr>
            <w:tcW w:w="1159" w:type="pct"/>
          </w:tcPr>
          <w:p w14:paraId="2C5DBE98" w14:textId="2E00326C" w:rsidR="00E80D1A" w:rsidRPr="00C13BC9" w:rsidRDefault="00A864A5" w:rsidP="0055124D">
            <w:pPr>
              <w:tabs>
                <w:tab w:val="clear" w:pos="1134"/>
              </w:tabs>
              <w:spacing w:line="240" w:lineRule="atLeast"/>
              <w:ind w:left="34"/>
              <w:jc w:val="right"/>
              <w:rPr>
                <w:rFonts w:cstheme="minorHAnsi"/>
                <w:lang w:val="fr-FR"/>
              </w:rPr>
            </w:pPr>
            <w:r w:rsidRPr="00C13BC9">
              <w:rPr>
                <w:b/>
                <w:bCs/>
                <w:sz w:val="32"/>
                <w:szCs w:val="32"/>
                <w:lang w:val="fr-FR"/>
              </w:rPr>
              <w:drawing>
                <wp:inline distT="0" distB="0" distL="0" distR="0" wp14:anchorId="589B2DD4" wp14:editId="28554F55">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13BC9" w14:paraId="679DB3BF" w14:textId="77777777" w:rsidTr="00AF411C">
        <w:trPr>
          <w:cantSplit/>
        </w:trPr>
        <w:tc>
          <w:tcPr>
            <w:tcW w:w="3263" w:type="pct"/>
            <w:gridSpan w:val="2"/>
            <w:tcBorders>
              <w:top w:val="single" w:sz="12" w:space="0" w:color="auto"/>
            </w:tcBorders>
          </w:tcPr>
          <w:p w14:paraId="4C62B06C" w14:textId="77777777" w:rsidR="00D83BF5" w:rsidRPr="00C13BC9" w:rsidRDefault="00D83BF5" w:rsidP="00A327AF">
            <w:pPr>
              <w:spacing w:before="0" w:after="48" w:line="240" w:lineRule="atLeast"/>
              <w:rPr>
                <w:rFonts w:cstheme="minorHAnsi"/>
                <w:b/>
                <w:smallCaps/>
                <w:sz w:val="20"/>
                <w:lang w:val="fr-FR"/>
              </w:rPr>
            </w:pPr>
            <w:bookmarkStart w:id="0" w:name="dhead"/>
          </w:p>
        </w:tc>
        <w:tc>
          <w:tcPr>
            <w:tcW w:w="1737" w:type="pct"/>
            <w:gridSpan w:val="2"/>
            <w:tcBorders>
              <w:top w:val="single" w:sz="12" w:space="0" w:color="auto"/>
            </w:tcBorders>
          </w:tcPr>
          <w:p w14:paraId="0116ED64" w14:textId="77777777" w:rsidR="00D83BF5" w:rsidRPr="00C13BC9" w:rsidRDefault="00D83BF5" w:rsidP="00A327AF">
            <w:pPr>
              <w:spacing w:before="0" w:line="240" w:lineRule="atLeast"/>
              <w:rPr>
                <w:rFonts w:cstheme="minorHAnsi"/>
                <w:sz w:val="20"/>
                <w:lang w:val="fr-FR"/>
              </w:rPr>
            </w:pPr>
          </w:p>
        </w:tc>
      </w:tr>
      <w:tr w:rsidR="00D83BF5" w:rsidRPr="00C13BC9" w14:paraId="2DE0DADC" w14:textId="77777777" w:rsidTr="00AF411C">
        <w:trPr>
          <w:cantSplit/>
          <w:trHeight w:val="23"/>
        </w:trPr>
        <w:tc>
          <w:tcPr>
            <w:tcW w:w="3263" w:type="pct"/>
            <w:gridSpan w:val="2"/>
          </w:tcPr>
          <w:p w14:paraId="28059CDA" w14:textId="152BF734" w:rsidR="00D83BF5" w:rsidRPr="00C13BC9"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C13BC9">
              <w:rPr>
                <w:lang w:val="fr-FR"/>
              </w:rPr>
              <w:t>SÉANCE PLÉNIÈRE</w:t>
            </w:r>
          </w:p>
        </w:tc>
        <w:tc>
          <w:tcPr>
            <w:tcW w:w="1737" w:type="pct"/>
            <w:gridSpan w:val="2"/>
          </w:tcPr>
          <w:p w14:paraId="7A5F1CCD" w14:textId="000AFE67" w:rsidR="00D83BF5" w:rsidRPr="00C13BC9" w:rsidRDefault="00F40E33" w:rsidP="009903FC">
            <w:pPr>
              <w:pStyle w:val="Committee"/>
              <w:framePr w:hSpace="0" w:wrap="auto" w:hAnchor="text" w:yAlign="inline"/>
              <w:rPr>
                <w:lang w:val="fr-FR"/>
              </w:rPr>
            </w:pPr>
            <w:r w:rsidRPr="00C13BC9">
              <w:rPr>
                <w:lang w:val="fr-FR"/>
              </w:rPr>
              <w:t xml:space="preserve">Document </w:t>
            </w:r>
            <w:r w:rsidR="00C22DC3" w:rsidRPr="00C13BC9">
              <w:rPr>
                <w:lang w:val="fr-FR"/>
              </w:rPr>
              <w:t>WTDC-25/7</w:t>
            </w:r>
            <w:r w:rsidRPr="00C13BC9">
              <w:rPr>
                <w:lang w:val="fr-FR"/>
              </w:rPr>
              <w:t>-F</w:t>
            </w:r>
          </w:p>
        </w:tc>
      </w:tr>
      <w:tr w:rsidR="00D83BF5" w:rsidRPr="00C13BC9" w14:paraId="54C2D06A" w14:textId="77777777" w:rsidTr="00AF411C">
        <w:trPr>
          <w:cantSplit/>
          <w:trHeight w:val="23"/>
        </w:trPr>
        <w:tc>
          <w:tcPr>
            <w:tcW w:w="3263" w:type="pct"/>
            <w:gridSpan w:val="2"/>
          </w:tcPr>
          <w:p w14:paraId="26390377" w14:textId="50BB1F0F" w:rsidR="00D83BF5" w:rsidRPr="00C13BC9"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37" w:type="pct"/>
            <w:gridSpan w:val="2"/>
          </w:tcPr>
          <w:p w14:paraId="7446A207" w14:textId="5B33F253" w:rsidR="00D83BF5" w:rsidRPr="00C13BC9" w:rsidRDefault="00C22DC3" w:rsidP="009903FC">
            <w:pPr>
              <w:pStyle w:val="Committee"/>
              <w:framePr w:hSpace="0" w:wrap="auto" w:hAnchor="text" w:yAlign="inline"/>
              <w:rPr>
                <w:lang w:val="fr-FR"/>
              </w:rPr>
            </w:pPr>
            <w:r w:rsidRPr="00C13BC9">
              <w:rPr>
                <w:bCs/>
                <w:color w:val="000000"/>
                <w:lang w:val="fr-FR"/>
              </w:rPr>
              <w:t>30 septembre 2025</w:t>
            </w:r>
          </w:p>
        </w:tc>
      </w:tr>
      <w:tr w:rsidR="00D83BF5" w:rsidRPr="00C13BC9" w14:paraId="7D1F02CB" w14:textId="77777777" w:rsidTr="00AF411C">
        <w:trPr>
          <w:cantSplit/>
          <w:trHeight w:val="23"/>
        </w:trPr>
        <w:tc>
          <w:tcPr>
            <w:tcW w:w="3263" w:type="pct"/>
            <w:gridSpan w:val="2"/>
          </w:tcPr>
          <w:p w14:paraId="50C265AC" w14:textId="74C2AF68" w:rsidR="00D83BF5" w:rsidRPr="00C13BC9"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37" w:type="pct"/>
            <w:gridSpan w:val="2"/>
          </w:tcPr>
          <w:p w14:paraId="4CC3584B" w14:textId="100AE8BD" w:rsidR="00D83BF5" w:rsidRPr="00C13BC9" w:rsidRDefault="00F40E33" w:rsidP="009903FC">
            <w:pPr>
              <w:pStyle w:val="Committee"/>
              <w:framePr w:hSpace="0" w:wrap="auto" w:hAnchor="text" w:yAlign="inline"/>
              <w:rPr>
                <w:lang w:val="fr-FR"/>
              </w:rPr>
            </w:pPr>
            <w:r w:rsidRPr="00C13BC9">
              <w:rPr>
                <w:lang w:val="fr-FR"/>
              </w:rPr>
              <w:t>Original: anglais</w:t>
            </w:r>
          </w:p>
        </w:tc>
      </w:tr>
      <w:tr w:rsidR="00C22DC3" w:rsidRPr="00C13BC9" w14:paraId="0BA8CD3B" w14:textId="77777777" w:rsidTr="00AF411C">
        <w:trPr>
          <w:cantSplit/>
          <w:trHeight w:val="23"/>
        </w:trPr>
        <w:tc>
          <w:tcPr>
            <w:tcW w:w="5000" w:type="pct"/>
            <w:gridSpan w:val="4"/>
          </w:tcPr>
          <w:p w14:paraId="29BB25E0" w14:textId="6D8169CC" w:rsidR="00C22DC3" w:rsidRPr="00C13BC9" w:rsidRDefault="00C22DC3" w:rsidP="00C22DC3">
            <w:pPr>
              <w:pStyle w:val="Source"/>
              <w:spacing w:before="240" w:after="240"/>
              <w:rPr>
                <w:lang w:val="fr-FR"/>
              </w:rPr>
            </w:pPr>
            <w:r w:rsidRPr="00C13BC9">
              <w:rPr>
                <w:bCs/>
                <w:color w:val="000000"/>
                <w:lang w:val="fr-FR"/>
              </w:rPr>
              <w:t>Secrétaire générale</w:t>
            </w:r>
          </w:p>
        </w:tc>
      </w:tr>
      <w:tr w:rsidR="00C22DC3" w:rsidRPr="00C13BC9" w14:paraId="610454EC" w14:textId="77777777" w:rsidTr="00AF411C">
        <w:trPr>
          <w:cantSplit/>
          <w:trHeight w:val="23"/>
        </w:trPr>
        <w:tc>
          <w:tcPr>
            <w:tcW w:w="5000" w:type="pct"/>
            <w:gridSpan w:val="4"/>
            <w:vAlign w:val="center"/>
          </w:tcPr>
          <w:p w14:paraId="65D61584" w14:textId="4D7FCC65" w:rsidR="00C22DC3" w:rsidRPr="00C13BC9" w:rsidRDefault="00C22DC3" w:rsidP="00C22DC3">
            <w:pPr>
              <w:pStyle w:val="Title1"/>
              <w:spacing w:before="120" w:after="120"/>
              <w:rPr>
                <w:lang w:val="fr-FR"/>
              </w:rPr>
            </w:pPr>
            <w:r w:rsidRPr="00C13BC9">
              <w:rPr>
                <w:color w:val="000000"/>
                <w:lang w:val="fr-FR"/>
              </w:rPr>
              <w:t>RESPONSABILITÉS FINANCIÈRES DES CONFÉRENCES</w:t>
            </w:r>
          </w:p>
        </w:tc>
      </w:tr>
      <w:tr w:rsidR="00D83BF5" w:rsidRPr="00C13BC9" w14:paraId="3281F6CD" w14:textId="77777777" w:rsidTr="00AF411C">
        <w:trPr>
          <w:cantSplit/>
          <w:trHeight w:val="23"/>
        </w:trPr>
        <w:tc>
          <w:tcPr>
            <w:tcW w:w="5000" w:type="pct"/>
            <w:gridSpan w:val="4"/>
          </w:tcPr>
          <w:p w14:paraId="7E3AD81E" w14:textId="38A16FF5" w:rsidR="00D83BF5" w:rsidRPr="00C13BC9" w:rsidRDefault="00D83BF5" w:rsidP="00A327AF">
            <w:pPr>
              <w:pStyle w:val="Title2"/>
              <w:spacing w:before="240"/>
              <w:rPr>
                <w:lang w:val="fr-FR"/>
              </w:rPr>
            </w:pPr>
          </w:p>
        </w:tc>
      </w:tr>
      <w:tr w:rsidR="00EF1503" w:rsidRPr="00C13BC9" w14:paraId="3F37EAAA" w14:textId="77777777" w:rsidTr="00AF411C">
        <w:trPr>
          <w:cantSplit/>
          <w:trHeight w:val="23"/>
        </w:trPr>
        <w:tc>
          <w:tcPr>
            <w:tcW w:w="5000" w:type="pct"/>
            <w:gridSpan w:val="4"/>
          </w:tcPr>
          <w:p w14:paraId="5E5D5FFA" w14:textId="195955EA" w:rsidR="00EF1503" w:rsidRPr="00C13BC9" w:rsidRDefault="00EF1503" w:rsidP="00A327AF">
            <w:pPr>
              <w:pStyle w:val="Title2"/>
              <w:spacing w:before="240"/>
              <w:rPr>
                <w:lang w:val="fr-FR"/>
              </w:rPr>
            </w:pPr>
          </w:p>
        </w:tc>
      </w:tr>
      <w:bookmarkEnd w:id="5"/>
      <w:bookmarkEnd w:id="6"/>
      <w:tr w:rsidR="00AF411C" w:rsidRPr="00C13BC9" w14:paraId="07261AB8" w14:textId="77777777" w:rsidTr="00AF411C">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2B6B6BAE" w14:textId="58059E74" w:rsidR="00AF411C" w:rsidRPr="00C13BC9" w:rsidRDefault="00AF411C" w:rsidP="00C22DC3">
            <w:pPr>
              <w:rPr>
                <w:lang w:val="fr-FR"/>
              </w:rPr>
            </w:pPr>
            <w:r w:rsidRPr="00C13BC9">
              <w:rPr>
                <w:b/>
                <w:bCs/>
                <w:lang w:val="fr-FR"/>
              </w:rPr>
              <w:t>Domaine prioritaire:</w:t>
            </w:r>
            <w:r w:rsidRPr="00C13BC9">
              <w:rPr>
                <w:lang w:val="fr-FR"/>
              </w:rPr>
              <w:tab/>
            </w:r>
            <w:r w:rsidR="00C22DC3" w:rsidRPr="00C13BC9">
              <w:rPr>
                <w:lang w:val="fr-FR"/>
              </w:rPr>
              <w:t>Sans objet</w:t>
            </w:r>
          </w:p>
          <w:p w14:paraId="530EAF6D" w14:textId="77777777" w:rsidR="00AF411C" w:rsidRPr="00C13BC9" w:rsidRDefault="00AF411C" w:rsidP="00AF411C">
            <w:pPr>
              <w:spacing w:after="120"/>
              <w:rPr>
                <w:b/>
                <w:bCs/>
                <w:szCs w:val="24"/>
                <w:lang w:val="fr-FR"/>
              </w:rPr>
            </w:pPr>
            <w:r w:rsidRPr="00C13BC9">
              <w:rPr>
                <w:b/>
                <w:bCs/>
                <w:szCs w:val="24"/>
                <w:lang w:val="fr-FR"/>
              </w:rPr>
              <w:t>Résumé:</w:t>
            </w:r>
          </w:p>
          <w:p w14:paraId="756CD1CB" w14:textId="64E1430D" w:rsidR="00AF411C" w:rsidRPr="00C13BC9" w:rsidRDefault="00C22DC3" w:rsidP="00AF411C">
            <w:pPr>
              <w:spacing w:after="120"/>
              <w:rPr>
                <w:szCs w:val="24"/>
                <w:lang w:val="fr-FR"/>
              </w:rPr>
            </w:pPr>
            <w:r w:rsidRPr="00C13BC9">
              <w:rPr>
                <w:szCs w:val="24"/>
                <w:lang w:val="fr-FR"/>
              </w:rPr>
              <w:t>On trouvera dans le présent document des renseignements détaillés sur le cadre réglementaire qui régit le déroulement de la Conférence, s'agissant des incidences financières que pourrait avoir l'adoption des décisions ou des résolutions. En outre, les participants à la Conférence doivent être bien au fait des limites financières fixées dans le cadre de la Conférence de plénipotentiaires avant d'adopter des propositions ou de prendre des décisions ayant des incidences financières.</w:t>
            </w:r>
          </w:p>
          <w:p w14:paraId="6AB959D8" w14:textId="77777777" w:rsidR="00AF411C" w:rsidRPr="00C13BC9" w:rsidRDefault="00AF411C" w:rsidP="00AF411C">
            <w:pPr>
              <w:spacing w:after="120"/>
              <w:rPr>
                <w:b/>
                <w:bCs/>
                <w:szCs w:val="24"/>
                <w:lang w:val="fr-FR"/>
              </w:rPr>
            </w:pPr>
            <w:r w:rsidRPr="00C13BC9">
              <w:rPr>
                <w:b/>
                <w:bCs/>
                <w:szCs w:val="24"/>
                <w:lang w:val="fr-FR"/>
              </w:rPr>
              <w:t>Résultats attendus:</w:t>
            </w:r>
          </w:p>
          <w:p w14:paraId="63B8B278" w14:textId="0A6456EE" w:rsidR="00AF411C" w:rsidRPr="00C13BC9" w:rsidRDefault="00C22DC3" w:rsidP="00AF411C">
            <w:pPr>
              <w:spacing w:after="120"/>
              <w:rPr>
                <w:szCs w:val="24"/>
                <w:lang w:val="fr-FR"/>
              </w:rPr>
            </w:pPr>
            <w:r w:rsidRPr="00C13BC9">
              <w:rPr>
                <w:szCs w:val="24"/>
                <w:lang w:val="fr-FR"/>
              </w:rPr>
              <w:t>La CMDT est invitée à prendre note du présent rapport.</w:t>
            </w:r>
          </w:p>
          <w:p w14:paraId="3FA3A13A" w14:textId="77777777" w:rsidR="00AF411C" w:rsidRPr="00C13BC9" w:rsidRDefault="00AF411C" w:rsidP="00AF411C">
            <w:pPr>
              <w:spacing w:after="120"/>
              <w:rPr>
                <w:b/>
                <w:bCs/>
                <w:szCs w:val="24"/>
                <w:lang w:val="fr-FR"/>
              </w:rPr>
            </w:pPr>
            <w:r w:rsidRPr="00C13BC9">
              <w:rPr>
                <w:b/>
                <w:bCs/>
                <w:szCs w:val="24"/>
                <w:lang w:val="fr-FR"/>
              </w:rPr>
              <w:t>Références:</w:t>
            </w:r>
          </w:p>
          <w:p w14:paraId="036CFCAD" w14:textId="1DE51D9D" w:rsidR="00AF411C" w:rsidRPr="00C13BC9" w:rsidRDefault="00C22DC3" w:rsidP="00AF411C">
            <w:pPr>
              <w:spacing w:after="120"/>
              <w:rPr>
                <w:lang w:val="fr-FR"/>
              </w:rPr>
            </w:pPr>
            <w:r w:rsidRPr="00C13BC9">
              <w:rPr>
                <w:lang w:val="fr-FR"/>
              </w:rPr>
              <w:t>Sans objet</w:t>
            </w:r>
          </w:p>
        </w:tc>
      </w:tr>
    </w:tbl>
    <w:p w14:paraId="452487B4" w14:textId="2576DE02" w:rsidR="00F40E33" w:rsidRPr="00C13BC9" w:rsidRDefault="00F40E33">
      <w:pPr>
        <w:tabs>
          <w:tab w:val="clear" w:pos="1134"/>
          <w:tab w:val="clear" w:pos="1871"/>
          <w:tab w:val="clear" w:pos="2268"/>
        </w:tabs>
        <w:overflowPunct/>
        <w:autoSpaceDE/>
        <w:autoSpaceDN/>
        <w:adjustRightInd/>
        <w:spacing w:before="0"/>
        <w:textAlignment w:val="auto"/>
        <w:rPr>
          <w:szCs w:val="24"/>
          <w:lang w:val="fr-FR"/>
        </w:rPr>
      </w:pPr>
    </w:p>
    <w:p w14:paraId="18ACFC68" w14:textId="77777777" w:rsidR="00F40E33" w:rsidRPr="00C13BC9" w:rsidRDefault="00F40E33">
      <w:pPr>
        <w:tabs>
          <w:tab w:val="clear" w:pos="1134"/>
          <w:tab w:val="clear" w:pos="1871"/>
          <w:tab w:val="clear" w:pos="2268"/>
        </w:tabs>
        <w:overflowPunct/>
        <w:autoSpaceDE/>
        <w:autoSpaceDN/>
        <w:adjustRightInd/>
        <w:spacing w:before="0"/>
        <w:textAlignment w:val="auto"/>
        <w:rPr>
          <w:szCs w:val="24"/>
          <w:lang w:val="fr-FR"/>
        </w:rPr>
      </w:pPr>
      <w:r w:rsidRPr="00C13BC9">
        <w:rPr>
          <w:szCs w:val="24"/>
          <w:lang w:val="fr-FR"/>
        </w:rPr>
        <w:br w:type="page"/>
      </w:r>
    </w:p>
    <w:p w14:paraId="16945BA1" w14:textId="77777777" w:rsidR="00C22DC3" w:rsidRPr="00C13BC9" w:rsidRDefault="00C22DC3" w:rsidP="00C22DC3">
      <w:pPr>
        <w:rPr>
          <w:szCs w:val="24"/>
          <w:lang w:val="fr-FR"/>
        </w:rPr>
      </w:pPr>
      <w:r w:rsidRPr="00C13BC9">
        <w:rPr>
          <w:lang w:val="fr-FR"/>
        </w:rPr>
        <w:lastRenderedPageBreak/>
        <w:t>A</w:t>
      </w:r>
      <w:r w:rsidRPr="00C13BC9">
        <w:rPr>
          <w:lang w:val="fr-FR"/>
        </w:rPr>
        <w:tab/>
        <w:t>L'attention des participants à la Conférence mondiale de développement des télécommunications (CMDT-25) est attirée sur le numéro 142 (article 22) de la Constitution de l'Union internationale des télécommunications, qui dispose ce qui suit:</w:t>
      </w:r>
    </w:p>
    <w:p w14:paraId="548BE4C3" w14:textId="69E692E9" w:rsidR="00C22DC3" w:rsidRPr="00C13BC9" w:rsidRDefault="00C22DC3" w:rsidP="00C22DC3">
      <w:pPr>
        <w:rPr>
          <w:szCs w:val="24"/>
          <w:lang w:val="fr-FR"/>
        </w:rPr>
      </w:pPr>
      <w:r w:rsidRPr="00C13BC9">
        <w:rPr>
          <w:lang w:val="fr-FR"/>
        </w:rPr>
        <w:t>"4</w:t>
      </w:r>
      <w:r w:rsidRPr="00C13BC9">
        <w:rPr>
          <w:lang w:val="fr-FR"/>
        </w:rPr>
        <w:tab/>
        <w:t>Les conférences de développement des télécommunications n'élaborent pas d'Actes finals. Leurs conclusions prennent la forme de résolutions, de décisions, de recommandations ou de rapports. Ces conclusions doivent être, dans tous les cas, conformes aux dispositions de la présente Constitution, de la Convention et des Règlements administratifs. Lorsqu'elles adoptent des résolutions ou des décisions, les conférences doivent tenir compte des répercussions financières prévisibles et devraient éviter d'adopter des résolutions ou des décisions susceptibles d'entraîner le dépassement des limites financières fixées par la Conférence de plénipotentiaires"</w:t>
      </w:r>
      <w:r w:rsidR="00145163" w:rsidRPr="00C13BC9">
        <w:rPr>
          <w:lang w:val="fr-FR"/>
        </w:rPr>
        <w:t>.</w:t>
      </w:r>
    </w:p>
    <w:p w14:paraId="15D3EC4D" w14:textId="77777777" w:rsidR="00C22DC3" w:rsidRPr="00C13BC9" w:rsidRDefault="00C22DC3" w:rsidP="00C22DC3">
      <w:pPr>
        <w:rPr>
          <w:szCs w:val="24"/>
          <w:lang w:val="fr-FR"/>
        </w:rPr>
      </w:pPr>
      <w:r w:rsidRPr="00C13BC9">
        <w:rPr>
          <w:lang w:val="fr-FR"/>
        </w:rPr>
        <w:t>B</w:t>
      </w:r>
      <w:r w:rsidRPr="00C13BC9">
        <w:rPr>
          <w:lang w:val="fr-FR"/>
        </w:rPr>
        <w:tab/>
        <w:t>L'attention des participants à la Conférence est également attirée sur les numéros 488 et 489 (article 34) de la Convention de l'Union internationale des télécommunications, qui disposent ce qui suit:</w:t>
      </w:r>
    </w:p>
    <w:p w14:paraId="7E1D092E" w14:textId="1B65677B" w:rsidR="00C22DC3" w:rsidRPr="00C13BC9" w:rsidRDefault="00C22DC3" w:rsidP="00145163">
      <w:pPr>
        <w:pStyle w:val="enumlev1"/>
        <w:rPr>
          <w:szCs w:val="24"/>
          <w:lang w:val="fr-FR"/>
        </w:rPr>
      </w:pPr>
      <w:r w:rsidRPr="00C13BC9">
        <w:rPr>
          <w:lang w:val="fr-FR"/>
        </w:rPr>
        <w:tab/>
      </w:r>
      <w:r w:rsidR="00145163" w:rsidRPr="00C13BC9">
        <w:rPr>
          <w:lang w:val="fr-FR"/>
        </w:rPr>
        <w:t>"</w:t>
      </w:r>
      <w:r w:rsidRPr="00C13BC9">
        <w:rPr>
          <w:lang w:val="fr-FR"/>
        </w:rPr>
        <w:t>1</w:t>
      </w:r>
      <w:r w:rsidRPr="00C13BC9">
        <w:rPr>
          <w:lang w:val="fr-FR"/>
        </w:rPr>
        <w:tab/>
        <w:t>Avant d'adopter des propositions ou avant de prendre des décisions ayant des incidences financières, les conférences de l'Union tiennent compte de toutes les prévisions budgétaires de l'Union en vue d'assurer qu'elles n'entraînent pas de dépenses supérieures aux crédits que le Conseil est habilité à autoriser.</w:t>
      </w:r>
    </w:p>
    <w:p w14:paraId="3AF6274B" w14:textId="1C3F9DCC" w:rsidR="00C22DC3" w:rsidRPr="00C13BC9" w:rsidRDefault="00C22DC3" w:rsidP="00145163">
      <w:pPr>
        <w:pStyle w:val="enumlev1"/>
        <w:rPr>
          <w:szCs w:val="24"/>
          <w:lang w:val="fr-FR"/>
        </w:rPr>
      </w:pPr>
      <w:r w:rsidRPr="00C13BC9">
        <w:rPr>
          <w:lang w:val="fr-FR"/>
        </w:rPr>
        <w:tab/>
        <w:t>2</w:t>
      </w:r>
      <w:r w:rsidRPr="00C13BC9">
        <w:rPr>
          <w:lang w:val="fr-FR"/>
        </w:rPr>
        <w:tab/>
        <w:t>Il n'est donné suite à aucune décision d'une conférence ayant pour conséquence une augmentation directe ou indirecte des dépenses au-delà des crédits que le Conseil est habilité à autoriser</w:t>
      </w:r>
      <w:r w:rsidR="00145163" w:rsidRPr="00C13BC9">
        <w:rPr>
          <w:lang w:val="fr-FR"/>
        </w:rPr>
        <w:t>".</w:t>
      </w:r>
    </w:p>
    <w:p w14:paraId="104E2C36" w14:textId="0CFCF87E" w:rsidR="00C22DC3" w:rsidRPr="00C13BC9" w:rsidRDefault="00C22DC3" w:rsidP="00F627B2">
      <w:pPr>
        <w:rPr>
          <w:szCs w:val="24"/>
          <w:lang w:val="fr-FR"/>
        </w:rPr>
      </w:pPr>
      <w:r w:rsidRPr="00C13BC9">
        <w:rPr>
          <w:lang w:val="fr-FR"/>
        </w:rPr>
        <w:t>C</w:t>
      </w:r>
      <w:r w:rsidRPr="00C13BC9">
        <w:rPr>
          <w:lang w:val="fr-FR"/>
        </w:rPr>
        <w:tab/>
        <w:t xml:space="preserve">Enfin, l'attention des participants à la Conférence est attirée sur le point 4 du </w:t>
      </w:r>
      <w:r w:rsidRPr="00C13BC9">
        <w:rPr>
          <w:i/>
          <w:iCs/>
          <w:lang w:val="fr-FR"/>
        </w:rPr>
        <w:t>décide de charger le Secrétaire général et les Directeurs des trois Bureaux</w:t>
      </w:r>
      <w:r w:rsidRPr="00C13BC9">
        <w:rPr>
          <w:lang w:val="fr-FR"/>
        </w:rPr>
        <w:t xml:space="preserve"> de la Résolution 151 (Rév.</w:t>
      </w:r>
      <w:r w:rsidR="00145163" w:rsidRPr="00C13BC9">
        <w:rPr>
          <w:lang w:val="fr-FR"/>
        </w:rPr>
        <w:t> </w:t>
      </w:r>
      <w:r w:rsidRPr="00C13BC9">
        <w:rPr>
          <w:lang w:val="fr-FR"/>
        </w:rPr>
        <w:t xml:space="preserve">Bucarest, 2022) de la Conférence de plénipotentiaires, intitulée "Amélioration de la gestion axée sur les résultats à l'UIT", qui dispose notamment ce qui suit: "de fournir aux conférences et assemblées les informations nécessaires provenant de tous les nouveaux mécanismes financiers de planification disponibles, pour qu'elles puissent procéder à une estimation des incidences financières des décisions </w:t>
      </w:r>
      <w:r w:rsidR="00F627B2" w:rsidRPr="00C13BC9">
        <w:rPr>
          <w:lang w:val="fr-FR"/>
        </w:rPr>
        <w:t>prises aux conférences</w:t>
      </w:r>
      <w:r w:rsidR="00F627B2" w:rsidRPr="00C13BC9">
        <w:rPr>
          <w:lang w:val="fr-FR"/>
        </w:rPr>
        <w:t xml:space="preserve"> </w:t>
      </w:r>
      <w:r w:rsidR="00F627B2" w:rsidRPr="00C13BC9">
        <w:rPr>
          <w:lang w:val="fr-FR"/>
        </w:rPr>
        <w:t>et assemblées et</w:t>
      </w:r>
      <w:r w:rsidRPr="00C13BC9">
        <w:rPr>
          <w:lang w:val="fr-FR"/>
        </w:rPr>
        <w:t xml:space="preserve"> aider les États Membres à préparer des "estimations" des coûts afférents aux propositions éventuelles soumises à toutes les conférences et assemblées de l'Union, compte tenu des dispositions de l'article 34 de la Convention de l'UIT".</w:t>
      </w:r>
    </w:p>
    <w:p w14:paraId="0FA46DEA" w14:textId="77777777" w:rsidR="00C22DC3" w:rsidRPr="00C13BC9" w:rsidRDefault="00C22DC3" w:rsidP="00411C49">
      <w:pPr>
        <w:pStyle w:val="Reasons"/>
        <w:rPr>
          <w:lang w:val="fr-FR"/>
        </w:rPr>
      </w:pPr>
    </w:p>
    <w:p w14:paraId="3219516C" w14:textId="77777777" w:rsidR="00C22DC3" w:rsidRPr="00C13BC9" w:rsidRDefault="00C22DC3">
      <w:pPr>
        <w:jc w:val="center"/>
        <w:rPr>
          <w:lang w:val="fr-FR"/>
        </w:rPr>
      </w:pPr>
      <w:r w:rsidRPr="00C13BC9">
        <w:rPr>
          <w:lang w:val="fr-FR"/>
        </w:rPr>
        <w:t>______________</w:t>
      </w:r>
    </w:p>
    <w:p w14:paraId="6B039DE1" w14:textId="77777777" w:rsidR="00D83BF5" w:rsidRPr="00C13BC9" w:rsidRDefault="00D83BF5" w:rsidP="00C22DC3">
      <w:pPr>
        <w:rPr>
          <w:lang w:val="fr-FR"/>
        </w:rPr>
      </w:pPr>
    </w:p>
    <w:sectPr w:rsidR="00D83BF5" w:rsidRPr="00C13BC9" w:rsidSect="00A327AF">
      <w:headerReference w:type="default" r:id="rId13"/>
      <w:footerReference w:type="even" r:id="rId14"/>
      <w:footerReference w:type="first" r:id="rId15"/>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57A5B2CB"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A95BC0">
      <w:rPr>
        <w:noProof/>
      </w:rPr>
      <w:t>30.09.25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C22DC3" w:rsidRPr="004D495C" w14:paraId="18C23297" w14:textId="77777777" w:rsidTr="008B61EA">
      <w:tc>
        <w:tcPr>
          <w:tcW w:w="1526" w:type="dxa"/>
          <w:tcBorders>
            <w:top w:val="single" w:sz="4" w:space="0" w:color="000000"/>
          </w:tcBorders>
        </w:tcPr>
        <w:p w14:paraId="6D62A8E7" w14:textId="77777777" w:rsidR="00C22DC3" w:rsidRPr="004D495C" w:rsidRDefault="00C22DC3" w:rsidP="00C22DC3">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7CF692A3" w14:textId="77777777" w:rsidR="00C22DC3" w:rsidRPr="004D495C" w:rsidRDefault="00C22DC3" w:rsidP="00C22DC3">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tcPr>
        <w:p w14:paraId="1A6466A3" w14:textId="08164512" w:rsidR="00C22DC3" w:rsidRPr="00C22DC3" w:rsidRDefault="00C22DC3" w:rsidP="00C22DC3">
          <w:pPr>
            <w:pStyle w:val="FirstFooter"/>
            <w:tabs>
              <w:tab w:val="left" w:pos="2302"/>
            </w:tabs>
            <w:rPr>
              <w:sz w:val="18"/>
              <w:szCs w:val="18"/>
              <w:highlight w:val="yellow"/>
              <w:lang w:val="en-US"/>
            </w:rPr>
          </w:pPr>
          <w:bookmarkStart w:id="7" w:name="OrgName"/>
          <w:bookmarkEnd w:id="7"/>
          <w:r w:rsidRPr="00C22DC3">
            <w:rPr>
              <w:sz w:val="18"/>
              <w:szCs w:val="18"/>
              <w:lang w:val="fr-FR"/>
            </w:rPr>
            <w:t>M. Alassane Ba, Chef du Département de la gestion des ressources financières, Union internationale des télécommunications, UIT</w:t>
          </w:r>
        </w:p>
      </w:tc>
    </w:tr>
    <w:tr w:rsidR="00C22DC3" w:rsidRPr="004D495C" w14:paraId="16F44343" w14:textId="77777777" w:rsidTr="008B61EA">
      <w:tc>
        <w:tcPr>
          <w:tcW w:w="1526" w:type="dxa"/>
        </w:tcPr>
        <w:p w14:paraId="6D1B873F" w14:textId="77777777" w:rsidR="00C22DC3" w:rsidRPr="004D495C" w:rsidRDefault="00C22DC3" w:rsidP="00C22DC3">
          <w:pPr>
            <w:pStyle w:val="FirstFooter"/>
            <w:tabs>
              <w:tab w:val="left" w:pos="1559"/>
              <w:tab w:val="left" w:pos="3828"/>
            </w:tabs>
            <w:rPr>
              <w:sz w:val="20"/>
              <w:lang w:val="en-US"/>
            </w:rPr>
          </w:pPr>
        </w:p>
      </w:tc>
      <w:tc>
        <w:tcPr>
          <w:tcW w:w="2410" w:type="dxa"/>
        </w:tcPr>
        <w:p w14:paraId="54206529" w14:textId="77777777" w:rsidR="00C22DC3" w:rsidRPr="004D495C" w:rsidRDefault="00C22DC3" w:rsidP="00C22DC3">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tcPr>
        <w:p w14:paraId="79D5B7AC" w14:textId="59648001" w:rsidR="00C22DC3" w:rsidRPr="00C22DC3" w:rsidRDefault="00C22DC3" w:rsidP="00C22DC3">
          <w:pPr>
            <w:pStyle w:val="FirstFooter"/>
            <w:tabs>
              <w:tab w:val="left" w:pos="2302"/>
            </w:tabs>
            <w:rPr>
              <w:sz w:val="18"/>
              <w:szCs w:val="18"/>
              <w:highlight w:val="yellow"/>
              <w:lang w:val="en-US"/>
            </w:rPr>
          </w:pPr>
          <w:bookmarkStart w:id="8" w:name="PhoneNo"/>
          <w:bookmarkEnd w:id="8"/>
          <w:r w:rsidRPr="00C22DC3">
            <w:rPr>
              <w:sz w:val="18"/>
              <w:szCs w:val="18"/>
              <w:lang w:val="fr-FR"/>
            </w:rPr>
            <w:t>+41 22 730 5253</w:t>
          </w:r>
        </w:p>
      </w:tc>
    </w:tr>
    <w:tr w:rsidR="00D83BF5" w:rsidRPr="004D495C" w14:paraId="3D5D6A22" w14:textId="77777777" w:rsidTr="008B61EA">
      <w:tc>
        <w:tcPr>
          <w:tcW w:w="1526" w:type="dxa"/>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tc>
        <w:tcPr>
          <w:tcW w:w="5987" w:type="dxa"/>
        </w:tcPr>
        <w:p w14:paraId="4596984C" w14:textId="66FAA2BE" w:rsidR="00D83BF5" w:rsidRPr="00C22DC3" w:rsidRDefault="00C22DC3" w:rsidP="00D83BF5">
          <w:pPr>
            <w:pStyle w:val="FirstFooter"/>
            <w:tabs>
              <w:tab w:val="left" w:pos="2302"/>
            </w:tabs>
            <w:rPr>
              <w:sz w:val="18"/>
              <w:szCs w:val="18"/>
              <w:highlight w:val="yellow"/>
              <w:lang w:val="en-US"/>
            </w:rPr>
          </w:pPr>
          <w:hyperlink r:id="rId1" w:history="1">
            <w:r w:rsidRPr="00C22DC3">
              <w:rPr>
                <w:rStyle w:val="Hyperlink"/>
                <w:sz w:val="18"/>
                <w:szCs w:val="18"/>
                <w:lang w:val="en-US"/>
              </w:rPr>
              <w:t>alassane.ba@itu.int</w:t>
            </w:r>
          </w:hyperlink>
        </w:p>
      </w:tc>
    </w:tr>
  </w:tbl>
  <w:bookmarkStart w:id="9"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3FA3C73C" w:rsidR="00A066F1" w:rsidRPr="00D83BF5" w:rsidRDefault="00D83BF5" w:rsidP="00C22DC3">
    <w:pPr>
      <w:tabs>
        <w:tab w:val="clear" w:pos="1134"/>
        <w:tab w:val="clear" w:pos="1871"/>
        <w:tab w:val="clear" w:pos="2268"/>
        <w:tab w:val="center" w:pos="5103"/>
        <w:tab w:val="right" w:pos="10206"/>
      </w:tabs>
      <w:spacing w:after="120"/>
      <w:ind w:right="1"/>
      <w:rPr>
        <w:smallCaps/>
        <w:spacing w:val="24"/>
        <w:sz w:val="22"/>
        <w:szCs w:val="22"/>
        <w:lang w:val="es-ES_tradnl"/>
      </w:rPr>
    </w:pPr>
    <w:r w:rsidRPr="004D495C">
      <w:rPr>
        <w:sz w:val="22"/>
        <w:szCs w:val="22"/>
      </w:rPr>
      <w:tab/>
    </w:r>
    <w:r w:rsidR="00EF1503" w:rsidRPr="00EF1503">
      <w:rPr>
        <w:sz w:val="22"/>
        <w:szCs w:val="22"/>
        <w:lang w:val="de-CH"/>
      </w:rPr>
      <w:t>WTDC</w:t>
    </w:r>
    <w:r w:rsidR="00C22DC3">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C22DC3">
      <w:rPr>
        <w:sz w:val="22"/>
        <w:szCs w:val="22"/>
      </w:rPr>
      <w:t>7</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4"/>
  </w:num>
  <w:num w:numId="4" w16cid:durableId="988679742">
    <w:abstractNumId w:val="2"/>
  </w:num>
  <w:num w:numId="5" w16cid:durableId="179398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75C63"/>
    <w:rsid w:val="00077239"/>
    <w:rsid w:val="00080905"/>
    <w:rsid w:val="000822BE"/>
    <w:rsid w:val="00086491"/>
    <w:rsid w:val="00091346"/>
    <w:rsid w:val="000D3E1A"/>
    <w:rsid w:val="000E359D"/>
    <w:rsid w:val="000F73FF"/>
    <w:rsid w:val="0010345E"/>
    <w:rsid w:val="00114CF7"/>
    <w:rsid w:val="00123B68"/>
    <w:rsid w:val="00126F2E"/>
    <w:rsid w:val="00145163"/>
    <w:rsid w:val="00146F6F"/>
    <w:rsid w:val="00147DA1"/>
    <w:rsid w:val="00152957"/>
    <w:rsid w:val="00166374"/>
    <w:rsid w:val="00174623"/>
    <w:rsid w:val="00187BD9"/>
    <w:rsid w:val="00190B55"/>
    <w:rsid w:val="00194CFB"/>
    <w:rsid w:val="001B2ED3"/>
    <w:rsid w:val="001B57A8"/>
    <w:rsid w:val="001C3B5F"/>
    <w:rsid w:val="001D058F"/>
    <w:rsid w:val="002009EA"/>
    <w:rsid w:val="00202CA0"/>
    <w:rsid w:val="002154A6"/>
    <w:rsid w:val="002162CD"/>
    <w:rsid w:val="002255B3"/>
    <w:rsid w:val="00236E8A"/>
    <w:rsid w:val="00271316"/>
    <w:rsid w:val="00296313"/>
    <w:rsid w:val="002D58BE"/>
    <w:rsid w:val="003013EE"/>
    <w:rsid w:val="00377BD3"/>
    <w:rsid w:val="00384088"/>
    <w:rsid w:val="0038489B"/>
    <w:rsid w:val="0039169B"/>
    <w:rsid w:val="003A7F8C"/>
    <w:rsid w:val="003B532E"/>
    <w:rsid w:val="003B6F14"/>
    <w:rsid w:val="003B7D04"/>
    <w:rsid w:val="003D0F8B"/>
    <w:rsid w:val="00406208"/>
    <w:rsid w:val="004063C5"/>
    <w:rsid w:val="0040711F"/>
    <w:rsid w:val="004131D4"/>
    <w:rsid w:val="0041348E"/>
    <w:rsid w:val="00415FDA"/>
    <w:rsid w:val="00447308"/>
    <w:rsid w:val="004765FF"/>
    <w:rsid w:val="00492075"/>
    <w:rsid w:val="004969AD"/>
    <w:rsid w:val="004B13CB"/>
    <w:rsid w:val="004B150A"/>
    <w:rsid w:val="004B4FDF"/>
    <w:rsid w:val="004D5D5C"/>
    <w:rsid w:val="004F0EAE"/>
    <w:rsid w:val="0050139F"/>
    <w:rsid w:val="00521223"/>
    <w:rsid w:val="00524DF1"/>
    <w:rsid w:val="005254A7"/>
    <w:rsid w:val="00533926"/>
    <w:rsid w:val="0055124D"/>
    <w:rsid w:val="0055140B"/>
    <w:rsid w:val="00554C4F"/>
    <w:rsid w:val="00561D72"/>
    <w:rsid w:val="00591BD8"/>
    <w:rsid w:val="005964AB"/>
    <w:rsid w:val="005A511B"/>
    <w:rsid w:val="005B44F5"/>
    <w:rsid w:val="005C099A"/>
    <w:rsid w:val="005C31A5"/>
    <w:rsid w:val="005D7E39"/>
    <w:rsid w:val="005E10C9"/>
    <w:rsid w:val="005E61DD"/>
    <w:rsid w:val="005E6321"/>
    <w:rsid w:val="006023DF"/>
    <w:rsid w:val="00607D3E"/>
    <w:rsid w:val="0064322F"/>
    <w:rsid w:val="00657DE0"/>
    <w:rsid w:val="0067199F"/>
    <w:rsid w:val="00680FBE"/>
    <w:rsid w:val="00685313"/>
    <w:rsid w:val="006A6E9B"/>
    <w:rsid w:val="006B7C2A"/>
    <w:rsid w:val="006C23DA"/>
    <w:rsid w:val="006E1B84"/>
    <w:rsid w:val="006E3D45"/>
    <w:rsid w:val="007149F9"/>
    <w:rsid w:val="00733A30"/>
    <w:rsid w:val="00745AEE"/>
    <w:rsid w:val="007479EA"/>
    <w:rsid w:val="00750F10"/>
    <w:rsid w:val="007742CA"/>
    <w:rsid w:val="007D06F0"/>
    <w:rsid w:val="007D45E3"/>
    <w:rsid w:val="007D5320"/>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43F2"/>
    <w:rsid w:val="008B61EA"/>
    <w:rsid w:val="008B6CFF"/>
    <w:rsid w:val="008D7991"/>
    <w:rsid w:val="008F0B73"/>
    <w:rsid w:val="00907654"/>
    <w:rsid w:val="00910B26"/>
    <w:rsid w:val="009249C1"/>
    <w:rsid w:val="009274B4"/>
    <w:rsid w:val="00934EA2"/>
    <w:rsid w:val="00944A5C"/>
    <w:rsid w:val="00952A66"/>
    <w:rsid w:val="00961D12"/>
    <w:rsid w:val="009903FC"/>
    <w:rsid w:val="009B78D5"/>
    <w:rsid w:val="009C56E5"/>
    <w:rsid w:val="009E5FC8"/>
    <w:rsid w:val="009E687A"/>
    <w:rsid w:val="009E77CF"/>
    <w:rsid w:val="00A03C5C"/>
    <w:rsid w:val="00A066F1"/>
    <w:rsid w:val="00A141AF"/>
    <w:rsid w:val="00A16D29"/>
    <w:rsid w:val="00A20E5E"/>
    <w:rsid w:val="00A30305"/>
    <w:rsid w:val="00A31D2D"/>
    <w:rsid w:val="00A327AF"/>
    <w:rsid w:val="00A4600A"/>
    <w:rsid w:val="00A538A6"/>
    <w:rsid w:val="00A54C25"/>
    <w:rsid w:val="00A710E7"/>
    <w:rsid w:val="00A7372E"/>
    <w:rsid w:val="00A864A5"/>
    <w:rsid w:val="00A93B85"/>
    <w:rsid w:val="00A95BC0"/>
    <w:rsid w:val="00AA0B18"/>
    <w:rsid w:val="00AA25E0"/>
    <w:rsid w:val="00AA666F"/>
    <w:rsid w:val="00AB4927"/>
    <w:rsid w:val="00AF411C"/>
    <w:rsid w:val="00B004E5"/>
    <w:rsid w:val="00B15F9D"/>
    <w:rsid w:val="00B639E9"/>
    <w:rsid w:val="00B817CD"/>
    <w:rsid w:val="00B911B2"/>
    <w:rsid w:val="00B951D0"/>
    <w:rsid w:val="00BB29C8"/>
    <w:rsid w:val="00BB3A95"/>
    <w:rsid w:val="00BC0382"/>
    <w:rsid w:val="00C0018F"/>
    <w:rsid w:val="00C010A9"/>
    <w:rsid w:val="00C1132C"/>
    <w:rsid w:val="00C1192C"/>
    <w:rsid w:val="00C13BC9"/>
    <w:rsid w:val="00C20466"/>
    <w:rsid w:val="00C214ED"/>
    <w:rsid w:val="00C22DC3"/>
    <w:rsid w:val="00C234E6"/>
    <w:rsid w:val="00C324A8"/>
    <w:rsid w:val="00C54517"/>
    <w:rsid w:val="00C64CD8"/>
    <w:rsid w:val="00C766A2"/>
    <w:rsid w:val="00C97C68"/>
    <w:rsid w:val="00CA1A47"/>
    <w:rsid w:val="00CC247A"/>
    <w:rsid w:val="00CC2BD1"/>
    <w:rsid w:val="00CE5E47"/>
    <w:rsid w:val="00CF020F"/>
    <w:rsid w:val="00CF2B5B"/>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40E33"/>
    <w:rsid w:val="00F627B2"/>
    <w:rsid w:val="00F65C19"/>
    <w:rsid w:val="00F71732"/>
    <w:rsid w:val="00F861F9"/>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C2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383237ED-C6D4-49AF-9E4D-BF83420B7DD3}"/>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475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6</cp:revision>
  <cp:lastPrinted>2017-03-10T07:43:00Z</cp:lastPrinted>
  <dcterms:created xsi:type="dcterms:W3CDTF">2025-10-08T06:10:00Z</dcterms:created>
  <dcterms:modified xsi:type="dcterms:W3CDTF">2025-10-08T11:37:00Z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