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00"/>
        <w:tblW w:w="5000" w:type="pct"/>
        <w:tblLayout w:type="fixed"/>
        <w:tblLook w:val="0000" w:firstRow="0" w:lastRow="0" w:firstColumn="0" w:lastColumn="0" w:noHBand="0" w:noVBand="0"/>
      </w:tblPr>
      <w:tblGrid>
        <w:gridCol w:w="1561"/>
        <w:gridCol w:w="4540"/>
        <w:gridCol w:w="1554"/>
        <w:gridCol w:w="1984"/>
      </w:tblGrid>
      <w:tr w:rsidR="00362627" w:rsidRPr="00B57536" w14:paraId="2D93A591" w14:textId="77777777" w:rsidTr="00B370C7">
        <w:trPr>
          <w:cantSplit/>
          <w:trHeight w:val="1134"/>
        </w:trPr>
        <w:tc>
          <w:tcPr>
            <w:tcW w:w="810" w:type="pct"/>
          </w:tcPr>
          <w:p w14:paraId="29BA8754" w14:textId="718BBBB5" w:rsidR="00362627" w:rsidRPr="00B57536" w:rsidRDefault="00B370C7" w:rsidP="003E3D0E">
            <w:pPr>
              <w:tabs>
                <w:tab w:val="clear" w:pos="1134"/>
              </w:tabs>
              <w:rPr>
                <w:b/>
                <w:bCs/>
                <w:szCs w:val="24"/>
                <w:lang w:val="ru-RU"/>
              </w:rPr>
            </w:pPr>
            <w:bookmarkStart w:id="0" w:name="_Hlk209775578"/>
            <w:r w:rsidRPr="00B57536">
              <w:rPr>
                <w:lang w:val="ru-RU" w:eastAsia="fr-FR"/>
              </w:rPr>
              <w:drawing>
                <wp:inline distT="0" distB="0" distL="0" distR="0" wp14:anchorId="18AD031F" wp14:editId="405D732F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1" w:type="pct"/>
            <w:gridSpan w:val="2"/>
          </w:tcPr>
          <w:p w14:paraId="73E66F97" w14:textId="08E84661" w:rsidR="00362627" w:rsidRPr="00B57536" w:rsidRDefault="00362627" w:rsidP="003E3D0E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ru-RU"/>
              </w:rPr>
            </w:pPr>
            <w:r w:rsidRPr="00B57536">
              <w:rPr>
                <w:b/>
                <w:bCs/>
                <w:sz w:val="32"/>
                <w:szCs w:val="32"/>
                <w:lang w:val="ru-RU"/>
              </w:rPr>
              <w:t>Всемирная конференция по развитию электросвязи</w:t>
            </w:r>
            <w:r w:rsidRPr="00B57536">
              <w:rPr>
                <w:lang w:val="ru-RU"/>
              </w:rPr>
              <w:t xml:space="preserve"> </w:t>
            </w:r>
            <w:r w:rsidRPr="00B57536">
              <w:rPr>
                <w:b/>
                <w:bCs/>
                <w:sz w:val="32"/>
                <w:szCs w:val="32"/>
                <w:lang w:val="ru-RU"/>
              </w:rPr>
              <w:t>2025 года (ВКРЭ-25)</w:t>
            </w:r>
            <w:r w:rsidRPr="00B57536">
              <w:rPr>
                <w:b/>
                <w:bCs/>
                <w:sz w:val="32"/>
                <w:szCs w:val="32"/>
                <w:lang w:val="ru-RU"/>
              </w:rPr>
              <w:br/>
            </w:r>
            <w:r w:rsidRPr="00B57536">
              <w:rPr>
                <w:b/>
                <w:bCs/>
                <w:szCs w:val="22"/>
                <w:lang w:val="ru-RU"/>
              </w:rPr>
              <w:t xml:space="preserve">Баку, Азербайджанская Республика, </w:t>
            </w:r>
            <w:proofErr w:type="gramStart"/>
            <w:r w:rsidRPr="00B57536">
              <w:rPr>
                <w:b/>
                <w:bCs/>
                <w:szCs w:val="22"/>
                <w:lang w:val="ru-RU"/>
              </w:rPr>
              <w:t>17−28</w:t>
            </w:r>
            <w:proofErr w:type="gramEnd"/>
            <w:r w:rsidRPr="00B57536">
              <w:rPr>
                <w:b/>
                <w:bCs/>
                <w:szCs w:val="22"/>
                <w:lang w:val="ru-RU"/>
              </w:rPr>
              <w:t xml:space="preserve"> ноября 2025 года</w:t>
            </w:r>
          </w:p>
        </w:tc>
        <w:tc>
          <w:tcPr>
            <w:tcW w:w="1030" w:type="pct"/>
          </w:tcPr>
          <w:p w14:paraId="6A53D808" w14:textId="36CEEDCB" w:rsidR="00362627" w:rsidRPr="00B57536" w:rsidRDefault="00B370C7" w:rsidP="003E3D0E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ru-RU"/>
              </w:rPr>
            </w:pPr>
            <w:r w:rsidRPr="00B57536">
              <w:rPr>
                <w:b/>
                <w:bCs/>
                <w:sz w:val="30"/>
                <w:szCs w:val="30"/>
                <w:lang w:val="ru-RU"/>
              </w:rPr>
              <w:drawing>
                <wp:inline distT="0" distB="0" distL="0" distR="0" wp14:anchorId="3B85525F" wp14:editId="6B278EF7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627" w:rsidRPr="00B57536" w14:paraId="7BC24424" w14:textId="77777777" w:rsidTr="00B370C7">
        <w:trPr>
          <w:cantSplit/>
        </w:trPr>
        <w:tc>
          <w:tcPr>
            <w:tcW w:w="3165" w:type="pct"/>
            <w:gridSpan w:val="2"/>
            <w:tcBorders>
              <w:top w:val="single" w:sz="12" w:space="0" w:color="auto"/>
            </w:tcBorders>
          </w:tcPr>
          <w:p w14:paraId="14436C6B" w14:textId="7EDE025F" w:rsidR="00362627" w:rsidRPr="00B57536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ru-RU"/>
              </w:rPr>
            </w:pPr>
          </w:p>
        </w:tc>
        <w:tc>
          <w:tcPr>
            <w:tcW w:w="1835" w:type="pct"/>
            <w:gridSpan w:val="2"/>
            <w:tcBorders>
              <w:top w:val="single" w:sz="12" w:space="0" w:color="auto"/>
            </w:tcBorders>
          </w:tcPr>
          <w:p w14:paraId="79A2F5F2" w14:textId="77777777" w:rsidR="00362627" w:rsidRPr="00B57536" w:rsidRDefault="00362627" w:rsidP="003E3D0E">
            <w:pPr>
              <w:spacing w:before="0" w:line="240" w:lineRule="atLeast"/>
              <w:rPr>
                <w:rFonts w:cstheme="minorHAnsi"/>
                <w:sz w:val="20"/>
                <w:lang w:val="ru-RU"/>
              </w:rPr>
            </w:pPr>
          </w:p>
        </w:tc>
      </w:tr>
      <w:tr w:rsidR="00362627" w:rsidRPr="00B57536" w14:paraId="1861A634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66BD0366" w14:textId="165ED7D9" w:rsidR="00362627" w:rsidRPr="00B57536" w:rsidRDefault="00B57536" w:rsidP="003E3D0E">
            <w:pPr>
              <w:pStyle w:val="Committee"/>
              <w:framePr w:hSpace="0" w:wrap="auto" w:hAnchor="text" w:yAlign="inline"/>
              <w:rPr>
                <w:lang w:val="ru-RU"/>
              </w:rPr>
            </w:pPr>
            <w:r w:rsidRPr="00B57536">
              <w:rPr>
                <w:lang w:val="ru-RU"/>
              </w:rPr>
              <w:t>ПЛЕНАРНОЕ ЗАСЕДАНИЕ</w:t>
            </w:r>
          </w:p>
        </w:tc>
        <w:tc>
          <w:tcPr>
            <w:tcW w:w="1835" w:type="pct"/>
            <w:gridSpan w:val="2"/>
          </w:tcPr>
          <w:p w14:paraId="7C3856AA" w14:textId="13ED024D" w:rsidR="00362627" w:rsidRPr="00B57536" w:rsidRDefault="00B57536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B57536">
              <w:rPr>
                <w:b/>
                <w:bCs/>
                <w:szCs w:val="24"/>
                <w:lang w:val="ru-RU"/>
              </w:rPr>
              <w:t>Документ WTDC-25/6-R</w:t>
            </w:r>
          </w:p>
        </w:tc>
      </w:tr>
      <w:tr w:rsidR="00362627" w:rsidRPr="00B57536" w14:paraId="1E769748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7531E8D6" w14:textId="4F8B6969" w:rsidR="00362627" w:rsidRPr="00B57536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ru-RU"/>
              </w:rPr>
            </w:pPr>
          </w:p>
        </w:tc>
        <w:tc>
          <w:tcPr>
            <w:tcW w:w="1835" w:type="pct"/>
            <w:gridSpan w:val="2"/>
          </w:tcPr>
          <w:p w14:paraId="16BE52AE" w14:textId="04FA179C" w:rsidR="00362627" w:rsidRPr="00B57536" w:rsidRDefault="00B57536" w:rsidP="003E3D0E">
            <w:pPr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B57536">
              <w:rPr>
                <w:b/>
                <w:bCs/>
                <w:szCs w:val="24"/>
                <w:lang w:val="ru-RU"/>
              </w:rPr>
              <w:t>30 сентября 2025 года</w:t>
            </w:r>
          </w:p>
        </w:tc>
      </w:tr>
      <w:tr w:rsidR="00362627" w:rsidRPr="00B57536" w14:paraId="32D320E2" w14:textId="77777777" w:rsidTr="00B370C7">
        <w:trPr>
          <w:cantSplit/>
          <w:trHeight w:val="23"/>
        </w:trPr>
        <w:tc>
          <w:tcPr>
            <w:tcW w:w="3165" w:type="pct"/>
            <w:gridSpan w:val="2"/>
          </w:tcPr>
          <w:p w14:paraId="4696763B" w14:textId="77777777" w:rsidR="00362627" w:rsidRPr="00B57536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</w:p>
        </w:tc>
        <w:tc>
          <w:tcPr>
            <w:tcW w:w="1835" w:type="pct"/>
            <w:gridSpan w:val="2"/>
          </w:tcPr>
          <w:p w14:paraId="15427D71" w14:textId="35590047" w:rsidR="00362627" w:rsidRPr="00B57536" w:rsidRDefault="00B57536" w:rsidP="003E3D0E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ru-RU"/>
              </w:rPr>
            </w:pPr>
            <w:r w:rsidRPr="00B57536">
              <w:rPr>
                <w:b/>
                <w:bCs/>
                <w:szCs w:val="24"/>
                <w:lang w:val="ru-RU"/>
              </w:rPr>
              <w:t>Оригинал: английский</w:t>
            </w:r>
          </w:p>
        </w:tc>
      </w:tr>
      <w:tr w:rsidR="00362627" w:rsidRPr="00B57536" w14:paraId="0E2827B6" w14:textId="77777777" w:rsidTr="00B370C7">
        <w:trPr>
          <w:cantSplit/>
          <w:trHeight w:val="23"/>
        </w:trPr>
        <w:tc>
          <w:tcPr>
            <w:tcW w:w="5000" w:type="pct"/>
            <w:gridSpan w:val="4"/>
          </w:tcPr>
          <w:p w14:paraId="68A146DB" w14:textId="0D27447E" w:rsidR="00362627" w:rsidRPr="00B57536" w:rsidRDefault="00B57536" w:rsidP="003E3D0E">
            <w:pPr>
              <w:pStyle w:val="Source"/>
              <w:spacing w:before="240" w:after="240"/>
              <w:rPr>
                <w:lang w:val="ru-RU"/>
              </w:rPr>
            </w:pPr>
            <w:r w:rsidRPr="00B57536">
              <w:rPr>
                <w:lang w:val="ru-RU"/>
              </w:rPr>
              <w:t>Генеральный секретарь</w:t>
            </w:r>
          </w:p>
        </w:tc>
      </w:tr>
      <w:tr w:rsidR="00362627" w:rsidRPr="00B57536" w14:paraId="45B3CD14" w14:textId="77777777" w:rsidTr="00B370C7">
        <w:trPr>
          <w:cantSplit/>
          <w:trHeight w:val="23"/>
        </w:trPr>
        <w:tc>
          <w:tcPr>
            <w:tcW w:w="5000" w:type="pct"/>
            <w:gridSpan w:val="4"/>
            <w:vAlign w:val="center"/>
          </w:tcPr>
          <w:p w14:paraId="35883707" w14:textId="3A92EDB6" w:rsidR="00362627" w:rsidRPr="00B57536" w:rsidRDefault="00B57536" w:rsidP="003E3D0E">
            <w:pPr>
              <w:pStyle w:val="Title1"/>
              <w:spacing w:before="120" w:after="120"/>
              <w:rPr>
                <w:lang w:val="ru-RU"/>
              </w:rPr>
            </w:pPr>
            <w:r w:rsidRPr="00B57536">
              <w:rPr>
                <w:lang w:val="ru-RU"/>
              </w:rPr>
              <w:t>ВЗНОС НА ПОКРЫТИЕ РАСХОДОВ КОНФЕРЕНЦИИ</w:t>
            </w:r>
          </w:p>
        </w:tc>
      </w:tr>
      <w:tr w:rsidR="00362627" w:rsidRPr="00B57536" w14:paraId="3309C473" w14:textId="77777777" w:rsidTr="00B57536">
        <w:trPr>
          <w:cantSplit/>
          <w:trHeight w:val="2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DCF4153" w14:textId="326C71CB" w:rsidR="00362627" w:rsidRPr="00B57536" w:rsidRDefault="00362627" w:rsidP="003E3D0E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362627" w:rsidRPr="00B57536" w14:paraId="70D9C0B5" w14:textId="77777777" w:rsidTr="00B57536">
        <w:trPr>
          <w:cantSplit/>
          <w:trHeight w:val="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F90A" w14:textId="77777777" w:rsidR="00B57536" w:rsidRPr="00B57536" w:rsidRDefault="00B57536" w:rsidP="00B57536">
            <w:pPr>
              <w:pStyle w:val="Headingb"/>
              <w:rPr>
                <w:lang w:val="ru-RU"/>
              </w:rPr>
            </w:pPr>
            <w:r w:rsidRPr="00B57536">
              <w:rPr>
                <w:lang w:val="ru-RU"/>
              </w:rPr>
              <w:t>Приоритетная область</w:t>
            </w:r>
          </w:p>
          <w:p w14:paraId="08CBE6D4" w14:textId="77777777" w:rsidR="00B57536" w:rsidRPr="00B57536" w:rsidRDefault="00B57536" w:rsidP="00B57536">
            <w:pPr>
              <w:tabs>
                <w:tab w:val="left" w:pos="2447"/>
                <w:tab w:val="left" w:pos="2869"/>
              </w:tabs>
              <w:ind w:left="2872" w:hanging="2872"/>
              <w:rPr>
                <w:lang w:val="ru-RU"/>
              </w:rPr>
            </w:pPr>
            <w:r w:rsidRPr="00B57536">
              <w:rPr>
                <w:lang w:val="ru-RU"/>
              </w:rPr>
              <w:t>Отсутствует.</w:t>
            </w:r>
          </w:p>
          <w:p w14:paraId="1162FF9A" w14:textId="77777777" w:rsidR="00B57536" w:rsidRPr="00B57536" w:rsidRDefault="00B57536" w:rsidP="00B57536">
            <w:pPr>
              <w:pStyle w:val="Headingb"/>
              <w:rPr>
                <w:lang w:val="ru-RU"/>
              </w:rPr>
            </w:pPr>
            <w:r w:rsidRPr="00B57536">
              <w:rPr>
                <w:lang w:val="ru-RU"/>
              </w:rPr>
              <w:t>Резюме</w:t>
            </w:r>
          </w:p>
          <w:p w14:paraId="1DF46D58" w14:textId="42C9C4B0" w:rsidR="00B57536" w:rsidRPr="00B57536" w:rsidRDefault="00B57536" w:rsidP="00B57536">
            <w:pPr>
              <w:rPr>
                <w:lang w:val="ru-RU"/>
              </w:rPr>
            </w:pPr>
            <w:r w:rsidRPr="00B57536">
              <w:rPr>
                <w:lang w:val="ru-RU"/>
              </w:rPr>
              <w:t>В настоящем документе устанавливается размер взноса, который должен быть уплачен для покрытия расходов Всемирной конференции по развитию электросвязи 2025 года (ВКРЭ-25). Размер взноса устанавливается путем деления предусмотренных в бюджете прямых затрат на проведение конференции, включая затраты, связанные с документацией, на общее количество единиц взносов Государств-Членов, выплачиваемых ими в качестве их доли в расходах Союза. Для</w:t>
            </w:r>
            <w:r>
              <w:t> </w:t>
            </w:r>
            <w:r w:rsidRPr="00B57536">
              <w:rPr>
                <w:lang w:val="ru-RU"/>
              </w:rPr>
              <w:t>неосвобожденных организаций размер единицы взносов на покрытие расходов Конференции составляет 5213 швейцарских франков.</w:t>
            </w:r>
          </w:p>
          <w:p w14:paraId="45139DDD" w14:textId="77777777" w:rsidR="00B57536" w:rsidRPr="00B57536" w:rsidRDefault="00B57536" w:rsidP="00B57536">
            <w:pPr>
              <w:pStyle w:val="Headingb"/>
              <w:rPr>
                <w:lang w:val="ru-RU"/>
              </w:rPr>
            </w:pPr>
            <w:r w:rsidRPr="00B57536">
              <w:rPr>
                <w:lang w:val="ru-RU"/>
              </w:rPr>
              <w:t>Ожидаемые результаты</w:t>
            </w:r>
          </w:p>
          <w:p w14:paraId="1C9BF969" w14:textId="77777777" w:rsidR="00B57536" w:rsidRPr="00B57536" w:rsidRDefault="00B57536" w:rsidP="00B57536">
            <w:pPr>
              <w:rPr>
                <w:rFonts w:cs="Calibri"/>
                <w:lang w:val="ru-RU"/>
              </w:rPr>
            </w:pPr>
            <w:r w:rsidRPr="00B57536">
              <w:rPr>
                <w:rFonts w:cs="Calibri"/>
                <w:lang w:val="ru-RU"/>
              </w:rPr>
              <w:t xml:space="preserve">ВКРЭ </w:t>
            </w:r>
            <w:r w:rsidRPr="00B57536">
              <w:rPr>
                <w:lang w:val="ru-RU"/>
              </w:rPr>
              <w:t>предлагается</w:t>
            </w:r>
            <w:r w:rsidRPr="00B57536">
              <w:rPr>
                <w:rFonts w:cs="Calibri"/>
                <w:lang w:val="ru-RU"/>
              </w:rPr>
              <w:t xml:space="preserve"> принять к сведению данный отчет и предоставить руководящие указания по мере надобности.</w:t>
            </w:r>
          </w:p>
          <w:p w14:paraId="26BBE79F" w14:textId="77777777" w:rsidR="00B57536" w:rsidRPr="00B57536" w:rsidRDefault="00B57536" w:rsidP="00B57536">
            <w:pPr>
              <w:pStyle w:val="Headingb"/>
              <w:rPr>
                <w:lang w:val="ru-RU"/>
              </w:rPr>
            </w:pPr>
            <w:r w:rsidRPr="00B57536">
              <w:rPr>
                <w:lang w:val="ru-RU"/>
              </w:rPr>
              <w:t>Справочные материалы</w:t>
            </w:r>
          </w:p>
          <w:p w14:paraId="18C24B91" w14:textId="11B17444" w:rsidR="00362627" w:rsidRPr="00B57536" w:rsidRDefault="00B57536" w:rsidP="00B57536">
            <w:pPr>
              <w:spacing w:after="120"/>
              <w:rPr>
                <w:lang w:val="ru-RU"/>
              </w:rPr>
            </w:pPr>
            <w:hyperlink r:id="rId14" w:history="1">
              <w:r w:rsidRPr="00B57536">
                <w:rPr>
                  <w:rStyle w:val="Hyperlink"/>
                  <w:szCs w:val="24"/>
                  <w:lang w:val="ru-RU"/>
                </w:rPr>
                <w:t>Резолюция 1417 Совета МСЭ</w:t>
              </w:r>
            </w:hyperlink>
          </w:p>
        </w:tc>
      </w:tr>
      <w:bookmarkEnd w:id="0"/>
    </w:tbl>
    <w:p w14:paraId="64FBC4D2" w14:textId="73F3F63F" w:rsidR="00B57536" w:rsidRPr="00B57536" w:rsidRDefault="00B57536" w:rsidP="00FF48BB">
      <w:pPr>
        <w:rPr>
          <w:lang w:val="ru-RU"/>
        </w:rPr>
      </w:pPr>
      <w:r w:rsidRPr="00B57536">
        <w:rPr>
          <w:lang w:val="ru-RU"/>
        </w:rPr>
        <w:br w:type="page"/>
      </w:r>
    </w:p>
    <w:p w14:paraId="2CE77727" w14:textId="77777777" w:rsidR="00B57536" w:rsidRPr="00B57536" w:rsidRDefault="00B57536" w:rsidP="00B57536">
      <w:pPr>
        <w:pStyle w:val="Normalaftertitle"/>
        <w:spacing w:before="480"/>
        <w:rPr>
          <w:lang w:val="ru-RU"/>
        </w:rPr>
      </w:pPr>
      <w:r w:rsidRPr="00B57536">
        <w:rPr>
          <w:lang w:val="ru-RU"/>
        </w:rPr>
        <w:lastRenderedPageBreak/>
        <w:t>В п. 476 (Статья 33) Конвенции Международного союза электросвязи предусматривается, что:</w:t>
      </w:r>
    </w:p>
    <w:p w14:paraId="46D2DF95" w14:textId="77777777" w:rsidR="00B57536" w:rsidRPr="00B57536" w:rsidRDefault="00B57536" w:rsidP="00B57536">
      <w:pPr>
        <w:rPr>
          <w:lang w:val="ru-RU"/>
        </w:rPr>
      </w:pPr>
      <w:r w:rsidRPr="00B57536">
        <w:rPr>
          <w:lang w:val="ru-RU"/>
        </w:rPr>
        <w:t>"4</w:t>
      </w:r>
      <w:r w:rsidRPr="00B57536">
        <w:rPr>
          <w:lang w:val="ru-RU"/>
        </w:rPr>
        <w:tab/>
        <w:t>1)</w:t>
      </w:r>
      <w:r w:rsidRPr="00B57536">
        <w:rPr>
          <w:lang w:val="ru-RU"/>
        </w:rPr>
        <w:tab/>
        <w:t>Организации, упомянутые в пп. </w:t>
      </w:r>
      <w:proofErr w:type="spellStart"/>
      <w:r w:rsidRPr="00B57536">
        <w:rPr>
          <w:lang w:val="ru-RU"/>
        </w:rPr>
        <w:t>269А</w:t>
      </w:r>
      <w:proofErr w:type="spellEnd"/>
      <w:r w:rsidRPr="00B57536">
        <w:rPr>
          <w:lang w:val="ru-RU"/>
        </w:rPr>
        <w:t>–</w:t>
      </w:r>
      <w:proofErr w:type="spellStart"/>
      <w:r w:rsidRPr="00B57536">
        <w:rPr>
          <w:lang w:val="ru-RU"/>
        </w:rPr>
        <w:t>269Е</w:t>
      </w:r>
      <w:proofErr w:type="spellEnd"/>
      <w:r w:rsidRPr="00B57536">
        <w:rPr>
          <w:lang w:val="ru-RU"/>
        </w:rPr>
        <w:t xml:space="preserve"> настоящей Конвенции, и другие организации, также указанные в Главе II настоящей Конвенции (кроме тех, которые освобождены Советом на взаимной основе) и Члены Секторов, упомянутые в п. 230 настоящей Конвенции, участвующие, согласно соответствующим положениям настоящей Конвенции, в полномочной конференции, конференции, ассамблее, или собрании Сектора Союза, или во всемирной конференции по международной электросвязи, должны совместно участвовать в покрытии расходов конференций, ассамблей и собраний, в которых они участвуют, на основе затрат этих конференций и собраний и в соответствии с Финансовым регламентом. </w:t>
      </w:r>
      <w:r w:rsidRPr="00B57536">
        <w:rPr>
          <w:b/>
          <w:bCs/>
          <w:lang w:val="ru-RU"/>
        </w:rPr>
        <w:t>Тем не менее с Членов Секторов не взимается отдельная плата за участие в конференции, ассамблее или собрании их соответствующих Секторов, за исключением случая региональных конференций радиосвязи</w:t>
      </w:r>
      <w:r w:rsidRPr="00B57536">
        <w:rPr>
          <w:lang w:val="ru-RU"/>
        </w:rPr>
        <w:t>" (выделение добавлено).</w:t>
      </w:r>
    </w:p>
    <w:p w14:paraId="22D82492" w14:textId="518B739F" w:rsidR="00B57536" w:rsidRPr="00B57536" w:rsidRDefault="00B57536" w:rsidP="00B57536">
      <w:r w:rsidRPr="00B57536">
        <w:rPr>
          <w:lang w:val="ru-RU"/>
        </w:rPr>
        <w:t>В Статье 7.5 Финансового регламента предусматривается, что:</w:t>
      </w:r>
    </w:p>
    <w:p w14:paraId="58FFB121" w14:textId="77777777" w:rsidR="00B57536" w:rsidRPr="00B57536" w:rsidRDefault="00B57536" w:rsidP="00B57536">
      <w:pPr>
        <w:rPr>
          <w:rFonts w:eastAsia="SimSun"/>
          <w:szCs w:val="22"/>
          <w:lang w:val="ru-RU" w:eastAsia="zh-CN"/>
        </w:rPr>
      </w:pPr>
      <w:r w:rsidRPr="00B57536">
        <w:rPr>
          <w:szCs w:val="22"/>
          <w:lang w:val="ru-RU"/>
        </w:rPr>
        <w:t>"a)</w:t>
      </w:r>
      <w:r w:rsidRPr="00B57536">
        <w:rPr>
          <w:szCs w:val="22"/>
          <w:lang w:val="ru-RU"/>
        </w:rPr>
        <w:tab/>
      </w:r>
      <w:r w:rsidRPr="00B57536">
        <w:rPr>
          <w:rFonts w:eastAsia="SimSun"/>
          <w:szCs w:val="22"/>
          <w:lang w:val="ru-RU" w:eastAsia="zh-CN"/>
        </w:rPr>
        <w:t xml:space="preserve">Согласно положениям пункта b), ниже, размер взносов, о которых идет речь в п. 476 Конвенции, основывается на свободном выборе класса взноса из приведенной в п. 468 </w:t>
      </w:r>
      <w:r w:rsidRPr="00B57536">
        <w:rPr>
          <w:lang w:val="ru-RU"/>
        </w:rPr>
        <w:t>Конвенции</w:t>
      </w:r>
      <w:r w:rsidRPr="00B57536">
        <w:rPr>
          <w:rFonts w:eastAsia="SimSun"/>
          <w:szCs w:val="22"/>
          <w:lang w:val="ru-RU" w:eastAsia="zh-CN"/>
        </w:rPr>
        <w:t xml:space="preserve"> шкалы взносов.</w:t>
      </w:r>
    </w:p>
    <w:p w14:paraId="643B32C0" w14:textId="77777777" w:rsidR="00B57536" w:rsidRPr="00B57536" w:rsidRDefault="00B57536" w:rsidP="00B57536">
      <w:pPr>
        <w:rPr>
          <w:szCs w:val="22"/>
          <w:lang w:val="ru-RU"/>
        </w:rPr>
      </w:pPr>
      <w:r w:rsidRPr="00B57536">
        <w:rPr>
          <w:rFonts w:eastAsia="SimSun"/>
          <w:szCs w:val="22"/>
          <w:lang w:val="ru-RU" w:eastAsia="zh-CN"/>
        </w:rPr>
        <w:t>b)</w:t>
      </w:r>
      <w:r w:rsidRPr="00B57536">
        <w:rPr>
          <w:rFonts w:eastAsia="SimSun"/>
          <w:szCs w:val="22"/>
          <w:lang w:val="ru-RU" w:eastAsia="zh-CN"/>
        </w:rPr>
        <w:tab/>
        <w:t xml:space="preserve">Размер платежей на покрытие расходов конференций или ассамблей на единицу взносов </w:t>
      </w:r>
      <w:r w:rsidRPr="00B57536">
        <w:rPr>
          <w:lang w:val="ru-RU"/>
        </w:rPr>
        <w:t>устанавливается</w:t>
      </w:r>
      <w:r w:rsidRPr="00B57536">
        <w:rPr>
          <w:rFonts w:eastAsia="SimSun"/>
          <w:szCs w:val="22"/>
          <w:lang w:val="ru-RU" w:eastAsia="zh-CN"/>
        </w:rPr>
        <w:t xml:space="preserve"> путем деления предусмотренных в бюджете прямых затрат на проведение соответствующей конференции или ассамблеи на общее количество единиц взносов Государств-Членов, выплачиваемых ими в качестве их доли в расходах Союза. Эти платежи считаются доходами Союза. На них начисляются проценты, размер которых определен в п. 474 Конвенции, начиная с шестидесятого дня после отправки счетов. Не освобожденные от платежей международные организации и Члены Секторов уплачивают минимальную сумму в размере одной единицы взносов".</w:t>
      </w:r>
    </w:p>
    <w:p w14:paraId="4E16E1F1" w14:textId="77777777" w:rsidR="00B57536" w:rsidRPr="00B57536" w:rsidRDefault="00B57536" w:rsidP="00B57536">
      <w:pPr>
        <w:tabs>
          <w:tab w:val="center" w:pos="7088"/>
        </w:tabs>
        <w:rPr>
          <w:color w:val="000000"/>
          <w:szCs w:val="22"/>
          <w:lang w:val="ru-RU"/>
        </w:rPr>
      </w:pPr>
      <w:r w:rsidRPr="00B57536">
        <w:rPr>
          <w:szCs w:val="22"/>
          <w:lang w:val="ru-RU"/>
        </w:rPr>
        <w:t xml:space="preserve">Бюджет Всемирной конференции по развитию электросвязи (ВКРЭ-25) составляет </w:t>
      </w:r>
      <w:r w:rsidRPr="00B57536">
        <w:rPr>
          <w:b/>
          <w:bCs/>
          <w:szCs w:val="22"/>
          <w:lang w:val="ru-RU"/>
        </w:rPr>
        <w:t>1</w:t>
      </w:r>
      <w:r w:rsidRPr="00B57536">
        <w:rPr>
          <w:b/>
          <w:bCs/>
          <w:color w:val="000000"/>
          <w:szCs w:val="22"/>
          <w:lang w:val="ru-RU"/>
        </w:rPr>
        <w:t> 856 000</w:t>
      </w:r>
      <w:r w:rsidRPr="00B57536">
        <w:rPr>
          <w:color w:val="000000"/>
          <w:szCs w:val="22"/>
          <w:lang w:val="ru-RU"/>
        </w:rPr>
        <w:t xml:space="preserve"> швейцарских франков, включая стоимость документации. </w:t>
      </w:r>
      <w:r w:rsidRPr="00B57536">
        <w:rPr>
          <w:rFonts w:cs="Segoe UI"/>
          <w:color w:val="000000"/>
          <w:szCs w:val="22"/>
          <w:lang w:val="ru-RU"/>
        </w:rPr>
        <w:t xml:space="preserve">При общем количестве единиц взносов Государств – Членов Союза, составляющем </w:t>
      </w:r>
      <w:r w:rsidRPr="00B57536">
        <w:rPr>
          <w:b/>
          <w:bCs/>
          <w:szCs w:val="22"/>
          <w:lang w:val="ru-RU"/>
        </w:rPr>
        <w:t>356</w:t>
      </w:r>
      <w:r w:rsidRPr="00B57536">
        <w:rPr>
          <w:rFonts w:cs="Segoe UI"/>
          <w:color w:val="000000"/>
          <w:szCs w:val="22"/>
          <w:lang w:val="ru-RU"/>
        </w:rPr>
        <w:t xml:space="preserve"> единиц, величина единицы взносов для неосвобожденных организаций, участвующих в покрытии расходов этой Конференции, устанавливается в размере </w:t>
      </w:r>
      <w:r w:rsidRPr="00B57536">
        <w:rPr>
          <w:b/>
          <w:bCs/>
          <w:szCs w:val="22"/>
          <w:lang w:val="ru-RU"/>
        </w:rPr>
        <w:t>5213 </w:t>
      </w:r>
      <w:r w:rsidRPr="00B57536">
        <w:rPr>
          <w:color w:val="000000"/>
          <w:szCs w:val="22"/>
          <w:lang w:val="ru-RU"/>
        </w:rPr>
        <w:t>швейцарских франков.</w:t>
      </w:r>
    </w:p>
    <w:p w14:paraId="5EE6AD7F" w14:textId="77777777" w:rsidR="00B57536" w:rsidRPr="00B57536" w:rsidRDefault="00B57536" w:rsidP="00B57536">
      <w:pPr>
        <w:tabs>
          <w:tab w:val="center" w:pos="7088"/>
        </w:tabs>
        <w:rPr>
          <w:color w:val="000000"/>
          <w:szCs w:val="22"/>
          <w:lang w:val="ru-RU"/>
        </w:rPr>
      </w:pPr>
      <w:r w:rsidRPr="00B57536">
        <w:rPr>
          <w:rFonts w:cs="Segoe UI"/>
          <w:color w:val="000000"/>
          <w:szCs w:val="22"/>
          <w:lang w:val="ru-RU"/>
        </w:rPr>
        <w:t>Перечень этих организаций будет опубликован позднее в отчете Комитета 2 пленарному заседанию</w:t>
      </w:r>
      <w:r w:rsidRPr="00B57536">
        <w:rPr>
          <w:szCs w:val="22"/>
          <w:lang w:val="ru-RU"/>
        </w:rPr>
        <w:t>.</w:t>
      </w:r>
    </w:p>
    <w:p w14:paraId="713ACFC3" w14:textId="67039745" w:rsidR="00362627" w:rsidRPr="00B57536" w:rsidRDefault="00B57536" w:rsidP="00B57536">
      <w:pPr>
        <w:spacing w:before="480"/>
        <w:jc w:val="center"/>
        <w:rPr>
          <w:lang w:val="ru-RU"/>
        </w:rPr>
      </w:pPr>
      <w:r w:rsidRPr="00B57536">
        <w:rPr>
          <w:lang w:val="ru-RU"/>
        </w:rPr>
        <w:t>______________</w:t>
      </w:r>
    </w:p>
    <w:sectPr w:rsidR="00362627" w:rsidRPr="00B57536" w:rsidSect="005B4874">
      <w:headerReference w:type="default" r:id="rId15"/>
      <w:footerReference w:type="even" r:id="rId16"/>
      <w:footerReference w:type="first" r:id="rId17"/>
      <w:pgSz w:w="11907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9D82" w14:textId="77777777" w:rsidR="00D37C49" w:rsidRDefault="00D37C49">
      <w:r>
        <w:separator/>
      </w:r>
    </w:p>
  </w:endnote>
  <w:endnote w:type="continuationSeparator" w:id="0">
    <w:p w14:paraId="11AEC948" w14:textId="77777777" w:rsidR="00D37C49" w:rsidRDefault="00D3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C8D02" w14:textId="77777777"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A1A5CB8" w14:textId="3950C879"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0D65">
      <w:rPr>
        <w:noProof/>
        <w:lang w:val="en-US"/>
      </w:rPr>
      <w:t>M:\RUSSIAN\BELYAEVA\ITU\ITU-D\WTDC17\413949R.docx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E3118">
      <w:rPr>
        <w:noProof/>
      </w:rPr>
      <w:t>02.10.25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0D65">
      <w:rPr>
        <w:noProof/>
      </w:rPr>
      <w:t>13.03.17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B30F" w14:textId="77777777" w:rsidR="006D15F1" w:rsidRDefault="006D15F1" w:rsidP="005B4874">
    <w:pPr>
      <w:spacing w:before="0"/>
    </w:pP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0E18FE" w:rsidRPr="00B57536" w14:paraId="6754369E" w14:textId="77777777" w:rsidTr="005B4874">
      <w:tc>
        <w:tcPr>
          <w:tcW w:w="1418" w:type="dxa"/>
          <w:tcBorders>
            <w:top w:val="single" w:sz="4" w:space="0" w:color="000000"/>
          </w:tcBorders>
        </w:tcPr>
        <w:p w14:paraId="0C54FBCD" w14:textId="4FE2C254" w:rsidR="000E18FE" w:rsidRPr="000D7656" w:rsidRDefault="004E6219" w:rsidP="000E18FE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Для контактов</w:t>
          </w:r>
          <w:r w:rsidR="000E18FE" w:rsidRPr="000D7656">
            <w:rPr>
              <w:sz w:val="18"/>
              <w:szCs w:val="18"/>
              <w:lang w:val="ru-RU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34CA78A" w14:textId="77777777" w:rsidR="000E18FE" w:rsidRPr="000D7656" w:rsidRDefault="000E18FE" w:rsidP="000E18FE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1EC42F38" w14:textId="18809346" w:rsidR="000E18FE" w:rsidRPr="000D7656" w:rsidRDefault="00B57536" w:rsidP="004C25C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r w:rsidRPr="00B57536">
            <w:rPr>
              <w:sz w:val="18"/>
              <w:szCs w:val="18"/>
              <w:lang w:val="ru-RU"/>
            </w:rPr>
            <w:t xml:space="preserve">г-н Алассан Ба (Mr </w:t>
          </w:r>
          <w:proofErr w:type="spellStart"/>
          <w:r w:rsidRPr="00B57536">
            <w:rPr>
              <w:sz w:val="18"/>
              <w:szCs w:val="18"/>
              <w:lang w:val="ru-RU"/>
            </w:rPr>
            <w:t>Alassane</w:t>
          </w:r>
          <w:proofErr w:type="spellEnd"/>
          <w:r w:rsidRPr="00B57536">
            <w:rPr>
              <w:sz w:val="18"/>
              <w:szCs w:val="18"/>
              <w:lang w:val="ru-RU"/>
            </w:rPr>
            <w:t xml:space="preserve"> </w:t>
          </w:r>
          <w:proofErr w:type="spellStart"/>
          <w:r w:rsidRPr="00B57536">
            <w:rPr>
              <w:sz w:val="18"/>
              <w:szCs w:val="18"/>
              <w:lang w:val="ru-RU"/>
            </w:rPr>
            <w:t>Ba</w:t>
          </w:r>
          <w:proofErr w:type="spellEnd"/>
          <w:r w:rsidRPr="00B57536">
            <w:rPr>
              <w:sz w:val="18"/>
              <w:szCs w:val="18"/>
              <w:lang w:val="ru-RU"/>
            </w:rPr>
            <w:t>), руководитель Департамента управления финансовыми ресурсами Международного союза электросвязи (МСЭ)</w:t>
          </w:r>
        </w:p>
      </w:tc>
    </w:tr>
    <w:tr w:rsidR="000E18FE" w:rsidRPr="000D7656" w14:paraId="29570DE4" w14:textId="77777777" w:rsidTr="005B4874">
      <w:tc>
        <w:tcPr>
          <w:tcW w:w="1418" w:type="dxa"/>
        </w:tcPr>
        <w:p w14:paraId="24C04798" w14:textId="77777777" w:rsidR="000E18FE" w:rsidRPr="000D7656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7F875B7F" w14:textId="77777777" w:rsidR="000E18FE" w:rsidRPr="000D7656" w:rsidRDefault="000E18FE" w:rsidP="000E18FE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4961" w:type="dxa"/>
        </w:tcPr>
        <w:p w14:paraId="06CE09B5" w14:textId="52B1DA4C" w:rsidR="000E18FE" w:rsidRPr="004C25CE" w:rsidRDefault="00B57536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B57536">
            <w:rPr>
              <w:sz w:val="18"/>
              <w:szCs w:val="18"/>
              <w:lang w:val="ru-RU"/>
            </w:rPr>
            <w:t>+41 22 730 5253</w:t>
          </w:r>
        </w:p>
      </w:tc>
    </w:tr>
    <w:tr w:rsidR="000E18FE" w:rsidRPr="000D7656" w14:paraId="055ABAF3" w14:textId="77777777" w:rsidTr="005B4874">
      <w:tc>
        <w:tcPr>
          <w:tcW w:w="1418" w:type="dxa"/>
        </w:tcPr>
        <w:p w14:paraId="0BBCB2F5" w14:textId="77777777" w:rsidR="000E18FE" w:rsidRPr="000D7656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612A0D49" w14:textId="77777777" w:rsidR="000E18FE" w:rsidRPr="000D7656" w:rsidRDefault="000E18FE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Эл. почта:</w:t>
          </w:r>
        </w:p>
      </w:tc>
      <w:tc>
        <w:tcPr>
          <w:tcW w:w="4961" w:type="dxa"/>
        </w:tcPr>
        <w:p w14:paraId="254C90C6" w14:textId="6C968D9E" w:rsidR="000E18FE" w:rsidRPr="000D7656" w:rsidRDefault="00B57536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hyperlink r:id="rId1" w:history="1">
            <w:r w:rsidRPr="007A6562">
              <w:rPr>
                <w:rStyle w:val="Hyperlink"/>
                <w:sz w:val="18"/>
                <w:szCs w:val="18"/>
                <w:lang w:val="en-US"/>
              </w:rPr>
              <w:t>alassane</w:t>
            </w:r>
            <w:r w:rsidRPr="00114EA1">
              <w:rPr>
                <w:rStyle w:val="Hyperlink"/>
                <w:sz w:val="18"/>
                <w:szCs w:val="18"/>
              </w:rPr>
              <w:t>.</w:t>
            </w:r>
            <w:r w:rsidRPr="007A6562">
              <w:rPr>
                <w:rStyle w:val="Hyperlink"/>
                <w:sz w:val="18"/>
                <w:szCs w:val="18"/>
                <w:lang w:val="en-US"/>
              </w:rPr>
              <w:t>ba</w:t>
            </w:r>
            <w:r w:rsidRPr="00114EA1">
              <w:rPr>
                <w:rStyle w:val="Hyperlink"/>
                <w:sz w:val="18"/>
                <w:szCs w:val="18"/>
              </w:rPr>
              <w:t>@</w:t>
            </w:r>
            <w:r w:rsidRPr="007A6562">
              <w:rPr>
                <w:rStyle w:val="Hyperlink"/>
                <w:sz w:val="18"/>
                <w:szCs w:val="18"/>
                <w:lang w:val="en-US"/>
              </w:rPr>
              <w:t>itu</w:t>
            </w:r>
            <w:r w:rsidRPr="00114EA1">
              <w:rPr>
                <w:rStyle w:val="Hyperlink"/>
                <w:sz w:val="18"/>
                <w:szCs w:val="18"/>
              </w:rPr>
              <w:t>.</w:t>
            </w:r>
            <w:r w:rsidRPr="007A6562">
              <w:rPr>
                <w:rStyle w:val="Hyperlink"/>
                <w:sz w:val="18"/>
                <w:szCs w:val="18"/>
                <w:lang w:val="en-US"/>
              </w:rPr>
              <w:t>int</w:t>
            </w:r>
          </w:hyperlink>
        </w:p>
      </w:tc>
    </w:tr>
  </w:tbl>
  <w:p w14:paraId="04C2A68A" w14:textId="6A814FCE" w:rsidR="006D15F1" w:rsidRPr="00784E03" w:rsidRDefault="00597B4F" w:rsidP="00597B4F">
    <w:pPr>
      <w:jc w:val="center"/>
      <w:rPr>
        <w:sz w:val="20"/>
      </w:rPr>
    </w:pPr>
    <w:hyperlink r:id="rId2" w:history="1">
      <w:r w:rsidRPr="004E7B86">
        <w:rPr>
          <w:rStyle w:val="Hyperlink"/>
          <w:sz w:val="20"/>
          <w:lang w:val="ru-RU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F01CC" w14:textId="77777777" w:rsidR="00D37C49" w:rsidRDefault="00D37C49">
      <w:r>
        <w:rPr>
          <w:b/>
        </w:rPr>
        <w:t>_______________</w:t>
      </w:r>
    </w:p>
  </w:footnote>
  <w:footnote w:type="continuationSeparator" w:id="0">
    <w:p w14:paraId="4035A5C3" w14:textId="77777777" w:rsidR="00D37C49" w:rsidRDefault="00D37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0F1C" w14:textId="19316166" w:rsidR="006D15F1" w:rsidRPr="00D83BF5" w:rsidRDefault="006D15F1" w:rsidP="0038081B">
    <w:pPr>
      <w:tabs>
        <w:tab w:val="clear" w:pos="1134"/>
        <w:tab w:val="clear" w:pos="1871"/>
        <w:tab w:val="clear" w:pos="2268"/>
        <w:tab w:val="center" w:pos="4820"/>
        <w:tab w:val="right" w:pos="9638"/>
      </w:tabs>
      <w:ind w:right="1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="0038081B" w:rsidRPr="0038081B">
      <w:rPr>
        <w:szCs w:val="22"/>
        <w:lang w:val="de-CH"/>
      </w:rPr>
      <w:t>WTDC</w:t>
    </w:r>
    <w:r w:rsidR="0050311B">
      <w:rPr>
        <w:szCs w:val="22"/>
        <w:lang w:val="de-CH"/>
      </w:rPr>
      <w:t>-</w:t>
    </w:r>
    <w:r w:rsidR="00DC25BA">
      <w:rPr>
        <w:szCs w:val="22"/>
        <w:lang w:val="de-CH"/>
      </w:rPr>
      <w:t>2</w:t>
    </w:r>
    <w:r w:rsidR="000F1FF4">
      <w:rPr>
        <w:szCs w:val="22"/>
        <w:lang w:val="de-CH"/>
      </w:rPr>
      <w:t>5</w:t>
    </w:r>
    <w:r w:rsidR="0038081B" w:rsidRPr="0038081B">
      <w:rPr>
        <w:szCs w:val="22"/>
        <w:lang w:val="de-CH"/>
      </w:rPr>
      <w:t>/</w:t>
    </w:r>
    <w:r w:rsidR="00B57536">
      <w:rPr>
        <w:szCs w:val="22"/>
        <w:lang w:val="de-CH"/>
      </w:rPr>
      <w:t>6-R</w:t>
    </w:r>
    <w:r w:rsidRPr="00FF089C">
      <w:rPr>
        <w:szCs w:val="22"/>
        <w:lang w:val="es-ES_tradnl"/>
      </w:rPr>
      <w:tab/>
    </w:r>
    <w:r w:rsidR="000E18FE">
      <w:rPr>
        <w:szCs w:val="22"/>
        <w:lang w:val="ru-RU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FE2E73"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437396">
    <w:abstractNumId w:val="0"/>
  </w:num>
  <w:num w:numId="2" w16cid:durableId="9523948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92177727">
    <w:abstractNumId w:val="5"/>
  </w:num>
  <w:num w:numId="4" w16cid:durableId="762068190">
    <w:abstractNumId w:val="2"/>
  </w:num>
  <w:num w:numId="5" w16cid:durableId="1978797025">
    <w:abstractNumId w:val="4"/>
  </w:num>
  <w:num w:numId="6" w16cid:durableId="1292518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51E39"/>
    <w:rsid w:val="00075C63"/>
    <w:rsid w:val="00077239"/>
    <w:rsid w:val="00080905"/>
    <w:rsid w:val="000822BE"/>
    <w:rsid w:val="000855CC"/>
    <w:rsid w:val="00086491"/>
    <w:rsid w:val="00091346"/>
    <w:rsid w:val="000A1525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52957"/>
    <w:rsid w:val="0017536A"/>
    <w:rsid w:val="00187BD9"/>
    <w:rsid w:val="00190B55"/>
    <w:rsid w:val="00190BB1"/>
    <w:rsid w:val="00194CFB"/>
    <w:rsid w:val="001B2ED3"/>
    <w:rsid w:val="001C3B5F"/>
    <w:rsid w:val="001D058F"/>
    <w:rsid w:val="002009EA"/>
    <w:rsid w:val="00202CA0"/>
    <w:rsid w:val="002154A6"/>
    <w:rsid w:val="002162CD"/>
    <w:rsid w:val="002255B3"/>
    <w:rsid w:val="00236E8A"/>
    <w:rsid w:val="0027099E"/>
    <w:rsid w:val="00271316"/>
    <w:rsid w:val="00296313"/>
    <w:rsid w:val="002D58BE"/>
    <w:rsid w:val="002E2CB0"/>
    <w:rsid w:val="002E3118"/>
    <w:rsid w:val="002F7CA7"/>
    <w:rsid w:val="003013EE"/>
    <w:rsid w:val="00362627"/>
    <w:rsid w:val="00377BD3"/>
    <w:rsid w:val="0038081B"/>
    <w:rsid w:val="00384088"/>
    <w:rsid w:val="0038489B"/>
    <w:rsid w:val="0039169B"/>
    <w:rsid w:val="00392297"/>
    <w:rsid w:val="003A7F8C"/>
    <w:rsid w:val="003B532E"/>
    <w:rsid w:val="003B6F14"/>
    <w:rsid w:val="003D0F8B"/>
    <w:rsid w:val="003E3D0E"/>
    <w:rsid w:val="004131D4"/>
    <w:rsid w:val="0041348E"/>
    <w:rsid w:val="00447308"/>
    <w:rsid w:val="004620D4"/>
    <w:rsid w:val="004765FF"/>
    <w:rsid w:val="004836C7"/>
    <w:rsid w:val="00492075"/>
    <w:rsid w:val="004969AD"/>
    <w:rsid w:val="004B13CB"/>
    <w:rsid w:val="004B4FDF"/>
    <w:rsid w:val="004C25CE"/>
    <w:rsid w:val="004D5D5C"/>
    <w:rsid w:val="004E6219"/>
    <w:rsid w:val="004E7B86"/>
    <w:rsid w:val="0050139F"/>
    <w:rsid w:val="0050311B"/>
    <w:rsid w:val="00521223"/>
    <w:rsid w:val="00524DF1"/>
    <w:rsid w:val="0055140B"/>
    <w:rsid w:val="00554C4F"/>
    <w:rsid w:val="00561D72"/>
    <w:rsid w:val="00587173"/>
    <w:rsid w:val="005964AB"/>
    <w:rsid w:val="00597B4F"/>
    <w:rsid w:val="005B44F5"/>
    <w:rsid w:val="005B4874"/>
    <w:rsid w:val="005C099A"/>
    <w:rsid w:val="005C1C8D"/>
    <w:rsid w:val="005C31A5"/>
    <w:rsid w:val="005E10C9"/>
    <w:rsid w:val="005E61DD"/>
    <w:rsid w:val="005E6321"/>
    <w:rsid w:val="005F7BA5"/>
    <w:rsid w:val="006023DF"/>
    <w:rsid w:val="0064322F"/>
    <w:rsid w:val="00655ADE"/>
    <w:rsid w:val="00657DE0"/>
    <w:rsid w:val="0067199F"/>
    <w:rsid w:val="00685313"/>
    <w:rsid w:val="006A6E9B"/>
    <w:rsid w:val="006B7C2A"/>
    <w:rsid w:val="006C23DA"/>
    <w:rsid w:val="006C28B8"/>
    <w:rsid w:val="006D15F1"/>
    <w:rsid w:val="006D4DA1"/>
    <w:rsid w:val="006E3D45"/>
    <w:rsid w:val="006F2DA6"/>
    <w:rsid w:val="007149F9"/>
    <w:rsid w:val="00733A30"/>
    <w:rsid w:val="007455E3"/>
    <w:rsid w:val="00745AEE"/>
    <w:rsid w:val="007479EA"/>
    <w:rsid w:val="00750F10"/>
    <w:rsid w:val="00763C56"/>
    <w:rsid w:val="007742CA"/>
    <w:rsid w:val="007D06F0"/>
    <w:rsid w:val="007D45E3"/>
    <w:rsid w:val="007D5320"/>
    <w:rsid w:val="007F735C"/>
    <w:rsid w:val="00800972"/>
    <w:rsid w:val="00804475"/>
    <w:rsid w:val="00811633"/>
    <w:rsid w:val="008218F3"/>
    <w:rsid w:val="00821CEF"/>
    <w:rsid w:val="00832828"/>
    <w:rsid w:val="0083645A"/>
    <w:rsid w:val="00840B0F"/>
    <w:rsid w:val="008711AE"/>
    <w:rsid w:val="00872FC8"/>
    <w:rsid w:val="008801D3"/>
    <w:rsid w:val="008840C5"/>
    <w:rsid w:val="008845D0"/>
    <w:rsid w:val="008B43F2"/>
    <w:rsid w:val="008B61EA"/>
    <w:rsid w:val="008B6CFF"/>
    <w:rsid w:val="00900D58"/>
    <w:rsid w:val="00910B26"/>
    <w:rsid w:val="009274B4"/>
    <w:rsid w:val="00934EA2"/>
    <w:rsid w:val="00944A5C"/>
    <w:rsid w:val="00952A66"/>
    <w:rsid w:val="0097741D"/>
    <w:rsid w:val="009C56E5"/>
    <w:rsid w:val="009D56B3"/>
    <w:rsid w:val="009E5FC8"/>
    <w:rsid w:val="009E687A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370C7"/>
    <w:rsid w:val="00B57536"/>
    <w:rsid w:val="00B639E9"/>
    <w:rsid w:val="00B817CD"/>
    <w:rsid w:val="00B8577A"/>
    <w:rsid w:val="00B911B2"/>
    <w:rsid w:val="00B951D0"/>
    <w:rsid w:val="00B96138"/>
    <w:rsid w:val="00BB29C8"/>
    <w:rsid w:val="00BB3A95"/>
    <w:rsid w:val="00BC0382"/>
    <w:rsid w:val="00BE07B2"/>
    <w:rsid w:val="00C0018F"/>
    <w:rsid w:val="00C13003"/>
    <w:rsid w:val="00C20466"/>
    <w:rsid w:val="00C214ED"/>
    <w:rsid w:val="00C234E6"/>
    <w:rsid w:val="00C324A8"/>
    <w:rsid w:val="00C45781"/>
    <w:rsid w:val="00C54517"/>
    <w:rsid w:val="00C64CD8"/>
    <w:rsid w:val="00C71239"/>
    <w:rsid w:val="00C90722"/>
    <w:rsid w:val="00C97C68"/>
    <w:rsid w:val="00CA1A47"/>
    <w:rsid w:val="00CC247A"/>
    <w:rsid w:val="00CE5E47"/>
    <w:rsid w:val="00CF020F"/>
    <w:rsid w:val="00CF2B5B"/>
    <w:rsid w:val="00CF673B"/>
    <w:rsid w:val="00D052B7"/>
    <w:rsid w:val="00D10CB3"/>
    <w:rsid w:val="00D14CE0"/>
    <w:rsid w:val="00D36333"/>
    <w:rsid w:val="00D37C49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D08B4"/>
    <w:rsid w:val="00DD44AF"/>
    <w:rsid w:val="00DE2AC3"/>
    <w:rsid w:val="00DE434C"/>
    <w:rsid w:val="00DE4E9B"/>
    <w:rsid w:val="00DE5692"/>
    <w:rsid w:val="00DF5E33"/>
    <w:rsid w:val="00DF6F27"/>
    <w:rsid w:val="00DF6F8E"/>
    <w:rsid w:val="00E03C94"/>
    <w:rsid w:val="00E03E98"/>
    <w:rsid w:val="00E07105"/>
    <w:rsid w:val="00E17478"/>
    <w:rsid w:val="00E21033"/>
    <w:rsid w:val="00E26226"/>
    <w:rsid w:val="00E4165C"/>
    <w:rsid w:val="00E45D05"/>
    <w:rsid w:val="00E55816"/>
    <w:rsid w:val="00E55AEF"/>
    <w:rsid w:val="00E92386"/>
    <w:rsid w:val="00E93C4C"/>
    <w:rsid w:val="00E976C1"/>
    <w:rsid w:val="00EA12E5"/>
    <w:rsid w:val="00ED1CBA"/>
    <w:rsid w:val="00F02766"/>
    <w:rsid w:val="00F04067"/>
    <w:rsid w:val="00F05BD4"/>
    <w:rsid w:val="00F11A98"/>
    <w:rsid w:val="00F21A1D"/>
    <w:rsid w:val="00F47733"/>
    <w:rsid w:val="00F65C19"/>
    <w:rsid w:val="00F85FF9"/>
    <w:rsid w:val="00FD2546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4F7E1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E3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E17478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https://www.itu.int/md/S23-CL-C-0115/en" TargetMode="External"/><Relationship Id="rId9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alassane.ba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C67D6-CEFE-4AFE-8EC3-4585BFEF5BA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34B5772-FD57-4ED7-9D4B-46DA353DA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68D561-D449-427F-9BF6-41B19C7544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3028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3449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NA</cp:lastModifiedBy>
  <cp:revision>3</cp:revision>
  <cp:lastPrinted>2017-03-13T09:05:00Z</cp:lastPrinted>
  <dcterms:created xsi:type="dcterms:W3CDTF">2025-10-03T07:39:00Z</dcterms:created>
  <dcterms:modified xsi:type="dcterms:W3CDTF">2025-10-03T07:47:00Z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