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9781" w:type="dxa"/>
        <w:tblLayout w:type="fixed"/>
        <w:tblLook w:val="0000" w:firstRow="0" w:lastRow="0" w:firstColumn="0" w:lastColumn="0" w:noHBand="0" w:noVBand="0"/>
      </w:tblPr>
      <w:tblGrid>
        <w:gridCol w:w="1560"/>
        <w:gridCol w:w="4970"/>
        <w:gridCol w:w="1409"/>
        <w:gridCol w:w="1842"/>
      </w:tblGrid>
      <w:tr w:rsidR="00F55058" w:rsidRPr="00E71B56" w14:paraId="475C61A4" w14:textId="77777777" w:rsidTr="00A023EF">
        <w:trPr>
          <w:cantSplit/>
          <w:trHeight w:val="1134"/>
        </w:trPr>
        <w:tc>
          <w:tcPr>
            <w:tcW w:w="1560" w:type="dxa"/>
          </w:tcPr>
          <w:p w14:paraId="48827F7C" w14:textId="744EF8BA" w:rsidR="00F55058" w:rsidRPr="00E71B56" w:rsidRDefault="00076615" w:rsidP="006C5E3F">
            <w:pPr>
              <w:tabs>
                <w:tab w:val="clear" w:pos="1134"/>
              </w:tabs>
              <w:ind w:left="34"/>
              <w:rPr>
                <w:b/>
                <w:bCs/>
                <w:szCs w:val="24"/>
                <w:lang w:val="es-ES"/>
              </w:rPr>
            </w:pPr>
            <w:r w:rsidRPr="00E71B56">
              <w:rPr>
                <w:noProof/>
                <w:lang w:val="es-ES" w:eastAsia="zh-CN"/>
              </w:rPr>
              <w:drawing>
                <wp:inline distT="0" distB="0" distL="0" distR="0" wp14:anchorId="14A8F11B" wp14:editId="30366443">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c>
          <w:tcPr>
            <w:tcW w:w="6379" w:type="dxa"/>
            <w:gridSpan w:val="2"/>
          </w:tcPr>
          <w:p w14:paraId="39B6E127" w14:textId="0DC2DEF9" w:rsidR="00F55058" w:rsidRPr="00E71B56" w:rsidRDefault="00F55058" w:rsidP="00F55058">
            <w:pPr>
              <w:tabs>
                <w:tab w:val="clear" w:pos="1134"/>
              </w:tabs>
              <w:spacing w:before="240" w:after="48" w:line="240" w:lineRule="atLeast"/>
              <w:ind w:left="34"/>
              <w:rPr>
                <w:rFonts w:cstheme="minorHAnsi"/>
                <w:b/>
                <w:bCs/>
                <w:lang w:val="es-ES"/>
              </w:rPr>
            </w:pPr>
            <w:r w:rsidRPr="00E71B56">
              <w:rPr>
                <w:b/>
                <w:bCs/>
                <w:sz w:val="32"/>
                <w:szCs w:val="32"/>
                <w:lang w:val="es-ES"/>
              </w:rPr>
              <w:t>Conferencia Mundial de Desarrollo de las Telecomunicaciones de 2025 (CMDT-25)</w:t>
            </w:r>
            <w:r w:rsidRPr="00E71B56">
              <w:rPr>
                <w:b/>
                <w:bCs/>
                <w:sz w:val="32"/>
                <w:szCs w:val="32"/>
                <w:lang w:val="es-ES"/>
              </w:rPr>
              <w:br/>
            </w:r>
            <w:r w:rsidRPr="00E71B56">
              <w:rPr>
                <w:b/>
                <w:bCs/>
                <w:lang w:val="es-ES"/>
              </w:rPr>
              <w:t>Bak</w:t>
            </w:r>
            <w:r w:rsidR="00D90A5E" w:rsidRPr="00E71B56">
              <w:rPr>
                <w:b/>
                <w:bCs/>
                <w:lang w:val="es-ES"/>
              </w:rPr>
              <w:t>ú</w:t>
            </w:r>
            <w:r w:rsidRPr="00E71B56">
              <w:rPr>
                <w:b/>
                <w:bCs/>
                <w:lang w:val="es-ES"/>
              </w:rPr>
              <w:t>, República de Azerbaiyán,</w:t>
            </w:r>
            <w:r w:rsidRPr="00E71B56">
              <w:rPr>
                <w:b/>
                <w:bCs/>
                <w:szCs w:val="24"/>
                <w:lang w:val="es-ES"/>
              </w:rPr>
              <w:t xml:space="preserve"> </w:t>
            </w:r>
            <w:r w:rsidRPr="00E71B56">
              <w:rPr>
                <w:b/>
                <w:bCs/>
                <w:lang w:val="es-ES"/>
              </w:rPr>
              <w:t>17</w:t>
            </w:r>
            <w:r w:rsidR="00F9616C" w:rsidRPr="00E71B56">
              <w:rPr>
                <w:sz w:val="18"/>
                <w:szCs w:val="18"/>
                <w:lang w:val="es-ES"/>
              </w:rPr>
              <w:t>-</w:t>
            </w:r>
            <w:r w:rsidRPr="00E71B56">
              <w:rPr>
                <w:b/>
                <w:bCs/>
                <w:lang w:val="es-ES"/>
              </w:rPr>
              <w:t>28 de noviembre de 2025</w:t>
            </w:r>
          </w:p>
        </w:tc>
        <w:tc>
          <w:tcPr>
            <w:tcW w:w="1842" w:type="dxa"/>
          </w:tcPr>
          <w:p w14:paraId="5CA52A80" w14:textId="7E9EA92E" w:rsidR="00F55058" w:rsidRPr="00E71B56" w:rsidRDefault="00D90A5E" w:rsidP="006C5E3F">
            <w:pPr>
              <w:tabs>
                <w:tab w:val="clear" w:pos="1134"/>
              </w:tabs>
              <w:spacing w:line="240" w:lineRule="atLeast"/>
              <w:ind w:left="34"/>
              <w:jc w:val="right"/>
              <w:rPr>
                <w:rFonts w:cstheme="minorHAnsi"/>
                <w:b/>
                <w:bCs/>
                <w:lang w:val="es-ES"/>
              </w:rPr>
            </w:pPr>
            <w:bookmarkStart w:id="0" w:name="ditulogo"/>
            <w:bookmarkEnd w:id="0"/>
            <w:r w:rsidRPr="00E71B56">
              <w:rPr>
                <w:noProof/>
                <w:lang w:val="es-ES"/>
              </w:rPr>
              <w:drawing>
                <wp:inline distT="0" distB="0" distL="0" distR="0" wp14:anchorId="27CD37EF" wp14:editId="06E786CC">
                  <wp:extent cx="1032510" cy="929005"/>
                  <wp:effectExtent l="0" t="0" r="0" b="4445"/>
                  <wp:docPr id="1395416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416109" name="Picture 1"/>
                          <pic:cNvPicPr>
                            <a:picLocks noChangeAspect="1"/>
                          </pic:cNvPicPr>
                        </pic:nvPicPr>
                        <pic:blipFill rotWithShape="1">
                          <a:blip r:embed="rId13" cstate="print">
                            <a:extLst>
                              <a:ext uri="{28A0092B-C50C-407E-A947-70E740481C1C}">
                                <a14:useLocalDpi xmlns:a14="http://schemas.microsoft.com/office/drawing/2010/main" val="0"/>
                              </a:ext>
                            </a:extLst>
                          </a:blip>
                          <a:srcRect l="28605" t="7850" r="24716" b="19549"/>
                          <a:stretch/>
                        </pic:blipFill>
                        <pic:spPr bwMode="auto">
                          <a:xfrm>
                            <a:off x="0" y="0"/>
                            <a:ext cx="1032510" cy="92900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3BF5" w:rsidRPr="00E71B56" w14:paraId="55C01F90" w14:textId="77777777" w:rsidTr="00A023EF">
        <w:trPr>
          <w:cantSplit/>
        </w:trPr>
        <w:tc>
          <w:tcPr>
            <w:tcW w:w="6530" w:type="dxa"/>
            <w:gridSpan w:val="2"/>
            <w:tcBorders>
              <w:top w:val="single" w:sz="12" w:space="0" w:color="auto"/>
            </w:tcBorders>
          </w:tcPr>
          <w:p w14:paraId="732B78F2" w14:textId="77777777" w:rsidR="00D83BF5" w:rsidRPr="00E71B56" w:rsidRDefault="00D83BF5" w:rsidP="00B951D0">
            <w:pPr>
              <w:spacing w:before="0" w:after="48" w:line="240" w:lineRule="atLeast"/>
              <w:rPr>
                <w:rFonts w:cstheme="minorHAnsi"/>
                <w:b/>
                <w:smallCaps/>
                <w:sz w:val="20"/>
                <w:lang w:val="es-ES"/>
              </w:rPr>
            </w:pPr>
            <w:bookmarkStart w:id="1" w:name="dhead"/>
          </w:p>
        </w:tc>
        <w:tc>
          <w:tcPr>
            <w:tcW w:w="3251" w:type="dxa"/>
            <w:gridSpan w:val="2"/>
            <w:tcBorders>
              <w:top w:val="single" w:sz="12" w:space="0" w:color="auto"/>
            </w:tcBorders>
          </w:tcPr>
          <w:p w14:paraId="65CBC7E2" w14:textId="26BD4E7F" w:rsidR="00D83BF5" w:rsidRPr="00E71B56" w:rsidRDefault="00D83BF5" w:rsidP="00B951D0">
            <w:pPr>
              <w:spacing w:before="0" w:line="240" w:lineRule="atLeast"/>
              <w:rPr>
                <w:rFonts w:cstheme="minorHAnsi"/>
                <w:sz w:val="20"/>
                <w:lang w:val="es-ES"/>
              </w:rPr>
            </w:pPr>
          </w:p>
        </w:tc>
      </w:tr>
      <w:tr w:rsidR="007A1872" w:rsidRPr="00E71B56" w14:paraId="29BC3FC4" w14:textId="77777777" w:rsidTr="00A023EF">
        <w:trPr>
          <w:cantSplit/>
          <w:trHeight w:val="23"/>
        </w:trPr>
        <w:tc>
          <w:tcPr>
            <w:tcW w:w="6530" w:type="dxa"/>
            <w:gridSpan w:val="2"/>
            <w:shd w:val="clear" w:color="auto" w:fill="auto"/>
          </w:tcPr>
          <w:p w14:paraId="4687B7D2" w14:textId="0104720E" w:rsidR="007A1872" w:rsidRPr="00E71B56" w:rsidRDefault="007A1872" w:rsidP="0003264C">
            <w:pPr>
              <w:tabs>
                <w:tab w:val="left" w:pos="851"/>
              </w:tabs>
              <w:spacing w:before="0" w:line="240" w:lineRule="atLeast"/>
              <w:rPr>
                <w:rFonts w:cstheme="minorHAnsi"/>
                <w:b/>
                <w:szCs w:val="24"/>
                <w:lang w:val="es-ES"/>
              </w:rPr>
            </w:pPr>
            <w:bookmarkStart w:id="2" w:name="dnum" w:colFirst="1" w:colLast="1"/>
            <w:bookmarkStart w:id="3" w:name="dmeeting" w:colFirst="0" w:colLast="0"/>
            <w:bookmarkEnd w:id="1"/>
            <w:r w:rsidRPr="00E71B56">
              <w:rPr>
                <w:rFonts w:cstheme="minorHAnsi"/>
                <w:b/>
                <w:szCs w:val="24"/>
                <w:lang w:val="es-ES"/>
              </w:rPr>
              <w:t>SESIÓN PLENARIA</w:t>
            </w:r>
          </w:p>
        </w:tc>
        <w:tc>
          <w:tcPr>
            <w:tcW w:w="3251" w:type="dxa"/>
            <w:gridSpan w:val="2"/>
          </w:tcPr>
          <w:p w14:paraId="5FA3CB54" w14:textId="700754DA" w:rsidR="007A1872" w:rsidRPr="00E71B56" w:rsidRDefault="002C63F6" w:rsidP="002C63F6">
            <w:pPr>
              <w:tabs>
                <w:tab w:val="left" w:pos="851"/>
              </w:tabs>
              <w:spacing w:before="0" w:line="240" w:lineRule="atLeast"/>
              <w:rPr>
                <w:rFonts w:cstheme="minorHAnsi"/>
                <w:b/>
                <w:szCs w:val="24"/>
                <w:lang w:val="es-ES"/>
              </w:rPr>
            </w:pPr>
            <w:r w:rsidRPr="00E71B56">
              <w:rPr>
                <w:rFonts w:cstheme="minorHAnsi"/>
                <w:b/>
                <w:szCs w:val="24"/>
                <w:lang w:val="es-ES"/>
              </w:rPr>
              <w:t>Revisión 1 al</w:t>
            </w:r>
            <w:r w:rsidRPr="00E71B56">
              <w:rPr>
                <w:rFonts w:cstheme="minorHAnsi"/>
                <w:b/>
                <w:szCs w:val="24"/>
                <w:lang w:val="es-ES"/>
              </w:rPr>
              <w:br/>
            </w:r>
            <w:r w:rsidR="007A1872" w:rsidRPr="00E71B56">
              <w:rPr>
                <w:rFonts w:cstheme="minorHAnsi"/>
                <w:b/>
                <w:szCs w:val="24"/>
                <w:lang w:val="es-ES"/>
              </w:rPr>
              <w:t xml:space="preserve">Documento </w:t>
            </w:r>
            <w:r w:rsidR="001451CC" w:rsidRPr="00E71B56">
              <w:rPr>
                <w:rFonts w:cstheme="minorHAnsi"/>
                <w:b/>
                <w:szCs w:val="24"/>
                <w:lang w:val="es-ES"/>
              </w:rPr>
              <w:t>WTDC-25/</w:t>
            </w:r>
            <w:r w:rsidRPr="00E71B56">
              <w:rPr>
                <w:rFonts w:cstheme="minorHAnsi"/>
                <w:b/>
                <w:szCs w:val="24"/>
                <w:lang w:val="es-ES"/>
              </w:rPr>
              <w:t>2</w:t>
            </w:r>
            <w:r w:rsidR="007A1872" w:rsidRPr="00E71B56">
              <w:rPr>
                <w:rFonts w:cstheme="minorHAnsi"/>
                <w:b/>
                <w:szCs w:val="24"/>
                <w:lang w:val="es-ES"/>
              </w:rPr>
              <w:t>-S</w:t>
            </w:r>
          </w:p>
        </w:tc>
      </w:tr>
      <w:tr w:rsidR="007A1872" w:rsidRPr="00E71B56" w14:paraId="4A22DCC8" w14:textId="77777777" w:rsidTr="00A023EF">
        <w:trPr>
          <w:cantSplit/>
          <w:trHeight w:val="23"/>
        </w:trPr>
        <w:tc>
          <w:tcPr>
            <w:tcW w:w="6530" w:type="dxa"/>
            <w:gridSpan w:val="2"/>
            <w:shd w:val="clear" w:color="auto" w:fill="auto"/>
          </w:tcPr>
          <w:p w14:paraId="35E70B69" w14:textId="5BE875FE" w:rsidR="007A1872" w:rsidRPr="00E71B56" w:rsidRDefault="007A1872" w:rsidP="007A1872">
            <w:pPr>
              <w:tabs>
                <w:tab w:val="left" w:pos="851"/>
              </w:tabs>
              <w:spacing w:before="0" w:line="240" w:lineRule="atLeast"/>
              <w:rPr>
                <w:rFonts w:cstheme="minorHAnsi"/>
                <w:b/>
                <w:szCs w:val="24"/>
                <w:lang w:val="es-ES"/>
              </w:rPr>
            </w:pPr>
            <w:bookmarkStart w:id="4" w:name="ddate" w:colFirst="1" w:colLast="1"/>
            <w:bookmarkStart w:id="5" w:name="dblank" w:colFirst="0" w:colLast="0"/>
            <w:bookmarkEnd w:id="2"/>
            <w:bookmarkEnd w:id="3"/>
          </w:p>
        </w:tc>
        <w:tc>
          <w:tcPr>
            <w:tcW w:w="3251" w:type="dxa"/>
            <w:gridSpan w:val="2"/>
          </w:tcPr>
          <w:p w14:paraId="7BAD8060" w14:textId="604233FA" w:rsidR="007A1872" w:rsidRPr="00E71B56" w:rsidRDefault="002C63F6" w:rsidP="007A1872">
            <w:pPr>
              <w:spacing w:before="0" w:line="240" w:lineRule="atLeast"/>
              <w:rPr>
                <w:rFonts w:cstheme="minorHAnsi"/>
                <w:b/>
                <w:szCs w:val="24"/>
                <w:lang w:val="es-ES"/>
              </w:rPr>
            </w:pPr>
            <w:r w:rsidRPr="00E71B56">
              <w:rPr>
                <w:rFonts w:cstheme="minorHAnsi"/>
                <w:b/>
                <w:szCs w:val="24"/>
                <w:lang w:val="es-ES"/>
              </w:rPr>
              <w:t>6</w:t>
            </w:r>
            <w:r w:rsidR="007A1872" w:rsidRPr="00E71B56">
              <w:rPr>
                <w:rFonts w:cstheme="minorHAnsi"/>
                <w:b/>
                <w:szCs w:val="24"/>
                <w:lang w:val="es-ES"/>
              </w:rPr>
              <w:t xml:space="preserve"> de </w:t>
            </w:r>
            <w:r w:rsidRPr="00E71B56">
              <w:rPr>
                <w:rFonts w:cstheme="minorHAnsi"/>
                <w:b/>
                <w:szCs w:val="24"/>
                <w:lang w:val="es-ES"/>
              </w:rPr>
              <w:t xml:space="preserve">noviembre </w:t>
            </w:r>
            <w:r w:rsidR="007A1872" w:rsidRPr="00E71B56">
              <w:rPr>
                <w:rFonts w:cstheme="minorHAnsi"/>
                <w:b/>
                <w:szCs w:val="24"/>
                <w:lang w:val="es-ES"/>
              </w:rPr>
              <w:t>de 2025</w:t>
            </w:r>
          </w:p>
        </w:tc>
      </w:tr>
      <w:tr w:rsidR="007A1872" w:rsidRPr="00E71B56" w14:paraId="7CFB63D8" w14:textId="77777777" w:rsidTr="00A023EF">
        <w:trPr>
          <w:cantSplit/>
          <w:trHeight w:val="23"/>
        </w:trPr>
        <w:tc>
          <w:tcPr>
            <w:tcW w:w="6530" w:type="dxa"/>
            <w:gridSpan w:val="2"/>
            <w:shd w:val="clear" w:color="auto" w:fill="auto"/>
          </w:tcPr>
          <w:p w14:paraId="367CD2E0" w14:textId="54957AFE" w:rsidR="007A1872" w:rsidRPr="00E71B56" w:rsidRDefault="007A1872" w:rsidP="007A1872">
            <w:pPr>
              <w:tabs>
                <w:tab w:val="left" w:pos="851"/>
              </w:tabs>
              <w:spacing w:before="0" w:line="240" w:lineRule="atLeast"/>
              <w:rPr>
                <w:rFonts w:cstheme="minorHAnsi"/>
                <w:b/>
                <w:szCs w:val="24"/>
                <w:lang w:val="es-ES"/>
              </w:rPr>
            </w:pPr>
            <w:bookmarkStart w:id="6" w:name="dbluepink" w:colFirst="0" w:colLast="0"/>
            <w:bookmarkStart w:id="7" w:name="dorlang" w:colFirst="1" w:colLast="1"/>
            <w:bookmarkEnd w:id="4"/>
            <w:bookmarkEnd w:id="5"/>
          </w:p>
        </w:tc>
        <w:tc>
          <w:tcPr>
            <w:tcW w:w="3251" w:type="dxa"/>
            <w:gridSpan w:val="2"/>
          </w:tcPr>
          <w:p w14:paraId="6DB2BCA1" w14:textId="5847D3C4" w:rsidR="007A1872" w:rsidRPr="00E71B56" w:rsidRDefault="007A1872" w:rsidP="007A1872">
            <w:pPr>
              <w:tabs>
                <w:tab w:val="left" w:pos="993"/>
              </w:tabs>
              <w:spacing w:before="0"/>
              <w:rPr>
                <w:rFonts w:cstheme="minorHAnsi"/>
                <w:b/>
                <w:szCs w:val="24"/>
                <w:lang w:val="es-ES"/>
              </w:rPr>
            </w:pPr>
            <w:r w:rsidRPr="00E71B56">
              <w:rPr>
                <w:rFonts w:cstheme="minorHAnsi"/>
                <w:b/>
                <w:szCs w:val="24"/>
                <w:lang w:val="es-ES"/>
              </w:rPr>
              <w:t>Original: inglés</w:t>
            </w:r>
          </w:p>
        </w:tc>
      </w:tr>
      <w:tr w:rsidR="002C63F6" w:rsidRPr="00E71B56" w14:paraId="4F18A1B1" w14:textId="77777777" w:rsidTr="00A023EF">
        <w:trPr>
          <w:cantSplit/>
          <w:trHeight w:val="23"/>
        </w:trPr>
        <w:tc>
          <w:tcPr>
            <w:tcW w:w="9781" w:type="dxa"/>
            <w:gridSpan w:val="4"/>
            <w:shd w:val="clear" w:color="auto" w:fill="auto"/>
          </w:tcPr>
          <w:tbl>
            <w:tblPr>
              <w:tblpPr w:leftFromText="180" w:rightFromText="180" w:horzAnchor="margin" w:tblpY="-675"/>
              <w:tblW w:w="9781" w:type="dxa"/>
              <w:tblLayout w:type="fixed"/>
              <w:tblLook w:val="0000" w:firstRow="0" w:lastRow="0" w:firstColumn="0" w:lastColumn="0" w:noHBand="0" w:noVBand="0"/>
            </w:tblPr>
            <w:tblGrid>
              <w:gridCol w:w="9781"/>
            </w:tblGrid>
            <w:tr w:rsidR="002C63F6" w:rsidRPr="00E71B56" w14:paraId="4D54E0A7" w14:textId="77777777" w:rsidTr="007B5E8B">
              <w:trPr>
                <w:cantSplit/>
                <w:trHeight w:val="23"/>
              </w:trPr>
              <w:tc>
                <w:tcPr>
                  <w:tcW w:w="9781" w:type="dxa"/>
                </w:tcPr>
                <w:p w14:paraId="25EB4222" w14:textId="77777777" w:rsidR="002C63F6" w:rsidRPr="00E71B56" w:rsidRDefault="002C63F6" w:rsidP="002C63F6">
                  <w:pPr>
                    <w:pStyle w:val="Source"/>
                    <w:rPr>
                      <w:lang w:val="es-ES"/>
                    </w:rPr>
                  </w:pPr>
                  <w:r w:rsidRPr="00E71B56">
                    <w:rPr>
                      <w:lang w:val="es-ES"/>
                    </w:rPr>
                    <w:t>Director de la Oficina de Desarrollo de las Telecomunicaciones</w:t>
                  </w:r>
                </w:p>
              </w:tc>
            </w:tr>
            <w:tr w:rsidR="002C63F6" w:rsidRPr="00E71B56" w14:paraId="17157930" w14:textId="77777777" w:rsidTr="007B5E8B">
              <w:trPr>
                <w:cantSplit/>
                <w:trHeight w:val="23"/>
              </w:trPr>
              <w:tc>
                <w:tcPr>
                  <w:tcW w:w="9781" w:type="dxa"/>
                  <w:vAlign w:val="center"/>
                </w:tcPr>
                <w:p w14:paraId="4C3B3963" w14:textId="77777777" w:rsidR="002C63F6" w:rsidRPr="00E71B56" w:rsidRDefault="002C63F6" w:rsidP="002C63F6">
                  <w:pPr>
                    <w:pStyle w:val="Title1"/>
                    <w:rPr>
                      <w:lang w:val="es-ES"/>
                    </w:rPr>
                  </w:pPr>
                  <w:r w:rsidRPr="00E71B56">
                    <w:rPr>
                      <w:lang w:val="es-ES"/>
                    </w:rPr>
                    <w:t>INFORME SOBRE LA APLICACIÓN DEL PLAN DE ACCIÓN DE KIGALI (PAK)</w:t>
                  </w:r>
                </w:p>
              </w:tc>
            </w:tr>
          </w:tbl>
          <w:p w14:paraId="5332634F" w14:textId="336E34C5" w:rsidR="002C63F6" w:rsidRPr="00E71B56" w:rsidRDefault="002C63F6" w:rsidP="002C63F6">
            <w:pPr>
              <w:pStyle w:val="Source"/>
              <w:spacing w:before="240" w:after="240"/>
              <w:rPr>
                <w:lang w:val="es-ES"/>
              </w:rPr>
            </w:pPr>
          </w:p>
        </w:tc>
      </w:tr>
      <w:tr w:rsidR="007A1872" w:rsidRPr="00E71B56" w14:paraId="401EDD74" w14:textId="77777777" w:rsidTr="00A023EF">
        <w:trPr>
          <w:cantSplit/>
          <w:trHeight w:val="23"/>
        </w:trPr>
        <w:tc>
          <w:tcPr>
            <w:tcW w:w="9781" w:type="dxa"/>
            <w:gridSpan w:val="4"/>
            <w:shd w:val="clear" w:color="auto" w:fill="auto"/>
          </w:tcPr>
          <w:p w14:paraId="3209E18E" w14:textId="47EF132B" w:rsidR="007A1872" w:rsidRPr="00E71B56" w:rsidRDefault="007A1872" w:rsidP="007A1872">
            <w:pPr>
              <w:pStyle w:val="Title2"/>
              <w:spacing w:before="240"/>
              <w:rPr>
                <w:lang w:val="es-ES"/>
              </w:rPr>
            </w:pPr>
          </w:p>
        </w:tc>
      </w:tr>
      <w:tr w:rsidR="007A1872" w:rsidRPr="00E71B56" w14:paraId="0661C2E9" w14:textId="77777777" w:rsidTr="00A023EF">
        <w:trPr>
          <w:cantSplit/>
          <w:trHeight w:val="23"/>
        </w:trPr>
        <w:tc>
          <w:tcPr>
            <w:tcW w:w="9781" w:type="dxa"/>
            <w:gridSpan w:val="4"/>
            <w:shd w:val="clear" w:color="auto" w:fill="auto"/>
          </w:tcPr>
          <w:p w14:paraId="091504B1" w14:textId="30592BF6" w:rsidR="007A1872" w:rsidRPr="00E71B56" w:rsidRDefault="007A1872" w:rsidP="007A1872">
            <w:pPr>
              <w:pStyle w:val="Title2"/>
              <w:spacing w:before="240"/>
              <w:rPr>
                <w:lang w:val="es-ES"/>
              </w:rPr>
            </w:pPr>
          </w:p>
        </w:tc>
      </w:tr>
      <w:bookmarkEnd w:id="6"/>
      <w:bookmarkEnd w:id="7"/>
      <w:tr w:rsidR="002C63F6" w:rsidRPr="00E71B56" w14:paraId="1E807B85" w14:textId="77777777" w:rsidTr="002D0452">
        <w:trPr>
          <w:cantSplit/>
          <w:trHeight w:val="23"/>
        </w:trPr>
        <w:tc>
          <w:tcPr>
            <w:tcW w:w="9781" w:type="dxa"/>
            <w:gridSpan w:val="4"/>
            <w:tcBorders>
              <w:top w:val="single" w:sz="4" w:space="0" w:color="auto"/>
              <w:left w:val="single" w:sz="4" w:space="0" w:color="auto"/>
              <w:bottom w:val="single" w:sz="4" w:space="0" w:color="auto"/>
              <w:right w:val="single" w:sz="4" w:space="0" w:color="auto"/>
            </w:tcBorders>
          </w:tcPr>
          <w:p w14:paraId="72D7217A" w14:textId="77777777" w:rsidR="002C63F6" w:rsidRPr="00E71B56" w:rsidRDefault="002C63F6" w:rsidP="002C63F6">
            <w:pPr>
              <w:rPr>
                <w:b/>
                <w:bCs/>
                <w:lang w:val="es-ES"/>
              </w:rPr>
            </w:pPr>
            <w:r w:rsidRPr="00E71B56">
              <w:rPr>
                <w:b/>
                <w:bCs/>
                <w:lang w:val="es-ES"/>
              </w:rPr>
              <w:t>Resumen:</w:t>
            </w:r>
          </w:p>
          <w:p w14:paraId="422C2993" w14:textId="77777777" w:rsidR="002C63F6" w:rsidRPr="00E71B56" w:rsidRDefault="002C63F6" w:rsidP="002C63F6">
            <w:pPr>
              <w:rPr>
                <w:lang w:val="es-ES"/>
              </w:rPr>
            </w:pPr>
            <w:r w:rsidRPr="00E71B56">
              <w:rPr>
                <w:lang w:val="es-ES"/>
              </w:rPr>
              <w:t>La Conferencia Mundial de Desarrollo de las Telecomunicaciones de la Unión Internacional de Telecomunicaciones (UIT) de 2022 (CMDT-22) se celebró en Kigali (Rwanda), del 6 al 16 de junio, y en ella se adoptó el Plan de Acción de Kigali (PAK). En este plan, que comprende una serie de prioridades, factores habilitadores, iniciativas regionales, Resoluciones nuevas y revisadas, Recomendaciones y Cuestiones de las Comisiones de Estudio, se define el mandato del Sector de Desarrollo de las Telecomunicaciones de la UIT (UIT</w:t>
            </w:r>
            <w:r w:rsidRPr="00E71B56">
              <w:rPr>
                <w:lang w:val="es-ES"/>
              </w:rPr>
              <w:noBreakHyphen/>
              <w:t>D) para el periodo 2023</w:t>
            </w:r>
            <w:r w:rsidRPr="00E71B56">
              <w:rPr>
                <w:lang w:val="es-ES"/>
              </w:rPr>
              <w:noBreakHyphen/>
              <w:t>2025. En él también se establece un marco de gestión basada en los resultados (GBR) para facilitar la ejecución de las tareas del UIT</w:t>
            </w:r>
            <w:r w:rsidRPr="00E71B56">
              <w:rPr>
                <w:lang w:val="es-ES"/>
              </w:rPr>
              <w:noBreakHyphen/>
              <w:t>D en consonancia con los objetivos estratégicos de la Unión.</w:t>
            </w:r>
          </w:p>
          <w:p w14:paraId="3343C7BE" w14:textId="77777777" w:rsidR="002C63F6" w:rsidRPr="00E71B56" w:rsidRDefault="002C63F6" w:rsidP="002C63F6">
            <w:pPr>
              <w:rPr>
                <w:lang w:val="es-ES"/>
              </w:rPr>
            </w:pPr>
            <w:r w:rsidRPr="00E71B56">
              <w:rPr>
                <w:lang w:val="es-ES"/>
              </w:rPr>
              <w:t>En este documento se informa sobre la aplicación del PAK desde enero de 2023 hasta agosto de 2025. Se informará sobre la ejecución de las actividades emprendidas entre septiembre y diciembre de 2025 en la próxima reunión del Grupo Asesor de Desarrollo de las Telecomunicaciones (GADT) de 2026.</w:t>
            </w:r>
          </w:p>
          <w:p w14:paraId="4A52879C" w14:textId="77777777" w:rsidR="002C63F6" w:rsidRPr="00E71B56" w:rsidRDefault="002C63F6" w:rsidP="002C63F6">
            <w:pPr>
              <w:spacing w:after="120"/>
              <w:rPr>
                <w:b/>
                <w:bCs/>
                <w:szCs w:val="24"/>
                <w:lang w:val="es-ES"/>
              </w:rPr>
            </w:pPr>
            <w:r w:rsidRPr="00E71B56">
              <w:rPr>
                <w:b/>
                <w:bCs/>
                <w:szCs w:val="24"/>
                <w:lang w:val="es-ES"/>
              </w:rPr>
              <w:t>Resultados previstos:</w:t>
            </w:r>
          </w:p>
          <w:p w14:paraId="5B293F5E" w14:textId="77777777" w:rsidR="002C63F6" w:rsidRPr="00E71B56" w:rsidRDefault="002C63F6" w:rsidP="002C63F6">
            <w:pPr>
              <w:rPr>
                <w:lang w:val="es-ES"/>
              </w:rPr>
            </w:pPr>
            <w:r w:rsidRPr="00E71B56">
              <w:rPr>
                <w:lang w:val="es-ES"/>
              </w:rPr>
              <w:t>Se invita a la CMDT-25 a que examine el presente Informe y facilite las orientaciones que considere oportunas.</w:t>
            </w:r>
          </w:p>
          <w:p w14:paraId="5870CEDE" w14:textId="77777777" w:rsidR="002C63F6" w:rsidRPr="00E71B56" w:rsidRDefault="002C63F6" w:rsidP="002C63F6">
            <w:pPr>
              <w:rPr>
                <w:b/>
                <w:bCs/>
                <w:lang w:val="es-ES"/>
              </w:rPr>
            </w:pPr>
            <w:r w:rsidRPr="00E71B56">
              <w:rPr>
                <w:b/>
                <w:bCs/>
                <w:lang w:val="es-ES"/>
              </w:rPr>
              <w:t>Referencias:</w:t>
            </w:r>
          </w:p>
          <w:p w14:paraId="7ABCECB1" w14:textId="77777777" w:rsidR="002C63F6" w:rsidRPr="00E71B56" w:rsidRDefault="002C63F6" w:rsidP="002C63F6">
            <w:pPr>
              <w:rPr>
                <w:lang w:val="es-ES"/>
              </w:rPr>
            </w:pPr>
            <w:hyperlink r:id="rId14" w:history="1">
              <w:r w:rsidRPr="00E71B56">
                <w:rPr>
                  <w:rStyle w:val="Hyperlink"/>
                  <w:lang w:val="es-ES"/>
                </w:rPr>
                <w:t>Plan de Acción de Kigali de la CMDT</w:t>
              </w:r>
              <w:r w:rsidRPr="00E71B56">
                <w:rPr>
                  <w:rStyle w:val="Hyperlink"/>
                  <w:lang w:val="es-ES"/>
                </w:rPr>
                <w:t>-</w:t>
              </w:r>
              <w:r w:rsidRPr="00E71B56">
                <w:rPr>
                  <w:rStyle w:val="Hyperlink"/>
                  <w:lang w:val="es-ES"/>
                </w:rPr>
                <w:t>22</w:t>
              </w:r>
            </w:hyperlink>
          </w:p>
          <w:p w14:paraId="3CD13E88" w14:textId="77777777" w:rsidR="002C63F6" w:rsidRPr="00E71B56" w:rsidRDefault="002C63F6" w:rsidP="002C63F6">
            <w:pPr>
              <w:rPr>
                <w:lang w:val="es-ES"/>
              </w:rPr>
            </w:pPr>
            <w:r w:rsidRPr="00E71B56">
              <w:rPr>
                <w:lang w:val="es-ES"/>
              </w:rPr>
              <w:t>Documentos </w:t>
            </w:r>
            <w:hyperlink r:id="rId15" w:history="1">
              <w:r w:rsidRPr="00E71B56">
                <w:rPr>
                  <w:rStyle w:val="Hyperlink"/>
                  <w:lang w:val="es-ES"/>
                </w:rPr>
                <w:t>TDAG-23/2</w:t>
              </w:r>
            </w:hyperlink>
            <w:r w:rsidRPr="00E71B56">
              <w:rPr>
                <w:lang w:val="es-ES"/>
              </w:rPr>
              <w:t xml:space="preserve">, </w:t>
            </w:r>
            <w:hyperlink r:id="rId16" w:history="1">
              <w:r w:rsidRPr="00E71B56">
                <w:rPr>
                  <w:rStyle w:val="Hyperlink"/>
                  <w:lang w:val="es-ES"/>
                </w:rPr>
                <w:t>TDAG-24/2</w:t>
              </w:r>
            </w:hyperlink>
            <w:r w:rsidRPr="00E71B56">
              <w:rPr>
                <w:lang w:val="es-ES"/>
              </w:rPr>
              <w:t xml:space="preserve">, </w:t>
            </w:r>
            <w:hyperlink r:id="rId17" w:history="1">
              <w:r w:rsidRPr="00E71B56">
                <w:rPr>
                  <w:rStyle w:val="Hyperlink"/>
                  <w:lang w:val="es-ES"/>
                </w:rPr>
                <w:t>TDAG-25/2</w:t>
              </w:r>
            </w:hyperlink>
            <w:r w:rsidRPr="00E71B56">
              <w:rPr>
                <w:lang w:val="es-ES"/>
              </w:rPr>
              <w:t xml:space="preserve"> y </w:t>
            </w:r>
            <w:hyperlink r:id="rId18" w:history="1">
              <w:r w:rsidRPr="00E71B56">
                <w:rPr>
                  <w:rStyle w:val="Hyperlink"/>
                  <w:lang w:val="es-ES"/>
                </w:rPr>
                <w:t>RPM-25/2</w:t>
              </w:r>
            </w:hyperlink>
            <w:hyperlink r:id="rId19" w:history="1"/>
            <w:hyperlink r:id="rId20" w:history="1"/>
            <w:hyperlink r:id="rId21" w:history="1"/>
            <w:hyperlink r:id="rId22" w:history="1"/>
          </w:p>
          <w:p w14:paraId="4258C78A" w14:textId="69AFF447" w:rsidR="002C63F6" w:rsidRPr="00E71B56" w:rsidRDefault="002C63F6" w:rsidP="002C63F6">
            <w:pPr>
              <w:spacing w:after="120"/>
              <w:rPr>
                <w:rFonts w:ascii="Calibri" w:hAnsi="Calibri" w:cs="Calibri"/>
                <w:szCs w:val="24"/>
                <w:lang w:val="es-ES"/>
              </w:rPr>
            </w:pPr>
            <w:r w:rsidRPr="00E71B56">
              <w:rPr>
                <w:lang w:val="es-ES"/>
              </w:rPr>
              <w:lastRenderedPageBreak/>
              <w:t>Documento </w:t>
            </w:r>
            <w:hyperlink r:id="rId23">
              <w:r w:rsidRPr="00E71B56">
                <w:rPr>
                  <w:rStyle w:val="Hyperlink"/>
                  <w:rFonts w:ascii="Calibri" w:hAnsi="Calibri" w:cs="Calibri"/>
                  <w:szCs w:val="24"/>
                  <w:lang w:val="es-ES"/>
                </w:rPr>
                <w:t>WTDC-25/2(Ann</w:t>
              </w:r>
              <w:r w:rsidRPr="00E71B56">
                <w:rPr>
                  <w:rStyle w:val="Hyperlink"/>
                  <w:rFonts w:ascii="Calibri" w:hAnsi="Calibri" w:cs="Calibri"/>
                  <w:szCs w:val="24"/>
                  <w:lang w:val="es-ES"/>
                </w:rPr>
                <w:t>.</w:t>
              </w:r>
              <w:r w:rsidRPr="00E71B56">
                <w:rPr>
                  <w:rStyle w:val="Hyperlink"/>
                  <w:rFonts w:ascii="Calibri" w:hAnsi="Calibri" w:cs="Calibri"/>
                  <w:szCs w:val="24"/>
                  <w:lang w:val="es-ES"/>
                </w:rPr>
                <w:t>1)</w:t>
              </w:r>
            </w:hyperlink>
            <w:r w:rsidRPr="00E71B56">
              <w:rPr>
                <w:rFonts w:ascii="Calibri" w:hAnsi="Calibri" w:cs="Calibri"/>
                <w:szCs w:val="24"/>
                <w:lang w:val="es-ES"/>
              </w:rPr>
              <w:t xml:space="preserve"> – Mapping of contribution of ITU-D Projects to the implementation of WTDC-22 Regional Initiatives</w:t>
            </w:r>
          </w:p>
          <w:p w14:paraId="62EBD4B2" w14:textId="13C0EB76" w:rsidR="002C63F6" w:rsidRPr="00E71B56" w:rsidRDefault="002C63F6" w:rsidP="002C63F6">
            <w:pPr>
              <w:spacing w:after="120"/>
              <w:rPr>
                <w:rFonts w:ascii="Calibri" w:hAnsi="Calibri" w:cs="Calibri"/>
                <w:sz w:val="22"/>
                <w:szCs w:val="22"/>
                <w:lang w:val="es-ES"/>
              </w:rPr>
            </w:pPr>
            <w:r w:rsidRPr="00E71B56">
              <w:rPr>
                <w:lang w:val="es-ES"/>
              </w:rPr>
              <w:t>Documento </w:t>
            </w:r>
            <w:hyperlink r:id="rId24" w:history="1">
              <w:r w:rsidRPr="00E71B56">
                <w:rPr>
                  <w:rStyle w:val="Hyperlink"/>
                  <w:rFonts w:cstheme="minorHAnsi"/>
                  <w:szCs w:val="24"/>
                  <w:lang w:val="es-ES"/>
                </w:rPr>
                <w:t>WTDC-25/2(Ann.2)</w:t>
              </w:r>
            </w:hyperlink>
            <w:r w:rsidRPr="00E71B56">
              <w:rPr>
                <w:rFonts w:cstheme="minorHAnsi"/>
                <w:szCs w:val="24"/>
                <w:lang w:val="es-ES"/>
              </w:rPr>
              <w:t xml:space="preserve"> – Contribution of Operational Plan (OP) activities and ITU-D Projects to the implementation of WTDC-22 Resolutions</w:t>
            </w:r>
          </w:p>
          <w:p w14:paraId="1D4C986E" w14:textId="7DDEA06F" w:rsidR="002C63F6" w:rsidRPr="00E71B56" w:rsidRDefault="002C63F6" w:rsidP="002C63F6">
            <w:pPr>
              <w:rPr>
                <w:lang w:val="es-ES"/>
              </w:rPr>
            </w:pPr>
            <w:r w:rsidRPr="00E71B56">
              <w:rPr>
                <w:lang w:val="es-ES"/>
              </w:rPr>
              <w:t>Documento </w:t>
            </w:r>
            <w:hyperlink r:id="rId25" w:history="1">
              <w:r w:rsidRPr="00E71B56">
                <w:rPr>
                  <w:rStyle w:val="Hyperlink"/>
                  <w:rFonts w:ascii="Calibri" w:hAnsi="Calibri" w:cs="Calibri"/>
                  <w:szCs w:val="24"/>
                  <w:lang w:val="es-ES"/>
                </w:rPr>
                <w:t>WTD</w:t>
              </w:r>
              <w:r w:rsidRPr="00E71B56">
                <w:rPr>
                  <w:rStyle w:val="Hyperlink"/>
                  <w:rFonts w:ascii="Calibri" w:hAnsi="Calibri" w:cs="Calibri"/>
                  <w:szCs w:val="24"/>
                  <w:lang w:val="es-ES"/>
                </w:rPr>
                <w:t>C</w:t>
              </w:r>
              <w:r w:rsidRPr="00E71B56">
                <w:rPr>
                  <w:rStyle w:val="Hyperlink"/>
                  <w:rFonts w:ascii="Calibri" w:hAnsi="Calibri" w:cs="Calibri"/>
                  <w:szCs w:val="24"/>
                  <w:lang w:val="es-ES"/>
                </w:rPr>
                <w:t>-25/2(Ann.3)</w:t>
              </w:r>
            </w:hyperlink>
            <w:r w:rsidRPr="00E71B56">
              <w:rPr>
                <w:rFonts w:ascii="Calibri" w:hAnsi="Calibri" w:cs="Calibri"/>
                <w:szCs w:val="24"/>
                <w:lang w:val="es-ES"/>
              </w:rPr>
              <w:t xml:space="preserve"> – Dashboards</w:t>
            </w:r>
          </w:p>
        </w:tc>
      </w:tr>
    </w:tbl>
    <w:p w14:paraId="7A2CF7BD" w14:textId="77777777" w:rsidR="00A023EF" w:rsidRPr="00E71B56" w:rsidRDefault="00A023EF">
      <w:pPr>
        <w:tabs>
          <w:tab w:val="clear" w:pos="1134"/>
          <w:tab w:val="clear" w:pos="1871"/>
          <w:tab w:val="clear" w:pos="2268"/>
        </w:tabs>
        <w:overflowPunct/>
        <w:autoSpaceDE/>
        <w:autoSpaceDN/>
        <w:adjustRightInd/>
        <w:spacing w:before="0"/>
        <w:textAlignment w:val="auto"/>
        <w:rPr>
          <w:lang w:val="es-ES"/>
        </w:rPr>
      </w:pPr>
      <w:r w:rsidRPr="00E71B56">
        <w:rPr>
          <w:lang w:val="es-ES"/>
        </w:rPr>
        <w:lastRenderedPageBreak/>
        <w:br w:type="page"/>
      </w:r>
    </w:p>
    <w:p w14:paraId="1D79AE6E" w14:textId="77777777" w:rsidR="00BD155E" w:rsidRPr="00E71B56" w:rsidRDefault="00BD155E" w:rsidP="00BD155E">
      <w:pPr>
        <w:pStyle w:val="Title4"/>
        <w:rPr>
          <w:lang w:val="es-ES"/>
        </w:rPr>
      </w:pPr>
      <w:bookmarkStart w:id="8" w:name="_Hlk213669134"/>
      <w:r w:rsidRPr="00E71B56">
        <w:rPr>
          <w:lang w:val="es-ES"/>
        </w:rPr>
        <w:lastRenderedPageBreak/>
        <w:t>Índice</w:t>
      </w:r>
    </w:p>
    <w:p w14:paraId="602568BB" w14:textId="77777777" w:rsidR="00BD155E" w:rsidRPr="00E71B56" w:rsidRDefault="00BD155E" w:rsidP="00BD155E">
      <w:pPr>
        <w:pStyle w:val="toc0"/>
        <w:rPr>
          <w:lang w:val="es-ES"/>
        </w:rPr>
      </w:pPr>
      <w:r w:rsidRPr="00E71B56">
        <w:rPr>
          <w:lang w:val="es-ES"/>
        </w:rPr>
        <w:tab/>
        <w:t>Página</w:t>
      </w:r>
    </w:p>
    <w:p w14:paraId="162FC5AC" w14:textId="5EDD0B77" w:rsidR="00BD155E" w:rsidRPr="00E71B56" w:rsidRDefault="00BD155E" w:rsidP="00BD155E">
      <w:pPr>
        <w:pStyle w:val="TOC1"/>
        <w:rPr>
          <w:rFonts w:eastAsiaTheme="minorEastAsia" w:cstheme="minorBidi"/>
          <w:b/>
          <w:bCs/>
          <w:noProof/>
          <w:kern w:val="2"/>
          <w:szCs w:val="24"/>
          <w:lang w:val="es-ES" w:eastAsia="es-ES"/>
          <w14:ligatures w14:val="standardContextual"/>
        </w:rPr>
      </w:pPr>
      <w:r w:rsidRPr="00E71B56">
        <w:rPr>
          <w:lang w:val="es-ES"/>
        </w:rPr>
        <w:fldChar w:fldCharType="begin"/>
      </w:r>
      <w:r w:rsidRPr="00E71B56">
        <w:rPr>
          <w:lang w:val="es-ES"/>
        </w:rPr>
        <w:instrText xml:space="preserve"> TOC \o "2-3" \h \z \t "Heading 1;1" </w:instrText>
      </w:r>
      <w:r w:rsidRPr="00E71B56">
        <w:rPr>
          <w:lang w:val="es-ES"/>
        </w:rPr>
        <w:fldChar w:fldCharType="separate"/>
      </w:r>
      <w:hyperlink w:anchor="_Toc213427960" w:history="1">
        <w:r w:rsidRPr="00E71B56">
          <w:rPr>
            <w:rStyle w:val="Hyperlink"/>
            <w:b/>
            <w:bCs/>
            <w:noProof/>
            <w:lang w:val="es-ES"/>
          </w:rPr>
          <w:t>Introducción</w:t>
        </w:r>
        <w:r w:rsidRPr="00E71B56">
          <w:rPr>
            <w:b/>
            <w:bCs/>
            <w:noProof/>
            <w:webHidden/>
            <w:lang w:val="es-ES"/>
          </w:rPr>
          <w:tab/>
        </w:r>
        <w:r w:rsidRPr="00E71B56">
          <w:rPr>
            <w:b/>
            <w:bCs/>
            <w:noProof/>
            <w:webHidden/>
            <w:lang w:val="es-ES"/>
          </w:rPr>
          <w:tab/>
        </w:r>
        <w:r w:rsidRPr="00E71B56">
          <w:rPr>
            <w:b/>
            <w:bCs/>
            <w:noProof/>
            <w:webHidden/>
            <w:lang w:val="es-ES"/>
          </w:rPr>
          <w:tab/>
        </w:r>
        <w:r w:rsidRPr="00E71B56">
          <w:rPr>
            <w:noProof/>
            <w:webHidden/>
            <w:lang w:val="es-ES"/>
          </w:rPr>
          <w:fldChar w:fldCharType="begin"/>
        </w:r>
        <w:r w:rsidRPr="00E71B56">
          <w:rPr>
            <w:noProof/>
            <w:webHidden/>
            <w:lang w:val="es-ES"/>
          </w:rPr>
          <w:instrText xml:space="preserve"> PAGEREF _Toc213427960 \h </w:instrText>
        </w:r>
        <w:r w:rsidRPr="00E71B56">
          <w:rPr>
            <w:noProof/>
            <w:webHidden/>
            <w:lang w:val="es-ES"/>
          </w:rPr>
        </w:r>
        <w:r w:rsidRPr="00E71B56">
          <w:rPr>
            <w:noProof/>
            <w:webHidden/>
            <w:lang w:val="es-ES"/>
          </w:rPr>
          <w:fldChar w:fldCharType="separate"/>
        </w:r>
        <w:r w:rsidR="00C571D9">
          <w:rPr>
            <w:noProof/>
            <w:webHidden/>
            <w:lang w:val="es-ES"/>
          </w:rPr>
          <w:t>4</w:t>
        </w:r>
        <w:r w:rsidRPr="00E71B56">
          <w:rPr>
            <w:noProof/>
            <w:webHidden/>
            <w:lang w:val="es-ES"/>
          </w:rPr>
          <w:fldChar w:fldCharType="end"/>
        </w:r>
      </w:hyperlink>
    </w:p>
    <w:p w14:paraId="41BF1500" w14:textId="601310EB" w:rsidR="00BD155E" w:rsidRPr="00E71B56" w:rsidRDefault="00BD155E" w:rsidP="00BD155E">
      <w:pPr>
        <w:pStyle w:val="TOC1"/>
        <w:rPr>
          <w:rFonts w:eastAsiaTheme="minorEastAsia" w:cstheme="minorBidi"/>
          <w:b/>
          <w:bCs/>
          <w:noProof/>
          <w:kern w:val="2"/>
          <w:szCs w:val="24"/>
          <w:lang w:val="es-ES" w:eastAsia="es-ES"/>
          <w14:ligatures w14:val="standardContextual"/>
        </w:rPr>
      </w:pPr>
      <w:hyperlink w:anchor="_Toc213427961" w:history="1">
        <w:r w:rsidRPr="00E71B56">
          <w:rPr>
            <w:rStyle w:val="Hyperlink"/>
            <w:b/>
            <w:bCs/>
            <w:noProof/>
            <w:lang w:val="es-ES"/>
          </w:rPr>
          <w:t>Impacto de la labor del UIT</w:t>
        </w:r>
        <w:r w:rsidRPr="00E71B56">
          <w:rPr>
            <w:rStyle w:val="Hyperlink"/>
            <w:b/>
            <w:bCs/>
            <w:noProof/>
            <w:lang w:val="es-ES"/>
          </w:rPr>
          <w:noBreakHyphen/>
          <w:t>D</w:t>
        </w:r>
        <w:r w:rsidRPr="00E71B56">
          <w:rPr>
            <w:b/>
            <w:bCs/>
            <w:noProof/>
            <w:webHidden/>
            <w:lang w:val="es-ES"/>
          </w:rPr>
          <w:tab/>
        </w:r>
        <w:r w:rsidRPr="00E71B56">
          <w:rPr>
            <w:b/>
            <w:bCs/>
            <w:noProof/>
            <w:webHidden/>
            <w:lang w:val="es-ES"/>
          </w:rPr>
          <w:tab/>
        </w:r>
        <w:r w:rsidRPr="00E71B56">
          <w:rPr>
            <w:noProof/>
            <w:webHidden/>
            <w:lang w:val="es-ES"/>
          </w:rPr>
          <w:fldChar w:fldCharType="begin"/>
        </w:r>
        <w:r w:rsidRPr="00E71B56">
          <w:rPr>
            <w:noProof/>
            <w:webHidden/>
            <w:lang w:val="es-ES"/>
          </w:rPr>
          <w:instrText xml:space="preserve"> PAGEREF _Toc213427961 \h </w:instrText>
        </w:r>
        <w:r w:rsidRPr="00E71B56">
          <w:rPr>
            <w:noProof/>
            <w:webHidden/>
            <w:lang w:val="es-ES"/>
          </w:rPr>
        </w:r>
        <w:r w:rsidRPr="00E71B56">
          <w:rPr>
            <w:noProof/>
            <w:webHidden/>
            <w:lang w:val="es-ES"/>
          </w:rPr>
          <w:fldChar w:fldCharType="separate"/>
        </w:r>
        <w:r w:rsidR="00C571D9">
          <w:rPr>
            <w:noProof/>
            <w:webHidden/>
            <w:lang w:val="es-ES"/>
          </w:rPr>
          <w:t>4</w:t>
        </w:r>
        <w:r w:rsidRPr="00E71B56">
          <w:rPr>
            <w:noProof/>
            <w:webHidden/>
            <w:lang w:val="es-ES"/>
          </w:rPr>
          <w:fldChar w:fldCharType="end"/>
        </w:r>
      </w:hyperlink>
    </w:p>
    <w:p w14:paraId="5A957FB5" w14:textId="45C81EC5" w:rsidR="00BD155E" w:rsidRPr="00E71B56" w:rsidRDefault="00BD155E" w:rsidP="00BD155E">
      <w:pPr>
        <w:pStyle w:val="TOC1"/>
        <w:rPr>
          <w:rFonts w:eastAsiaTheme="minorEastAsia" w:cstheme="minorBidi"/>
          <w:b/>
          <w:bCs/>
          <w:noProof/>
          <w:kern w:val="2"/>
          <w:szCs w:val="24"/>
          <w:lang w:val="es-ES" w:eastAsia="es-ES"/>
          <w14:ligatures w14:val="standardContextual"/>
        </w:rPr>
      </w:pPr>
      <w:hyperlink w:anchor="_Toc213427962" w:history="1">
        <w:r w:rsidRPr="00E71B56">
          <w:rPr>
            <w:rStyle w:val="Hyperlink"/>
            <w:b/>
            <w:bCs/>
            <w:noProof/>
            <w:lang w:val="es-ES"/>
          </w:rPr>
          <w:t>Informe</w:t>
        </w:r>
        <w:r w:rsidRPr="00E71B56">
          <w:rPr>
            <w:b/>
            <w:bCs/>
            <w:noProof/>
            <w:webHidden/>
            <w:lang w:val="es-ES"/>
          </w:rPr>
          <w:tab/>
        </w:r>
        <w:r w:rsidRPr="00E71B56">
          <w:rPr>
            <w:b/>
            <w:bCs/>
            <w:noProof/>
            <w:webHidden/>
            <w:lang w:val="es-ES"/>
          </w:rPr>
          <w:tab/>
        </w:r>
        <w:r w:rsidRPr="00E71B56">
          <w:rPr>
            <w:b/>
            <w:bCs/>
            <w:noProof/>
            <w:webHidden/>
            <w:lang w:val="es-ES"/>
          </w:rPr>
          <w:tab/>
        </w:r>
        <w:r w:rsidRPr="00E71B56">
          <w:rPr>
            <w:noProof/>
            <w:webHidden/>
            <w:lang w:val="es-ES"/>
          </w:rPr>
          <w:fldChar w:fldCharType="begin"/>
        </w:r>
        <w:r w:rsidRPr="00E71B56">
          <w:rPr>
            <w:noProof/>
            <w:webHidden/>
            <w:lang w:val="es-ES"/>
          </w:rPr>
          <w:instrText xml:space="preserve"> PAGEREF _Toc213427962 \h </w:instrText>
        </w:r>
        <w:r w:rsidRPr="00E71B56">
          <w:rPr>
            <w:noProof/>
            <w:webHidden/>
            <w:lang w:val="es-ES"/>
          </w:rPr>
        </w:r>
        <w:r w:rsidRPr="00E71B56">
          <w:rPr>
            <w:noProof/>
            <w:webHidden/>
            <w:lang w:val="es-ES"/>
          </w:rPr>
          <w:fldChar w:fldCharType="separate"/>
        </w:r>
        <w:r w:rsidR="00C571D9">
          <w:rPr>
            <w:noProof/>
            <w:webHidden/>
            <w:lang w:val="es-ES"/>
          </w:rPr>
          <w:t>1</w:t>
        </w:r>
        <w:r w:rsidRPr="00E71B56">
          <w:rPr>
            <w:noProof/>
            <w:webHidden/>
            <w:lang w:val="es-ES"/>
          </w:rPr>
          <w:fldChar w:fldCharType="end"/>
        </w:r>
      </w:hyperlink>
    </w:p>
    <w:p w14:paraId="3451335F" w14:textId="6E13C0E7" w:rsidR="00BD155E" w:rsidRPr="00E71B56" w:rsidRDefault="00BD155E" w:rsidP="00BD155E">
      <w:pPr>
        <w:pStyle w:val="TOC2"/>
        <w:rPr>
          <w:rFonts w:eastAsiaTheme="minorEastAsia" w:cstheme="minorBidi"/>
          <w:b/>
          <w:bCs/>
          <w:noProof/>
          <w:kern w:val="2"/>
          <w:szCs w:val="24"/>
          <w:lang w:val="es-ES" w:eastAsia="es-ES"/>
          <w14:ligatures w14:val="standardContextual"/>
        </w:rPr>
      </w:pPr>
      <w:r w:rsidRPr="00E71B56">
        <w:rPr>
          <w:b/>
          <w:bCs/>
          <w:noProof/>
          <w:lang w:val="es-ES"/>
        </w:rPr>
        <w:tab/>
      </w:r>
      <w:hyperlink w:anchor="_Toc213427963" w:history="1">
        <w:r w:rsidRPr="00E71B56">
          <w:rPr>
            <w:rStyle w:val="Hyperlink"/>
            <w:b/>
            <w:bCs/>
            <w:noProof/>
            <w:lang w:val="es-ES"/>
          </w:rPr>
          <w:t>Prioridad 1 del UIT</w:t>
        </w:r>
        <w:r w:rsidRPr="00E71B56">
          <w:rPr>
            <w:rStyle w:val="Hyperlink"/>
            <w:b/>
            <w:bCs/>
            <w:noProof/>
            <w:lang w:val="es-ES"/>
          </w:rPr>
          <w:noBreakHyphen/>
          <w:t>D: Conectividad asequible</w:t>
        </w:r>
        <w:r w:rsidRPr="00E71B56">
          <w:rPr>
            <w:b/>
            <w:bCs/>
            <w:noProof/>
            <w:webHidden/>
            <w:lang w:val="es-ES"/>
          </w:rPr>
          <w:tab/>
        </w:r>
        <w:r w:rsidRPr="00E71B56">
          <w:rPr>
            <w:b/>
            <w:bCs/>
            <w:noProof/>
            <w:webHidden/>
            <w:lang w:val="es-ES"/>
          </w:rPr>
          <w:tab/>
        </w:r>
        <w:r w:rsidRPr="00E71B56">
          <w:rPr>
            <w:noProof/>
            <w:webHidden/>
            <w:lang w:val="es-ES"/>
          </w:rPr>
          <w:fldChar w:fldCharType="begin"/>
        </w:r>
        <w:r w:rsidRPr="00E71B56">
          <w:rPr>
            <w:noProof/>
            <w:webHidden/>
            <w:lang w:val="es-ES"/>
          </w:rPr>
          <w:instrText xml:space="preserve"> PAGEREF _Toc213427963 \h </w:instrText>
        </w:r>
        <w:r w:rsidRPr="00E71B56">
          <w:rPr>
            <w:noProof/>
            <w:webHidden/>
            <w:lang w:val="es-ES"/>
          </w:rPr>
        </w:r>
        <w:r w:rsidRPr="00E71B56">
          <w:rPr>
            <w:noProof/>
            <w:webHidden/>
            <w:lang w:val="es-ES"/>
          </w:rPr>
          <w:fldChar w:fldCharType="separate"/>
        </w:r>
        <w:r w:rsidR="00C571D9">
          <w:rPr>
            <w:noProof/>
            <w:webHidden/>
            <w:lang w:val="es-ES"/>
          </w:rPr>
          <w:t>1</w:t>
        </w:r>
        <w:r w:rsidRPr="00E71B56">
          <w:rPr>
            <w:noProof/>
            <w:webHidden/>
            <w:lang w:val="es-ES"/>
          </w:rPr>
          <w:fldChar w:fldCharType="end"/>
        </w:r>
      </w:hyperlink>
    </w:p>
    <w:p w14:paraId="2A2C9D94" w14:textId="2AD7DC0B" w:rsidR="00BD155E" w:rsidRPr="00E71B56" w:rsidRDefault="00BD155E" w:rsidP="00BD155E">
      <w:pPr>
        <w:pStyle w:val="TOC3"/>
        <w:rPr>
          <w:rFonts w:eastAsiaTheme="minorEastAsia" w:cstheme="minorBidi"/>
          <w:noProof/>
          <w:kern w:val="2"/>
          <w:szCs w:val="24"/>
          <w:lang w:val="es-ES" w:eastAsia="es-ES"/>
          <w14:ligatures w14:val="standardContextual"/>
        </w:rPr>
      </w:pPr>
      <w:r w:rsidRPr="00E71B56">
        <w:rPr>
          <w:noProof/>
          <w:lang w:val="es-ES"/>
        </w:rPr>
        <w:tab/>
      </w:r>
      <w:r w:rsidRPr="00E71B56">
        <w:rPr>
          <w:noProof/>
          <w:lang w:val="es-ES"/>
        </w:rPr>
        <w:tab/>
      </w:r>
      <w:hyperlink w:anchor="_Toc213427964" w:history="1">
        <w:r w:rsidRPr="00E71B56">
          <w:rPr>
            <w:rStyle w:val="Hyperlink"/>
            <w:noProof/>
            <w:lang w:val="es-ES"/>
          </w:rPr>
          <w:t>Telecomunicaciones de emergencia</w:t>
        </w:r>
        <w:r w:rsidRPr="00E71B56">
          <w:rPr>
            <w:noProof/>
            <w:webHidden/>
            <w:lang w:val="es-ES"/>
          </w:rPr>
          <w:tab/>
        </w:r>
        <w:r w:rsidRPr="00E71B56">
          <w:rPr>
            <w:noProof/>
            <w:webHidden/>
            <w:lang w:val="es-ES"/>
          </w:rPr>
          <w:tab/>
        </w:r>
        <w:r w:rsidRPr="00E71B56">
          <w:rPr>
            <w:noProof/>
            <w:webHidden/>
            <w:lang w:val="es-ES"/>
          </w:rPr>
          <w:fldChar w:fldCharType="begin"/>
        </w:r>
        <w:r w:rsidRPr="00E71B56">
          <w:rPr>
            <w:noProof/>
            <w:webHidden/>
            <w:lang w:val="es-ES"/>
          </w:rPr>
          <w:instrText xml:space="preserve"> PAGEREF _Toc213427964 \h </w:instrText>
        </w:r>
        <w:r w:rsidRPr="00E71B56">
          <w:rPr>
            <w:noProof/>
            <w:webHidden/>
            <w:lang w:val="es-ES"/>
          </w:rPr>
        </w:r>
        <w:r w:rsidRPr="00E71B56">
          <w:rPr>
            <w:noProof/>
            <w:webHidden/>
            <w:lang w:val="es-ES"/>
          </w:rPr>
          <w:fldChar w:fldCharType="separate"/>
        </w:r>
        <w:r w:rsidR="00C571D9">
          <w:rPr>
            <w:noProof/>
            <w:webHidden/>
            <w:lang w:val="es-ES"/>
          </w:rPr>
          <w:t>1</w:t>
        </w:r>
        <w:r w:rsidRPr="00E71B56">
          <w:rPr>
            <w:noProof/>
            <w:webHidden/>
            <w:lang w:val="es-ES"/>
          </w:rPr>
          <w:fldChar w:fldCharType="end"/>
        </w:r>
      </w:hyperlink>
    </w:p>
    <w:p w14:paraId="0CA5F6FC" w14:textId="7E94B5FA" w:rsidR="00BD155E" w:rsidRPr="00E71B56" w:rsidRDefault="00BD155E" w:rsidP="00BD155E">
      <w:pPr>
        <w:pStyle w:val="TOC3"/>
        <w:rPr>
          <w:rFonts w:eastAsiaTheme="minorEastAsia" w:cstheme="minorBidi"/>
          <w:noProof/>
          <w:kern w:val="2"/>
          <w:szCs w:val="24"/>
          <w:lang w:val="es-ES" w:eastAsia="es-ES"/>
          <w14:ligatures w14:val="standardContextual"/>
        </w:rPr>
      </w:pPr>
      <w:r w:rsidRPr="00E71B56">
        <w:rPr>
          <w:noProof/>
          <w:lang w:val="es-ES"/>
        </w:rPr>
        <w:tab/>
      </w:r>
      <w:r w:rsidRPr="00E71B56">
        <w:rPr>
          <w:noProof/>
          <w:lang w:val="es-ES"/>
        </w:rPr>
        <w:tab/>
      </w:r>
      <w:hyperlink w:anchor="_Toc213427965" w:history="1">
        <w:r w:rsidRPr="00E71B56">
          <w:rPr>
            <w:rStyle w:val="Hyperlink"/>
            <w:noProof/>
            <w:lang w:val="es-ES"/>
          </w:rPr>
          <w:t>Infraestructura de red y digital</w:t>
        </w:r>
        <w:r w:rsidRPr="00E71B56">
          <w:rPr>
            <w:noProof/>
            <w:webHidden/>
            <w:lang w:val="es-ES"/>
          </w:rPr>
          <w:tab/>
        </w:r>
        <w:r w:rsidRPr="00E71B56">
          <w:rPr>
            <w:noProof/>
            <w:webHidden/>
            <w:lang w:val="es-ES"/>
          </w:rPr>
          <w:tab/>
        </w:r>
        <w:r w:rsidRPr="00E71B56">
          <w:rPr>
            <w:noProof/>
            <w:webHidden/>
            <w:lang w:val="es-ES"/>
          </w:rPr>
          <w:fldChar w:fldCharType="begin"/>
        </w:r>
        <w:r w:rsidRPr="00E71B56">
          <w:rPr>
            <w:noProof/>
            <w:webHidden/>
            <w:lang w:val="es-ES"/>
          </w:rPr>
          <w:instrText xml:space="preserve"> PAGEREF _Toc213427965 \h </w:instrText>
        </w:r>
        <w:r w:rsidRPr="00E71B56">
          <w:rPr>
            <w:noProof/>
            <w:webHidden/>
            <w:lang w:val="es-ES"/>
          </w:rPr>
        </w:r>
        <w:r w:rsidRPr="00E71B56">
          <w:rPr>
            <w:noProof/>
            <w:webHidden/>
            <w:lang w:val="es-ES"/>
          </w:rPr>
          <w:fldChar w:fldCharType="separate"/>
        </w:r>
        <w:r w:rsidR="00C571D9">
          <w:rPr>
            <w:noProof/>
            <w:webHidden/>
            <w:lang w:val="es-ES"/>
          </w:rPr>
          <w:t>7</w:t>
        </w:r>
        <w:r w:rsidRPr="00E71B56">
          <w:rPr>
            <w:noProof/>
            <w:webHidden/>
            <w:lang w:val="es-ES"/>
          </w:rPr>
          <w:fldChar w:fldCharType="end"/>
        </w:r>
      </w:hyperlink>
    </w:p>
    <w:p w14:paraId="5600C835" w14:textId="532572BD" w:rsidR="00BD155E" w:rsidRPr="00E71B56" w:rsidRDefault="00BD155E" w:rsidP="00BD155E">
      <w:pPr>
        <w:pStyle w:val="TOC2"/>
        <w:rPr>
          <w:rFonts w:eastAsiaTheme="minorEastAsia" w:cstheme="minorBidi"/>
          <w:b/>
          <w:bCs/>
          <w:noProof/>
          <w:kern w:val="2"/>
          <w:szCs w:val="24"/>
          <w:lang w:val="es-ES" w:eastAsia="es-ES"/>
          <w14:ligatures w14:val="standardContextual"/>
        </w:rPr>
      </w:pPr>
      <w:r w:rsidRPr="00E71B56">
        <w:rPr>
          <w:b/>
          <w:bCs/>
          <w:noProof/>
          <w:lang w:val="es-ES"/>
        </w:rPr>
        <w:tab/>
      </w:r>
      <w:hyperlink w:anchor="_Toc213427966" w:history="1">
        <w:r w:rsidRPr="00E71B56">
          <w:rPr>
            <w:rStyle w:val="Hyperlink"/>
            <w:b/>
            <w:bCs/>
            <w:noProof/>
            <w:lang w:val="es-ES"/>
          </w:rPr>
          <w:t>Prioridad 2 del UIT</w:t>
        </w:r>
        <w:r w:rsidRPr="00E71B56">
          <w:rPr>
            <w:rStyle w:val="Hyperlink"/>
            <w:b/>
            <w:bCs/>
            <w:noProof/>
            <w:lang w:val="es-ES"/>
          </w:rPr>
          <w:noBreakHyphen/>
          <w:t>D: Transformación digital</w:t>
        </w:r>
        <w:r w:rsidRPr="00E71B56">
          <w:rPr>
            <w:b/>
            <w:bCs/>
            <w:noProof/>
            <w:webHidden/>
            <w:lang w:val="es-ES"/>
          </w:rPr>
          <w:tab/>
        </w:r>
        <w:r w:rsidRPr="00E71B56">
          <w:rPr>
            <w:b/>
            <w:bCs/>
            <w:noProof/>
            <w:webHidden/>
            <w:lang w:val="es-ES"/>
          </w:rPr>
          <w:tab/>
        </w:r>
        <w:r w:rsidRPr="00E71B56">
          <w:rPr>
            <w:noProof/>
            <w:webHidden/>
            <w:lang w:val="es-ES"/>
          </w:rPr>
          <w:fldChar w:fldCharType="begin"/>
        </w:r>
        <w:r w:rsidRPr="00E71B56">
          <w:rPr>
            <w:noProof/>
            <w:webHidden/>
            <w:lang w:val="es-ES"/>
          </w:rPr>
          <w:instrText xml:space="preserve"> PAGEREF _Toc213427966 \h </w:instrText>
        </w:r>
        <w:r w:rsidRPr="00E71B56">
          <w:rPr>
            <w:noProof/>
            <w:webHidden/>
            <w:lang w:val="es-ES"/>
          </w:rPr>
        </w:r>
        <w:r w:rsidRPr="00E71B56">
          <w:rPr>
            <w:noProof/>
            <w:webHidden/>
            <w:lang w:val="es-ES"/>
          </w:rPr>
          <w:fldChar w:fldCharType="separate"/>
        </w:r>
        <w:r w:rsidR="00C571D9">
          <w:rPr>
            <w:noProof/>
            <w:webHidden/>
            <w:lang w:val="es-ES"/>
          </w:rPr>
          <w:t>14</w:t>
        </w:r>
        <w:r w:rsidRPr="00E71B56">
          <w:rPr>
            <w:noProof/>
            <w:webHidden/>
            <w:lang w:val="es-ES"/>
          </w:rPr>
          <w:fldChar w:fldCharType="end"/>
        </w:r>
      </w:hyperlink>
    </w:p>
    <w:p w14:paraId="770D8EF7" w14:textId="38F39B77" w:rsidR="00BD155E" w:rsidRPr="00E71B56" w:rsidRDefault="00BD155E" w:rsidP="00BD155E">
      <w:pPr>
        <w:pStyle w:val="TOC3"/>
        <w:rPr>
          <w:rFonts w:eastAsiaTheme="minorEastAsia" w:cstheme="minorBidi"/>
          <w:noProof/>
          <w:kern w:val="2"/>
          <w:szCs w:val="24"/>
          <w:lang w:val="es-ES" w:eastAsia="es-ES"/>
          <w14:ligatures w14:val="standardContextual"/>
        </w:rPr>
      </w:pPr>
      <w:r w:rsidRPr="00E71B56">
        <w:rPr>
          <w:noProof/>
          <w:lang w:val="es-ES"/>
        </w:rPr>
        <w:tab/>
      </w:r>
      <w:r w:rsidRPr="00E71B56">
        <w:rPr>
          <w:noProof/>
          <w:lang w:val="es-ES"/>
        </w:rPr>
        <w:tab/>
      </w:r>
      <w:hyperlink w:anchor="_Toc213427967" w:history="1">
        <w:r w:rsidRPr="00E71B56">
          <w:rPr>
            <w:rStyle w:val="Hyperlink"/>
            <w:noProof/>
            <w:lang w:val="es-ES"/>
          </w:rPr>
          <w:t>Ecosistema de innovación digital</w:t>
        </w:r>
        <w:r w:rsidRPr="00E71B56">
          <w:rPr>
            <w:noProof/>
            <w:webHidden/>
            <w:lang w:val="es-ES"/>
          </w:rPr>
          <w:tab/>
        </w:r>
        <w:r w:rsidRPr="00E71B56">
          <w:rPr>
            <w:noProof/>
            <w:webHidden/>
            <w:lang w:val="es-ES"/>
          </w:rPr>
          <w:tab/>
        </w:r>
        <w:r w:rsidRPr="00E71B56">
          <w:rPr>
            <w:noProof/>
            <w:webHidden/>
            <w:lang w:val="es-ES"/>
          </w:rPr>
          <w:fldChar w:fldCharType="begin"/>
        </w:r>
        <w:r w:rsidRPr="00E71B56">
          <w:rPr>
            <w:noProof/>
            <w:webHidden/>
            <w:lang w:val="es-ES"/>
          </w:rPr>
          <w:instrText xml:space="preserve"> PAGEREF _Toc213427967 \h </w:instrText>
        </w:r>
        <w:r w:rsidRPr="00E71B56">
          <w:rPr>
            <w:noProof/>
            <w:webHidden/>
            <w:lang w:val="es-ES"/>
          </w:rPr>
        </w:r>
        <w:r w:rsidRPr="00E71B56">
          <w:rPr>
            <w:noProof/>
            <w:webHidden/>
            <w:lang w:val="es-ES"/>
          </w:rPr>
          <w:fldChar w:fldCharType="separate"/>
        </w:r>
        <w:r w:rsidR="00C571D9">
          <w:rPr>
            <w:noProof/>
            <w:webHidden/>
            <w:lang w:val="es-ES"/>
          </w:rPr>
          <w:t>14</w:t>
        </w:r>
        <w:r w:rsidRPr="00E71B56">
          <w:rPr>
            <w:noProof/>
            <w:webHidden/>
            <w:lang w:val="es-ES"/>
          </w:rPr>
          <w:fldChar w:fldCharType="end"/>
        </w:r>
      </w:hyperlink>
    </w:p>
    <w:p w14:paraId="5E328148" w14:textId="55E0F280" w:rsidR="00BD155E" w:rsidRPr="00E71B56" w:rsidRDefault="00BD155E" w:rsidP="00BD155E">
      <w:pPr>
        <w:pStyle w:val="TOC3"/>
        <w:rPr>
          <w:rFonts w:eastAsiaTheme="minorEastAsia" w:cstheme="minorBidi"/>
          <w:noProof/>
          <w:kern w:val="2"/>
          <w:szCs w:val="24"/>
          <w:lang w:val="es-ES" w:eastAsia="es-ES"/>
          <w14:ligatures w14:val="standardContextual"/>
        </w:rPr>
      </w:pPr>
      <w:r w:rsidRPr="00E71B56">
        <w:rPr>
          <w:noProof/>
          <w:lang w:val="es-ES"/>
        </w:rPr>
        <w:tab/>
      </w:r>
      <w:r w:rsidRPr="00E71B56">
        <w:rPr>
          <w:noProof/>
          <w:lang w:val="es-ES"/>
        </w:rPr>
        <w:tab/>
      </w:r>
      <w:hyperlink w:anchor="_Toc213427968" w:history="1">
        <w:r w:rsidRPr="00E71B56">
          <w:rPr>
            <w:rStyle w:val="Hyperlink"/>
            <w:noProof/>
            <w:lang w:val="es-ES"/>
          </w:rPr>
          <w:t>Servicios y aplicaciones digitales</w:t>
        </w:r>
        <w:r w:rsidRPr="00E71B56">
          <w:rPr>
            <w:noProof/>
            <w:webHidden/>
            <w:lang w:val="es-ES"/>
          </w:rPr>
          <w:tab/>
        </w:r>
        <w:r w:rsidRPr="00E71B56">
          <w:rPr>
            <w:noProof/>
            <w:webHidden/>
            <w:lang w:val="es-ES"/>
          </w:rPr>
          <w:tab/>
        </w:r>
        <w:r w:rsidRPr="00E71B56">
          <w:rPr>
            <w:noProof/>
            <w:webHidden/>
            <w:lang w:val="es-ES"/>
          </w:rPr>
          <w:fldChar w:fldCharType="begin"/>
        </w:r>
        <w:r w:rsidRPr="00E71B56">
          <w:rPr>
            <w:noProof/>
            <w:webHidden/>
            <w:lang w:val="es-ES"/>
          </w:rPr>
          <w:instrText xml:space="preserve"> PAGEREF _Toc213427968 \h </w:instrText>
        </w:r>
        <w:r w:rsidRPr="00E71B56">
          <w:rPr>
            <w:noProof/>
            <w:webHidden/>
            <w:lang w:val="es-ES"/>
          </w:rPr>
        </w:r>
        <w:r w:rsidRPr="00E71B56">
          <w:rPr>
            <w:noProof/>
            <w:webHidden/>
            <w:lang w:val="es-ES"/>
          </w:rPr>
          <w:fldChar w:fldCharType="separate"/>
        </w:r>
        <w:r w:rsidR="00C571D9">
          <w:rPr>
            <w:noProof/>
            <w:webHidden/>
            <w:lang w:val="es-ES"/>
          </w:rPr>
          <w:t>20</w:t>
        </w:r>
        <w:r w:rsidRPr="00E71B56">
          <w:rPr>
            <w:noProof/>
            <w:webHidden/>
            <w:lang w:val="es-ES"/>
          </w:rPr>
          <w:fldChar w:fldCharType="end"/>
        </w:r>
      </w:hyperlink>
    </w:p>
    <w:p w14:paraId="52968231" w14:textId="6C664E16" w:rsidR="00BD155E" w:rsidRPr="00E71B56" w:rsidRDefault="00BD155E" w:rsidP="00BD155E">
      <w:pPr>
        <w:pStyle w:val="TOC2"/>
        <w:rPr>
          <w:rFonts w:eastAsiaTheme="minorEastAsia" w:cstheme="minorBidi"/>
          <w:b/>
          <w:bCs/>
          <w:noProof/>
          <w:kern w:val="2"/>
          <w:szCs w:val="24"/>
          <w:lang w:val="es-ES" w:eastAsia="es-ES"/>
          <w14:ligatures w14:val="standardContextual"/>
        </w:rPr>
      </w:pPr>
      <w:r w:rsidRPr="00E71B56">
        <w:rPr>
          <w:b/>
          <w:bCs/>
          <w:noProof/>
          <w:lang w:val="es-ES"/>
        </w:rPr>
        <w:tab/>
      </w:r>
      <w:hyperlink w:anchor="_Toc213427969" w:history="1">
        <w:r w:rsidRPr="00E71B56">
          <w:rPr>
            <w:rStyle w:val="Hyperlink"/>
            <w:b/>
            <w:bCs/>
            <w:noProof/>
            <w:lang w:val="es-ES"/>
          </w:rPr>
          <w:t>Prioridad 3 del UIT</w:t>
        </w:r>
        <w:r w:rsidRPr="00E71B56">
          <w:rPr>
            <w:rStyle w:val="Hyperlink"/>
            <w:b/>
            <w:bCs/>
            <w:noProof/>
            <w:lang w:val="es-ES"/>
          </w:rPr>
          <w:noBreakHyphen/>
          <w:t>D: Entorno político y reglamentario propicio</w:t>
        </w:r>
        <w:r w:rsidRPr="00E71B56">
          <w:rPr>
            <w:b/>
            <w:bCs/>
            <w:noProof/>
            <w:webHidden/>
            <w:lang w:val="es-ES"/>
          </w:rPr>
          <w:tab/>
        </w:r>
        <w:r w:rsidRPr="00E71B56">
          <w:rPr>
            <w:b/>
            <w:bCs/>
            <w:noProof/>
            <w:webHidden/>
            <w:lang w:val="es-ES"/>
          </w:rPr>
          <w:tab/>
        </w:r>
        <w:r w:rsidRPr="00E71B56">
          <w:rPr>
            <w:noProof/>
            <w:webHidden/>
            <w:lang w:val="es-ES"/>
          </w:rPr>
          <w:fldChar w:fldCharType="begin"/>
        </w:r>
        <w:r w:rsidRPr="00E71B56">
          <w:rPr>
            <w:noProof/>
            <w:webHidden/>
            <w:lang w:val="es-ES"/>
          </w:rPr>
          <w:instrText xml:space="preserve"> PAGEREF _Toc213427969 \h </w:instrText>
        </w:r>
        <w:r w:rsidRPr="00E71B56">
          <w:rPr>
            <w:noProof/>
            <w:webHidden/>
            <w:lang w:val="es-ES"/>
          </w:rPr>
        </w:r>
        <w:r w:rsidRPr="00E71B56">
          <w:rPr>
            <w:noProof/>
            <w:webHidden/>
            <w:lang w:val="es-ES"/>
          </w:rPr>
          <w:fldChar w:fldCharType="separate"/>
        </w:r>
        <w:r w:rsidR="00C571D9">
          <w:rPr>
            <w:noProof/>
            <w:webHidden/>
            <w:lang w:val="es-ES"/>
          </w:rPr>
          <w:t>28</w:t>
        </w:r>
        <w:r w:rsidRPr="00E71B56">
          <w:rPr>
            <w:noProof/>
            <w:webHidden/>
            <w:lang w:val="es-ES"/>
          </w:rPr>
          <w:fldChar w:fldCharType="end"/>
        </w:r>
      </w:hyperlink>
    </w:p>
    <w:p w14:paraId="730D863D" w14:textId="05AAB267" w:rsidR="00BD155E" w:rsidRPr="00E71B56" w:rsidRDefault="00BD155E" w:rsidP="00BD155E">
      <w:pPr>
        <w:pStyle w:val="TOC3"/>
        <w:rPr>
          <w:rFonts w:eastAsiaTheme="minorEastAsia" w:cstheme="minorBidi"/>
          <w:noProof/>
          <w:kern w:val="2"/>
          <w:szCs w:val="24"/>
          <w:lang w:val="es-ES" w:eastAsia="es-ES"/>
          <w14:ligatures w14:val="standardContextual"/>
        </w:rPr>
      </w:pPr>
      <w:r w:rsidRPr="00E71B56">
        <w:rPr>
          <w:noProof/>
          <w:lang w:val="es-ES"/>
        </w:rPr>
        <w:tab/>
      </w:r>
      <w:r w:rsidRPr="00E71B56">
        <w:rPr>
          <w:noProof/>
          <w:lang w:val="es-ES"/>
        </w:rPr>
        <w:tab/>
      </w:r>
      <w:hyperlink w:anchor="_Toc213427970" w:history="1">
        <w:r w:rsidRPr="00E71B56">
          <w:rPr>
            <w:rStyle w:val="Hyperlink"/>
            <w:noProof/>
            <w:lang w:val="es-ES"/>
          </w:rPr>
          <w:t>Capacitación</w:t>
        </w:r>
        <w:r w:rsidRPr="00E71B56">
          <w:rPr>
            <w:noProof/>
            <w:webHidden/>
            <w:lang w:val="es-ES"/>
          </w:rPr>
          <w:tab/>
        </w:r>
        <w:r w:rsidRPr="00E71B56">
          <w:rPr>
            <w:noProof/>
            <w:webHidden/>
            <w:lang w:val="es-ES"/>
          </w:rPr>
          <w:tab/>
        </w:r>
        <w:r w:rsidRPr="00E71B56">
          <w:rPr>
            <w:noProof/>
            <w:webHidden/>
            <w:lang w:val="es-ES"/>
          </w:rPr>
          <w:fldChar w:fldCharType="begin"/>
        </w:r>
        <w:r w:rsidRPr="00E71B56">
          <w:rPr>
            <w:noProof/>
            <w:webHidden/>
            <w:lang w:val="es-ES"/>
          </w:rPr>
          <w:instrText xml:space="preserve"> PAGEREF _Toc213427970 \h </w:instrText>
        </w:r>
        <w:r w:rsidRPr="00E71B56">
          <w:rPr>
            <w:noProof/>
            <w:webHidden/>
            <w:lang w:val="es-ES"/>
          </w:rPr>
        </w:r>
        <w:r w:rsidRPr="00E71B56">
          <w:rPr>
            <w:noProof/>
            <w:webHidden/>
            <w:lang w:val="es-ES"/>
          </w:rPr>
          <w:fldChar w:fldCharType="separate"/>
        </w:r>
        <w:r w:rsidR="00C571D9">
          <w:rPr>
            <w:noProof/>
            <w:webHidden/>
            <w:lang w:val="es-ES"/>
          </w:rPr>
          <w:t>28</w:t>
        </w:r>
        <w:r w:rsidRPr="00E71B56">
          <w:rPr>
            <w:noProof/>
            <w:webHidden/>
            <w:lang w:val="es-ES"/>
          </w:rPr>
          <w:fldChar w:fldCharType="end"/>
        </w:r>
      </w:hyperlink>
    </w:p>
    <w:p w14:paraId="68E3B656" w14:textId="025504AD" w:rsidR="00BD155E" w:rsidRPr="00E71B56" w:rsidRDefault="00BD155E" w:rsidP="00BD155E">
      <w:pPr>
        <w:pStyle w:val="TOC3"/>
        <w:rPr>
          <w:rFonts w:eastAsiaTheme="minorEastAsia" w:cstheme="minorBidi"/>
          <w:noProof/>
          <w:kern w:val="2"/>
          <w:szCs w:val="24"/>
          <w:lang w:val="es-ES" w:eastAsia="es-ES"/>
          <w14:ligatures w14:val="standardContextual"/>
        </w:rPr>
      </w:pPr>
      <w:r w:rsidRPr="00E71B56">
        <w:rPr>
          <w:noProof/>
          <w:lang w:val="es-ES"/>
        </w:rPr>
        <w:tab/>
      </w:r>
      <w:r w:rsidRPr="00E71B56">
        <w:rPr>
          <w:noProof/>
          <w:lang w:val="es-ES"/>
        </w:rPr>
        <w:tab/>
      </w:r>
      <w:hyperlink w:anchor="_Toc213427971" w:history="1">
        <w:r w:rsidRPr="00E71B56">
          <w:rPr>
            <w:rStyle w:val="Hyperlink"/>
            <w:noProof/>
            <w:lang w:val="es-ES"/>
          </w:rPr>
          <w:t>Política y reglamentación</w:t>
        </w:r>
        <w:r w:rsidRPr="00E71B56">
          <w:rPr>
            <w:noProof/>
            <w:webHidden/>
            <w:lang w:val="es-ES"/>
          </w:rPr>
          <w:tab/>
        </w:r>
        <w:r w:rsidRPr="00E71B56">
          <w:rPr>
            <w:noProof/>
            <w:webHidden/>
            <w:lang w:val="es-ES"/>
          </w:rPr>
          <w:tab/>
        </w:r>
        <w:r w:rsidRPr="00E71B56">
          <w:rPr>
            <w:noProof/>
            <w:webHidden/>
            <w:lang w:val="es-ES"/>
          </w:rPr>
          <w:fldChar w:fldCharType="begin"/>
        </w:r>
        <w:r w:rsidRPr="00E71B56">
          <w:rPr>
            <w:noProof/>
            <w:webHidden/>
            <w:lang w:val="es-ES"/>
          </w:rPr>
          <w:instrText xml:space="preserve"> PAGEREF _Toc213427971 \h </w:instrText>
        </w:r>
        <w:r w:rsidRPr="00E71B56">
          <w:rPr>
            <w:noProof/>
            <w:webHidden/>
            <w:lang w:val="es-ES"/>
          </w:rPr>
        </w:r>
        <w:r w:rsidRPr="00E71B56">
          <w:rPr>
            <w:noProof/>
            <w:webHidden/>
            <w:lang w:val="es-ES"/>
          </w:rPr>
          <w:fldChar w:fldCharType="separate"/>
        </w:r>
        <w:r w:rsidR="00C571D9">
          <w:rPr>
            <w:noProof/>
            <w:webHidden/>
            <w:lang w:val="es-ES"/>
          </w:rPr>
          <w:t>36</w:t>
        </w:r>
        <w:r w:rsidRPr="00E71B56">
          <w:rPr>
            <w:noProof/>
            <w:webHidden/>
            <w:lang w:val="es-ES"/>
          </w:rPr>
          <w:fldChar w:fldCharType="end"/>
        </w:r>
      </w:hyperlink>
    </w:p>
    <w:p w14:paraId="02D6FBE7" w14:textId="037E7746" w:rsidR="00BD155E" w:rsidRPr="00E71B56" w:rsidRDefault="00BD155E" w:rsidP="00BD155E">
      <w:pPr>
        <w:pStyle w:val="TOC3"/>
        <w:rPr>
          <w:rFonts w:eastAsiaTheme="minorEastAsia" w:cstheme="minorBidi"/>
          <w:noProof/>
          <w:kern w:val="2"/>
          <w:szCs w:val="24"/>
          <w:lang w:val="es-ES" w:eastAsia="es-ES"/>
          <w14:ligatures w14:val="standardContextual"/>
        </w:rPr>
      </w:pPr>
      <w:r w:rsidRPr="00E71B56">
        <w:rPr>
          <w:noProof/>
          <w:lang w:val="es-ES"/>
        </w:rPr>
        <w:tab/>
      </w:r>
      <w:r w:rsidRPr="00E71B56">
        <w:rPr>
          <w:noProof/>
          <w:lang w:val="es-ES"/>
        </w:rPr>
        <w:tab/>
      </w:r>
      <w:hyperlink w:anchor="_Toc213427972" w:history="1">
        <w:r w:rsidRPr="00E71B56">
          <w:rPr>
            <w:rStyle w:val="Hyperlink"/>
            <w:noProof/>
            <w:lang w:val="es-ES"/>
          </w:rPr>
          <w:t>Estadísticas</w:t>
        </w:r>
        <w:r w:rsidRPr="00E71B56">
          <w:rPr>
            <w:noProof/>
            <w:webHidden/>
            <w:lang w:val="es-ES"/>
          </w:rPr>
          <w:tab/>
        </w:r>
        <w:r w:rsidRPr="00E71B56">
          <w:rPr>
            <w:noProof/>
            <w:webHidden/>
            <w:lang w:val="es-ES"/>
          </w:rPr>
          <w:tab/>
        </w:r>
        <w:r w:rsidRPr="00E71B56">
          <w:rPr>
            <w:noProof/>
            <w:webHidden/>
            <w:lang w:val="es-ES"/>
          </w:rPr>
          <w:fldChar w:fldCharType="begin"/>
        </w:r>
        <w:r w:rsidRPr="00E71B56">
          <w:rPr>
            <w:noProof/>
            <w:webHidden/>
            <w:lang w:val="es-ES"/>
          </w:rPr>
          <w:instrText xml:space="preserve"> PAGEREF _Toc213427972 \h </w:instrText>
        </w:r>
        <w:r w:rsidRPr="00E71B56">
          <w:rPr>
            <w:noProof/>
            <w:webHidden/>
            <w:lang w:val="es-ES"/>
          </w:rPr>
        </w:r>
        <w:r w:rsidRPr="00E71B56">
          <w:rPr>
            <w:noProof/>
            <w:webHidden/>
            <w:lang w:val="es-ES"/>
          </w:rPr>
          <w:fldChar w:fldCharType="separate"/>
        </w:r>
        <w:r w:rsidR="00C571D9">
          <w:rPr>
            <w:noProof/>
            <w:webHidden/>
            <w:lang w:val="es-ES"/>
          </w:rPr>
          <w:t>45</w:t>
        </w:r>
        <w:r w:rsidRPr="00E71B56">
          <w:rPr>
            <w:noProof/>
            <w:webHidden/>
            <w:lang w:val="es-ES"/>
          </w:rPr>
          <w:fldChar w:fldCharType="end"/>
        </w:r>
      </w:hyperlink>
    </w:p>
    <w:p w14:paraId="0C8A8DA9" w14:textId="7B3C9050" w:rsidR="00BD155E" w:rsidRPr="00E71B56" w:rsidRDefault="00BD155E" w:rsidP="00BD155E">
      <w:pPr>
        <w:pStyle w:val="TOC2"/>
        <w:rPr>
          <w:rFonts w:eastAsiaTheme="minorEastAsia" w:cstheme="minorBidi"/>
          <w:b/>
          <w:bCs/>
          <w:noProof/>
          <w:kern w:val="2"/>
          <w:szCs w:val="24"/>
          <w:lang w:val="es-ES" w:eastAsia="es-ES"/>
          <w14:ligatures w14:val="standardContextual"/>
        </w:rPr>
      </w:pPr>
      <w:r w:rsidRPr="00E71B56">
        <w:rPr>
          <w:b/>
          <w:bCs/>
          <w:noProof/>
          <w:lang w:val="es-ES"/>
        </w:rPr>
        <w:tab/>
      </w:r>
      <w:hyperlink w:anchor="_Toc213427973" w:history="1">
        <w:r w:rsidRPr="00E71B56">
          <w:rPr>
            <w:rStyle w:val="Hyperlink"/>
            <w:b/>
            <w:bCs/>
            <w:noProof/>
            <w:lang w:val="es-ES"/>
          </w:rPr>
          <w:t>Prioridad 4 del UIT</w:t>
        </w:r>
        <w:r w:rsidRPr="00E71B56">
          <w:rPr>
            <w:rStyle w:val="Hyperlink"/>
            <w:b/>
            <w:bCs/>
            <w:noProof/>
            <w:lang w:val="es-ES"/>
          </w:rPr>
          <w:noBreakHyphen/>
          <w:t xml:space="preserve">D: Movilización de recursos, asociaciones y cooperación </w:t>
        </w:r>
        <w:r w:rsidRPr="00E71B56">
          <w:rPr>
            <w:rStyle w:val="Hyperlink"/>
            <w:b/>
            <w:bCs/>
            <w:noProof/>
            <w:lang w:val="es-ES"/>
          </w:rPr>
          <w:br/>
        </w:r>
        <w:r w:rsidRPr="00E71B56">
          <w:rPr>
            <w:rStyle w:val="Hyperlink"/>
            <w:b/>
            <w:bCs/>
            <w:noProof/>
            <w:lang w:val="es-ES"/>
          </w:rPr>
          <w:t>internacional</w:t>
        </w:r>
        <w:r w:rsidRPr="00E71B56">
          <w:rPr>
            <w:b/>
            <w:bCs/>
            <w:noProof/>
            <w:webHidden/>
            <w:lang w:val="es-ES"/>
          </w:rPr>
          <w:tab/>
        </w:r>
        <w:r w:rsidRPr="00E71B56">
          <w:rPr>
            <w:b/>
            <w:bCs/>
            <w:noProof/>
            <w:webHidden/>
            <w:lang w:val="es-ES"/>
          </w:rPr>
          <w:tab/>
        </w:r>
        <w:r w:rsidRPr="00E71B56">
          <w:rPr>
            <w:b/>
            <w:bCs/>
            <w:noProof/>
            <w:webHidden/>
            <w:lang w:val="es-ES"/>
          </w:rPr>
          <w:tab/>
        </w:r>
        <w:r w:rsidRPr="00E71B56">
          <w:rPr>
            <w:b/>
            <w:bCs/>
            <w:noProof/>
            <w:webHidden/>
            <w:lang w:val="es-ES"/>
          </w:rPr>
          <w:fldChar w:fldCharType="begin"/>
        </w:r>
        <w:r w:rsidRPr="00E71B56">
          <w:rPr>
            <w:b/>
            <w:bCs/>
            <w:noProof/>
            <w:webHidden/>
            <w:lang w:val="es-ES"/>
          </w:rPr>
          <w:instrText xml:space="preserve"> PAGEREF _Toc213427973 \h </w:instrText>
        </w:r>
        <w:r w:rsidRPr="00E71B56">
          <w:rPr>
            <w:b/>
            <w:bCs/>
            <w:noProof/>
            <w:webHidden/>
            <w:lang w:val="es-ES"/>
          </w:rPr>
        </w:r>
        <w:r w:rsidRPr="00E71B56">
          <w:rPr>
            <w:b/>
            <w:bCs/>
            <w:noProof/>
            <w:webHidden/>
            <w:lang w:val="es-ES"/>
          </w:rPr>
          <w:fldChar w:fldCharType="separate"/>
        </w:r>
        <w:r w:rsidR="00C571D9">
          <w:rPr>
            <w:b/>
            <w:bCs/>
            <w:noProof/>
            <w:webHidden/>
            <w:lang w:val="es-ES"/>
          </w:rPr>
          <w:t>53</w:t>
        </w:r>
        <w:r w:rsidRPr="00E71B56">
          <w:rPr>
            <w:b/>
            <w:bCs/>
            <w:noProof/>
            <w:webHidden/>
            <w:lang w:val="es-ES"/>
          </w:rPr>
          <w:fldChar w:fldCharType="end"/>
        </w:r>
      </w:hyperlink>
    </w:p>
    <w:p w14:paraId="3A693D7A" w14:textId="3ED15633" w:rsidR="00BD155E" w:rsidRPr="00E71B56" w:rsidRDefault="00BD155E" w:rsidP="00BD155E">
      <w:pPr>
        <w:pStyle w:val="TOC2"/>
        <w:rPr>
          <w:rFonts w:eastAsiaTheme="minorEastAsia" w:cstheme="minorBidi"/>
          <w:noProof/>
          <w:kern w:val="2"/>
          <w:szCs w:val="24"/>
          <w:lang w:val="es-ES" w:eastAsia="es-ES"/>
          <w14:ligatures w14:val="standardContextual"/>
        </w:rPr>
      </w:pPr>
      <w:r w:rsidRPr="00E71B56">
        <w:rPr>
          <w:b/>
          <w:bCs/>
          <w:noProof/>
          <w:lang w:val="es-ES"/>
        </w:rPr>
        <w:tab/>
      </w:r>
      <w:hyperlink w:anchor="_Toc213427974" w:history="1">
        <w:r w:rsidRPr="00E71B56">
          <w:rPr>
            <w:rStyle w:val="Hyperlink"/>
            <w:b/>
            <w:bCs/>
            <w:noProof/>
            <w:lang w:val="es-ES"/>
          </w:rPr>
          <w:t>Prioridad 5 del UIT</w:t>
        </w:r>
        <w:r w:rsidRPr="00E71B56">
          <w:rPr>
            <w:rStyle w:val="Hyperlink"/>
            <w:b/>
            <w:bCs/>
            <w:noProof/>
            <w:lang w:val="es-ES"/>
          </w:rPr>
          <w:noBreakHyphen/>
          <w:t>D: Telecomunicaciones/TIC inclusivas y seguras para el</w:t>
        </w:r>
        <w:r w:rsidR="003A37B1">
          <w:rPr>
            <w:rStyle w:val="Hyperlink"/>
            <w:b/>
            <w:bCs/>
            <w:noProof/>
            <w:lang w:val="es-ES"/>
          </w:rPr>
          <w:br/>
        </w:r>
        <w:r w:rsidRPr="00E71B56">
          <w:rPr>
            <w:rStyle w:val="Hyperlink"/>
            <w:b/>
            <w:bCs/>
            <w:noProof/>
            <w:lang w:val="es-ES"/>
          </w:rPr>
          <w:t>desarrollo sostenible</w:t>
        </w:r>
        <w:r w:rsidRPr="00E71B56">
          <w:rPr>
            <w:b/>
            <w:bCs/>
            <w:noProof/>
            <w:webHidden/>
            <w:lang w:val="es-ES"/>
          </w:rPr>
          <w:tab/>
        </w:r>
        <w:r w:rsidRPr="00E71B56">
          <w:rPr>
            <w:b/>
            <w:bCs/>
            <w:noProof/>
            <w:webHidden/>
            <w:lang w:val="es-ES"/>
          </w:rPr>
          <w:tab/>
        </w:r>
        <w:r w:rsidRPr="00E71B56">
          <w:rPr>
            <w:noProof/>
            <w:webHidden/>
            <w:lang w:val="es-ES"/>
          </w:rPr>
          <w:fldChar w:fldCharType="begin"/>
        </w:r>
        <w:r w:rsidRPr="00E71B56">
          <w:rPr>
            <w:noProof/>
            <w:webHidden/>
            <w:lang w:val="es-ES"/>
          </w:rPr>
          <w:instrText xml:space="preserve"> PAGEREF _Toc213427974 \h </w:instrText>
        </w:r>
        <w:r w:rsidRPr="00E71B56">
          <w:rPr>
            <w:noProof/>
            <w:webHidden/>
            <w:lang w:val="es-ES"/>
          </w:rPr>
        </w:r>
        <w:r w:rsidRPr="00E71B56">
          <w:rPr>
            <w:noProof/>
            <w:webHidden/>
            <w:lang w:val="es-ES"/>
          </w:rPr>
          <w:fldChar w:fldCharType="separate"/>
        </w:r>
        <w:r w:rsidR="00C571D9">
          <w:rPr>
            <w:noProof/>
            <w:webHidden/>
            <w:lang w:val="es-ES"/>
          </w:rPr>
          <w:t>58</w:t>
        </w:r>
        <w:r w:rsidRPr="00E71B56">
          <w:rPr>
            <w:noProof/>
            <w:webHidden/>
            <w:lang w:val="es-ES"/>
          </w:rPr>
          <w:fldChar w:fldCharType="end"/>
        </w:r>
      </w:hyperlink>
    </w:p>
    <w:p w14:paraId="72683AD0" w14:textId="41FF7B51" w:rsidR="00BD155E" w:rsidRPr="00E71B56" w:rsidRDefault="00BD155E" w:rsidP="00BD155E">
      <w:pPr>
        <w:pStyle w:val="TOC3"/>
        <w:rPr>
          <w:rFonts w:eastAsiaTheme="minorEastAsia" w:cstheme="minorBidi"/>
          <w:noProof/>
          <w:kern w:val="2"/>
          <w:szCs w:val="24"/>
          <w:lang w:val="es-ES" w:eastAsia="es-ES"/>
          <w14:ligatures w14:val="standardContextual"/>
        </w:rPr>
      </w:pPr>
      <w:r w:rsidRPr="00E71B56">
        <w:rPr>
          <w:noProof/>
          <w:lang w:val="es-ES"/>
        </w:rPr>
        <w:tab/>
      </w:r>
      <w:r w:rsidRPr="00E71B56">
        <w:rPr>
          <w:noProof/>
          <w:lang w:val="es-ES"/>
        </w:rPr>
        <w:tab/>
      </w:r>
      <w:hyperlink w:anchor="_Toc213427975" w:history="1">
        <w:r w:rsidRPr="00E71B56">
          <w:rPr>
            <w:rStyle w:val="Hyperlink"/>
            <w:noProof/>
            <w:lang w:val="es-ES"/>
          </w:rPr>
          <w:t>Ciberseguridad</w:t>
        </w:r>
        <w:r w:rsidRPr="00E71B56">
          <w:rPr>
            <w:noProof/>
            <w:webHidden/>
            <w:lang w:val="es-ES"/>
          </w:rPr>
          <w:tab/>
        </w:r>
        <w:r w:rsidRPr="00E71B56">
          <w:rPr>
            <w:noProof/>
            <w:webHidden/>
            <w:lang w:val="es-ES"/>
          </w:rPr>
          <w:tab/>
        </w:r>
        <w:r w:rsidRPr="00E71B56">
          <w:rPr>
            <w:noProof/>
            <w:webHidden/>
            <w:lang w:val="es-ES"/>
          </w:rPr>
          <w:fldChar w:fldCharType="begin"/>
        </w:r>
        <w:r w:rsidRPr="00E71B56">
          <w:rPr>
            <w:noProof/>
            <w:webHidden/>
            <w:lang w:val="es-ES"/>
          </w:rPr>
          <w:instrText xml:space="preserve"> PAGEREF _Toc213427975 \h </w:instrText>
        </w:r>
        <w:r w:rsidRPr="00E71B56">
          <w:rPr>
            <w:noProof/>
            <w:webHidden/>
            <w:lang w:val="es-ES"/>
          </w:rPr>
        </w:r>
        <w:r w:rsidRPr="00E71B56">
          <w:rPr>
            <w:noProof/>
            <w:webHidden/>
            <w:lang w:val="es-ES"/>
          </w:rPr>
          <w:fldChar w:fldCharType="separate"/>
        </w:r>
        <w:r w:rsidR="00C571D9">
          <w:rPr>
            <w:noProof/>
            <w:webHidden/>
            <w:lang w:val="es-ES"/>
          </w:rPr>
          <w:t>58</w:t>
        </w:r>
        <w:r w:rsidRPr="00E71B56">
          <w:rPr>
            <w:noProof/>
            <w:webHidden/>
            <w:lang w:val="es-ES"/>
          </w:rPr>
          <w:fldChar w:fldCharType="end"/>
        </w:r>
      </w:hyperlink>
    </w:p>
    <w:p w14:paraId="23A535C0" w14:textId="7A648168" w:rsidR="00BD155E" w:rsidRPr="00E71B56" w:rsidRDefault="00BD155E" w:rsidP="00BD155E">
      <w:pPr>
        <w:pStyle w:val="TOC2"/>
        <w:rPr>
          <w:rFonts w:eastAsiaTheme="minorEastAsia" w:cstheme="minorBidi"/>
          <w:b/>
          <w:bCs/>
          <w:noProof/>
          <w:kern w:val="2"/>
          <w:szCs w:val="24"/>
          <w:lang w:val="es-ES" w:eastAsia="es-ES"/>
          <w14:ligatures w14:val="standardContextual"/>
        </w:rPr>
      </w:pPr>
      <w:r w:rsidRPr="00E71B56">
        <w:rPr>
          <w:b/>
          <w:bCs/>
          <w:noProof/>
          <w:lang w:val="es-ES"/>
        </w:rPr>
        <w:tab/>
      </w:r>
      <w:hyperlink w:anchor="_Toc213427976" w:history="1">
        <w:r w:rsidRPr="00E71B56">
          <w:rPr>
            <w:rStyle w:val="Hyperlink"/>
            <w:b/>
            <w:bCs/>
            <w:noProof/>
            <w:lang w:val="es-ES"/>
          </w:rPr>
          <w:t>Factor habilitador 1 del UIT</w:t>
        </w:r>
        <w:r w:rsidRPr="00E71B56">
          <w:rPr>
            <w:rStyle w:val="Hyperlink"/>
            <w:b/>
            <w:bCs/>
            <w:noProof/>
            <w:lang w:val="es-ES"/>
          </w:rPr>
          <w:noBreakHyphen/>
          <w:t>D: Impulso de los miembros</w:t>
        </w:r>
        <w:r w:rsidRPr="00E71B56">
          <w:rPr>
            <w:b/>
            <w:bCs/>
            <w:noProof/>
            <w:webHidden/>
            <w:lang w:val="es-ES"/>
          </w:rPr>
          <w:tab/>
        </w:r>
        <w:r w:rsidRPr="00E71B56">
          <w:rPr>
            <w:b/>
            <w:bCs/>
            <w:noProof/>
            <w:webHidden/>
            <w:lang w:val="es-ES"/>
          </w:rPr>
          <w:tab/>
        </w:r>
        <w:r w:rsidRPr="00E71B56">
          <w:rPr>
            <w:noProof/>
            <w:webHidden/>
            <w:lang w:val="es-ES"/>
          </w:rPr>
          <w:fldChar w:fldCharType="begin"/>
        </w:r>
        <w:r w:rsidRPr="00E71B56">
          <w:rPr>
            <w:noProof/>
            <w:webHidden/>
            <w:lang w:val="es-ES"/>
          </w:rPr>
          <w:instrText xml:space="preserve"> PAGEREF _Toc213427976 \h </w:instrText>
        </w:r>
        <w:r w:rsidRPr="00E71B56">
          <w:rPr>
            <w:noProof/>
            <w:webHidden/>
            <w:lang w:val="es-ES"/>
          </w:rPr>
        </w:r>
        <w:r w:rsidRPr="00E71B56">
          <w:rPr>
            <w:noProof/>
            <w:webHidden/>
            <w:lang w:val="es-ES"/>
          </w:rPr>
          <w:fldChar w:fldCharType="separate"/>
        </w:r>
        <w:r w:rsidR="00C571D9">
          <w:rPr>
            <w:noProof/>
            <w:webHidden/>
            <w:lang w:val="es-ES"/>
          </w:rPr>
          <w:t>67</w:t>
        </w:r>
        <w:r w:rsidRPr="00E71B56">
          <w:rPr>
            <w:noProof/>
            <w:webHidden/>
            <w:lang w:val="es-ES"/>
          </w:rPr>
          <w:fldChar w:fldCharType="end"/>
        </w:r>
      </w:hyperlink>
    </w:p>
    <w:p w14:paraId="140BC7B7" w14:textId="3B76843B" w:rsidR="00BD155E" w:rsidRPr="00E71B56" w:rsidRDefault="00BD155E" w:rsidP="00BD155E">
      <w:pPr>
        <w:pStyle w:val="TOC2"/>
        <w:rPr>
          <w:rFonts w:eastAsiaTheme="minorEastAsia" w:cstheme="minorBidi"/>
          <w:b/>
          <w:bCs/>
          <w:noProof/>
          <w:kern w:val="2"/>
          <w:szCs w:val="24"/>
          <w:lang w:val="es-ES" w:eastAsia="es-ES"/>
          <w14:ligatures w14:val="standardContextual"/>
        </w:rPr>
      </w:pPr>
      <w:r w:rsidRPr="00E71B56">
        <w:rPr>
          <w:b/>
          <w:bCs/>
          <w:noProof/>
          <w:lang w:val="es-ES"/>
        </w:rPr>
        <w:tab/>
      </w:r>
      <w:hyperlink w:anchor="_Toc213427977" w:history="1">
        <w:r w:rsidRPr="00E71B56">
          <w:rPr>
            <w:rStyle w:val="Hyperlink"/>
            <w:b/>
            <w:bCs/>
            <w:noProof/>
            <w:lang w:val="es-ES"/>
          </w:rPr>
          <w:t>Factor habilitador 2 del UIT</w:t>
        </w:r>
        <w:r w:rsidRPr="00E71B56">
          <w:rPr>
            <w:rStyle w:val="Hyperlink"/>
            <w:b/>
            <w:bCs/>
            <w:noProof/>
            <w:lang w:val="es-ES"/>
          </w:rPr>
          <w:noBreakHyphen/>
          <w:t>D: Presencia regional</w:t>
        </w:r>
        <w:r w:rsidRPr="00E71B56">
          <w:rPr>
            <w:b/>
            <w:bCs/>
            <w:noProof/>
            <w:webHidden/>
            <w:lang w:val="es-ES"/>
          </w:rPr>
          <w:tab/>
        </w:r>
        <w:r w:rsidRPr="00E71B56">
          <w:rPr>
            <w:b/>
            <w:bCs/>
            <w:noProof/>
            <w:webHidden/>
            <w:lang w:val="es-ES"/>
          </w:rPr>
          <w:tab/>
        </w:r>
        <w:r w:rsidRPr="00E71B56">
          <w:rPr>
            <w:noProof/>
            <w:webHidden/>
            <w:lang w:val="es-ES"/>
          </w:rPr>
          <w:fldChar w:fldCharType="begin"/>
        </w:r>
        <w:r w:rsidRPr="00E71B56">
          <w:rPr>
            <w:noProof/>
            <w:webHidden/>
            <w:lang w:val="es-ES"/>
          </w:rPr>
          <w:instrText xml:space="preserve"> PAGEREF _Toc213427977 \h </w:instrText>
        </w:r>
        <w:r w:rsidRPr="00E71B56">
          <w:rPr>
            <w:noProof/>
            <w:webHidden/>
            <w:lang w:val="es-ES"/>
          </w:rPr>
        </w:r>
        <w:r w:rsidRPr="00E71B56">
          <w:rPr>
            <w:noProof/>
            <w:webHidden/>
            <w:lang w:val="es-ES"/>
          </w:rPr>
          <w:fldChar w:fldCharType="separate"/>
        </w:r>
        <w:r w:rsidR="00C571D9">
          <w:rPr>
            <w:noProof/>
            <w:webHidden/>
            <w:lang w:val="es-ES"/>
          </w:rPr>
          <w:t>75</w:t>
        </w:r>
        <w:r w:rsidRPr="00E71B56">
          <w:rPr>
            <w:noProof/>
            <w:webHidden/>
            <w:lang w:val="es-ES"/>
          </w:rPr>
          <w:fldChar w:fldCharType="end"/>
        </w:r>
      </w:hyperlink>
    </w:p>
    <w:p w14:paraId="22F97D77" w14:textId="4923C373" w:rsidR="00BD155E" w:rsidRPr="00E71B56" w:rsidRDefault="00BD155E" w:rsidP="00BD155E">
      <w:pPr>
        <w:pStyle w:val="TOC2"/>
        <w:rPr>
          <w:rFonts w:eastAsiaTheme="minorEastAsia" w:cstheme="minorBidi"/>
          <w:b/>
          <w:bCs/>
          <w:noProof/>
          <w:kern w:val="2"/>
          <w:szCs w:val="24"/>
          <w:lang w:val="es-ES" w:eastAsia="es-ES"/>
          <w14:ligatures w14:val="standardContextual"/>
        </w:rPr>
      </w:pPr>
      <w:r w:rsidRPr="00E71B56">
        <w:rPr>
          <w:b/>
          <w:bCs/>
          <w:noProof/>
          <w:lang w:val="es-ES"/>
        </w:rPr>
        <w:tab/>
      </w:r>
      <w:hyperlink w:anchor="_Toc213427978" w:history="1">
        <w:r w:rsidRPr="00E71B56">
          <w:rPr>
            <w:rStyle w:val="Hyperlink"/>
            <w:b/>
            <w:bCs/>
            <w:noProof/>
            <w:lang w:val="es-ES"/>
          </w:rPr>
          <w:t>Factor habilitador 3 del UIT</w:t>
        </w:r>
        <w:r w:rsidRPr="00E71B56">
          <w:rPr>
            <w:rStyle w:val="Hyperlink"/>
            <w:b/>
            <w:bCs/>
            <w:noProof/>
            <w:lang w:val="es-ES"/>
          </w:rPr>
          <w:noBreakHyphen/>
          <w:t>D: Diversidad e inclusión</w:t>
        </w:r>
        <w:r w:rsidRPr="00E71B56">
          <w:rPr>
            <w:b/>
            <w:bCs/>
            <w:noProof/>
            <w:webHidden/>
            <w:lang w:val="es-ES"/>
          </w:rPr>
          <w:tab/>
        </w:r>
        <w:r w:rsidRPr="00E71B56">
          <w:rPr>
            <w:b/>
            <w:bCs/>
            <w:noProof/>
            <w:webHidden/>
            <w:lang w:val="es-ES"/>
          </w:rPr>
          <w:tab/>
        </w:r>
        <w:r w:rsidRPr="00E71B56">
          <w:rPr>
            <w:noProof/>
            <w:webHidden/>
            <w:lang w:val="es-ES"/>
          </w:rPr>
          <w:fldChar w:fldCharType="begin"/>
        </w:r>
        <w:r w:rsidRPr="00E71B56">
          <w:rPr>
            <w:noProof/>
            <w:webHidden/>
            <w:lang w:val="es-ES"/>
          </w:rPr>
          <w:instrText xml:space="preserve"> PAGEREF _Toc213427978 \h </w:instrText>
        </w:r>
        <w:r w:rsidRPr="00E71B56">
          <w:rPr>
            <w:noProof/>
            <w:webHidden/>
            <w:lang w:val="es-ES"/>
          </w:rPr>
        </w:r>
        <w:r w:rsidRPr="00E71B56">
          <w:rPr>
            <w:noProof/>
            <w:webHidden/>
            <w:lang w:val="es-ES"/>
          </w:rPr>
          <w:fldChar w:fldCharType="separate"/>
        </w:r>
        <w:r w:rsidR="00C571D9">
          <w:rPr>
            <w:noProof/>
            <w:webHidden/>
            <w:lang w:val="es-ES"/>
          </w:rPr>
          <w:t>82</w:t>
        </w:r>
        <w:r w:rsidRPr="00E71B56">
          <w:rPr>
            <w:noProof/>
            <w:webHidden/>
            <w:lang w:val="es-ES"/>
          </w:rPr>
          <w:fldChar w:fldCharType="end"/>
        </w:r>
      </w:hyperlink>
    </w:p>
    <w:p w14:paraId="584F0ABB" w14:textId="04EA5606" w:rsidR="00BD155E" w:rsidRPr="00E71B56" w:rsidRDefault="00BD155E" w:rsidP="00BD155E">
      <w:pPr>
        <w:pStyle w:val="TOC2"/>
        <w:rPr>
          <w:rFonts w:eastAsiaTheme="minorEastAsia" w:cstheme="minorBidi"/>
          <w:b/>
          <w:bCs/>
          <w:noProof/>
          <w:kern w:val="2"/>
          <w:szCs w:val="24"/>
          <w:lang w:val="es-ES" w:eastAsia="es-ES"/>
          <w14:ligatures w14:val="standardContextual"/>
        </w:rPr>
      </w:pPr>
      <w:r w:rsidRPr="00E71B56">
        <w:rPr>
          <w:b/>
          <w:bCs/>
          <w:noProof/>
          <w:lang w:val="es-ES"/>
        </w:rPr>
        <w:tab/>
      </w:r>
      <w:hyperlink w:anchor="_Toc213427979" w:history="1">
        <w:r w:rsidRPr="00E71B56">
          <w:rPr>
            <w:rStyle w:val="Hyperlink"/>
            <w:b/>
            <w:bCs/>
            <w:noProof/>
            <w:lang w:val="es-ES"/>
          </w:rPr>
          <w:t>Factor habilitador 4 del UIT</w:t>
        </w:r>
        <w:r w:rsidRPr="00E71B56">
          <w:rPr>
            <w:rStyle w:val="Hyperlink"/>
            <w:b/>
            <w:bCs/>
            <w:noProof/>
            <w:lang w:val="es-ES"/>
          </w:rPr>
          <w:noBreakHyphen/>
          <w:t xml:space="preserve">D: Compromiso con la sostenibilidad </w:t>
        </w:r>
        <w:r w:rsidR="003A37B1">
          <w:rPr>
            <w:rStyle w:val="Hyperlink"/>
            <w:b/>
            <w:bCs/>
            <w:noProof/>
            <w:lang w:val="es-ES"/>
          </w:rPr>
          <w:br/>
        </w:r>
        <w:r w:rsidRPr="00E71B56">
          <w:rPr>
            <w:rStyle w:val="Hyperlink"/>
            <w:b/>
            <w:bCs/>
            <w:noProof/>
            <w:lang w:val="es-ES"/>
          </w:rPr>
          <w:t>medioambiental</w:t>
        </w:r>
        <w:r w:rsidRPr="00E71B56">
          <w:rPr>
            <w:b/>
            <w:bCs/>
            <w:noProof/>
            <w:webHidden/>
            <w:lang w:val="es-ES"/>
          </w:rPr>
          <w:tab/>
        </w:r>
        <w:r w:rsidR="003A37B1">
          <w:rPr>
            <w:b/>
            <w:bCs/>
            <w:noProof/>
            <w:webHidden/>
            <w:lang w:val="es-ES"/>
          </w:rPr>
          <w:tab/>
        </w:r>
        <w:r w:rsidRPr="00E71B56">
          <w:rPr>
            <w:noProof/>
            <w:webHidden/>
            <w:lang w:val="es-ES"/>
          </w:rPr>
          <w:fldChar w:fldCharType="begin"/>
        </w:r>
        <w:r w:rsidRPr="00E71B56">
          <w:rPr>
            <w:noProof/>
            <w:webHidden/>
            <w:lang w:val="es-ES"/>
          </w:rPr>
          <w:instrText xml:space="preserve"> PAGEREF _Toc213427979 \h </w:instrText>
        </w:r>
        <w:r w:rsidRPr="00E71B56">
          <w:rPr>
            <w:noProof/>
            <w:webHidden/>
            <w:lang w:val="es-ES"/>
          </w:rPr>
        </w:r>
        <w:r w:rsidRPr="00E71B56">
          <w:rPr>
            <w:noProof/>
            <w:webHidden/>
            <w:lang w:val="es-ES"/>
          </w:rPr>
          <w:fldChar w:fldCharType="separate"/>
        </w:r>
        <w:r w:rsidR="00C571D9">
          <w:rPr>
            <w:noProof/>
            <w:webHidden/>
            <w:lang w:val="es-ES"/>
          </w:rPr>
          <w:t>90</w:t>
        </w:r>
        <w:r w:rsidRPr="00E71B56">
          <w:rPr>
            <w:noProof/>
            <w:webHidden/>
            <w:lang w:val="es-ES"/>
          </w:rPr>
          <w:fldChar w:fldCharType="end"/>
        </w:r>
      </w:hyperlink>
    </w:p>
    <w:p w14:paraId="6B5B933B" w14:textId="1A34060F" w:rsidR="00BD155E" w:rsidRPr="00E71B56" w:rsidRDefault="00BD155E" w:rsidP="00BD155E">
      <w:pPr>
        <w:pStyle w:val="TOC2"/>
        <w:rPr>
          <w:rFonts w:eastAsiaTheme="minorEastAsia" w:cstheme="minorBidi"/>
          <w:noProof/>
          <w:kern w:val="2"/>
          <w:szCs w:val="24"/>
          <w:lang w:val="es-ES" w:eastAsia="es-ES"/>
          <w14:ligatures w14:val="standardContextual"/>
        </w:rPr>
      </w:pPr>
      <w:r w:rsidRPr="00E71B56">
        <w:rPr>
          <w:b/>
          <w:bCs/>
          <w:noProof/>
          <w:lang w:val="es-ES"/>
        </w:rPr>
        <w:tab/>
      </w:r>
      <w:hyperlink w:anchor="_Toc213427980" w:history="1">
        <w:r w:rsidRPr="00E71B56">
          <w:rPr>
            <w:rStyle w:val="Hyperlink"/>
            <w:b/>
            <w:bCs/>
            <w:noProof/>
            <w:lang w:val="es-ES"/>
          </w:rPr>
          <w:t>Factor habilitador 5 del UIT</w:t>
        </w:r>
        <w:r w:rsidRPr="00E71B56">
          <w:rPr>
            <w:rStyle w:val="Hyperlink"/>
            <w:b/>
            <w:bCs/>
            <w:noProof/>
            <w:lang w:val="es-ES"/>
          </w:rPr>
          <w:noBreakHyphen/>
          <w:t xml:space="preserve">D: Excelencia en los recursos humanos e </w:t>
        </w:r>
        <w:r w:rsidR="003A37B1">
          <w:rPr>
            <w:rStyle w:val="Hyperlink"/>
            <w:b/>
            <w:bCs/>
            <w:noProof/>
            <w:lang w:val="es-ES"/>
          </w:rPr>
          <w:br/>
        </w:r>
        <w:r w:rsidRPr="00E71B56">
          <w:rPr>
            <w:rStyle w:val="Hyperlink"/>
            <w:b/>
            <w:bCs/>
            <w:noProof/>
            <w:lang w:val="es-ES"/>
          </w:rPr>
          <w:t>innovación institucional</w:t>
        </w:r>
        <w:r w:rsidRPr="00E71B56">
          <w:rPr>
            <w:b/>
            <w:bCs/>
            <w:noProof/>
            <w:webHidden/>
            <w:lang w:val="es-ES"/>
          </w:rPr>
          <w:tab/>
        </w:r>
        <w:r w:rsidRPr="00E71B56">
          <w:rPr>
            <w:b/>
            <w:bCs/>
            <w:noProof/>
            <w:webHidden/>
            <w:lang w:val="es-ES"/>
          </w:rPr>
          <w:tab/>
        </w:r>
        <w:r w:rsidRPr="00E71B56">
          <w:rPr>
            <w:noProof/>
            <w:webHidden/>
            <w:lang w:val="es-ES"/>
          </w:rPr>
          <w:fldChar w:fldCharType="begin"/>
        </w:r>
        <w:r w:rsidRPr="00E71B56">
          <w:rPr>
            <w:noProof/>
            <w:webHidden/>
            <w:lang w:val="es-ES"/>
          </w:rPr>
          <w:instrText xml:space="preserve"> PAGEREF _Toc213427980 \h </w:instrText>
        </w:r>
        <w:r w:rsidRPr="00E71B56">
          <w:rPr>
            <w:noProof/>
            <w:webHidden/>
            <w:lang w:val="es-ES"/>
          </w:rPr>
        </w:r>
        <w:r w:rsidRPr="00E71B56">
          <w:rPr>
            <w:noProof/>
            <w:webHidden/>
            <w:lang w:val="es-ES"/>
          </w:rPr>
          <w:fldChar w:fldCharType="separate"/>
        </w:r>
        <w:r w:rsidR="00C571D9">
          <w:rPr>
            <w:noProof/>
            <w:webHidden/>
            <w:lang w:val="es-ES"/>
          </w:rPr>
          <w:t>95</w:t>
        </w:r>
        <w:r w:rsidRPr="00E71B56">
          <w:rPr>
            <w:noProof/>
            <w:webHidden/>
            <w:lang w:val="es-ES"/>
          </w:rPr>
          <w:fldChar w:fldCharType="end"/>
        </w:r>
      </w:hyperlink>
    </w:p>
    <w:p w14:paraId="332C1C78" w14:textId="77777777" w:rsidR="00BD155E" w:rsidRPr="00E71B56" w:rsidRDefault="00BD155E" w:rsidP="00BD155E">
      <w:pPr>
        <w:rPr>
          <w:lang w:val="es-ES"/>
        </w:rPr>
      </w:pPr>
      <w:r w:rsidRPr="00E71B56">
        <w:rPr>
          <w:lang w:val="es-ES"/>
        </w:rPr>
        <w:fldChar w:fldCharType="end"/>
      </w:r>
      <w:r w:rsidRPr="00E71B56">
        <w:rPr>
          <w:lang w:val="es-ES"/>
        </w:rPr>
        <w:br w:type="page"/>
      </w:r>
    </w:p>
    <w:p w14:paraId="3E4CFFEF" w14:textId="77777777" w:rsidR="00BD155E" w:rsidRPr="00E71B56" w:rsidRDefault="00BD155E" w:rsidP="00BD155E">
      <w:pPr>
        <w:pStyle w:val="Title4"/>
        <w:rPr>
          <w:lang w:val="es-ES"/>
        </w:rPr>
      </w:pPr>
      <w:r w:rsidRPr="00E71B56">
        <w:rPr>
          <w:lang w:val="es-ES"/>
        </w:rPr>
        <w:lastRenderedPageBreak/>
        <w:t>Aplicación del Plan de Acción de Kigali (PAK) 2023-2025</w:t>
      </w:r>
    </w:p>
    <w:p w14:paraId="2B035396" w14:textId="77777777" w:rsidR="00BD155E" w:rsidRPr="00E71B56" w:rsidRDefault="00BD155E" w:rsidP="00BD155E">
      <w:pPr>
        <w:pStyle w:val="Heading1"/>
        <w:rPr>
          <w:lang w:val="es-ES"/>
        </w:rPr>
      </w:pPr>
      <w:bookmarkStart w:id="9" w:name="_Toc212728812"/>
      <w:bookmarkStart w:id="10" w:name="_Toc213427960"/>
      <w:r w:rsidRPr="00E71B56">
        <w:rPr>
          <w:lang w:val="es-ES"/>
        </w:rPr>
        <w:t>Introducción</w:t>
      </w:r>
      <w:bookmarkEnd w:id="9"/>
      <w:bookmarkEnd w:id="10"/>
    </w:p>
    <w:p w14:paraId="39AA5A37" w14:textId="77777777" w:rsidR="00BD155E" w:rsidRPr="00E71B56" w:rsidRDefault="00BD155E" w:rsidP="00BD155E">
      <w:pPr>
        <w:rPr>
          <w:lang w:val="es-ES"/>
        </w:rPr>
      </w:pPr>
      <w:r w:rsidRPr="00E71B56">
        <w:rPr>
          <w:lang w:val="es-ES"/>
        </w:rPr>
        <w:t>La CMDT-22 se celebró en Kigali (Rwanda), del 6 al 16 de junio de 2022, y en ella se adoptó el PAK. En este plan, que comprende una serie de prioridades, factores habilitadores, iniciativas regionales, Resoluciones nuevas y revisadas, Recomendaciones y Cuestiones de las Comisiones de Estudio, se define el mandato del UIT</w:t>
      </w:r>
      <w:r w:rsidRPr="00E71B56">
        <w:rPr>
          <w:lang w:val="es-ES"/>
        </w:rPr>
        <w:noBreakHyphen/>
        <w:t>D para el periodo 2023-2025.</w:t>
      </w:r>
    </w:p>
    <w:p w14:paraId="5753B6B6" w14:textId="77777777" w:rsidR="00BD155E" w:rsidRPr="00E71B56" w:rsidRDefault="00BD155E" w:rsidP="00BD155E">
      <w:pPr>
        <w:rPr>
          <w:lang w:val="es-ES"/>
        </w:rPr>
      </w:pPr>
      <w:r w:rsidRPr="00E71B56">
        <w:rPr>
          <w:lang w:val="es-ES"/>
        </w:rPr>
        <w:t>El UIT</w:t>
      </w:r>
      <w:r w:rsidRPr="00E71B56">
        <w:rPr>
          <w:lang w:val="es-ES"/>
        </w:rPr>
        <w:noBreakHyphen/>
        <w:t>D trabaja para cerrar la brecha digital y fomentar la transformación digital con el fin de aprovechar el potencial de las tecnologías de la información y las comunicaciones (TIC) para la prosperidad económica, la creación de empleo, el desarrollo de las competencias digitales, la igualdad de género, la diversidad, el logro de una economía circular sostenible y para salvar vidas. La labor del UIT</w:t>
      </w:r>
      <w:r w:rsidRPr="00E71B56">
        <w:rPr>
          <w:lang w:val="es-ES"/>
        </w:rPr>
        <w:noBreakHyphen/>
        <w:t>D para cerrar la brecha digital, apoyada por la secretaría de la Oficina de Desarrollo de las Telecomunicaciones (BDT), da prioridad a los más necesitados, desde las personas que viven en los países menos adelantados(PMA) del mundo hasta las comunidades marginadas de todas partes. Las prioridades están estrechamente vinculadas y armonizadas con las prioridades y objetivos señalados en el marco de desarrollo más amplio de los Objetivos de Desarrollo Sostenible (ODS), el plan estratégico de la UIT y el plan de acción de la Cumbre Mundial sobre la Sociedad de la Información (CMSI). Las prioridades comparten la visión común de lograr el desarrollo sostenible aprovechando las oportunidades de las herramientas digitales y las TIC.</w:t>
      </w:r>
    </w:p>
    <w:p w14:paraId="41954FF0" w14:textId="77777777" w:rsidR="00BD155E" w:rsidRPr="00E71B56" w:rsidRDefault="00BD155E" w:rsidP="00BD155E">
      <w:pPr>
        <w:rPr>
          <w:lang w:val="es-ES"/>
        </w:rPr>
      </w:pPr>
      <w:r w:rsidRPr="00E71B56">
        <w:rPr>
          <w:lang w:val="es-ES"/>
        </w:rPr>
        <w:t>En este documento se informa sobre la aplicación del PAK desde enero de 2023 hasta agosto de 2025.</w:t>
      </w:r>
    </w:p>
    <w:p w14:paraId="182892A4" w14:textId="77777777" w:rsidR="00BD155E" w:rsidRPr="00E71B56" w:rsidRDefault="00BD155E" w:rsidP="00BD155E">
      <w:pPr>
        <w:pStyle w:val="Heading1"/>
        <w:rPr>
          <w:lang w:val="es-ES"/>
        </w:rPr>
      </w:pPr>
      <w:bookmarkStart w:id="11" w:name="_Toc212728813"/>
      <w:bookmarkStart w:id="12" w:name="_Toc213427961"/>
      <w:r w:rsidRPr="00E71B56">
        <w:rPr>
          <w:lang w:val="es-ES"/>
        </w:rPr>
        <w:t>Impacto de la labor del UIT</w:t>
      </w:r>
      <w:r w:rsidRPr="00E71B56">
        <w:rPr>
          <w:lang w:val="es-ES"/>
        </w:rPr>
        <w:noBreakHyphen/>
        <w:t>D</w:t>
      </w:r>
      <w:bookmarkEnd w:id="11"/>
      <w:bookmarkEnd w:id="12"/>
    </w:p>
    <w:p w14:paraId="678E58FF" w14:textId="77777777" w:rsidR="00BD155E" w:rsidRPr="00E71B56" w:rsidRDefault="00BD155E" w:rsidP="00BD155E">
      <w:pPr>
        <w:rPr>
          <w:lang w:val="es-ES"/>
        </w:rPr>
      </w:pPr>
      <w:r w:rsidRPr="00E71B56">
        <w:rPr>
          <w:lang w:val="es-ES"/>
        </w:rPr>
        <w:t>Para garantizar la eficiencia y eficacia de la ejecución de las actividades de la BDT, la Oficina ha vuelto a ampliar el planteamiento de su GBR superando el alcance inicial de su labor, perfeccionando la aplicación del PAK mediante prácticas más eficaces de planificación, seguimiento y evaluación.</w:t>
      </w:r>
      <w:bookmarkStart w:id="13" w:name="_Hlk58606146"/>
      <w:bookmarkEnd w:id="13"/>
    </w:p>
    <w:p w14:paraId="5AF90A0C" w14:textId="77777777" w:rsidR="00BD155E" w:rsidRPr="00E71B56" w:rsidRDefault="00BD155E" w:rsidP="00BD155E">
      <w:pPr>
        <w:rPr>
          <w:lang w:val="es-ES"/>
        </w:rPr>
      </w:pPr>
      <w:r w:rsidRPr="00E71B56">
        <w:rPr>
          <w:lang w:val="es-ES"/>
        </w:rPr>
        <w:t>La Secretaría elaboró una serie de indicadores fundamentales del rendimiento (IFR) para supervisar los resultados de las principales esferas prioritarias del PAK y los productos entregados a los Estados Miembros, que se revisaron en la 30.ª reunión del GADT de 2023. Los IFR fueron ulteriormente combinados y perfeccionados, dando lugar a 18 IFR de resultados y 25 IFR de productos, que fueron adoptados por la 31.ª reunión del GADT de 2024. Estos IFR siguen orientando las fases de planificación e implementación y sirven como herramientas para supervisar los avances hacia la conectividad efectiva y asequible y la transformación digital sostenible.</w:t>
      </w:r>
    </w:p>
    <w:p w14:paraId="1F035F47" w14:textId="77777777" w:rsidR="00BD155E" w:rsidRPr="00E71B56" w:rsidRDefault="00BD155E" w:rsidP="00BD155E">
      <w:pPr>
        <w:rPr>
          <w:lang w:val="es-ES"/>
        </w:rPr>
      </w:pPr>
      <w:r w:rsidRPr="00E71B56">
        <w:rPr>
          <w:lang w:val="es-ES"/>
        </w:rPr>
        <w:t>En este documento y sus anexos se expone la situación relativa a la aplicación del PAK de 2023 a 2025 para cada esfera prioritaria del UIT</w:t>
      </w:r>
      <w:r w:rsidRPr="00E71B56">
        <w:rPr>
          <w:lang w:val="es-ES"/>
        </w:rPr>
        <w:noBreakHyphen/>
        <w:t>D, con inclusión de las actividades emprendidas y los productos entregados en cumplimiento de la aplicación de las iniciativas regionales y las Resoluciones de la CMDT-22.</w:t>
      </w:r>
    </w:p>
    <w:p w14:paraId="5F6AF65D" w14:textId="77777777" w:rsidR="00BD155E" w:rsidRPr="00E71B56" w:rsidRDefault="00BD155E" w:rsidP="00BD155E">
      <w:pPr>
        <w:rPr>
          <w:lang w:val="es-ES"/>
        </w:rPr>
      </w:pPr>
      <w:r w:rsidRPr="00E71B56">
        <w:rPr>
          <w:lang w:val="es-ES"/>
        </w:rPr>
        <w:t>El documento se complementa con documentos del GADT y la Reunión Preparatoria Regional (</w:t>
      </w:r>
      <w:hyperlink r:id="rId26">
        <w:r w:rsidRPr="00E71B56">
          <w:rPr>
            <w:rStyle w:val="Hyperlink"/>
            <w:lang w:val="es-ES"/>
          </w:rPr>
          <w:t>TDAG-30/2</w:t>
        </w:r>
      </w:hyperlink>
      <w:r w:rsidRPr="00E71B56">
        <w:rPr>
          <w:lang w:val="es-ES"/>
        </w:rPr>
        <w:t xml:space="preserve">, </w:t>
      </w:r>
      <w:hyperlink r:id="rId27">
        <w:r w:rsidRPr="00E71B56">
          <w:rPr>
            <w:rStyle w:val="Hyperlink"/>
            <w:lang w:val="es-ES"/>
          </w:rPr>
          <w:t>TDAG-31/2</w:t>
        </w:r>
      </w:hyperlink>
      <w:r w:rsidRPr="00E71B56">
        <w:rPr>
          <w:lang w:val="es-ES"/>
        </w:rPr>
        <w:t xml:space="preserve">, </w:t>
      </w:r>
      <w:hyperlink r:id="rId28">
        <w:r w:rsidRPr="00E71B56">
          <w:rPr>
            <w:rStyle w:val="Hyperlink"/>
            <w:lang w:val="es-ES"/>
          </w:rPr>
          <w:t>TDAG-32/2</w:t>
        </w:r>
      </w:hyperlink>
      <w:r w:rsidRPr="00E71B56">
        <w:rPr>
          <w:lang w:val="es-ES"/>
        </w:rPr>
        <w:t xml:space="preserve"> y </w:t>
      </w:r>
      <w:hyperlink r:id="rId29">
        <w:r w:rsidRPr="00E71B56">
          <w:rPr>
            <w:rStyle w:val="Hyperlink"/>
            <w:lang w:val="es-ES"/>
          </w:rPr>
          <w:t>RPMs-25/2</w:t>
        </w:r>
      </w:hyperlink>
      <w:r w:rsidRPr="00E71B56">
        <w:rPr>
          <w:lang w:val="es-ES"/>
        </w:rPr>
        <w:t>) en los que se ofrece información detallada sobre la aplicación anual del PAK.</w:t>
      </w:r>
      <w:hyperlink r:id="rId30"/>
      <w:hyperlink r:id="rId31"/>
      <w:hyperlink r:id="rId32"/>
      <w:hyperlink r:id="rId33"/>
    </w:p>
    <w:p w14:paraId="257A4A3E" w14:textId="77777777" w:rsidR="00BD155E" w:rsidRPr="00E71B56" w:rsidRDefault="00BD155E" w:rsidP="00BD155E">
      <w:pPr>
        <w:rPr>
          <w:lang w:val="es-ES"/>
        </w:rPr>
      </w:pPr>
    </w:p>
    <w:p w14:paraId="5F7EFB0C" w14:textId="77777777" w:rsidR="00BD155E" w:rsidRPr="00E71B56" w:rsidRDefault="00BD155E" w:rsidP="00BD155E">
      <w:pPr>
        <w:rPr>
          <w:lang w:val="es-ES"/>
        </w:rPr>
        <w:sectPr w:rsidR="00BD155E" w:rsidRPr="00E71B56" w:rsidSect="0039169B">
          <w:headerReference w:type="default" r:id="rId34"/>
          <w:footerReference w:type="even" r:id="rId35"/>
          <w:footerReference w:type="first" r:id="rId36"/>
          <w:pgSz w:w="11907" w:h="16840" w:code="9"/>
          <w:pgMar w:top="1418" w:right="1134" w:bottom="1418" w:left="1134" w:header="720" w:footer="720" w:gutter="0"/>
          <w:paperSrc w:first="15" w:other="15"/>
          <w:pgNumType w:start="1"/>
          <w:cols w:space="720"/>
          <w:titlePg/>
          <w:docGrid w:linePitch="326"/>
        </w:sectPr>
      </w:pPr>
    </w:p>
    <w:p w14:paraId="2571E2FD" w14:textId="77777777" w:rsidR="00BD155E" w:rsidRPr="00E71B56" w:rsidRDefault="00BD155E" w:rsidP="00BD155E">
      <w:pPr>
        <w:pStyle w:val="Heading1"/>
        <w:jc w:val="center"/>
        <w:rPr>
          <w:lang w:val="es-ES"/>
        </w:rPr>
      </w:pPr>
      <w:bookmarkStart w:id="14" w:name="_Toc212728814"/>
      <w:bookmarkStart w:id="15" w:name="_Toc213427962"/>
      <w:r w:rsidRPr="00E71B56">
        <w:rPr>
          <w:lang w:val="es-ES"/>
        </w:rPr>
        <w:lastRenderedPageBreak/>
        <w:t>Informe</w:t>
      </w:r>
      <w:bookmarkEnd w:id="14"/>
      <w:bookmarkEnd w:id="15"/>
    </w:p>
    <w:p w14:paraId="1D1DBF68" w14:textId="77777777" w:rsidR="00BD155E" w:rsidRPr="00E71B56" w:rsidRDefault="00BD155E" w:rsidP="00BD155E">
      <w:pPr>
        <w:spacing w:after="120"/>
        <w:jc w:val="center"/>
        <w:rPr>
          <w:lang w:val="es-ES"/>
        </w:rPr>
      </w:pPr>
      <w:r w:rsidRPr="00E71B56">
        <w:rPr>
          <w:b/>
          <w:bCs/>
          <w:lang w:val="es-ES"/>
        </w:rPr>
        <w:t>Enero de 2023 – agosto de 2025</w:t>
      </w:r>
    </w:p>
    <w:tbl>
      <w:tblPr>
        <w:tblStyle w:val="TableGridLight"/>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2899"/>
        <w:gridCol w:w="8061"/>
        <w:gridCol w:w="3034"/>
      </w:tblGrid>
      <w:tr w:rsidR="00BD155E" w:rsidRPr="00E71B56" w14:paraId="4A85AE3B" w14:textId="77777777" w:rsidTr="00A372FB">
        <w:trPr>
          <w:jc w:val="center"/>
        </w:trPr>
        <w:tc>
          <w:tcPr>
            <w:tcW w:w="15384" w:type="dxa"/>
            <w:gridSpan w:val="3"/>
            <w:shd w:val="clear" w:color="auto" w:fill="2F5496"/>
          </w:tcPr>
          <w:p w14:paraId="1944B4CD" w14:textId="77777777" w:rsidR="00BD155E" w:rsidRPr="00E71B56" w:rsidRDefault="00BD155E" w:rsidP="00A372FB">
            <w:pPr>
              <w:pStyle w:val="Heading2"/>
              <w:jc w:val="center"/>
              <w:rPr>
                <w:color w:val="FFFFFF" w:themeColor="background1"/>
                <w:lang w:val="es-ES"/>
              </w:rPr>
            </w:pPr>
            <w:bookmarkStart w:id="16" w:name="_Toc212728815"/>
            <w:bookmarkStart w:id="17" w:name="_Toc213427963"/>
            <w:r w:rsidRPr="00E71B56">
              <w:rPr>
                <w:color w:val="FFFFFF" w:themeColor="background1"/>
                <w:lang w:val="es-ES"/>
              </w:rPr>
              <w:t>Prioridad 1 del UIT</w:t>
            </w:r>
            <w:r w:rsidRPr="00E71B56">
              <w:rPr>
                <w:color w:val="FFFFFF" w:themeColor="background1"/>
                <w:lang w:val="es-ES"/>
              </w:rPr>
              <w:noBreakHyphen/>
              <w:t>D: Conectividad asequible</w:t>
            </w:r>
            <w:bookmarkEnd w:id="16"/>
            <w:bookmarkEnd w:id="17"/>
          </w:p>
          <w:p w14:paraId="7BD8E2E7" w14:textId="77777777" w:rsidR="00BD155E" w:rsidRPr="00E71B56" w:rsidRDefault="00BD155E" w:rsidP="00A372FB">
            <w:pPr>
              <w:spacing w:after="120"/>
              <w:jc w:val="center"/>
              <w:rPr>
                <w:b/>
                <w:bCs/>
                <w:i/>
                <w:iCs/>
                <w:color w:val="FFFFFF" w:themeColor="background1"/>
                <w:lang w:val="es-ES"/>
              </w:rPr>
            </w:pPr>
            <w:r w:rsidRPr="00E71B56">
              <w:rPr>
                <w:b/>
                <w:bCs/>
                <w:i/>
                <w:iCs/>
                <w:color w:val="FFFFFF" w:themeColor="background1"/>
                <w:lang w:val="es-ES"/>
              </w:rPr>
              <w:t>Fomentar el desarrollo de infraestructuras y servicios seguros, modernos y asequibles a través de las telecomunicaciones/TIC</w:t>
            </w:r>
          </w:p>
        </w:tc>
      </w:tr>
      <w:tr w:rsidR="00BD155E" w:rsidRPr="00E71B56" w14:paraId="331C1B55" w14:textId="77777777" w:rsidTr="00A372FB">
        <w:trPr>
          <w:jc w:val="center"/>
        </w:trPr>
        <w:tc>
          <w:tcPr>
            <w:tcW w:w="15384" w:type="dxa"/>
            <w:gridSpan w:val="3"/>
            <w:shd w:val="clear" w:color="auto" w:fill="E5DFEC"/>
          </w:tcPr>
          <w:p w14:paraId="0579E015" w14:textId="77777777" w:rsidR="00BD155E" w:rsidRPr="00E71B56" w:rsidRDefault="00BD155E" w:rsidP="00A372FB">
            <w:pPr>
              <w:pStyle w:val="Heading3"/>
              <w:rPr>
                <w:color w:val="0070C0"/>
                <w:lang w:val="es-ES"/>
              </w:rPr>
            </w:pPr>
            <w:bookmarkStart w:id="18" w:name="_Toc212728816"/>
            <w:bookmarkStart w:id="19" w:name="_Toc213427964"/>
            <w:r w:rsidRPr="00E71B56">
              <w:rPr>
                <w:color w:val="0070C0"/>
                <w:lang w:val="es-ES"/>
              </w:rPr>
              <w:t>Telecomunicaciones de emergencia</w:t>
            </w:r>
            <w:bookmarkEnd w:id="18"/>
            <w:bookmarkEnd w:id="19"/>
          </w:p>
          <w:p w14:paraId="2F964685" w14:textId="77777777" w:rsidR="00BD155E" w:rsidRPr="00E71B56" w:rsidRDefault="00BD155E" w:rsidP="00A372FB">
            <w:pPr>
              <w:rPr>
                <w:b/>
                <w:lang w:val="es-ES"/>
              </w:rPr>
            </w:pPr>
            <w:r w:rsidRPr="00E71B56">
              <w:rPr>
                <w:b/>
                <w:bCs/>
                <w:i/>
                <w:iCs/>
                <w:lang w:val="es-ES"/>
              </w:rPr>
              <w:t>Realización:</w:t>
            </w:r>
            <w:r w:rsidRPr="00E71B56">
              <w:rPr>
                <w:i/>
                <w:iCs/>
                <w:lang w:val="es-ES"/>
              </w:rPr>
              <w:t xml:space="preserve"> Refuerzo de la capacidad de los Estados Miembros para utilizar las telecomunicaciones/TIC a efectos de la reducción y la gestión del riesgo de desastres, a fin de garantizar la disponibilidad de los equipos de telecomunicaciones de emergencia y facilitar la cooperación en este ámbito</w:t>
            </w:r>
          </w:p>
        </w:tc>
      </w:tr>
      <w:tr w:rsidR="00BD155E" w:rsidRPr="00E71B56" w14:paraId="464961CA" w14:textId="77777777" w:rsidTr="00A372FB">
        <w:trPr>
          <w:jc w:val="center"/>
        </w:trPr>
        <w:tc>
          <w:tcPr>
            <w:tcW w:w="12062" w:type="dxa"/>
            <w:gridSpan w:val="2"/>
          </w:tcPr>
          <w:p w14:paraId="58515C80" w14:textId="77777777" w:rsidR="00BD155E" w:rsidRPr="00E71B56" w:rsidRDefault="00BD155E" w:rsidP="00A372FB">
            <w:pPr>
              <w:jc w:val="center"/>
              <w:rPr>
                <w:b/>
                <w:bCs/>
                <w:color w:val="0070C0"/>
                <w:lang w:val="es-ES"/>
              </w:rPr>
            </w:pPr>
            <w:r w:rsidRPr="00E71B56">
              <w:rPr>
                <w:b/>
                <w:bCs/>
                <w:color w:val="0070C0"/>
                <w:lang w:val="es-ES"/>
              </w:rPr>
              <w:t>Productos</w:t>
            </w:r>
          </w:p>
        </w:tc>
        <w:tc>
          <w:tcPr>
            <w:tcW w:w="3322" w:type="dxa"/>
          </w:tcPr>
          <w:p w14:paraId="4456856C" w14:textId="77777777" w:rsidR="00BD155E" w:rsidRPr="00E71B56" w:rsidRDefault="00BD155E" w:rsidP="00A372FB">
            <w:pPr>
              <w:jc w:val="center"/>
              <w:rPr>
                <w:b/>
                <w:bCs/>
                <w:color w:val="0070C0"/>
                <w:lang w:val="es-ES"/>
              </w:rPr>
            </w:pPr>
            <w:r w:rsidRPr="00E71B56">
              <w:rPr>
                <w:b/>
                <w:bCs/>
                <w:color w:val="0070C0"/>
                <w:lang w:val="es-ES"/>
              </w:rPr>
              <w:t>Aspectos destacados</w:t>
            </w:r>
          </w:p>
        </w:tc>
      </w:tr>
      <w:tr w:rsidR="00BD155E" w:rsidRPr="00E71B56" w14:paraId="765CCD27" w14:textId="77777777" w:rsidTr="00A372FB">
        <w:trPr>
          <w:jc w:val="center"/>
        </w:trPr>
        <w:tc>
          <w:tcPr>
            <w:tcW w:w="12062" w:type="dxa"/>
            <w:gridSpan w:val="2"/>
          </w:tcPr>
          <w:p w14:paraId="08396F42" w14:textId="77777777" w:rsidR="00BD155E" w:rsidRPr="00E71B56" w:rsidRDefault="00BD155E" w:rsidP="00A372FB">
            <w:pPr>
              <w:rPr>
                <w:lang w:val="es-ES"/>
              </w:rPr>
            </w:pPr>
            <w:r w:rsidRPr="00E71B56">
              <w:rPr>
                <w:lang w:val="es-ES"/>
              </w:rPr>
              <w:t xml:space="preserve">Entre 2023 y 2025, la BDT dirigió los esfuerzos mundiales destinados a fortalecer las telecomunicaciones de emergencia en consonancia con la iniciativa </w:t>
            </w:r>
            <w:hyperlink r:id="rId37" w:anchor=":~:text=Early%20Warnings%20for%20All%20is,by%20the%20end%20of%202027" w:history="1">
              <w:r w:rsidRPr="00E71B56">
                <w:rPr>
                  <w:rStyle w:val="Hyperlink"/>
                  <w:lang w:val="es-ES"/>
                </w:rPr>
                <w:t>Alertas Tempranas para Todos (EW4All) del Secretario General de las Naciones Unidas</w:t>
              </w:r>
            </w:hyperlink>
            <w:r w:rsidRPr="00E71B56">
              <w:rPr>
                <w:lang w:val="es-ES"/>
              </w:rPr>
              <w:t>, que tiene por objeto garantizar la cobertura universal de las alertas tempranas para 2027. Guiada por cuatro prioridades que son la supervisión en tiempo real de la conectividad, la mejora de los sistemas de alerta temprana (SAT), el desarrollo de los planes nacionales de telecomunicaciones de emergencia (PNTE) y el fomento de la resiliencia regional, la BDT trabajó en las regiones de África, las Américas, los Estados Árabes, Asia</w:t>
            </w:r>
            <w:r w:rsidRPr="00E71B56">
              <w:rPr>
                <w:lang w:val="es-ES"/>
              </w:rPr>
              <w:noBreakHyphen/>
              <w:t xml:space="preserve">Pacífico, la Comunidad de Estados Independientes (CEI) y Europa con el fin de construir bases más fiables e inclusivas para la preparación para casos de desastre. Los productos y servicios desplegados en las regiones han contribuido a la aplicación de la </w:t>
            </w:r>
            <w:hyperlink r:id="rId38" w:history="1">
              <w:r w:rsidRPr="00E71B56">
                <w:rPr>
                  <w:rStyle w:val="Hyperlink"/>
                  <w:lang w:val="es-ES"/>
                </w:rPr>
                <w:t>Resolución 34 (Rev. Kigali, 2022) de la CMDT-22</w:t>
              </w:r>
            </w:hyperlink>
            <w:r w:rsidRPr="00E71B56">
              <w:rPr>
                <w:lang w:val="es-ES"/>
              </w:rPr>
              <w:t xml:space="preserve"> sobre la función de las telecomunicaciones/tecnologías de la información y la comunicación en la preparación, alerta temprana, rescate, mitigación, socorro y respuesta en situaciones de catástrofe</w:t>
            </w:r>
            <w:r w:rsidRPr="00E71B56">
              <w:rPr>
                <w:i/>
                <w:iCs/>
                <w:lang w:val="es-ES"/>
              </w:rPr>
              <w:t>.</w:t>
            </w:r>
            <w:hyperlink r:id="rId39" w:anchor=":~:text=Early%20Warnings%20for%20All%20is,by%20the%20end%20of%202027" w:history="1"/>
            <w:hyperlink r:id="rId40" w:history="1"/>
          </w:p>
          <w:p w14:paraId="1E6DE788" w14:textId="77777777" w:rsidR="00BD155E" w:rsidRPr="00E71B56" w:rsidRDefault="00BD155E" w:rsidP="00A372FB">
            <w:pPr>
              <w:rPr>
                <w:lang w:val="es-ES"/>
              </w:rPr>
            </w:pPr>
            <w:r w:rsidRPr="00E71B56">
              <w:rPr>
                <w:lang w:val="es-ES"/>
              </w:rPr>
              <w:t xml:space="preserve">Desde 2023, el </w:t>
            </w:r>
            <w:hyperlink r:id="rId41" w:history="1">
              <w:r w:rsidRPr="00E71B56">
                <w:rPr>
                  <w:rStyle w:val="Hyperlink"/>
                  <w:lang w:val="es-ES"/>
                </w:rPr>
                <w:t>Mapa de Conectividad en caso de Catástrofe (DCM, por sus siglas en inglés)</w:t>
              </w:r>
            </w:hyperlink>
            <w:r w:rsidRPr="00E71B56">
              <w:rPr>
                <w:lang w:val="es-ES"/>
              </w:rPr>
              <w:t>, que proporciona información en tiempo real sobre la resiliencia de las redes durante las emergencias, apoyó la labor de recuperación durante el terremoto de</w:t>
            </w:r>
            <w:r w:rsidRPr="00E71B56">
              <w:rPr>
                <w:b/>
                <w:bCs/>
                <w:lang w:val="es-ES"/>
              </w:rPr>
              <w:t xml:space="preserve"> Türkiye y Siria</w:t>
            </w:r>
            <w:r w:rsidRPr="00E71B56">
              <w:rPr>
                <w:lang w:val="es-ES"/>
              </w:rPr>
              <w:t xml:space="preserve">, realizando un seguimiento de las mejoras de la cobertura de red del 79 % a más del 90 % durante el periodo de recuperación de la catástrofe y prestando </w:t>
            </w:r>
            <w:r w:rsidRPr="00E71B56">
              <w:rPr>
                <w:lang w:val="es-ES"/>
              </w:rPr>
              <w:lastRenderedPageBreak/>
              <w:t xml:space="preserve">apoyo para la toma de decisiones a los organismos participantes encargados de la recuperación en caso de catástrofe. En el mismo año, el DCM se utilizó para supervisar la acentuada caída del servicio celular cuando los ciclones Judy y Kevin llegaron a </w:t>
            </w:r>
            <w:r w:rsidRPr="00E71B56">
              <w:rPr>
                <w:b/>
                <w:bCs/>
                <w:lang w:val="es-ES"/>
              </w:rPr>
              <w:t xml:space="preserve">Vanuatu </w:t>
            </w:r>
            <w:r w:rsidRPr="00E71B56">
              <w:rPr>
                <w:lang w:val="es-ES"/>
              </w:rPr>
              <w:t xml:space="preserve">y la cobertura disminuyó hasta el 36 % hasta el comienzo de la recuperación en marzo. En 2024 y 2025, el DCM volvió a activarse para los ciclones Filipo y Chido en </w:t>
            </w:r>
            <w:r w:rsidRPr="00E71B56">
              <w:rPr>
                <w:b/>
                <w:bCs/>
                <w:lang w:val="es-ES"/>
              </w:rPr>
              <w:t>Mozambique</w:t>
            </w:r>
            <w:r w:rsidRPr="00E71B56">
              <w:rPr>
                <w:lang w:val="es-ES"/>
              </w:rPr>
              <w:t xml:space="preserve">, el ciclón Gamane en </w:t>
            </w:r>
            <w:r w:rsidRPr="00E71B56">
              <w:rPr>
                <w:b/>
                <w:bCs/>
                <w:lang w:val="es-ES"/>
              </w:rPr>
              <w:t>Madagascar</w:t>
            </w:r>
            <w:r w:rsidRPr="00E71B56">
              <w:rPr>
                <w:lang w:val="es-ES"/>
              </w:rPr>
              <w:t xml:space="preserve">, el ciclón Hidaya en </w:t>
            </w:r>
            <w:r w:rsidRPr="00E71B56">
              <w:rPr>
                <w:b/>
                <w:bCs/>
                <w:lang w:val="es-ES"/>
              </w:rPr>
              <w:t>África Oriental</w:t>
            </w:r>
            <w:r w:rsidRPr="00E71B56">
              <w:rPr>
                <w:lang w:val="es-ES"/>
              </w:rPr>
              <w:t xml:space="preserve"> y el ciclón Beryl en el </w:t>
            </w:r>
            <w:r w:rsidRPr="00E71B56">
              <w:rPr>
                <w:b/>
                <w:bCs/>
                <w:lang w:val="es-ES"/>
              </w:rPr>
              <w:t>Caribe</w:t>
            </w:r>
            <w:r w:rsidRPr="00E71B56">
              <w:rPr>
                <w:lang w:val="es-ES"/>
              </w:rPr>
              <w:t xml:space="preserve">. El DCM también se activó para las inundaciones en </w:t>
            </w:r>
            <w:r w:rsidRPr="00E71B56">
              <w:rPr>
                <w:b/>
                <w:bCs/>
                <w:lang w:val="es-ES"/>
              </w:rPr>
              <w:t>Pakistán</w:t>
            </w:r>
            <w:r w:rsidRPr="00E71B56">
              <w:rPr>
                <w:lang w:val="es-ES"/>
              </w:rPr>
              <w:t xml:space="preserve"> y para los terremotos de magnitud 7,7 y 7,3 en </w:t>
            </w:r>
            <w:r w:rsidRPr="00E71B56">
              <w:rPr>
                <w:b/>
                <w:bCs/>
                <w:lang w:val="es-ES"/>
              </w:rPr>
              <w:t xml:space="preserve">Myanmar </w:t>
            </w:r>
            <w:r w:rsidRPr="00E71B56">
              <w:rPr>
                <w:lang w:val="es-ES"/>
              </w:rPr>
              <w:t xml:space="preserve">y </w:t>
            </w:r>
            <w:r w:rsidRPr="00E71B56">
              <w:rPr>
                <w:b/>
                <w:bCs/>
                <w:lang w:val="es-ES"/>
              </w:rPr>
              <w:t>Tailandia</w:t>
            </w:r>
            <w:r w:rsidRPr="00E71B56">
              <w:rPr>
                <w:lang w:val="es-ES"/>
              </w:rPr>
              <w:t xml:space="preserve">. Aprovechando estas experiencias, el DCM ha evolucionado hasta convertirse en el </w:t>
            </w:r>
            <w:hyperlink r:id="rId42" w:history="1">
              <w:r w:rsidRPr="00E71B56">
                <w:rPr>
                  <w:rStyle w:val="Hyperlink"/>
                  <w:lang w:val="es-ES"/>
                </w:rPr>
                <w:t>Mapa de Conectividad para la Alerta Temprana (EWCM, por sus siglas en inglés)</w:t>
              </w:r>
            </w:hyperlink>
            <w:r w:rsidRPr="00E71B56">
              <w:rPr>
                <w:lang w:val="es-ES"/>
              </w:rPr>
              <w:t>, una herramienta impulsada por la inteligencia artificial (IA) desarrollada en colaboración con AI for Good Lab de Microsoft, Planet y el Institute for Health Metrics and Evaluation de la Universidad de Washington, a fin de visualizar dónde y cómo reciben cobertura muchas personas, y las zonas en las que las faltas de conectividad no dejan que las alertas móviles lleguen a las poblaciones En los tres últimos años, se han cartografiado 33 países por conducto de esta herramienta.</w:t>
            </w:r>
            <w:hyperlink r:id="rId43"/>
            <w:hyperlink r:id="rId44"/>
          </w:p>
          <w:p w14:paraId="79581ADA" w14:textId="77777777" w:rsidR="00BD155E" w:rsidRPr="00E71B56" w:rsidRDefault="00BD155E" w:rsidP="00A372FB">
            <w:pPr>
              <w:rPr>
                <w:lang w:val="es-ES"/>
              </w:rPr>
            </w:pPr>
            <w:r w:rsidRPr="00E71B56">
              <w:rPr>
                <w:lang w:val="es-ES"/>
              </w:rPr>
              <w:t xml:space="preserve">Como organismo rector mundial para el </w:t>
            </w:r>
            <w:hyperlink r:id="rId45" w:history="1">
              <w:r w:rsidRPr="00E71B56">
                <w:rPr>
                  <w:rStyle w:val="Hyperlink"/>
                  <w:lang w:val="es-ES"/>
                </w:rPr>
                <w:t>Pilar 3 de EW4All</w:t>
              </w:r>
            </w:hyperlink>
            <w:r w:rsidRPr="00E71B56">
              <w:rPr>
                <w:lang w:val="es-ES"/>
              </w:rPr>
              <w:t xml:space="preserve"> ("Difusión y comunicación de alertas de emergencia"), la BDT amplió sus esfuerzos de capacitación, celebrando más de 30 talleres nacionales y regionales, con inclusión de sesiones en </w:t>
            </w:r>
            <w:r w:rsidRPr="00E71B56">
              <w:rPr>
                <w:b/>
                <w:bCs/>
                <w:lang w:val="es-ES"/>
              </w:rPr>
              <w:t>Tanzanía</w:t>
            </w:r>
            <w:r w:rsidRPr="00E71B56">
              <w:rPr>
                <w:lang w:val="es-ES"/>
              </w:rPr>
              <w:t xml:space="preserve">, </w:t>
            </w:r>
            <w:r w:rsidRPr="00E71B56">
              <w:rPr>
                <w:b/>
                <w:bCs/>
                <w:lang w:val="es-ES"/>
              </w:rPr>
              <w:t>Seychelles</w:t>
            </w:r>
            <w:r w:rsidRPr="00E71B56">
              <w:rPr>
                <w:lang w:val="es-ES"/>
              </w:rPr>
              <w:t xml:space="preserve">, </w:t>
            </w:r>
            <w:r w:rsidRPr="00E71B56">
              <w:rPr>
                <w:b/>
                <w:bCs/>
                <w:lang w:val="es-ES"/>
              </w:rPr>
              <w:t>Sudáfrica</w:t>
            </w:r>
            <w:r w:rsidRPr="00E71B56">
              <w:rPr>
                <w:lang w:val="es-ES"/>
              </w:rPr>
              <w:t xml:space="preserve">, </w:t>
            </w:r>
            <w:r w:rsidRPr="00E71B56">
              <w:rPr>
                <w:b/>
                <w:bCs/>
                <w:lang w:val="es-ES"/>
              </w:rPr>
              <w:t>Kenya</w:t>
            </w:r>
            <w:r w:rsidRPr="00E71B56">
              <w:rPr>
                <w:lang w:val="es-ES"/>
              </w:rPr>
              <w:t xml:space="preserve">, </w:t>
            </w:r>
            <w:r w:rsidRPr="00E71B56">
              <w:rPr>
                <w:b/>
                <w:bCs/>
                <w:lang w:val="es-ES"/>
              </w:rPr>
              <w:t>Bangladesh</w:t>
            </w:r>
            <w:r w:rsidRPr="00E71B56">
              <w:rPr>
                <w:lang w:val="es-ES"/>
              </w:rPr>
              <w:t xml:space="preserve">, </w:t>
            </w:r>
            <w:r w:rsidRPr="00E71B56">
              <w:rPr>
                <w:b/>
                <w:bCs/>
                <w:lang w:val="es-ES"/>
              </w:rPr>
              <w:t>Nepal</w:t>
            </w:r>
            <w:r w:rsidRPr="00E71B56">
              <w:rPr>
                <w:lang w:val="es-ES"/>
              </w:rPr>
              <w:t xml:space="preserve">, </w:t>
            </w:r>
            <w:r w:rsidRPr="00E71B56">
              <w:rPr>
                <w:b/>
                <w:bCs/>
                <w:lang w:val="es-ES"/>
              </w:rPr>
              <w:t>Ghana</w:t>
            </w:r>
            <w:r w:rsidRPr="00E71B56">
              <w:rPr>
                <w:lang w:val="es-ES"/>
              </w:rPr>
              <w:t xml:space="preserve">, </w:t>
            </w:r>
            <w:r w:rsidRPr="00E71B56">
              <w:rPr>
                <w:b/>
                <w:bCs/>
                <w:lang w:val="es-ES"/>
              </w:rPr>
              <w:t>Haití</w:t>
            </w:r>
            <w:r w:rsidRPr="00E71B56">
              <w:rPr>
                <w:lang w:val="es-ES"/>
              </w:rPr>
              <w:t xml:space="preserve">, </w:t>
            </w:r>
            <w:r w:rsidRPr="00E71B56">
              <w:rPr>
                <w:b/>
                <w:bCs/>
                <w:lang w:val="es-ES"/>
              </w:rPr>
              <w:t xml:space="preserve">R.D.P. Lao </w:t>
            </w:r>
            <w:r w:rsidRPr="00E71B56">
              <w:rPr>
                <w:lang w:val="es-ES"/>
              </w:rPr>
              <w:t xml:space="preserve">y </w:t>
            </w:r>
            <w:r w:rsidRPr="00E71B56">
              <w:rPr>
                <w:b/>
                <w:bCs/>
                <w:lang w:val="es-ES"/>
              </w:rPr>
              <w:t>Kiribati.</w:t>
            </w:r>
            <w:r w:rsidRPr="00E71B56">
              <w:rPr>
                <w:lang w:val="es-ES"/>
              </w:rPr>
              <w:t xml:space="preserve"> Estas sesiones promovieron la adopción del </w:t>
            </w:r>
            <w:hyperlink r:id="rId46" w:history="1">
              <w:r w:rsidRPr="00E71B56">
                <w:rPr>
                  <w:rStyle w:val="Hyperlink"/>
                  <w:lang w:val="es-ES"/>
                </w:rPr>
                <w:t>protocolo común de alerta (PCA)</w:t>
              </w:r>
            </w:hyperlink>
            <w:r w:rsidRPr="00E71B56">
              <w:rPr>
                <w:lang w:val="es-ES"/>
              </w:rPr>
              <w:t xml:space="preserve"> y la tecnología de radiodifusión celular (CB) y dieron orientaciones para las hojas de ruta nacionales sobre los SAT. Los esfuerzos de capacitación desbloquearon 15 millones de dólares de los Estados Unidos (USD) en concepto de financiación procedente del Programa de las Naciones Unidas para el Desarrollo (PNUD), la Oficina de las Naciones Unidas para la Reducción del Riesgo de Desastres (UNDRR), la Organización Meteorológica Mundial (OMM) y el Banco Mundial en la COP28 celebrada en 2024. Para 2025, la BDT estuvo fomentando la innovación por conducto de la IA para el Concurso de Innovación sobre la IA para EW4All y el Catálogo de Soluciones de IA, desarrollado en colaboración con Google, el AI for Good Lab de Microsoft y el Grupo de Observaciones de la Tierra (GEO). Asimismo, la BDT coordina el </w:t>
            </w:r>
            <w:hyperlink r:id="rId47" w:history="1">
              <w:r w:rsidRPr="00E71B56">
                <w:rPr>
                  <w:rStyle w:val="Hyperlink"/>
                  <w:lang w:val="es-ES"/>
                </w:rPr>
                <w:t>Subgrupo de EW4All sobre la IA</w:t>
              </w:r>
            </w:hyperlink>
            <w:r w:rsidRPr="00E71B56">
              <w:rPr>
                <w:lang w:val="es-ES"/>
              </w:rPr>
              <w:t xml:space="preserve">, que tiene más de 130 miembros de los sectores público y privado y celebra cada mes sesiones sobre los </w:t>
            </w:r>
            <w:hyperlink r:id="rId48" w:history="1">
              <w:r w:rsidRPr="00E71B56">
                <w:rPr>
                  <w:rStyle w:val="Hyperlink"/>
                  <w:lang w:val="es-ES"/>
                </w:rPr>
                <w:t>Aspectos Destacados de las Soluciones de IA</w:t>
              </w:r>
            </w:hyperlink>
            <w:r w:rsidRPr="00E71B56">
              <w:rPr>
                <w:lang w:val="es-ES"/>
              </w:rPr>
              <w:t>, cuyo objeto es ampliar las soluciones mediante proyectos piloto en países.</w:t>
            </w:r>
            <w:hyperlink r:id="rId49"/>
            <w:hyperlink r:id="rId50"/>
            <w:hyperlink r:id="rId51"/>
            <w:hyperlink r:id="rId52"/>
          </w:p>
          <w:p w14:paraId="440B2437" w14:textId="77777777" w:rsidR="00BD155E" w:rsidRPr="00E71B56" w:rsidRDefault="00BD155E" w:rsidP="00A372FB">
            <w:pPr>
              <w:rPr>
                <w:lang w:val="es-ES"/>
              </w:rPr>
            </w:pPr>
            <w:r w:rsidRPr="00E71B56">
              <w:rPr>
                <w:lang w:val="es-ES"/>
              </w:rPr>
              <w:lastRenderedPageBreak/>
              <w:t xml:space="preserve">Los avances en materia de </w:t>
            </w:r>
            <w:hyperlink r:id="rId53" w:history="1">
              <w:r w:rsidRPr="00E71B56">
                <w:rPr>
                  <w:rStyle w:val="Hyperlink"/>
                  <w:lang w:val="es-ES"/>
                </w:rPr>
                <w:t>PNTE</w:t>
              </w:r>
            </w:hyperlink>
            <w:r w:rsidRPr="00E71B56">
              <w:rPr>
                <w:lang w:val="es-ES"/>
              </w:rPr>
              <w:t xml:space="preserve"> han fortalecido también la resiliencia nacional en todo el mundo. De 2023 a 2025, la BDT prestó apoyo a 25 países para elaborar y aplicar PNTE. Un hito importante fue el PNTE Modelo de la Comunidad de África Meridional para el Desarrollo (SADC), que abarca 16 naciones del África Meridional como </w:t>
            </w:r>
            <w:r w:rsidRPr="00E71B56">
              <w:rPr>
                <w:b/>
                <w:bCs/>
                <w:lang w:val="es-ES"/>
              </w:rPr>
              <w:t>Malawi</w:t>
            </w:r>
            <w:r w:rsidRPr="00E71B56">
              <w:rPr>
                <w:lang w:val="es-ES"/>
              </w:rPr>
              <w:t xml:space="preserve">, </w:t>
            </w:r>
            <w:r w:rsidRPr="00E71B56">
              <w:rPr>
                <w:b/>
                <w:bCs/>
                <w:lang w:val="es-ES"/>
              </w:rPr>
              <w:t>Zambia</w:t>
            </w:r>
            <w:r w:rsidRPr="00E71B56">
              <w:rPr>
                <w:lang w:val="es-ES"/>
              </w:rPr>
              <w:t xml:space="preserve">, </w:t>
            </w:r>
            <w:r w:rsidRPr="00E71B56">
              <w:rPr>
                <w:b/>
                <w:bCs/>
                <w:lang w:val="es-ES"/>
              </w:rPr>
              <w:t>Botswana</w:t>
            </w:r>
            <w:r w:rsidRPr="00E71B56">
              <w:rPr>
                <w:lang w:val="es-ES"/>
              </w:rPr>
              <w:t xml:space="preserve">, </w:t>
            </w:r>
            <w:r w:rsidRPr="00E71B56">
              <w:rPr>
                <w:b/>
                <w:bCs/>
                <w:lang w:val="es-ES"/>
              </w:rPr>
              <w:t>Rwanda</w:t>
            </w:r>
            <w:r w:rsidRPr="00E71B56">
              <w:rPr>
                <w:lang w:val="es-ES"/>
              </w:rPr>
              <w:t xml:space="preserve">, </w:t>
            </w:r>
            <w:r w:rsidRPr="00E71B56">
              <w:rPr>
                <w:b/>
                <w:bCs/>
                <w:lang w:val="es-ES"/>
              </w:rPr>
              <w:t>Madagascar</w:t>
            </w:r>
            <w:r w:rsidRPr="00E71B56">
              <w:rPr>
                <w:lang w:val="es-ES"/>
              </w:rPr>
              <w:t xml:space="preserve">, </w:t>
            </w:r>
            <w:r w:rsidRPr="00E71B56">
              <w:rPr>
                <w:b/>
                <w:bCs/>
                <w:lang w:val="es-ES"/>
              </w:rPr>
              <w:t>Tanzanía</w:t>
            </w:r>
            <w:r w:rsidRPr="00E71B56">
              <w:rPr>
                <w:lang w:val="es-ES"/>
              </w:rPr>
              <w:t xml:space="preserve">, </w:t>
            </w:r>
            <w:r w:rsidRPr="00E71B56">
              <w:rPr>
                <w:b/>
                <w:bCs/>
                <w:lang w:val="es-ES"/>
              </w:rPr>
              <w:t xml:space="preserve">Namibia </w:t>
            </w:r>
            <w:r w:rsidRPr="00E71B56">
              <w:rPr>
                <w:lang w:val="es-ES"/>
              </w:rPr>
              <w:t>y</w:t>
            </w:r>
            <w:r w:rsidRPr="00E71B56">
              <w:rPr>
                <w:b/>
                <w:bCs/>
                <w:lang w:val="es-ES"/>
              </w:rPr>
              <w:t xml:space="preserve"> Seychelles</w:t>
            </w:r>
            <w:r w:rsidRPr="00E71B56">
              <w:rPr>
                <w:lang w:val="es-ES"/>
              </w:rPr>
              <w:t xml:space="preserve">, en las que se elaboraron PNTE específicos. Se ultimaron otros planes específicos en </w:t>
            </w:r>
            <w:r w:rsidRPr="00E71B56">
              <w:rPr>
                <w:b/>
                <w:bCs/>
                <w:lang w:val="es-ES"/>
              </w:rPr>
              <w:t>Djibouti</w:t>
            </w:r>
            <w:r w:rsidRPr="00E71B56">
              <w:rPr>
                <w:lang w:val="es-ES"/>
              </w:rPr>
              <w:t xml:space="preserve">, </w:t>
            </w:r>
            <w:r w:rsidRPr="00E71B56">
              <w:rPr>
                <w:b/>
                <w:bCs/>
                <w:lang w:val="es-ES"/>
              </w:rPr>
              <w:t>Comoras</w:t>
            </w:r>
            <w:r w:rsidRPr="00E71B56">
              <w:rPr>
                <w:lang w:val="es-ES"/>
              </w:rPr>
              <w:t xml:space="preserve">, </w:t>
            </w:r>
            <w:r w:rsidRPr="00E71B56">
              <w:rPr>
                <w:b/>
                <w:bCs/>
                <w:lang w:val="es-ES"/>
              </w:rPr>
              <w:t xml:space="preserve">Mauritania </w:t>
            </w:r>
            <w:r w:rsidRPr="00E71B56">
              <w:rPr>
                <w:lang w:val="es-ES"/>
              </w:rPr>
              <w:t>y</w:t>
            </w:r>
            <w:r w:rsidRPr="00E71B56">
              <w:rPr>
                <w:b/>
                <w:bCs/>
                <w:lang w:val="es-ES"/>
              </w:rPr>
              <w:t xml:space="preserve"> Libia</w:t>
            </w:r>
            <w:r w:rsidRPr="00E71B56">
              <w:rPr>
                <w:lang w:val="es-ES"/>
              </w:rPr>
              <w:t xml:space="preserve">, así como en </w:t>
            </w:r>
            <w:r w:rsidRPr="00E71B56">
              <w:rPr>
                <w:b/>
                <w:bCs/>
                <w:lang w:val="es-ES"/>
              </w:rPr>
              <w:t>Fiji</w:t>
            </w:r>
            <w:r w:rsidRPr="00E71B56">
              <w:rPr>
                <w:lang w:val="es-ES"/>
              </w:rPr>
              <w:t xml:space="preserve">. Se prosiguió la labor en </w:t>
            </w:r>
            <w:r w:rsidRPr="00E71B56">
              <w:rPr>
                <w:b/>
                <w:bCs/>
                <w:lang w:val="es-ES"/>
              </w:rPr>
              <w:t>Haití</w:t>
            </w:r>
            <w:r w:rsidRPr="00E71B56">
              <w:rPr>
                <w:lang w:val="es-ES"/>
              </w:rPr>
              <w:t xml:space="preserve">, </w:t>
            </w:r>
            <w:r w:rsidRPr="00E71B56">
              <w:rPr>
                <w:b/>
                <w:bCs/>
                <w:lang w:val="es-ES"/>
              </w:rPr>
              <w:t>Jamaica</w:t>
            </w:r>
            <w:r w:rsidRPr="00E71B56">
              <w:rPr>
                <w:lang w:val="es-ES"/>
              </w:rPr>
              <w:t xml:space="preserve">, </w:t>
            </w:r>
            <w:r w:rsidRPr="00E71B56">
              <w:rPr>
                <w:b/>
                <w:bCs/>
                <w:lang w:val="es-ES"/>
              </w:rPr>
              <w:t>Liberia</w:t>
            </w:r>
            <w:r w:rsidRPr="00E71B56">
              <w:rPr>
                <w:lang w:val="es-ES"/>
              </w:rPr>
              <w:t xml:space="preserve">, </w:t>
            </w:r>
            <w:r w:rsidRPr="00E71B56">
              <w:rPr>
                <w:b/>
                <w:bCs/>
                <w:lang w:val="es-ES"/>
              </w:rPr>
              <w:t>Guinea</w:t>
            </w:r>
            <w:r w:rsidRPr="00E71B56">
              <w:rPr>
                <w:b/>
                <w:bCs/>
                <w:lang w:val="es-ES"/>
              </w:rPr>
              <w:noBreakHyphen/>
              <w:t>Bissau</w:t>
            </w:r>
            <w:r w:rsidRPr="00E71B56">
              <w:rPr>
                <w:lang w:val="es-ES"/>
              </w:rPr>
              <w:t xml:space="preserve">, </w:t>
            </w:r>
            <w:r w:rsidRPr="00E71B56">
              <w:rPr>
                <w:b/>
                <w:bCs/>
                <w:lang w:val="es-ES"/>
              </w:rPr>
              <w:t>Senegal</w:t>
            </w:r>
            <w:r w:rsidRPr="00E71B56">
              <w:rPr>
                <w:lang w:val="es-ES"/>
              </w:rPr>
              <w:t xml:space="preserve">, </w:t>
            </w:r>
            <w:r w:rsidRPr="00E71B56">
              <w:rPr>
                <w:b/>
                <w:bCs/>
                <w:lang w:val="es-ES"/>
              </w:rPr>
              <w:t>Guinea</w:t>
            </w:r>
            <w:r w:rsidRPr="00E71B56">
              <w:rPr>
                <w:lang w:val="es-ES"/>
              </w:rPr>
              <w:t xml:space="preserve">, </w:t>
            </w:r>
            <w:r w:rsidRPr="00E71B56">
              <w:rPr>
                <w:b/>
                <w:bCs/>
                <w:lang w:val="es-ES"/>
              </w:rPr>
              <w:t xml:space="preserve">Gambia </w:t>
            </w:r>
            <w:r w:rsidRPr="00E71B56">
              <w:rPr>
                <w:lang w:val="es-ES"/>
              </w:rPr>
              <w:t>y</w:t>
            </w:r>
            <w:r w:rsidRPr="00E71B56">
              <w:rPr>
                <w:b/>
                <w:bCs/>
                <w:lang w:val="es-ES"/>
              </w:rPr>
              <w:t xml:space="preserve"> Cabo Verde</w:t>
            </w:r>
            <w:r w:rsidRPr="00E71B56">
              <w:rPr>
                <w:lang w:val="es-ES"/>
              </w:rPr>
              <w:t xml:space="preserve">, complementada por talleres regionales en </w:t>
            </w:r>
            <w:r w:rsidRPr="00E71B56">
              <w:rPr>
                <w:b/>
                <w:bCs/>
                <w:lang w:val="es-ES"/>
              </w:rPr>
              <w:t>África Occidental</w:t>
            </w:r>
            <w:r w:rsidRPr="00E71B56">
              <w:rPr>
                <w:lang w:val="es-ES"/>
              </w:rPr>
              <w:t xml:space="preserve"> y el </w:t>
            </w:r>
            <w:r w:rsidRPr="00E71B56">
              <w:rPr>
                <w:b/>
                <w:bCs/>
                <w:lang w:val="es-ES"/>
              </w:rPr>
              <w:t>Caribe</w:t>
            </w:r>
            <w:r w:rsidRPr="00E71B56">
              <w:rPr>
                <w:lang w:val="es-ES"/>
              </w:rPr>
              <w:t>.</w:t>
            </w:r>
            <w:hyperlink r:id="rId54"/>
          </w:p>
          <w:p w14:paraId="7A79381B" w14:textId="77777777" w:rsidR="00BD155E" w:rsidRPr="00E71B56" w:rsidRDefault="00BD155E" w:rsidP="00A372FB">
            <w:pPr>
              <w:rPr>
                <w:lang w:val="es-ES"/>
              </w:rPr>
            </w:pPr>
            <w:r w:rsidRPr="00E71B56">
              <w:rPr>
                <w:lang w:val="es-ES"/>
              </w:rPr>
              <w:t xml:space="preserve">A fin de apoyar a los Estados Miembros en sus iniciativas de telecomunicaciones de emergencia, la BDT llevó a cabo actividades y proporcionó productos y servicios en las regiones, </w:t>
            </w:r>
            <w:r w:rsidRPr="00E71B56">
              <w:rPr>
                <w:b/>
                <w:bCs/>
                <w:lang w:val="es-ES"/>
              </w:rPr>
              <w:t>fortaleciendo las capacidades nacionales en materia de preparación y gestión de desastres</w:t>
            </w:r>
            <w:r w:rsidRPr="00E71B56">
              <w:rPr>
                <w:lang w:val="es-ES"/>
              </w:rPr>
              <w:t>.</w:t>
            </w:r>
          </w:p>
          <w:p w14:paraId="176A53C1" w14:textId="77777777" w:rsidR="00BD155E" w:rsidRPr="00E71B56" w:rsidRDefault="00BD155E" w:rsidP="00A372FB">
            <w:pPr>
              <w:rPr>
                <w:lang w:val="es-ES"/>
              </w:rPr>
            </w:pPr>
            <w:r w:rsidRPr="00E71B56">
              <w:rPr>
                <w:lang w:val="es-ES"/>
              </w:rPr>
              <w:t xml:space="preserve">En </w:t>
            </w:r>
            <w:r w:rsidRPr="00E71B56">
              <w:rPr>
                <w:b/>
                <w:bCs/>
                <w:lang w:val="es-ES"/>
              </w:rPr>
              <w:t>África</w:t>
            </w:r>
            <w:r w:rsidRPr="00E71B56">
              <w:rPr>
                <w:lang w:val="es-ES"/>
              </w:rPr>
              <w:t xml:space="preserve">, la BDT apostó por los talleres de consulta nacionales a fin de elaborar hojas de ruta nacionales para la implementación de la iniciativa EW4All, y en particular para el Pilar 3 sobre la difusión y comunicación de alertas de emergencia, en </w:t>
            </w:r>
            <w:r w:rsidRPr="00E71B56">
              <w:rPr>
                <w:b/>
                <w:bCs/>
                <w:lang w:val="es-ES"/>
              </w:rPr>
              <w:t>Ghana</w:t>
            </w:r>
            <w:r w:rsidRPr="00E71B56">
              <w:rPr>
                <w:lang w:val="es-ES"/>
              </w:rPr>
              <w:t xml:space="preserve">, </w:t>
            </w:r>
            <w:r w:rsidRPr="00E71B56">
              <w:rPr>
                <w:b/>
                <w:bCs/>
                <w:lang w:val="es-ES"/>
              </w:rPr>
              <w:t>Liberia</w:t>
            </w:r>
            <w:r w:rsidRPr="00E71B56">
              <w:rPr>
                <w:lang w:val="es-ES"/>
              </w:rPr>
              <w:t xml:space="preserve">, </w:t>
            </w:r>
            <w:r w:rsidRPr="00E71B56">
              <w:rPr>
                <w:b/>
                <w:bCs/>
                <w:lang w:val="es-ES"/>
              </w:rPr>
              <w:t>Madagascar</w:t>
            </w:r>
            <w:r w:rsidRPr="00E71B56">
              <w:rPr>
                <w:lang w:val="es-ES"/>
              </w:rPr>
              <w:t xml:space="preserve">, </w:t>
            </w:r>
            <w:r w:rsidRPr="00E71B56">
              <w:rPr>
                <w:b/>
                <w:bCs/>
                <w:lang w:val="es-ES"/>
              </w:rPr>
              <w:t>Mozambique</w:t>
            </w:r>
            <w:r w:rsidRPr="00E71B56">
              <w:rPr>
                <w:lang w:val="es-ES"/>
              </w:rPr>
              <w:t xml:space="preserve">, </w:t>
            </w:r>
            <w:r w:rsidRPr="00E71B56">
              <w:rPr>
                <w:b/>
                <w:bCs/>
                <w:lang w:val="es-ES"/>
              </w:rPr>
              <w:t>Níger</w:t>
            </w:r>
            <w:r w:rsidRPr="00E71B56">
              <w:rPr>
                <w:lang w:val="es-ES"/>
              </w:rPr>
              <w:t xml:space="preserve">, </w:t>
            </w:r>
            <w:r w:rsidRPr="00E71B56">
              <w:rPr>
                <w:b/>
                <w:bCs/>
                <w:lang w:val="es-ES"/>
              </w:rPr>
              <w:t>Uganda</w:t>
            </w:r>
            <w:r w:rsidRPr="00E71B56">
              <w:rPr>
                <w:lang w:val="es-ES"/>
              </w:rPr>
              <w:t xml:space="preserve">, </w:t>
            </w:r>
            <w:r w:rsidRPr="00E71B56">
              <w:rPr>
                <w:b/>
                <w:bCs/>
                <w:lang w:val="es-ES"/>
              </w:rPr>
              <w:t>Seychelles</w:t>
            </w:r>
            <w:r w:rsidRPr="00E71B56">
              <w:rPr>
                <w:lang w:val="es-ES"/>
              </w:rPr>
              <w:t xml:space="preserve">, </w:t>
            </w:r>
            <w:r w:rsidRPr="00E71B56">
              <w:rPr>
                <w:b/>
                <w:bCs/>
                <w:lang w:val="es-ES"/>
              </w:rPr>
              <w:t>Santo Tomé y Príncipe</w:t>
            </w:r>
            <w:r w:rsidRPr="00E71B56">
              <w:rPr>
                <w:lang w:val="es-ES"/>
              </w:rPr>
              <w:t xml:space="preserve">, </w:t>
            </w:r>
            <w:r w:rsidRPr="00E71B56">
              <w:rPr>
                <w:b/>
                <w:bCs/>
                <w:lang w:val="es-ES"/>
              </w:rPr>
              <w:t>Rwanda</w:t>
            </w:r>
            <w:r w:rsidRPr="00E71B56">
              <w:rPr>
                <w:lang w:val="es-ES"/>
              </w:rPr>
              <w:t xml:space="preserve">, </w:t>
            </w:r>
            <w:r w:rsidRPr="00E71B56">
              <w:rPr>
                <w:b/>
                <w:bCs/>
                <w:lang w:val="es-ES"/>
              </w:rPr>
              <w:t>Tanzanía</w:t>
            </w:r>
            <w:r w:rsidRPr="00E71B56">
              <w:rPr>
                <w:lang w:val="es-ES"/>
              </w:rPr>
              <w:t xml:space="preserve">, </w:t>
            </w:r>
            <w:r w:rsidRPr="00E71B56">
              <w:rPr>
                <w:b/>
                <w:bCs/>
                <w:lang w:val="es-ES"/>
              </w:rPr>
              <w:t xml:space="preserve">Gambia </w:t>
            </w:r>
            <w:r w:rsidRPr="00E71B56">
              <w:rPr>
                <w:lang w:val="es-ES"/>
              </w:rPr>
              <w:t>y</w:t>
            </w:r>
            <w:r w:rsidRPr="00E71B56">
              <w:rPr>
                <w:b/>
                <w:bCs/>
                <w:lang w:val="es-ES"/>
              </w:rPr>
              <w:t xml:space="preserve"> Kenya.</w:t>
            </w:r>
            <w:r w:rsidRPr="00E71B56">
              <w:rPr>
                <w:lang w:val="es-ES"/>
              </w:rPr>
              <w:t xml:space="preserve"> El taller sobre el Pilar 3 de EW4All de la BDT permitió desarrollar la capacidad de </w:t>
            </w:r>
            <w:r w:rsidRPr="00E71B56">
              <w:rPr>
                <w:b/>
                <w:bCs/>
                <w:lang w:val="es-ES"/>
              </w:rPr>
              <w:t xml:space="preserve">Madagascar </w:t>
            </w:r>
            <w:r w:rsidRPr="00E71B56">
              <w:rPr>
                <w:lang w:val="es-ES"/>
              </w:rPr>
              <w:t>para introducir la radiodifusión celular como medio de comunicación de alertas de emergencia.</w:t>
            </w:r>
          </w:p>
          <w:p w14:paraId="651BD4F9" w14:textId="77777777" w:rsidR="00BD155E" w:rsidRPr="00E71B56" w:rsidRDefault="00BD155E" w:rsidP="00A372FB">
            <w:pPr>
              <w:rPr>
                <w:lang w:val="es-ES"/>
              </w:rPr>
            </w:pPr>
            <w:r w:rsidRPr="00E71B56">
              <w:rPr>
                <w:lang w:val="es-ES"/>
              </w:rPr>
              <w:t xml:space="preserve">La BDT prestó asistencia técnica para la implementación de la hoja de ruta y los sistemas de alerta temprana nacionales de </w:t>
            </w:r>
            <w:r w:rsidRPr="00E71B56">
              <w:rPr>
                <w:b/>
                <w:bCs/>
                <w:lang w:val="es-ES"/>
              </w:rPr>
              <w:t>Mozambique</w:t>
            </w:r>
            <w:r w:rsidRPr="00E71B56">
              <w:rPr>
                <w:lang w:val="es-ES"/>
              </w:rPr>
              <w:t xml:space="preserve">, </w:t>
            </w:r>
            <w:r w:rsidRPr="00E71B56">
              <w:rPr>
                <w:b/>
                <w:bCs/>
                <w:lang w:val="es-ES"/>
              </w:rPr>
              <w:t xml:space="preserve">Liberia </w:t>
            </w:r>
            <w:r w:rsidRPr="00E71B56">
              <w:rPr>
                <w:lang w:val="es-ES"/>
              </w:rPr>
              <w:t>y</w:t>
            </w:r>
            <w:r w:rsidRPr="00E71B56">
              <w:rPr>
                <w:b/>
                <w:bCs/>
                <w:lang w:val="es-ES"/>
              </w:rPr>
              <w:t xml:space="preserve"> Tanzanía</w:t>
            </w:r>
            <w:r w:rsidRPr="00E71B56">
              <w:rPr>
                <w:lang w:val="es-ES"/>
              </w:rPr>
              <w:t xml:space="preserve">. </w:t>
            </w:r>
            <w:r w:rsidRPr="00E71B56">
              <w:rPr>
                <w:b/>
                <w:bCs/>
                <w:lang w:val="es-ES"/>
              </w:rPr>
              <w:t>Botswana</w:t>
            </w:r>
            <w:r w:rsidRPr="00E71B56">
              <w:rPr>
                <w:lang w:val="es-ES"/>
              </w:rPr>
              <w:t xml:space="preserve">, </w:t>
            </w:r>
            <w:r w:rsidRPr="00E71B56">
              <w:rPr>
                <w:b/>
                <w:bCs/>
                <w:lang w:val="es-ES"/>
              </w:rPr>
              <w:t>Malawi</w:t>
            </w:r>
            <w:r w:rsidRPr="00E71B56">
              <w:rPr>
                <w:lang w:val="es-ES"/>
              </w:rPr>
              <w:t xml:space="preserve">, </w:t>
            </w:r>
            <w:r w:rsidRPr="00E71B56">
              <w:rPr>
                <w:b/>
                <w:bCs/>
                <w:lang w:val="es-ES"/>
              </w:rPr>
              <w:t xml:space="preserve">Seychelles </w:t>
            </w:r>
            <w:r w:rsidRPr="00E71B56">
              <w:rPr>
                <w:lang w:val="es-ES"/>
              </w:rPr>
              <w:t>y</w:t>
            </w:r>
            <w:r w:rsidRPr="00E71B56">
              <w:rPr>
                <w:b/>
                <w:bCs/>
                <w:lang w:val="es-ES"/>
              </w:rPr>
              <w:t xml:space="preserve"> Zambia</w:t>
            </w:r>
            <w:r w:rsidRPr="00E71B56">
              <w:rPr>
                <w:lang w:val="es-ES"/>
              </w:rPr>
              <w:t xml:space="preserve"> recibieron asistencia técnica para la implementación de la tecnología de radiodifusión celular, en el marco de la cual se efectuaron evaluaciones técnicas, económicas y reglamentarias para cada uno de esos países.</w:t>
            </w:r>
          </w:p>
          <w:p w14:paraId="77C647B2" w14:textId="77777777" w:rsidR="00BD155E" w:rsidRPr="00E71B56" w:rsidRDefault="00BD155E" w:rsidP="00A372FB">
            <w:pPr>
              <w:rPr>
                <w:lang w:val="es-ES"/>
              </w:rPr>
            </w:pPr>
            <w:r w:rsidRPr="00E71B56">
              <w:rPr>
                <w:lang w:val="es-ES"/>
              </w:rPr>
              <w:t xml:space="preserve">En colaboración con la </w:t>
            </w:r>
            <w:r w:rsidRPr="00E71B56">
              <w:rPr>
                <w:b/>
                <w:bCs/>
                <w:lang w:val="es-ES"/>
              </w:rPr>
              <w:t>Unión Africana de Telecomunicaciones (UAT)</w:t>
            </w:r>
            <w:r w:rsidRPr="00E71B56">
              <w:rPr>
                <w:lang w:val="es-ES"/>
              </w:rPr>
              <w:t>, la BDT impartió un seminario web sobre la iniciativa EW4All que permitió crear conciencia sobre la iniciativa EW4All, facilitar una comprensión profunda del Pilar 3 de la iniciativa, liderado por la UIT, y dotar a los participantes de los conocimientos y herramientas necesarios para implantar sistemas eficaces de alerta temprana.</w:t>
            </w:r>
          </w:p>
          <w:p w14:paraId="0CB95F71" w14:textId="77777777" w:rsidR="00BD155E" w:rsidRPr="00E71B56" w:rsidRDefault="00BD155E" w:rsidP="00A372FB">
            <w:pPr>
              <w:rPr>
                <w:lang w:val="es-ES"/>
              </w:rPr>
            </w:pPr>
            <w:r w:rsidRPr="00E71B56">
              <w:rPr>
                <w:lang w:val="es-ES"/>
              </w:rPr>
              <w:t xml:space="preserve">En la </w:t>
            </w:r>
            <w:r w:rsidRPr="00E71B56">
              <w:rPr>
                <w:b/>
                <w:bCs/>
                <w:lang w:val="es-ES"/>
              </w:rPr>
              <w:t>región de</w:t>
            </w:r>
            <w:r w:rsidRPr="00E71B56">
              <w:rPr>
                <w:lang w:val="es-ES"/>
              </w:rPr>
              <w:t xml:space="preserve"> </w:t>
            </w:r>
            <w:r w:rsidRPr="00E71B56">
              <w:rPr>
                <w:b/>
                <w:bCs/>
                <w:lang w:val="es-ES"/>
              </w:rPr>
              <w:t>Asia</w:t>
            </w:r>
            <w:r w:rsidRPr="00E71B56">
              <w:rPr>
                <w:b/>
                <w:bCs/>
                <w:lang w:val="es-ES"/>
              </w:rPr>
              <w:noBreakHyphen/>
              <w:t>Pacífico</w:t>
            </w:r>
            <w:r w:rsidRPr="00E71B56">
              <w:rPr>
                <w:lang w:val="es-ES"/>
              </w:rPr>
              <w:t xml:space="preserve">, la mejora de la resiliencia de las TIC ha seguido siendo una prioridad. La BDT llevó a cabo </w:t>
            </w:r>
            <w:r w:rsidRPr="00E71B56">
              <w:rPr>
                <w:b/>
                <w:bCs/>
                <w:lang w:val="es-ES"/>
              </w:rPr>
              <w:t xml:space="preserve">evaluaciones de la resiliencia de las infraestructuras nacionales de TIC </w:t>
            </w:r>
            <w:r w:rsidRPr="00E71B56">
              <w:rPr>
                <w:lang w:val="es-ES"/>
              </w:rPr>
              <w:t xml:space="preserve">en </w:t>
            </w:r>
            <w:r w:rsidRPr="00E71B56">
              <w:rPr>
                <w:b/>
                <w:bCs/>
                <w:lang w:val="es-ES"/>
              </w:rPr>
              <w:t>Bhután</w:t>
            </w:r>
            <w:r w:rsidRPr="00E71B56">
              <w:rPr>
                <w:lang w:val="es-ES"/>
              </w:rPr>
              <w:t xml:space="preserve">, </w:t>
            </w:r>
            <w:r w:rsidRPr="00E71B56">
              <w:rPr>
                <w:b/>
                <w:bCs/>
                <w:lang w:val="es-ES"/>
              </w:rPr>
              <w:t>R.D.P. Lao</w:t>
            </w:r>
            <w:r w:rsidRPr="00E71B56">
              <w:rPr>
                <w:lang w:val="es-ES"/>
              </w:rPr>
              <w:t xml:space="preserve">, </w:t>
            </w:r>
            <w:r w:rsidRPr="00E71B56">
              <w:rPr>
                <w:b/>
                <w:bCs/>
                <w:lang w:val="es-ES"/>
              </w:rPr>
              <w:t xml:space="preserve">Nepal </w:t>
            </w:r>
            <w:r w:rsidRPr="00E71B56">
              <w:rPr>
                <w:lang w:val="es-ES"/>
              </w:rPr>
              <w:t>y</w:t>
            </w:r>
            <w:r w:rsidRPr="00E71B56">
              <w:rPr>
                <w:b/>
                <w:bCs/>
                <w:lang w:val="es-ES"/>
              </w:rPr>
              <w:t xml:space="preserve"> Filipinas.</w:t>
            </w:r>
            <w:r w:rsidRPr="00E71B56">
              <w:rPr>
                <w:lang w:val="es-ES"/>
              </w:rPr>
              <w:t xml:space="preserve"> En las evaluaciones se observó la resiliencia técnica de las infraestructuras nacionales de TIC </w:t>
            </w:r>
            <w:r w:rsidRPr="00E71B56">
              <w:rPr>
                <w:lang w:val="es-ES"/>
              </w:rPr>
              <w:lastRenderedPageBreak/>
              <w:t xml:space="preserve">desplegadas, el grado de preparación normativa y reglamentaria, la asequibilidad de los servicios y las capacidades de difusión de las alertas tempranas. La BDT se preparó para organizar un </w:t>
            </w:r>
            <w:hyperlink r:id="rId55" w:history="1">
              <w:r w:rsidRPr="00E71B56">
                <w:rPr>
                  <w:rStyle w:val="Hyperlink"/>
                  <w:lang w:val="es-ES"/>
                </w:rPr>
                <w:t>Taller sobre infraestructuras resilientes para la difusión efectiva de</w:t>
              </w:r>
              <w:r w:rsidRPr="00E71B56">
                <w:rPr>
                  <w:rStyle w:val="Hyperlink"/>
                  <w:lang w:val="es-ES"/>
                </w:rPr>
                <w:t xml:space="preserve"> </w:t>
              </w:r>
              <w:r w:rsidRPr="00E71B56">
                <w:rPr>
                  <w:rStyle w:val="Hyperlink"/>
                  <w:lang w:val="es-ES"/>
                </w:rPr>
                <w:t>alertas tempranas en 2025 en Sendai (Japón)</w:t>
              </w:r>
            </w:hyperlink>
            <w:r w:rsidRPr="00E71B56">
              <w:rPr>
                <w:lang w:val="es-ES"/>
              </w:rPr>
              <w:t>, que ofreció una oportunidad única para examinar métodos innovadores para mejorar la resiliencia ante los riesgos de catástrofe, mientras que Bhután recibió apoyo para evaluar las deficiencias de resiliencia de su centro de datos públicos. Algunas de las actividades emprendidas con el MIC de Japón son la creación de competencias para elaborar normas sobre la red de fibra óptica extensa hasta el hogar (FTTH) en Irán, así como normas sobre la compartición de infraestructuras en Sri Lanka, todas ellas destinadas a mejorar la asequibilidad de los servicios mediante intervenciones políticas.</w:t>
            </w:r>
            <w:hyperlink r:id="rId56" w:history="1"/>
          </w:p>
          <w:p w14:paraId="3E8F3B8E" w14:textId="77777777" w:rsidR="00BD155E" w:rsidRPr="00E71B56" w:rsidRDefault="00BD155E" w:rsidP="00A372FB">
            <w:pPr>
              <w:rPr>
                <w:lang w:val="es-ES"/>
              </w:rPr>
            </w:pPr>
            <w:r w:rsidRPr="00E71B56">
              <w:rPr>
                <w:lang w:val="es-ES"/>
              </w:rPr>
              <w:t>Junto con la UNDRR, la OMM y la Federación Internacional de Sociedades de la Cruz Roja y de la Media Luna Roja (IFRC), la UIT, como organismo rector del Pilar 3 sobre la difusión y comunicación de alertas de emergencia, trabajó con diez países de la región de Asia-Pacífico (</w:t>
            </w:r>
            <w:r w:rsidRPr="00E71B56">
              <w:rPr>
                <w:b/>
                <w:bCs/>
                <w:lang w:val="es-ES"/>
              </w:rPr>
              <w:t>Bangladesh</w:t>
            </w:r>
            <w:r w:rsidRPr="00E71B56">
              <w:rPr>
                <w:lang w:val="es-ES"/>
              </w:rPr>
              <w:t xml:space="preserve">, </w:t>
            </w:r>
            <w:r w:rsidRPr="00E71B56">
              <w:rPr>
                <w:b/>
                <w:bCs/>
                <w:lang w:val="es-ES"/>
              </w:rPr>
              <w:t>Camboya</w:t>
            </w:r>
            <w:r w:rsidRPr="00E71B56">
              <w:rPr>
                <w:lang w:val="es-ES"/>
              </w:rPr>
              <w:t xml:space="preserve">, </w:t>
            </w:r>
            <w:r w:rsidRPr="00E71B56">
              <w:rPr>
                <w:b/>
                <w:bCs/>
                <w:lang w:val="es-ES"/>
              </w:rPr>
              <w:t>Fiji</w:t>
            </w:r>
            <w:r w:rsidRPr="00E71B56">
              <w:rPr>
                <w:lang w:val="es-ES"/>
              </w:rPr>
              <w:t xml:space="preserve">, </w:t>
            </w:r>
            <w:r w:rsidRPr="00E71B56">
              <w:rPr>
                <w:b/>
                <w:bCs/>
                <w:lang w:val="es-ES"/>
              </w:rPr>
              <w:t>Kiribati</w:t>
            </w:r>
            <w:r w:rsidRPr="00E71B56">
              <w:rPr>
                <w:lang w:val="es-ES"/>
              </w:rPr>
              <w:t xml:space="preserve">, </w:t>
            </w:r>
            <w:r w:rsidRPr="00E71B56">
              <w:rPr>
                <w:b/>
                <w:bCs/>
                <w:lang w:val="es-ES"/>
              </w:rPr>
              <w:t>R.D.P. Lao</w:t>
            </w:r>
            <w:r w:rsidRPr="00E71B56">
              <w:rPr>
                <w:lang w:val="es-ES"/>
              </w:rPr>
              <w:t xml:space="preserve">, </w:t>
            </w:r>
            <w:r w:rsidRPr="00E71B56">
              <w:rPr>
                <w:b/>
                <w:bCs/>
                <w:lang w:val="es-ES"/>
              </w:rPr>
              <w:t>Maldivas</w:t>
            </w:r>
            <w:r w:rsidRPr="00E71B56">
              <w:rPr>
                <w:lang w:val="es-ES"/>
              </w:rPr>
              <w:t xml:space="preserve">, </w:t>
            </w:r>
            <w:r w:rsidRPr="00E71B56">
              <w:rPr>
                <w:b/>
                <w:bCs/>
                <w:lang w:val="es-ES"/>
              </w:rPr>
              <w:t>Nepal</w:t>
            </w:r>
            <w:r w:rsidRPr="00E71B56">
              <w:rPr>
                <w:lang w:val="es-ES"/>
              </w:rPr>
              <w:t xml:space="preserve">, </w:t>
            </w:r>
            <w:r w:rsidRPr="00E71B56">
              <w:rPr>
                <w:b/>
                <w:bCs/>
                <w:lang w:val="es-ES"/>
              </w:rPr>
              <w:t>Samoa</w:t>
            </w:r>
            <w:r w:rsidRPr="00E71B56">
              <w:rPr>
                <w:lang w:val="es-ES"/>
              </w:rPr>
              <w:t xml:space="preserve">, </w:t>
            </w:r>
            <w:r w:rsidRPr="00E71B56">
              <w:rPr>
                <w:b/>
                <w:bCs/>
                <w:lang w:val="es-ES"/>
              </w:rPr>
              <w:t xml:space="preserve">Islas Salomón </w:t>
            </w:r>
            <w:r w:rsidRPr="00E71B56">
              <w:rPr>
                <w:lang w:val="es-ES"/>
              </w:rPr>
              <w:t xml:space="preserve">y </w:t>
            </w:r>
            <w:r w:rsidRPr="00E71B56">
              <w:rPr>
                <w:b/>
                <w:bCs/>
                <w:lang w:val="es-ES"/>
              </w:rPr>
              <w:t>Tonga</w:t>
            </w:r>
            <w:r w:rsidRPr="00E71B56">
              <w:rPr>
                <w:lang w:val="es-ES"/>
              </w:rPr>
              <w:t>) para elaborar hojas de ruta nacionales a fin de garantizar que se hubiesen instaurado sistemas efectivos de alerta temprana. Tras la adopción de estas hojas de ruta, los países están trabajando activamente en la adopción de la norma del PCA (UIT</w:t>
            </w:r>
            <w:r w:rsidRPr="00E71B56">
              <w:rPr>
                <w:lang w:val="es-ES"/>
              </w:rPr>
              <w:noBreakHyphen/>
              <w:t>T X1303) y la creación de capacidades en materia de radiodifusión celular, así como otras TIC. Asimismo, la BDT está ayudando a los países a determinar áreas en las que la población sigue estando fuera de las zonas de cobertura de comunicaciones y que, por lo tanto, no están cubiertas por los sistemas de alerta temprana, utilizando mapas de EW4ALL basados en la IA, mapas de cobertura e imágenes por satélite.</w:t>
            </w:r>
          </w:p>
          <w:p w14:paraId="17EC97B2" w14:textId="77777777" w:rsidR="00BD155E" w:rsidRPr="00E71B56" w:rsidRDefault="00BD155E" w:rsidP="00A372FB">
            <w:pPr>
              <w:rPr>
                <w:lang w:val="es-ES"/>
              </w:rPr>
            </w:pPr>
            <w:r w:rsidRPr="00E71B56">
              <w:rPr>
                <w:lang w:val="es-ES"/>
              </w:rPr>
              <w:t>La BDT colaboró con el Centro AHA (Centro de Coordinación de la Asociación de Naciones de Asia Sudoriental (ASEAN) para la Asistencia Humanitaria en la Gestión de Catástrofes) de Yakarta y formalizó un acuerdo de cooperación que permitía una gestión estructurada para promover la colaboración regional en materia de preparación en caso de catástrofe y también para examinar el posicionamiento previo de los equipos de telecomunicaciones en los países de la ASEAN.</w:t>
            </w:r>
          </w:p>
          <w:p w14:paraId="6A844AB9" w14:textId="77777777" w:rsidR="00BD155E" w:rsidRPr="00E71B56" w:rsidRDefault="00BD155E" w:rsidP="00A372FB">
            <w:pPr>
              <w:rPr>
                <w:lang w:val="es-ES"/>
              </w:rPr>
            </w:pPr>
            <w:r w:rsidRPr="00E71B56">
              <w:rPr>
                <w:lang w:val="es-ES"/>
              </w:rPr>
              <w:t xml:space="preserve">En la </w:t>
            </w:r>
            <w:r w:rsidRPr="00E71B56">
              <w:rPr>
                <w:b/>
                <w:bCs/>
                <w:lang w:val="es-ES"/>
              </w:rPr>
              <w:t>región de las Américas</w:t>
            </w:r>
            <w:r w:rsidRPr="00E71B56">
              <w:rPr>
                <w:lang w:val="es-ES"/>
              </w:rPr>
              <w:t xml:space="preserve">, la BDT trabajó con la Asociación del Sistema Mundial de Comunicaciones Móviles (GSMA) y el Grupo Temático de Telecomunicaciones de Emergencia (ETC) del Programa Mundial de Alimentos para fortalecer el nivel de preparación para casos de desastre en el </w:t>
            </w:r>
            <w:r w:rsidRPr="00E71B56">
              <w:rPr>
                <w:b/>
                <w:bCs/>
                <w:lang w:val="es-ES"/>
              </w:rPr>
              <w:t>Caribe</w:t>
            </w:r>
            <w:r w:rsidRPr="00E71B56">
              <w:rPr>
                <w:lang w:val="es-ES"/>
              </w:rPr>
              <w:t xml:space="preserve">, en particular en </w:t>
            </w:r>
            <w:r w:rsidRPr="00E71B56">
              <w:rPr>
                <w:b/>
                <w:bCs/>
                <w:lang w:val="es-ES"/>
              </w:rPr>
              <w:t>Barbados</w:t>
            </w:r>
            <w:r w:rsidRPr="00E71B56">
              <w:rPr>
                <w:lang w:val="es-ES"/>
              </w:rPr>
              <w:t xml:space="preserve">, </w:t>
            </w:r>
            <w:r w:rsidRPr="00E71B56">
              <w:rPr>
                <w:b/>
                <w:bCs/>
                <w:lang w:val="es-ES"/>
              </w:rPr>
              <w:t>Granada</w:t>
            </w:r>
            <w:r w:rsidRPr="00E71B56">
              <w:rPr>
                <w:lang w:val="es-ES"/>
              </w:rPr>
              <w:t xml:space="preserve">, </w:t>
            </w:r>
            <w:r w:rsidRPr="00E71B56">
              <w:rPr>
                <w:b/>
                <w:bCs/>
                <w:lang w:val="es-ES"/>
              </w:rPr>
              <w:t>Guyana</w:t>
            </w:r>
            <w:r w:rsidRPr="00E71B56">
              <w:rPr>
                <w:lang w:val="es-ES"/>
              </w:rPr>
              <w:t xml:space="preserve">, </w:t>
            </w:r>
            <w:r w:rsidRPr="00E71B56">
              <w:rPr>
                <w:b/>
                <w:bCs/>
                <w:lang w:val="es-ES"/>
              </w:rPr>
              <w:t>Haití</w:t>
            </w:r>
            <w:r w:rsidRPr="00E71B56">
              <w:rPr>
                <w:lang w:val="es-ES"/>
              </w:rPr>
              <w:t xml:space="preserve">, </w:t>
            </w:r>
            <w:r w:rsidRPr="00E71B56">
              <w:rPr>
                <w:b/>
                <w:bCs/>
                <w:lang w:val="es-ES"/>
              </w:rPr>
              <w:t xml:space="preserve">Jamaica </w:t>
            </w:r>
            <w:r w:rsidRPr="00E71B56">
              <w:rPr>
                <w:lang w:val="es-ES"/>
              </w:rPr>
              <w:t>y</w:t>
            </w:r>
            <w:r w:rsidRPr="00E71B56">
              <w:rPr>
                <w:b/>
                <w:bCs/>
                <w:lang w:val="es-ES"/>
              </w:rPr>
              <w:t xml:space="preserve"> Saint Kitts y Nevis</w:t>
            </w:r>
            <w:r w:rsidRPr="00E71B56">
              <w:rPr>
                <w:lang w:val="es-ES"/>
              </w:rPr>
              <w:t xml:space="preserve">. Se desplegaron equipos por satélite </w:t>
            </w:r>
            <w:r w:rsidRPr="00E71B56">
              <w:rPr>
                <w:lang w:val="es-ES"/>
              </w:rPr>
              <w:lastRenderedPageBreak/>
              <w:t xml:space="preserve">previamente posicionados en la región, antes de la temporada de huracanes de 2024, mientras que las actividades de análisis de deficiencias de EW4All han avanzado en </w:t>
            </w:r>
            <w:r w:rsidRPr="00E71B56">
              <w:rPr>
                <w:b/>
                <w:bCs/>
                <w:lang w:val="es-ES"/>
              </w:rPr>
              <w:t xml:space="preserve">Belice </w:t>
            </w:r>
            <w:r w:rsidRPr="00E71B56">
              <w:rPr>
                <w:lang w:val="es-ES"/>
              </w:rPr>
              <w:t xml:space="preserve">y </w:t>
            </w:r>
            <w:r w:rsidRPr="00E71B56">
              <w:rPr>
                <w:b/>
                <w:bCs/>
                <w:lang w:val="es-ES"/>
              </w:rPr>
              <w:t>Guyana</w:t>
            </w:r>
            <w:r w:rsidRPr="00E71B56">
              <w:rPr>
                <w:lang w:val="es-ES"/>
              </w:rPr>
              <w:t xml:space="preserve">. En colaboración con la Autoridad de Telecomunicaciones de </w:t>
            </w:r>
            <w:r w:rsidRPr="00E71B56">
              <w:rPr>
                <w:b/>
                <w:bCs/>
                <w:lang w:val="es-ES"/>
              </w:rPr>
              <w:t>Trinidad y Tabago</w:t>
            </w:r>
            <w:r w:rsidRPr="00E71B56">
              <w:rPr>
                <w:lang w:val="es-ES"/>
              </w:rPr>
              <w:t xml:space="preserve"> y la Unión de Telecomunicaciones del Caribe (CTU), la BDT prestó apoyo para la formulación del Proyecto Mares Inteligentes. El proyecto ayuda a aumentar la resiliencia y en última instancia preservar las vidas de las personas que se dedican a la pesca en pequeña escala mediante la mejora de la comunicación marítima en el mar, haciendo hincapié en la creación de un entorno propicio. Otros beneficiarios del proyecto son </w:t>
            </w:r>
            <w:r w:rsidRPr="00E71B56">
              <w:rPr>
                <w:b/>
                <w:bCs/>
                <w:lang w:val="es-ES"/>
              </w:rPr>
              <w:t>Barbados</w:t>
            </w:r>
            <w:r w:rsidRPr="00E71B56">
              <w:rPr>
                <w:lang w:val="es-ES"/>
              </w:rPr>
              <w:t xml:space="preserve">, </w:t>
            </w:r>
            <w:r w:rsidRPr="00E71B56">
              <w:rPr>
                <w:b/>
                <w:bCs/>
                <w:lang w:val="es-ES"/>
              </w:rPr>
              <w:t xml:space="preserve">Granada </w:t>
            </w:r>
            <w:r w:rsidRPr="00E71B56">
              <w:rPr>
                <w:lang w:val="es-ES"/>
              </w:rPr>
              <w:t>y</w:t>
            </w:r>
            <w:r w:rsidRPr="00E71B56">
              <w:rPr>
                <w:b/>
                <w:bCs/>
                <w:lang w:val="es-ES"/>
              </w:rPr>
              <w:t xml:space="preserve"> San Vicente y las Granadinas</w:t>
            </w:r>
            <w:r w:rsidRPr="00E71B56">
              <w:rPr>
                <w:lang w:val="es-ES"/>
              </w:rPr>
              <w:t xml:space="preserve">. </w:t>
            </w:r>
            <w:r w:rsidRPr="00E71B56">
              <w:rPr>
                <w:b/>
                <w:bCs/>
                <w:lang w:val="es-ES"/>
              </w:rPr>
              <w:t xml:space="preserve">Guatemala </w:t>
            </w:r>
            <w:r w:rsidRPr="00E71B56">
              <w:rPr>
                <w:lang w:val="es-ES"/>
              </w:rPr>
              <w:t xml:space="preserve">ha recibido apoyo con las especificaciones técnicas para implementar el sistema de alerta temprana de radiodifusión celular. Se llevaron a cabo sesiones de formación sobre telecomunicaciones de emergencia en asociación con COMTELCA en </w:t>
            </w:r>
            <w:r w:rsidRPr="00E71B56">
              <w:rPr>
                <w:b/>
                <w:bCs/>
                <w:lang w:val="es-ES"/>
              </w:rPr>
              <w:t>Guatemala</w:t>
            </w:r>
            <w:r w:rsidRPr="00E71B56">
              <w:rPr>
                <w:lang w:val="es-ES"/>
              </w:rPr>
              <w:t xml:space="preserve">, </w:t>
            </w:r>
            <w:r w:rsidRPr="00E71B56">
              <w:rPr>
                <w:b/>
                <w:bCs/>
                <w:lang w:val="es-ES"/>
              </w:rPr>
              <w:t>El Salvador</w:t>
            </w:r>
            <w:r w:rsidRPr="00E71B56">
              <w:rPr>
                <w:lang w:val="es-ES"/>
              </w:rPr>
              <w:t xml:space="preserve">, </w:t>
            </w:r>
            <w:r w:rsidRPr="00E71B56">
              <w:rPr>
                <w:b/>
                <w:bCs/>
                <w:lang w:val="es-ES"/>
              </w:rPr>
              <w:t>Honduras</w:t>
            </w:r>
            <w:r w:rsidRPr="00E71B56">
              <w:rPr>
                <w:lang w:val="es-ES"/>
              </w:rPr>
              <w:t xml:space="preserve">, </w:t>
            </w:r>
            <w:r w:rsidRPr="00E71B56">
              <w:rPr>
                <w:b/>
                <w:bCs/>
                <w:lang w:val="es-ES"/>
              </w:rPr>
              <w:t>Nicaragua</w:t>
            </w:r>
            <w:r w:rsidRPr="00E71B56">
              <w:rPr>
                <w:lang w:val="es-ES"/>
              </w:rPr>
              <w:t xml:space="preserve">, </w:t>
            </w:r>
            <w:r w:rsidRPr="00E71B56">
              <w:rPr>
                <w:b/>
                <w:bCs/>
                <w:lang w:val="es-ES"/>
              </w:rPr>
              <w:t>Costa Rica</w:t>
            </w:r>
            <w:r w:rsidRPr="00E71B56">
              <w:rPr>
                <w:lang w:val="es-ES"/>
              </w:rPr>
              <w:t xml:space="preserve">, </w:t>
            </w:r>
            <w:r w:rsidRPr="00E71B56">
              <w:rPr>
                <w:b/>
                <w:bCs/>
                <w:lang w:val="es-ES"/>
              </w:rPr>
              <w:t xml:space="preserve">Panamá </w:t>
            </w:r>
            <w:r w:rsidRPr="00E71B56">
              <w:rPr>
                <w:lang w:val="es-ES"/>
              </w:rPr>
              <w:t xml:space="preserve">y la </w:t>
            </w:r>
            <w:r w:rsidRPr="00E71B56">
              <w:rPr>
                <w:b/>
                <w:bCs/>
                <w:lang w:val="es-ES"/>
              </w:rPr>
              <w:t>República Dominicana</w:t>
            </w:r>
            <w:r w:rsidRPr="00E71B56">
              <w:rPr>
                <w:lang w:val="es-ES"/>
              </w:rPr>
              <w:t xml:space="preserve">. Asimismo, se prestó asistencia técnica a </w:t>
            </w:r>
            <w:r w:rsidRPr="00E71B56">
              <w:rPr>
                <w:b/>
                <w:bCs/>
                <w:lang w:val="es-ES"/>
              </w:rPr>
              <w:t xml:space="preserve">Ecuador </w:t>
            </w:r>
            <w:r w:rsidRPr="00E71B56">
              <w:rPr>
                <w:lang w:val="es-ES"/>
              </w:rPr>
              <w:t>como parte de la iniciativa EW4All.</w:t>
            </w:r>
          </w:p>
          <w:p w14:paraId="70338AD9" w14:textId="77777777" w:rsidR="00BD155E" w:rsidRPr="00E71B56" w:rsidRDefault="00BD155E" w:rsidP="00A372FB">
            <w:pPr>
              <w:rPr>
                <w:lang w:val="es-ES"/>
              </w:rPr>
            </w:pPr>
            <w:r w:rsidRPr="00E71B56">
              <w:rPr>
                <w:lang w:val="es-ES"/>
              </w:rPr>
              <w:t xml:space="preserve">En la </w:t>
            </w:r>
            <w:r w:rsidRPr="00E71B56">
              <w:rPr>
                <w:b/>
                <w:bCs/>
                <w:lang w:val="es-ES"/>
              </w:rPr>
              <w:t>región de los Estados Árabes</w:t>
            </w:r>
            <w:r w:rsidRPr="00E71B56">
              <w:rPr>
                <w:lang w:val="es-ES"/>
              </w:rPr>
              <w:t xml:space="preserve">, algunos progresos importantes son la ultimación de los PNTE en </w:t>
            </w:r>
            <w:r w:rsidRPr="00E71B56">
              <w:rPr>
                <w:b/>
                <w:bCs/>
                <w:lang w:val="es-ES"/>
              </w:rPr>
              <w:t>Comoras</w:t>
            </w:r>
            <w:r w:rsidRPr="00E71B56">
              <w:rPr>
                <w:lang w:val="es-ES"/>
              </w:rPr>
              <w:t xml:space="preserve">, </w:t>
            </w:r>
            <w:r w:rsidRPr="00E71B56">
              <w:rPr>
                <w:b/>
                <w:bCs/>
                <w:lang w:val="es-ES"/>
              </w:rPr>
              <w:t>Djibouti</w:t>
            </w:r>
            <w:r w:rsidRPr="00E71B56">
              <w:rPr>
                <w:lang w:val="es-ES"/>
              </w:rPr>
              <w:t xml:space="preserve">, </w:t>
            </w:r>
            <w:r w:rsidRPr="00E71B56">
              <w:rPr>
                <w:b/>
                <w:bCs/>
                <w:lang w:val="es-ES"/>
              </w:rPr>
              <w:t>Iraq</w:t>
            </w:r>
            <w:r w:rsidRPr="00E71B56">
              <w:rPr>
                <w:lang w:val="es-ES"/>
              </w:rPr>
              <w:t xml:space="preserve">, </w:t>
            </w:r>
            <w:r w:rsidRPr="00E71B56">
              <w:rPr>
                <w:b/>
                <w:bCs/>
                <w:lang w:val="es-ES"/>
              </w:rPr>
              <w:t>Libia</w:t>
            </w:r>
            <w:r w:rsidRPr="00E71B56">
              <w:rPr>
                <w:lang w:val="es-ES"/>
              </w:rPr>
              <w:t xml:space="preserve">, </w:t>
            </w:r>
            <w:r w:rsidRPr="00E71B56">
              <w:rPr>
                <w:b/>
                <w:bCs/>
                <w:lang w:val="es-ES"/>
              </w:rPr>
              <w:t>Mauritania</w:t>
            </w:r>
            <w:r w:rsidRPr="00E71B56">
              <w:rPr>
                <w:lang w:val="es-ES"/>
              </w:rPr>
              <w:t xml:space="preserve">, </w:t>
            </w:r>
            <w:r w:rsidRPr="00E71B56">
              <w:rPr>
                <w:b/>
                <w:bCs/>
                <w:lang w:val="es-ES"/>
              </w:rPr>
              <w:t xml:space="preserve">Sudán </w:t>
            </w:r>
            <w:r w:rsidRPr="00E71B56">
              <w:rPr>
                <w:lang w:val="es-ES"/>
              </w:rPr>
              <w:t>y el</w:t>
            </w:r>
            <w:r w:rsidRPr="00E71B56">
              <w:rPr>
                <w:b/>
                <w:bCs/>
                <w:lang w:val="es-ES"/>
              </w:rPr>
              <w:t xml:space="preserve"> Estado de Palestina</w:t>
            </w:r>
            <w:r w:rsidRPr="00E71B56">
              <w:rPr>
                <w:lang w:val="es-ES"/>
              </w:rPr>
              <w:t xml:space="preserve">, apoyada por talleres y sesiones de formación en 2024. </w:t>
            </w:r>
            <w:r w:rsidRPr="00E71B56">
              <w:rPr>
                <w:b/>
                <w:bCs/>
                <w:lang w:val="es-ES"/>
              </w:rPr>
              <w:t xml:space="preserve">Comoras </w:t>
            </w:r>
            <w:r w:rsidRPr="00E71B56">
              <w:rPr>
                <w:lang w:val="es-ES"/>
              </w:rPr>
              <w:t>y</w:t>
            </w:r>
            <w:r w:rsidRPr="00E71B56">
              <w:rPr>
                <w:b/>
                <w:bCs/>
                <w:lang w:val="es-ES"/>
              </w:rPr>
              <w:t xml:space="preserve"> Somalia </w:t>
            </w:r>
            <w:r w:rsidRPr="00E71B56">
              <w:rPr>
                <w:lang w:val="es-ES"/>
              </w:rPr>
              <w:t>avanzaron en la implementación del protocolo común de alerta y el sistema de alerta temprana de radiodifusión celular, mientras que</w:t>
            </w:r>
            <w:r w:rsidRPr="00E71B56">
              <w:rPr>
                <w:b/>
                <w:bCs/>
                <w:lang w:val="es-ES"/>
              </w:rPr>
              <w:t xml:space="preserve"> Libia </w:t>
            </w:r>
            <w:r w:rsidRPr="00E71B56">
              <w:rPr>
                <w:lang w:val="es-ES"/>
              </w:rPr>
              <w:t>y</w:t>
            </w:r>
            <w:r w:rsidRPr="00E71B56">
              <w:rPr>
                <w:b/>
                <w:bCs/>
                <w:lang w:val="es-ES"/>
              </w:rPr>
              <w:t xml:space="preserve"> Sudán</w:t>
            </w:r>
            <w:r w:rsidRPr="00E71B56">
              <w:rPr>
                <w:lang w:val="es-ES"/>
              </w:rPr>
              <w:t xml:space="preserve"> han recibido asistencia para iniciar procesos de planificación destinados a fortalecer los marcos de los sistemas de alerta temprana. Además, la BDT prestó apoyo para llevar a cabo un estudio de viabilidad de la radiodifusión celular y revisó los marcos normativos y reglamentarios para las telecomunicaciones de emergencia en </w:t>
            </w:r>
            <w:r w:rsidRPr="00E71B56">
              <w:rPr>
                <w:b/>
                <w:bCs/>
                <w:lang w:val="es-ES"/>
              </w:rPr>
              <w:t>Somalia</w:t>
            </w:r>
            <w:r w:rsidRPr="00E71B56">
              <w:rPr>
                <w:lang w:val="es-ES"/>
              </w:rPr>
              <w:t>.</w:t>
            </w:r>
          </w:p>
          <w:p w14:paraId="04629967" w14:textId="77777777" w:rsidR="00BD155E" w:rsidRPr="00E71B56" w:rsidRDefault="00BD155E" w:rsidP="00A372FB">
            <w:pPr>
              <w:rPr>
                <w:lang w:val="es-ES"/>
              </w:rPr>
            </w:pPr>
            <w:r w:rsidRPr="00E71B56">
              <w:rPr>
                <w:lang w:val="es-ES"/>
              </w:rPr>
              <w:t xml:space="preserve">En 2025, se consiguió un hito importante cuando </w:t>
            </w:r>
            <w:r w:rsidRPr="00E71B56">
              <w:rPr>
                <w:b/>
                <w:bCs/>
                <w:lang w:val="es-ES"/>
              </w:rPr>
              <w:t>Arabia Saudita</w:t>
            </w:r>
            <w:r w:rsidRPr="00E71B56">
              <w:rPr>
                <w:lang w:val="es-ES"/>
              </w:rPr>
              <w:t xml:space="preserve"> se convirtió en el 50.º Estado en ratificar el </w:t>
            </w:r>
            <w:hyperlink r:id="rId57" w:history="1">
              <w:r w:rsidRPr="00E71B56">
                <w:rPr>
                  <w:rStyle w:val="Hyperlink"/>
                  <w:lang w:val="es-ES"/>
                </w:rPr>
                <w:t>Convenio de Tampere</w:t>
              </w:r>
            </w:hyperlink>
            <w:r w:rsidRPr="00E71B56">
              <w:rPr>
                <w:lang w:val="es-ES"/>
              </w:rPr>
              <w:t>. La ratificación de Arabia Saudita marcó un avance fundamental hacia la mejora del nivel de preparación ante emergencias, fomentando la resiliencia y garantizando respuestas humanitarias más efectivas en todo el mundo.</w:t>
            </w:r>
            <w:hyperlink r:id="rId58"/>
          </w:p>
          <w:p w14:paraId="55A3AD8D" w14:textId="77777777" w:rsidR="00BD155E" w:rsidRPr="00E71B56" w:rsidRDefault="00BD155E" w:rsidP="00A372FB">
            <w:pPr>
              <w:rPr>
                <w:lang w:val="es-ES"/>
              </w:rPr>
            </w:pPr>
            <w:r w:rsidRPr="00E71B56">
              <w:rPr>
                <w:lang w:val="es-ES"/>
              </w:rPr>
              <w:t xml:space="preserve">En la </w:t>
            </w:r>
            <w:r w:rsidRPr="00E71B56">
              <w:rPr>
                <w:b/>
                <w:bCs/>
                <w:lang w:val="es-ES"/>
              </w:rPr>
              <w:t>región de Europa</w:t>
            </w:r>
            <w:r w:rsidRPr="00E71B56">
              <w:rPr>
                <w:lang w:val="es-ES"/>
              </w:rPr>
              <w:t xml:space="preserve">, la BDT prestó apoyo a la realización de un estudio de viabilidad de la radiodifusión celular en </w:t>
            </w:r>
            <w:r w:rsidRPr="00E71B56">
              <w:rPr>
                <w:b/>
                <w:bCs/>
                <w:lang w:val="es-ES"/>
              </w:rPr>
              <w:t>Moldova</w:t>
            </w:r>
            <w:r w:rsidRPr="00E71B56">
              <w:rPr>
                <w:lang w:val="es-ES"/>
              </w:rPr>
              <w:t xml:space="preserve">, desbloqueando fondos para una implementación nacional. En </w:t>
            </w:r>
            <w:r w:rsidRPr="00E71B56">
              <w:rPr>
                <w:b/>
                <w:bCs/>
                <w:lang w:val="es-ES"/>
              </w:rPr>
              <w:t>Georgia</w:t>
            </w:r>
            <w:r w:rsidRPr="00E71B56">
              <w:rPr>
                <w:lang w:val="es-ES"/>
              </w:rPr>
              <w:t xml:space="preserve">, la BDT apoyó la integración de las recomendaciones en materia de radiodifusión celular en el marco del PNTE del país. En los </w:t>
            </w:r>
            <w:r w:rsidRPr="00E71B56">
              <w:rPr>
                <w:b/>
                <w:bCs/>
                <w:lang w:val="es-ES"/>
              </w:rPr>
              <w:t>Balcanes Occidentales</w:t>
            </w:r>
            <w:r w:rsidRPr="00E71B56">
              <w:rPr>
                <w:lang w:val="es-ES"/>
              </w:rPr>
              <w:t xml:space="preserve">, la UIT facilitó un programa de acelerador regional que creó capacidad subregional para la difusión de alertas tempranas en </w:t>
            </w:r>
            <w:r w:rsidRPr="00E71B56">
              <w:rPr>
                <w:b/>
                <w:bCs/>
                <w:lang w:val="es-ES"/>
              </w:rPr>
              <w:t>Albania</w:t>
            </w:r>
            <w:r w:rsidRPr="00E71B56">
              <w:rPr>
                <w:lang w:val="es-ES"/>
              </w:rPr>
              <w:t xml:space="preserve">, </w:t>
            </w:r>
            <w:r w:rsidRPr="00E71B56">
              <w:rPr>
                <w:b/>
                <w:bCs/>
                <w:lang w:val="es-ES"/>
              </w:rPr>
              <w:t>Bosnia y Herzegovina</w:t>
            </w:r>
            <w:r w:rsidRPr="00E71B56">
              <w:rPr>
                <w:lang w:val="es-ES"/>
              </w:rPr>
              <w:t xml:space="preserve">, </w:t>
            </w:r>
            <w:r w:rsidRPr="00E71B56">
              <w:rPr>
                <w:b/>
                <w:bCs/>
                <w:lang w:val="es-ES"/>
              </w:rPr>
              <w:t>Montenegro</w:t>
            </w:r>
            <w:r w:rsidRPr="00E71B56">
              <w:rPr>
                <w:lang w:val="es-ES"/>
              </w:rPr>
              <w:t xml:space="preserve">, </w:t>
            </w:r>
            <w:r w:rsidRPr="00E71B56">
              <w:rPr>
                <w:b/>
                <w:bCs/>
                <w:lang w:val="es-ES"/>
              </w:rPr>
              <w:t xml:space="preserve">Macedonia del Norte </w:t>
            </w:r>
            <w:r w:rsidRPr="00E71B56">
              <w:rPr>
                <w:lang w:val="es-ES"/>
              </w:rPr>
              <w:t>y</w:t>
            </w:r>
            <w:r w:rsidRPr="00E71B56">
              <w:rPr>
                <w:b/>
                <w:bCs/>
                <w:lang w:val="es-ES"/>
              </w:rPr>
              <w:t xml:space="preserve"> </w:t>
            </w:r>
            <w:r w:rsidRPr="00E71B56">
              <w:rPr>
                <w:b/>
                <w:bCs/>
                <w:lang w:val="es-ES"/>
              </w:rPr>
              <w:lastRenderedPageBreak/>
              <w:t>Serbia</w:t>
            </w:r>
            <w:r w:rsidRPr="00E71B56">
              <w:rPr>
                <w:lang w:val="es-ES"/>
              </w:rPr>
              <w:t xml:space="preserve">. Los talleres ofrecieron metodologías para armonizar la aplicación política, normativa y técnica, propiciando un progreso conjunto en la difusión de las alertas tempranas. En 2025, </w:t>
            </w:r>
            <w:r w:rsidRPr="00E71B56">
              <w:rPr>
                <w:b/>
                <w:bCs/>
                <w:lang w:val="es-ES"/>
              </w:rPr>
              <w:t xml:space="preserve">Montenegro </w:t>
            </w:r>
            <w:r w:rsidRPr="00E71B56">
              <w:rPr>
                <w:lang w:val="es-ES"/>
              </w:rPr>
              <w:t xml:space="preserve">y </w:t>
            </w:r>
            <w:r w:rsidRPr="00E71B56">
              <w:rPr>
                <w:b/>
                <w:bCs/>
                <w:lang w:val="es-ES"/>
              </w:rPr>
              <w:t>Macedonia del Norte</w:t>
            </w:r>
            <w:r w:rsidRPr="00E71B56">
              <w:rPr>
                <w:lang w:val="es-ES"/>
              </w:rPr>
              <w:t xml:space="preserve"> estaban fomentando estudios de viabilidad de los sistemas de radiodifusión celular, posicionando la subregión como líder en materia de resiliencia coordinada.</w:t>
            </w:r>
          </w:p>
          <w:p w14:paraId="0345EFB7" w14:textId="77777777" w:rsidR="00BD155E" w:rsidRPr="00E71B56" w:rsidRDefault="00BD155E" w:rsidP="00A372FB">
            <w:pPr>
              <w:rPr>
                <w:lang w:val="es-ES"/>
              </w:rPr>
            </w:pPr>
            <w:r w:rsidRPr="00E71B56">
              <w:rPr>
                <w:lang w:val="es-ES"/>
              </w:rPr>
              <w:t xml:space="preserve">En la </w:t>
            </w:r>
            <w:r w:rsidRPr="00E71B56">
              <w:rPr>
                <w:b/>
                <w:bCs/>
                <w:lang w:val="es-ES"/>
              </w:rPr>
              <w:t>CEI</w:t>
            </w:r>
            <w:r w:rsidRPr="00E71B56">
              <w:rPr>
                <w:lang w:val="es-ES"/>
              </w:rPr>
              <w:t xml:space="preserve">, </w:t>
            </w:r>
            <w:r w:rsidRPr="00E71B56">
              <w:rPr>
                <w:b/>
                <w:bCs/>
                <w:lang w:val="es-ES"/>
              </w:rPr>
              <w:t xml:space="preserve">Tayikistán </w:t>
            </w:r>
            <w:r w:rsidRPr="00E71B56">
              <w:rPr>
                <w:lang w:val="es-ES"/>
              </w:rPr>
              <w:t>puso en marcha la primera hoja de ruta de EW4All en la región mediante una consulta de alto nivel presidida por el Vice Primer Ministro y el Coordinador Residente de las Naciones Unidas, que proporcionó un modelo que podrían seguir los demás.</w:t>
            </w:r>
          </w:p>
          <w:p w14:paraId="2D09EBC4" w14:textId="77777777" w:rsidR="00BD155E" w:rsidRPr="00E71B56" w:rsidRDefault="00BD155E" w:rsidP="00A372FB">
            <w:pPr>
              <w:rPr>
                <w:lang w:val="es-ES"/>
              </w:rPr>
            </w:pPr>
            <w:r w:rsidRPr="00E71B56">
              <w:rPr>
                <w:lang w:val="es-ES"/>
              </w:rPr>
              <w:t xml:space="preserve">Los tres últimos años han demostrado que las telecomunicaciones de emergencia son un nivel fundamental de la resiliencia nacional y regional. Por conducto de herramientas como el DCM, el Mapa de Conectividad para la Alerta Temprana y las plataformas de previsión basadas en la IA, la BDT ha permitido a los gobiernos anticipar los riesgos y actuar con mayor precisión. La ampliación de los PNTE y los centros de comunicación por satélite previamente posicionados siguen garantizando que las respuestas no se improvisen, sino que en su lugar se basen en marcos probados y en sistemas de despliegue rápido. En todas las regiones, los países han demostrado que cuando se adaptan las normas mundiales a las realidades locales, los SAT pueden ser inclusivos y eficaces. En </w:t>
            </w:r>
            <w:r w:rsidRPr="00E71B56">
              <w:rPr>
                <w:b/>
                <w:bCs/>
                <w:lang w:val="es-ES"/>
              </w:rPr>
              <w:t>África</w:t>
            </w:r>
            <w:r w:rsidRPr="00E71B56">
              <w:rPr>
                <w:lang w:val="es-ES"/>
              </w:rPr>
              <w:t xml:space="preserve">, se han integrado las hojas de ruta en materia de SAT en las estrategias continentales. Se han creado soluciones adaptadas a las vulnerabilidades isleñas en la </w:t>
            </w:r>
            <w:r w:rsidRPr="00E71B56">
              <w:rPr>
                <w:b/>
                <w:bCs/>
                <w:lang w:val="es-ES"/>
              </w:rPr>
              <w:t>región de Asia</w:t>
            </w:r>
            <w:r w:rsidRPr="00E71B56">
              <w:rPr>
                <w:b/>
                <w:bCs/>
                <w:lang w:val="es-ES"/>
              </w:rPr>
              <w:noBreakHyphen/>
              <w:t>Pacífico</w:t>
            </w:r>
            <w:r w:rsidRPr="00E71B56">
              <w:rPr>
                <w:lang w:val="es-ES"/>
              </w:rPr>
              <w:t xml:space="preserve">. La respuesta en casos de desastre se ha combinado con una reforma más amplia de políticas de TIC en la </w:t>
            </w:r>
            <w:r w:rsidRPr="00E71B56">
              <w:rPr>
                <w:b/>
                <w:bCs/>
                <w:lang w:val="es-ES"/>
              </w:rPr>
              <w:t>región de las Américas.</w:t>
            </w:r>
            <w:r w:rsidRPr="00E71B56">
              <w:rPr>
                <w:lang w:val="es-ES"/>
              </w:rPr>
              <w:t xml:space="preserve"> Los países de la </w:t>
            </w:r>
            <w:r w:rsidRPr="00E71B56">
              <w:rPr>
                <w:b/>
                <w:bCs/>
                <w:lang w:val="es-ES"/>
              </w:rPr>
              <w:t>región de los Estados Árabes</w:t>
            </w:r>
            <w:r w:rsidRPr="00E71B56">
              <w:rPr>
                <w:lang w:val="es-ES"/>
              </w:rPr>
              <w:t xml:space="preserve"> han incorporado la resiliencia en sus agendas en materia de diversificación. En la </w:t>
            </w:r>
            <w:r w:rsidRPr="00E71B56">
              <w:rPr>
                <w:b/>
                <w:bCs/>
                <w:lang w:val="es-ES"/>
              </w:rPr>
              <w:t>región de Europa</w:t>
            </w:r>
            <w:r w:rsidRPr="00E71B56">
              <w:rPr>
                <w:lang w:val="es-ES"/>
              </w:rPr>
              <w:t xml:space="preserve">, se han realizado mejoras en la armonización de los enfoques subregionales. Los países de la </w:t>
            </w:r>
            <w:r w:rsidRPr="00E71B56">
              <w:rPr>
                <w:b/>
                <w:bCs/>
                <w:lang w:val="es-ES"/>
              </w:rPr>
              <w:t xml:space="preserve">región de la CEI </w:t>
            </w:r>
            <w:r w:rsidRPr="00E71B56">
              <w:rPr>
                <w:lang w:val="es-ES"/>
              </w:rPr>
              <w:t>han institucionalizado las hojas de ruta en materia de SAT en los planos nacional y municipal.</w:t>
            </w:r>
          </w:p>
          <w:p w14:paraId="70A67F17" w14:textId="77777777" w:rsidR="00BD155E" w:rsidRPr="00E71B56" w:rsidRDefault="00BD155E" w:rsidP="00A372FB">
            <w:pPr>
              <w:spacing w:after="120"/>
              <w:rPr>
                <w:lang w:val="es-ES"/>
              </w:rPr>
            </w:pPr>
            <w:r w:rsidRPr="00E71B56">
              <w:rPr>
                <w:lang w:val="es-ES"/>
              </w:rPr>
              <w:t>Al dotar a los Estados Miembros de herramientas prácticas y plataformas colaborativas, y al fortalecer sus capacidades, la BDT ha garantizado que las telecomunicaciones de emergencia evolucionen hasta convertirse en la espina dorsal de la transformación digital sostenible, permitiendo a las comunidades hacer frente a las catástrofes, responder rápidamente y recuperarse con mayor celeridad.</w:t>
            </w:r>
          </w:p>
        </w:tc>
        <w:tc>
          <w:tcPr>
            <w:tcW w:w="3322" w:type="dxa"/>
          </w:tcPr>
          <w:p w14:paraId="3E6691BD" w14:textId="77777777" w:rsidR="00BD155E" w:rsidRPr="00E71B56" w:rsidRDefault="00BD155E" w:rsidP="00A372FB">
            <w:pPr>
              <w:rPr>
                <w:b/>
                <w:bCs/>
                <w:color w:val="0070C0"/>
                <w:lang w:val="es-ES"/>
              </w:rPr>
            </w:pPr>
            <w:r w:rsidRPr="00E71B56">
              <w:rPr>
                <w:b/>
                <w:bCs/>
                <w:color w:val="0070C0"/>
                <w:lang w:val="es-ES"/>
              </w:rPr>
              <w:lastRenderedPageBreak/>
              <w:t>PNTE:</w:t>
            </w:r>
          </w:p>
          <w:p w14:paraId="7FF1C737"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Elaboración de 25 PNTE. 2 modelos regionales; 1 para la SADC y 1 para África Occidental</w:t>
            </w:r>
          </w:p>
          <w:p w14:paraId="797474B9"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África:</w:t>
            </w:r>
            <w:r w:rsidRPr="00E71B56">
              <w:rPr>
                <w:lang w:val="es-ES"/>
              </w:rPr>
              <w:t xml:space="preserve"> SADC y Cabo Verde, Gambia, Guinea, Guinea</w:t>
            </w:r>
            <w:r w:rsidRPr="00E71B56">
              <w:rPr>
                <w:lang w:val="es-ES"/>
              </w:rPr>
              <w:noBreakHyphen/>
              <w:t>Bissau, Liberia, Mauritania y Senegal</w:t>
            </w:r>
          </w:p>
          <w:p w14:paraId="03AEE535"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Estados Árabes:</w:t>
            </w:r>
            <w:r w:rsidRPr="00E71B56">
              <w:rPr>
                <w:lang w:val="es-ES"/>
              </w:rPr>
              <w:t xml:space="preserve"> Comoras, Djibouti, Libia y Mauritania</w:t>
            </w:r>
          </w:p>
          <w:p w14:paraId="679BC970"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Asia-Pacífico:</w:t>
            </w:r>
            <w:r w:rsidRPr="00E71B56">
              <w:rPr>
                <w:lang w:val="es-ES"/>
              </w:rPr>
              <w:t xml:space="preserve"> Fiji, Tuvalu, colaboración con el </w:t>
            </w:r>
            <w:r w:rsidRPr="00E71B56">
              <w:rPr>
                <w:lang w:val="es-ES"/>
              </w:rPr>
              <w:lastRenderedPageBreak/>
              <w:t>Centro AHA (para el apoyo en toda la ASEAN)</w:t>
            </w:r>
          </w:p>
          <w:p w14:paraId="5E8BCDD0"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Europa:</w:t>
            </w:r>
            <w:r w:rsidRPr="00E71B56">
              <w:rPr>
                <w:lang w:val="es-ES"/>
              </w:rPr>
              <w:t xml:space="preserve"> países de los Balcanes Occidentales</w:t>
            </w:r>
          </w:p>
          <w:p w14:paraId="346395A1" w14:textId="77777777" w:rsidR="00BD155E" w:rsidRPr="00E71B56" w:rsidRDefault="00BD155E" w:rsidP="00A372FB">
            <w:pPr>
              <w:rPr>
                <w:lang w:val="es-ES"/>
              </w:rPr>
            </w:pPr>
            <w:r w:rsidRPr="00E71B56">
              <w:rPr>
                <w:b/>
                <w:bCs/>
                <w:color w:val="0070C0"/>
                <w:lang w:val="es-ES"/>
              </w:rPr>
              <w:t>Estudios de referencia sobre radiodifusión celular:</w:t>
            </w:r>
            <w:r w:rsidRPr="00E71B56">
              <w:rPr>
                <w:lang w:val="es-ES"/>
              </w:rPr>
              <w:t xml:space="preserve"> 13 países:</w:t>
            </w:r>
          </w:p>
          <w:p w14:paraId="6B701EFF"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África:</w:t>
            </w:r>
            <w:r w:rsidRPr="00E71B56">
              <w:rPr>
                <w:lang w:val="es-ES"/>
              </w:rPr>
              <w:t xml:space="preserve"> Botswana, Madagascar, Malawi, Mauricio, Seychelles, Tanzanía y Zambia</w:t>
            </w:r>
          </w:p>
          <w:p w14:paraId="476210DA"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Américas:</w:t>
            </w:r>
            <w:r w:rsidRPr="00E71B56">
              <w:rPr>
                <w:lang w:val="es-ES"/>
              </w:rPr>
              <w:t xml:space="preserve"> Guatemala y Haití</w:t>
            </w:r>
          </w:p>
          <w:p w14:paraId="182D4A8C"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Estados Árabes:</w:t>
            </w:r>
            <w:r w:rsidRPr="00E71B56">
              <w:rPr>
                <w:lang w:val="es-ES"/>
              </w:rPr>
              <w:t xml:space="preserve"> Somalia</w:t>
            </w:r>
          </w:p>
          <w:p w14:paraId="1C919E0D"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Asia-Pacífico:</w:t>
            </w:r>
            <w:r w:rsidRPr="00E71B56">
              <w:rPr>
                <w:lang w:val="es-ES"/>
              </w:rPr>
              <w:t xml:space="preserve"> Bangladesh, Camboya y Fiji</w:t>
            </w:r>
          </w:p>
          <w:p w14:paraId="19690D40" w14:textId="77777777" w:rsidR="00BD155E" w:rsidRPr="00E71B56" w:rsidRDefault="00BD155E" w:rsidP="00A372FB">
            <w:pPr>
              <w:pStyle w:val="enumlev1"/>
              <w:tabs>
                <w:tab w:val="clear" w:pos="1134"/>
                <w:tab w:val="left" w:pos="330"/>
              </w:tabs>
              <w:ind w:left="330" w:hanging="330"/>
              <w:rPr>
                <w:b/>
                <w:lang w:val="es-ES"/>
              </w:rPr>
            </w:pPr>
            <w:r w:rsidRPr="00E71B56">
              <w:rPr>
                <w:lang w:val="es-ES"/>
              </w:rPr>
              <w:t>○</w:t>
            </w:r>
            <w:r w:rsidRPr="00E71B56">
              <w:rPr>
                <w:lang w:val="es-ES"/>
              </w:rPr>
              <w:tab/>
            </w:r>
            <w:r w:rsidRPr="00E71B56">
              <w:rPr>
                <w:b/>
                <w:bCs/>
                <w:lang w:val="es-ES"/>
              </w:rPr>
              <w:t>Europa:</w:t>
            </w:r>
            <w:r w:rsidRPr="00E71B56">
              <w:rPr>
                <w:lang w:val="es-ES"/>
              </w:rPr>
              <w:t xml:space="preserve"> Moldova</w:t>
            </w:r>
          </w:p>
          <w:p w14:paraId="6E2E1063" w14:textId="77777777" w:rsidR="00BD155E" w:rsidRPr="00E71B56" w:rsidRDefault="00BD155E" w:rsidP="00A372FB">
            <w:pPr>
              <w:rPr>
                <w:lang w:val="es-ES"/>
              </w:rPr>
            </w:pPr>
            <w:r w:rsidRPr="00E71B56">
              <w:rPr>
                <w:b/>
                <w:bCs/>
                <w:color w:val="0070C0"/>
                <w:lang w:val="es-ES"/>
              </w:rPr>
              <w:t>EW4ALL:</w:t>
            </w:r>
            <w:r w:rsidRPr="00E71B56">
              <w:rPr>
                <w:b/>
                <w:bCs/>
                <w:lang w:val="es-ES"/>
              </w:rPr>
              <w:t xml:space="preserve"> </w:t>
            </w:r>
            <w:r w:rsidRPr="00E71B56">
              <w:rPr>
                <w:lang w:val="es-ES"/>
              </w:rPr>
              <w:t>ayuda a más de 30 países:</w:t>
            </w:r>
          </w:p>
          <w:p w14:paraId="78379262"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África:</w:t>
            </w:r>
            <w:r w:rsidRPr="00E71B56">
              <w:rPr>
                <w:lang w:val="es-ES"/>
              </w:rPr>
              <w:t xml:space="preserve"> Botswana, Ghana, Liberia, Madagascar, Mozambique, Namibia, Níger, Rwanda, Santo Tomé y Príncipe, Seychelles, Tanzanía y Uganda</w:t>
            </w:r>
          </w:p>
          <w:p w14:paraId="06F7B384" w14:textId="77777777" w:rsidR="00BD155E" w:rsidRPr="00E71B56" w:rsidRDefault="00BD155E" w:rsidP="00A372FB">
            <w:pPr>
              <w:pStyle w:val="enumlev1"/>
              <w:tabs>
                <w:tab w:val="clear" w:pos="1134"/>
                <w:tab w:val="left" w:pos="330"/>
              </w:tabs>
              <w:ind w:left="330" w:hanging="330"/>
              <w:rPr>
                <w:lang w:val="es-ES"/>
              </w:rPr>
            </w:pPr>
            <w:r w:rsidRPr="00E71B56">
              <w:rPr>
                <w:lang w:val="es-ES"/>
              </w:rPr>
              <w:lastRenderedPageBreak/>
              <w:t>○</w:t>
            </w:r>
            <w:r w:rsidRPr="00E71B56">
              <w:rPr>
                <w:lang w:val="es-ES"/>
              </w:rPr>
              <w:tab/>
            </w:r>
            <w:r w:rsidRPr="00E71B56">
              <w:rPr>
                <w:b/>
                <w:bCs/>
                <w:lang w:val="es-ES"/>
              </w:rPr>
              <w:t>Américas:</w:t>
            </w:r>
            <w:r w:rsidRPr="00E71B56">
              <w:rPr>
                <w:lang w:val="es-ES"/>
              </w:rPr>
              <w:t xml:space="preserve"> Antigua y Barbuda, Barbados, Ecuador, Guatemala, Guyana y Haití</w:t>
            </w:r>
          </w:p>
          <w:p w14:paraId="67AE7072"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Asia-Pacífico:</w:t>
            </w:r>
            <w:r w:rsidRPr="00E71B56">
              <w:rPr>
                <w:lang w:val="es-ES"/>
              </w:rPr>
              <w:t xml:space="preserve"> Bangladesh, Bhután, Camboya, Fiji, Filipinas, Islas Salomón, Kiribati, R.D.P. Lao, Malasia, Maldivas, Nepal, Samoa, Tonga y Tuvalu</w:t>
            </w:r>
          </w:p>
          <w:p w14:paraId="2A1CA6AC"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Estados Árabes:</w:t>
            </w:r>
            <w:r w:rsidRPr="00E71B56">
              <w:rPr>
                <w:lang w:val="es-ES"/>
              </w:rPr>
              <w:t xml:space="preserve"> Comoras, Djibouti, Mauritania, Somalia y Sudán</w:t>
            </w:r>
          </w:p>
          <w:p w14:paraId="2832E57C"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Europa:</w:t>
            </w:r>
            <w:r w:rsidRPr="00E71B56">
              <w:rPr>
                <w:lang w:val="es-ES"/>
              </w:rPr>
              <w:t xml:space="preserve"> Montenegro</w:t>
            </w:r>
          </w:p>
          <w:p w14:paraId="439A8716"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CEI:</w:t>
            </w:r>
            <w:r w:rsidRPr="00E71B56">
              <w:rPr>
                <w:lang w:val="es-ES"/>
              </w:rPr>
              <w:t xml:space="preserve"> Tayikistán</w:t>
            </w:r>
          </w:p>
          <w:p w14:paraId="1A3D23F2" w14:textId="77777777" w:rsidR="00BD155E" w:rsidRPr="00E71B56" w:rsidRDefault="00BD155E" w:rsidP="00A372FB">
            <w:pPr>
              <w:rPr>
                <w:lang w:val="es-ES"/>
              </w:rPr>
            </w:pPr>
            <w:r w:rsidRPr="00E71B56">
              <w:rPr>
                <w:b/>
                <w:bCs/>
                <w:color w:val="0070C0"/>
                <w:lang w:val="es-ES"/>
              </w:rPr>
              <w:t>Despliegue de equipos:</w:t>
            </w:r>
            <w:r w:rsidRPr="00E71B56">
              <w:rPr>
                <w:b/>
                <w:bCs/>
                <w:lang w:val="es-ES"/>
              </w:rPr>
              <w:t xml:space="preserve"> 5</w:t>
            </w:r>
          </w:p>
          <w:p w14:paraId="3698C34C"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África:</w:t>
            </w:r>
            <w:r w:rsidRPr="00E71B56">
              <w:rPr>
                <w:lang w:val="es-ES"/>
              </w:rPr>
              <w:t xml:space="preserve"> Zimbabwe (Centro para los países de la SADC)</w:t>
            </w:r>
          </w:p>
          <w:p w14:paraId="1D88FFEC"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Américas:</w:t>
            </w:r>
            <w:r w:rsidRPr="00E71B56">
              <w:rPr>
                <w:lang w:val="es-ES"/>
              </w:rPr>
              <w:t xml:space="preserve"> Barbados (para ayudar a la región del Caribe), Granada</w:t>
            </w:r>
          </w:p>
          <w:p w14:paraId="2BCEB4E3"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Estados Árabes:</w:t>
            </w:r>
            <w:r w:rsidRPr="00E71B56">
              <w:rPr>
                <w:lang w:val="es-ES"/>
              </w:rPr>
              <w:t xml:space="preserve"> Dubái (para ayudar a los </w:t>
            </w:r>
            <w:r w:rsidRPr="00E71B56">
              <w:rPr>
                <w:lang w:val="es-ES"/>
              </w:rPr>
              <w:lastRenderedPageBreak/>
              <w:t>Estados Árabes, África, Asia</w:t>
            </w:r>
            <w:r w:rsidRPr="00E71B56">
              <w:rPr>
                <w:lang w:val="es-ES"/>
              </w:rPr>
              <w:noBreakHyphen/>
              <w:t>Pacífico)</w:t>
            </w:r>
          </w:p>
          <w:p w14:paraId="33FE2C20" w14:textId="77777777" w:rsidR="00BD155E" w:rsidRPr="00E71B56" w:rsidRDefault="00BD155E" w:rsidP="00A372FB">
            <w:pPr>
              <w:rPr>
                <w:b/>
                <w:bCs/>
                <w:color w:val="0070C0"/>
                <w:lang w:val="es-ES"/>
              </w:rPr>
            </w:pPr>
            <w:r w:rsidRPr="00E71B56">
              <w:rPr>
                <w:b/>
                <w:bCs/>
                <w:color w:val="0070C0"/>
                <w:lang w:val="es-ES"/>
              </w:rPr>
              <w:t>Cuestión 3 de la Comisión de Estudio 1 del UIT</w:t>
            </w:r>
            <w:r w:rsidRPr="00E71B56">
              <w:rPr>
                <w:b/>
                <w:bCs/>
                <w:color w:val="0070C0"/>
                <w:lang w:val="es-ES"/>
              </w:rPr>
              <w:noBreakHyphen/>
              <w:t>D:</w:t>
            </w:r>
          </w:p>
          <w:p w14:paraId="38EFA24A"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4 reuniones</w:t>
            </w:r>
          </w:p>
          <w:p w14:paraId="5C31C27A"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128 contribuciones</w:t>
            </w:r>
          </w:p>
          <w:p w14:paraId="7BFEBB1A"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3 </w:t>
            </w:r>
            <w:hyperlink r:id="rId59" w:history="1">
              <w:r w:rsidRPr="00E71B56">
                <w:rPr>
                  <w:rStyle w:val="Hyperlink"/>
                  <w:lang w:val="es-ES"/>
                </w:rPr>
                <w:t>talleres</w:t>
              </w:r>
            </w:hyperlink>
            <w:r w:rsidRPr="00E71B56">
              <w:rPr>
                <w:lang w:val="es-ES"/>
              </w:rPr>
              <w:t xml:space="preserve">, se creó un </w:t>
            </w:r>
            <w:hyperlink r:id="rId60" w:history="1">
              <w:r w:rsidRPr="00E71B56">
                <w:rPr>
                  <w:rStyle w:val="Hyperlink"/>
                  <w:lang w:val="es-ES"/>
                </w:rPr>
                <w:t>producto intermedio conjunto</w:t>
              </w:r>
            </w:hyperlink>
            <w:r w:rsidRPr="00E71B56">
              <w:rPr>
                <w:lang w:val="es-ES"/>
              </w:rPr>
              <w:t xml:space="preserve"> y un informe final de resultados</w:t>
            </w:r>
            <w:hyperlink r:id="rId61" w:history="1"/>
            <w:hyperlink r:id="rId62" w:history="1"/>
          </w:p>
        </w:tc>
      </w:tr>
      <w:tr w:rsidR="00BD155E" w:rsidRPr="00E71B56" w14:paraId="5D6B0853" w14:textId="77777777" w:rsidTr="00A372FB">
        <w:trPr>
          <w:jc w:val="center"/>
        </w:trPr>
        <w:tc>
          <w:tcPr>
            <w:tcW w:w="15384" w:type="dxa"/>
            <w:gridSpan w:val="3"/>
            <w:shd w:val="clear" w:color="auto" w:fill="E5DFEC"/>
          </w:tcPr>
          <w:p w14:paraId="613742FB" w14:textId="77777777" w:rsidR="00BD155E" w:rsidRPr="00E71B56" w:rsidRDefault="00BD155E" w:rsidP="00A372FB">
            <w:pPr>
              <w:pStyle w:val="Heading3"/>
              <w:rPr>
                <w:color w:val="0070C0"/>
                <w:lang w:val="es-ES"/>
              </w:rPr>
            </w:pPr>
            <w:bookmarkStart w:id="20" w:name="_Toc212728817"/>
            <w:bookmarkStart w:id="21" w:name="_Toc213427965"/>
            <w:bookmarkStart w:id="22" w:name="_Hlk162438207"/>
            <w:r w:rsidRPr="00E71B56">
              <w:rPr>
                <w:color w:val="0070C0"/>
                <w:lang w:val="es-ES"/>
              </w:rPr>
              <w:lastRenderedPageBreak/>
              <w:t>Infraestructura de red y digital</w:t>
            </w:r>
            <w:bookmarkEnd w:id="20"/>
            <w:bookmarkEnd w:id="21"/>
          </w:p>
          <w:p w14:paraId="20119417" w14:textId="77777777" w:rsidR="00BD155E" w:rsidRPr="00E71B56" w:rsidRDefault="00BD155E" w:rsidP="00A372FB">
            <w:pPr>
              <w:rPr>
                <w:b/>
                <w:bCs/>
                <w:lang w:val="es-ES"/>
              </w:rPr>
            </w:pPr>
            <w:r w:rsidRPr="00E71B56">
              <w:rPr>
                <w:b/>
                <w:bCs/>
                <w:i/>
                <w:iCs/>
                <w:lang w:val="es-ES"/>
              </w:rPr>
              <w:t>Realización:</w:t>
            </w:r>
            <w:r w:rsidRPr="00E71B56">
              <w:rPr>
                <w:i/>
                <w:iCs/>
                <w:lang w:val="es-ES"/>
              </w:rPr>
              <w:t xml:space="preserve"> Mejora de las infraestructuras y servicios de telecomunicaciones/TIC, en particular la cobertura de banda ancha</w:t>
            </w:r>
          </w:p>
        </w:tc>
      </w:tr>
      <w:bookmarkEnd w:id="22"/>
      <w:tr w:rsidR="00BD155E" w:rsidRPr="00E71B56" w14:paraId="24D4B74A" w14:textId="77777777" w:rsidTr="00A372FB">
        <w:trPr>
          <w:jc w:val="center"/>
        </w:trPr>
        <w:tc>
          <w:tcPr>
            <w:tcW w:w="12062" w:type="dxa"/>
            <w:gridSpan w:val="2"/>
          </w:tcPr>
          <w:p w14:paraId="6E2B4D6A" w14:textId="77777777" w:rsidR="00BD155E" w:rsidRPr="00E71B56" w:rsidDel="00CC7F87" w:rsidRDefault="00BD155E" w:rsidP="00A372FB">
            <w:pPr>
              <w:keepNext/>
              <w:keepLines/>
              <w:jc w:val="center"/>
              <w:rPr>
                <w:b/>
                <w:bCs/>
                <w:color w:val="0070C0"/>
                <w:lang w:val="es-ES"/>
              </w:rPr>
            </w:pPr>
            <w:r w:rsidRPr="00E71B56">
              <w:rPr>
                <w:b/>
                <w:bCs/>
                <w:color w:val="0070C0"/>
                <w:lang w:val="es-ES"/>
              </w:rPr>
              <w:t>Productos</w:t>
            </w:r>
          </w:p>
        </w:tc>
        <w:tc>
          <w:tcPr>
            <w:tcW w:w="3322" w:type="dxa"/>
          </w:tcPr>
          <w:p w14:paraId="0E45BF9E" w14:textId="77777777" w:rsidR="00BD155E" w:rsidRPr="00E71B56" w:rsidRDefault="00BD155E" w:rsidP="00A372FB">
            <w:pPr>
              <w:jc w:val="center"/>
              <w:rPr>
                <w:b/>
                <w:bCs/>
                <w:color w:val="0070C0"/>
                <w:lang w:val="es-ES"/>
              </w:rPr>
            </w:pPr>
            <w:r w:rsidRPr="00E71B56">
              <w:rPr>
                <w:b/>
                <w:bCs/>
                <w:color w:val="0070C0"/>
                <w:lang w:val="es-ES"/>
              </w:rPr>
              <w:t>Aspectos destacados</w:t>
            </w:r>
          </w:p>
        </w:tc>
      </w:tr>
      <w:tr w:rsidR="00BD155E" w:rsidRPr="00E71B56" w14:paraId="1F41E40B" w14:textId="77777777" w:rsidTr="00A372FB">
        <w:trPr>
          <w:jc w:val="center"/>
        </w:trPr>
        <w:tc>
          <w:tcPr>
            <w:tcW w:w="12062" w:type="dxa"/>
            <w:gridSpan w:val="2"/>
          </w:tcPr>
          <w:p w14:paraId="0F884FC7" w14:textId="77777777" w:rsidR="00BD155E" w:rsidRPr="00E71B56" w:rsidRDefault="00BD155E" w:rsidP="00A372FB">
            <w:pPr>
              <w:rPr>
                <w:lang w:val="es-ES"/>
              </w:rPr>
            </w:pPr>
            <w:r w:rsidRPr="00E71B56">
              <w:rPr>
                <w:lang w:val="es-ES"/>
              </w:rPr>
              <w:t>La BDT ha proseguido su labor de impulsar las infraestructuras de redes y digitales como base para la lograr la conectividad y la transformación digital equitativa. A fin de acelerar la mejora de la cobertura de banda ancha, la BDT ha ido más allá al prestar apoyo para subsanar las deficiencias de conectividad a fin de garantizar la resiliencia, inclusividad y sostenibilidad en los sistemas en que se sustenta la economía digital. El enfoque global combina herramientas mundiales, asistencia técnica y asociaciones regionales vinculando la cartografía y la gestión del espectro con la integración de satélites, así como la preparación para la 5G y la conectividad de las escuelas. El resultado es un periodo definido por la innovación reflejada en políticas, y por datos traducidos en estrategias listas para la inversión.</w:t>
            </w:r>
          </w:p>
          <w:p w14:paraId="7B693A1D" w14:textId="77777777" w:rsidR="00BD155E" w:rsidRPr="00E71B56" w:rsidRDefault="00BD155E" w:rsidP="00A372FB">
            <w:pPr>
              <w:rPr>
                <w:lang w:val="es-ES"/>
              </w:rPr>
            </w:pPr>
            <w:r w:rsidRPr="00E71B56">
              <w:rPr>
                <w:lang w:val="es-ES"/>
              </w:rPr>
              <w:t xml:space="preserve">El lanzamiento y la ampliación de las actividades de </w:t>
            </w:r>
            <w:hyperlink r:id="rId63" w:history="1">
              <w:r w:rsidRPr="00E71B56">
                <w:rPr>
                  <w:rStyle w:val="Hyperlink"/>
                  <w:lang w:val="es-ES"/>
                </w:rPr>
                <w:t>cartografía y análisis de infraestructuras</w:t>
              </w:r>
            </w:hyperlink>
            <w:r w:rsidRPr="00E71B56">
              <w:rPr>
                <w:lang w:val="es-ES"/>
              </w:rPr>
              <w:t xml:space="preserve"> marcaron un gran avance en la planificación de infraestructuras nacionales y regionales basada en pruebas. En 2024, la BDT ayudó a </w:t>
            </w:r>
            <w:hyperlink r:id="rId64" w:history="1">
              <w:r w:rsidRPr="00E71B56">
                <w:rPr>
                  <w:rStyle w:val="Hyperlink"/>
                  <w:lang w:val="es-ES"/>
                </w:rPr>
                <w:t>21 países</w:t>
              </w:r>
            </w:hyperlink>
            <w:r w:rsidRPr="00E71B56">
              <w:rPr>
                <w:lang w:val="es-ES"/>
              </w:rPr>
              <w:t xml:space="preserve"> a identificar las deficiencias en materia de infraestructuras de TIC. En 2025 otros cuatro países recibieron asistencia. El proyecto de Sistemas de Cartografía de la Banda Ancha de África, una iniciativa valorada en 15 millones de euros (EUR) respaldada por la Comisión Europea, se puso en marcha con el objetivo de establecer o fortalecer los sistemas nacionales de información geográfica (SIG), también conocidos como sistemas de cartografía de la banda ancha en 11 países, a saber, </w:t>
            </w:r>
            <w:r w:rsidRPr="00E71B56">
              <w:rPr>
                <w:b/>
                <w:bCs/>
                <w:lang w:val="es-ES"/>
              </w:rPr>
              <w:t>Benin</w:t>
            </w:r>
            <w:r w:rsidRPr="00E71B56">
              <w:rPr>
                <w:lang w:val="es-ES"/>
              </w:rPr>
              <w:t xml:space="preserve">, </w:t>
            </w:r>
            <w:r w:rsidRPr="00E71B56">
              <w:rPr>
                <w:b/>
                <w:bCs/>
                <w:lang w:val="es-ES"/>
              </w:rPr>
              <w:t>Botswana</w:t>
            </w:r>
            <w:r w:rsidRPr="00E71B56">
              <w:rPr>
                <w:lang w:val="es-ES"/>
              </w:rPr>
              <w:t xml:space="preserve">, </w:t>
            </w:r>
            <w:r w:rsidRPr="00E71B56">
              <w:rPr>
                <w:b/>
                <w:bCs/>
                <w:lang w:val="es-ES"/>
              </w:rPr>
              <w:t>Burundi</w:t>
            </w:r>
            <w:r w:rsidRPr="00E71B56">
              <w:rPr>
                <w:lang w:val="es-ES"/>
              </w:rPr>
              <w:t xml:space="preserve">, </w:t>
            </w:r>
            <w:r w:rsidRPr="00E71B56">
              <w:rPr>
                <w:b/>
                <w:bCs/>
                <w:lang w:val="es-ES"/>
              </w:rPr>
              <w:t>Côte d'Ivoire</w:t>
            </w:r>
            <w:r w:rsidRPr="00E71B56">
              <w:rPr>
                <w:lang w:val="es-ES"/>
              </w:rPr>
              <w:t xml:space="preserve">, </w:t>
            </w:r>
            <w:r w:rsidRPr="00E71B56">
              <w:rPr>
                <w:b/>
                <w:bCs/>
                <w:lang w:val="es-ES"/>
              </w:rPr>
              <w:t>Etiopía</w:t>
            </w:r>
            <w:r w:rsidRPr="00E71B56">
              <w:rPr>
                <w:lang w:val="es-ES"/>
              </w:rPr>
              <w:t xml:space="preserve">, </w:t>
            </w:r>
            <w:r w:rsidRPr="00E71B56">
              <w:rPr>
                <w:b/>
                <w:bCs/>
                <w:lang w:val="es-ES"/>
              </w:rPr>
              <w:t>Kenya</w:t>
            </w:r>
            <w:r w:rsidRPr="00E71B56">
              <w:rPr>
                <w:lang w:val="es-ES"/>
              </w:rPr>
              <w:t xml:space="preserve">, </w:t>
            </w:r>
            <w:r w:rsidRPr="00E71B56">
              <w:rPr>
                <w:b/>
                <w:bCs/>
                <w:lang w:val="es-ES"/>
              </w:rPr>
              <w:t>Malawi</w:t>
            </w:r>
            <w:r w:rsidRPr="00E71B56">
              <w:rPr>
                <w:lang w:val="es-ES"/>
              </w:rPr>
              <w:t xml:space="preserve">, </w:t>
            </w:r>
            <w:r w:rsidRPr="00E71B56">
              <w:rPr>
                <w:b/>
                <w:bCs/>
                <w:lang w:val="es-ES"/>
              </w:rPr>
              <w:t>Nigeria</w:t>
            </w:r>
            <w:r w:rsidRPr="00E71B56">
              <w:rPr>
                <w:lang w:val="es-ES"/>
              </w:rPr>
              <w:t xml:space="preserve">, </w:t>
            </w:r>
            <w:r w:rsidRPr="00E71B56">
              <w:rPr>
                <w:b/>
                <w:bCs/>
                <w:lang w:val="es-ES"/>
              </w:rPr>
              <w:t>Uganda</w:t>
            </w:r>
            <w:r w:rsidRPr="00E71B56">
              <w:rPr>
                <w:lang w:val="es-ES"/>
              </w:rPr>
              <w:t xml:space="preserve">, </w:t>
            </w:r>
            <w:r w:rsidRPr="00E71B56">
              <w:rPr>
                <w:b/>
                <w:bCs/>
                <w:lang w:val="es-ES"/>
              </w:rPr>
              <w:t xml:space="preserve">Zambia </w:t>
            </w:r>
            <w:r w:rsidRPr="00E71B56">
              <w:rPr>
                <w:lang w:val="es-ES"/>
              </w:rPr>
              <w:t xml:space="preserve">y </w:t>
            </w:r>
            <w:r w:rsidRPr="00E71B56">
              <w:rPr>
                <w:b/>
                <w:bCs/>
                <w:lang w:val="es-ES"/>
              </w:rPr>
              <w:t>Zimbabwe.</w:t>
            </w:r>
            <w:r w:rsidRPr="00E71B56">
              <w:rPr>
                <w:lang w:val="es-ES"/>
              </w:rPr>
              <w:t xml:space="preserve"> Estos mapas ponían de relieve la infraestructura troncal y los déficits del último kilómetro, orientando a los Estados Miembros para definir estrategias contundentes y prioridades de inversión, y permitiendo también el intercambio de prácticas y conocimientos técnicos entre regiones y apoyando la armonización regional. Esta iniciativa fue complementada con la </w:t>
            </w:r>
            <w:hyperlink r:id="rId65" w:history="1">
              <w:r w:rsidRPr="00E71B56">
                <w:rPr>
                  <w:rStyle w:val="Hyperlink"/>
                  <w:lang w:val="es-ES"/>
                </w:rPr>
                <w:t>Herramienta de Cartografía de Infraestructuras de TIC</w:t>
              </w:r>
            </w:hyperlink>
            <w:r w:rsidRPr="00E71B56">
              <w:rPr>
                <w:lang w:val="es-ES"/>
              </w:rPr>
              <w:t xml:space="preserve">, que ofrecía una metodología práctica para el análisis geoespacial. La BDT también llevó a cabo un análisis de deficiencias de datos sobre la fibra óptica para 16 miembros de la Asamblea de Organismos Reguladores de África Occidental (WATRA), a saber, </w:t>
            </w:r>
            <w:r w:rsidRPr="00E71B56">
              <w:rPr>
                <w:b/>
                <w:bCs/>
                <w:lang w:val="es-ES"/>
              </w:rPr>
              <w:t>Benin</w:t>
            </w:r>
            <w:r w:rsidRPr="00E71B56">
              <w:rPr>
                <w:lang w:val="es-ES"/>
              </w:rPr>
              <w:t xml:space="preserve">, </w:t>
            </w:r>
            <w:r w:rsidRPr="00E71B56">
              <w:rPr>
                <w:b/>
                <w:bCs/>
                <w:lang w:val="es-ES"/>
              </w:rPr>
              <w:t>Burkina Faso</w:t>
            </w:r>
            <w:r w:rsidRPr="00E71B56">
              <w:rPr>
                <w:lang w:val="es-ES"/>
              </w:rPr>
              <w:t xml:space="preserve">, </w:t>
            </w:r>
            <w:r w:rsidRPr="00E71B56">
              <w:rPr>
                <w:b/>
                <w:bCs/>
                <w:lang w:val="es-ES"/>
              </w:rPr>
              <w:t>Cabo Verde</w:t>
            </w:r>
            <w:r w:rsidRPr="00E71B56">
              <w:rPr>
                <w:lang w:val="es-ES"/>
              </w:rPr>
              <w:t xml:space="preserve">, </w:t>
            </w:r>
            <w:r w:rsidRPr="00E71B56">
              <w:rPr>
                <w:b/>
                <w:bCs/>
                <w:lang w:val="es-ES"/>
              </w:rPr>
              <w:t>Côte d'Ivoire</w:t>
            </w:r>
            <w:r w:rsidRPr="00E71B56">
              <w:rPr>
                <w:lang w:val="es-ES"/>
              </w:rPr>
              <w:t xml:space="preserve">, </w:t>
            </w:r>
            <w:r w:rsidRPr="00E71B56">
              <w:rPr>
                <w:b/>
                <w:bCs/>
                <w:lang w:val="es-ES"/>
              </w:rPr>
              <w:t>Gambia</w:t>
            </w:r>
            <w:r w:rsidRPr="00E71B56">
              <w:rPr>
                <w:lang w:val="es-ES"/>
              </w:rPr>
              <w:t xml:space="preserve">, </w:t>
            </w:r>
            <w:r w:rsidRPr="00E71B56">
              <w:rPr>
                <w:b/>
                <w:bCs/>
                <w:lang w:val="es-ES"/>
              </w:rPr>
              <w:t>Ghana</w:t>
            </w:r>
            <w:r w:rsidRPr="00E71B56">
              <w:rPr>
                <w:lang w:val="es-ES"/>
              </w:rPr>
              <w:t xml:space="preserve">, </w:t>
            </w:r>
            <w:r w:rsidRPr="00E71B56">
              <w:rPr>
                <w:b/>
                <w:bCs/>
                <w:lang w:val="es-ES"/>
              </w:rPr>
              <w:t>Guinea</w:t>
            </w:r>
            <w:r w:rsidRPr="00E71B56">
              <w:rPr>
                <w:lang w:val="es-ES"/>
              </w:rPr>
              <w:t xml:space="preserve">, </w:t>
            </w:r>
            <w:r w:rsidRPr="00E71B56">
              <w:rPr>
                <w:b/>
                <w:bCs/>
                <w:lang w:val="es-ES"/>
              </w:rPr>
              <w:t>Guinea</w:t>
            </w:r>
            <w:r w:rsidRPr="00E71B56">
              <w:rPr>
                <w:b/>
                <w:bCs/>
                <w:lang w:val="es-ES"/>
              </w:rPr>
              <w:noBreakHyphen/>
              <w:t>Bissau</w:t>
            </w:r>
            <w:r w:rsidRPr="00E71B56">
              <w:rPr>
                <w:lang w:val="es-ES"/>
              </w:rPr>
              <w:t xml:space="preserve">, </w:t>
            </w:r>
            <w:r w:rsidRPr="00E71B56">
              <w:rPr>
                <w:b/>
                <w:bCs/>
                <w:lang w:val="es-ES"/>
              </w:rPr>
              <w:t>Liberia</w:t>
            </w:r>
            <w:r w:rsidRPr="00E71B56">
              <w:rPr>
                <w:lang w:val="es-ES"/>
              </w:rPr>
              <w:t xml:space="preserve">, </w:t>
            </w:r>
            <w:r w:rsidRPr="00E71B56">
              <w:rPr>
                <w:b/>
                <w:bCs/>
                <w:lang w:val="es-ES"/>
              </w:rPr>
              <w:t>Malí</w:t>
            </w:r>
            <w:r w:rsidRPr="00E71B56">
              <w:rPr>
                <w:lang w:val="es-ES"/>
              </w:rPr>
              <w:t xml:space="preserve">, </w:t>
            </w:r>
            <w:r w:rsidRPr="00E71B56">
              <w:rPr>
                <w:b/>
                <w:bCs/>
                <w:lang w:val="es-ES"/>
              </w:rPr>
              <w:t>Mauritania</w:t>
            </w:r>
            <w:r w:rsidRPr="00E71B56">
              <w:rPr>
                <w:lang w:val="es-ES"/>
              </w:rPr>
              <w:t xml:space="preserve">, </w:t>
            </w:r>
            <w:r w:rsidRPr="00E71B56">
              <w:rPr>
                <w:b/>
                <w:bCs/>
                <w:lang w:val="es-ES"/>
              </w:rPr>
              <w:t>Níger</w:t>
            </w:r>
            <w:r w:rsidRPr="00E71B56">
              <w:rPr>
                <w:lang w:val="es-ES"/>
              </w:rPr>
              <w:t xml:space="preserve">, </w:t>
            </w:r>
            <w:r w:rsidRPr="00E71B56">
              <w:rPr>
                <w:b/>
                <w:bCs/>
                <w:lang w:val="es-ES"/>
              </w:rPr>
              <w:t>Nigeria</w:t>
            </w:r>
            <w:r w:rsidRPr="00E71B56">
              <w:rPr>
                <w:lang w:val="es-ES"/>
              </w:rPr>
              <w:t xml:space="preserve">, </w:t>
            </w:r>
            <w:r w:rsidRPr="00E71B56">
              <w:rPr>
                <w:b/>
                <w:bCs/>
                <w:lang w:val="es-ES"/>
              </w:rPr>
              <w:t>Senegal</w:t>
            </w:r>
            <w:r w:rsidRPr="00E71B56">
              <w:rPr>
                <w:lang w:val="es-ES"/>
              </w:rPr>
              <w:t>,</w:t>
            </w:r>
            <w:r w:rsidRPr="00E71B56">
              <w:rPr>
                <w:b/>
                <w:bCs/>
                <w:lang w:val="es-ES"/>
              </w:rPr>
              <w:t xml:space="preserve"> Sierra Leona </w:t>
            </w:r>
            <w:r w:rsidRPr="00E71B56">
              <w:rPr>
                <w:lang w:val="es-ES"/>
              </w:rPr>
              <w:t xml:space="preserve">y </w:t>
            </w:r>
            <w:r w:rsidRPr="00E71B56">
              <w:rPr>
                <w:b/>
                <w:bCs/>
                <w:lang w:val="es-ES"/>
              </w:rPr>
              <w:t>Togo</w:t>
            </w:r>
            <w:r w:rsidRPr="00E71B56">
              <w:rPr>
                <w:lang w:val="es-ES"/>
              </w:rPr>
              <w:t xml:space="preserve">, que conformó el diseño de los planes regionales de </w:t>
            </w:r>
            <w:r w:rsidRPr="00E71B56">
              <w:rPr>
                <w:lang w:val="es-ES"/>
              </w:rPr>
              <w:lastRenderedPageBreak/>
              <w:t xml:space="preserve">banda ancha. Juntos, estos instrumentos garantizaron que las estrategias de conectividad se basasen en conocimientos específicos sobre los recursos existentes, transformando la planificación de infraestructuras en un ejercicio con base empírica. Se llevó a cabo un análisis similar en apoyo a los ocho miembros de la Asamblea de Organismos Reguladores de las Telecomunicaciones de África Central (ARTAC), a saber, </w:t>
            </w:r>
            <w:r w:rsidRPr="00E71B56">
              <w:rPr>
                <w:b/>
                <w:bCs/>
                <w:lang w:val="es-ES"/>
              </w:rPr>
              <w:t>Burundi</w:t>
            </w:r>
            <w:r w:rsidRPr="00E71B56">
              <w:rPr>
                <w:lang w:val="es-ES"/>
              </w:rPr>
              <w:t xml:space="preserve">, </w:t>
            </w:r>
            <w:r w:rsidRPr="00E71B56">
              <w:rPr>
                <w:b/>
                <w:bCs/>
                <w:lang w:val="es-ES"/>
              </w:rPr>
              <w:t>Camerún</w:t>
            </w:r>
            <w:r w:rsidRPr="00E71B56">
              <w:rPr>
                <w:lang w:val="es-ES"/>
              </w:rPr>
              <w:t>, la</w:t>
            </w:r>
            <w:r w:rsidRPr="00E71B56">
              <w:rPr>
                <w:b/>
                <w:bCs/>
                <w:lang w:val="es-ES"/>
              </w:rPr>
              <w:t xml:space="preserve"> República Centroafricana</w:t>
            </w:r>
            <w:r w:rsidRPr="00E71B56">
              <w:rPr>
                <w:lang w:val="es-ES"/>
              </w:rPr>
              <w:t xml:space="preserve">, </w:t>
            </w:r>
            <w:r w:rsidRPr="00E71B56">
              <w:rPr>
                <w:b/>
                <w:bCs/>
                <w:lang w:val="es-ES"/>
              </w:rPr>
              <w:t>Chad, Guinea Ecuatorial</w:t>
            </w:r>
            <w:r w:rsidRPr="00E71B56">
              <w:rPr>
                <w:lang w:val="es-ES"/>
              </w:rPr>
              <w:t>, la</w:t>
            </w:r>
            <w:r w:rsidRPr="00E71B56">
              <w:rPr>
                <w:b/>
                <w:bCs/>
                <w:lang w:val="es-ES"/>
              </w:rPr>
              <w:t xml:space="preserve"> República Democrática del Congo</w:t>
            </w:r>
            <w:r w:rsidRPr="00E71B56">
              <w:rPr>
                <w:lang w:val="es-ES"/>
              </w:rPr>
              <w:t xml:space="preserve">, </w:t>
            </w:r>
            <w:r w:rsidRPr="00E71B56">
              <w:rPr>
                <w:b/>
                <w:bCs/>
                <w:lang w:val="es-ES"/>
              </w:rPr>
              <w:t xml:space="preserve">Gabón </w:t>
            </w:r>
            <w:r w:rsidRPr="00E71B56">
              <w:rPr>
                <w:lang w:val="es-ES"/>
              </w:rPr>
              <w:t>y la</w:t>
            </w:r>
            <w:r w:rsidRPr="00E71B56">
              <w:rPr>
                <w:b/>
                <w:bCs/>
                <w:lang w:val="es-ES"/>
              </w:rPr>
              <w:t xml:space="preserve"> República del Congo</w:t>
            </w:r>
            <w:r w:rsidRPr="00E71B56">
              <w:rPr>
                <w:lang w:val="es-ES"/>
              </w:rPr>
              <w:t>.</w:t>
            </w:r>
            <w:hyperlink r:id="rId66" w:history="1"/>
            <w:hyperlink r:id="rId67" w:history="1"/>
            <w:hyperlink r:id="rId68" w:history="1"/>
          </w:p>
          <w:p w14:paraId="0EE76CEA" w14:textId="77777777" w:rsidR="00BD155E" w:rsidRPr="00E71B56" w:rsidRDefault="00BD155E" w:rsidP="00A372FB">
            <w:pPr>
              <w:rPr>
                <w:lang w:val="es-ES"/>
              </w:rPr>
            </w:pPr>
            <w:r w:rsidRPr="00E71B56">
              <w:rPr>
                <w:lang w:val="es-ES"/>
              </w:rPr>
              <w:t xml:space="preserve">La BDT también proporcionó capacitación para complementar los esfuerzos de cartografía. Esto incluyó la organización de </w:t>
            </w:r>
            <w:r w:rsidRPr="00E71B56">
              <w:rPr>
                <w:b/>
                <w:bCs/>
                <w:lang w:val="es-ES"/>
              </w:rPr>
              <w:t>sesiones de formación, talleres y productos del conocimiento</w:t>
            </w:r>
            <w:r w:rsidRPr="00E71B56">
              <w:rPr>
                <w:lang w:val="es-ES"/>
              </w:rPr>
              <w:t xml:space="preserve">, que dotaron a los Estados Miembros de mejores conocimientos y capacidades para utilizar eficazmente las herramientas. Por conducto de la Academia de la UIT, se introdujeron seis cursos de formación autodirigidos sobre diversos temas, desde la planificación de la banda ancha hasta el análisis avanzado de los SIG, en los que participaron cientos de personas de todo el mundo. En los talleres respaldados por la BDT en el marco de un proyecto organizado con el Ministerio de Relaciones Exteriores, de la Commonwealth y de Desarrollo (FCDO) del Reino Unido, se impartió formación a más de 400 profesionales de las TIC de </w:t>
            </w:r>
            <w:r w:rsidRPr="00E71B56">
              <w:rPr>
                <w:b/>
                <w:bCs/>
                <w:lang w:val="es-ES"/>
              </w:rPr>
              <w:t>Brasil</w:t>
            </w:r>
            <w:r w:rsidRPr="00E71B56">
              <w:rPr>
                <w:lang w:val="es-ES"/>
              </w:rPr>
              <w:t xml:space="preserve">, </w:t>
            </w:r>
            <w:r w:rsidRPr="00E71B56">
              <w:rPr>
                <w:b/>
                <w:bCs/>
                <w:lang w:val="es-ES"/>
              </w:rPr>
              <w:t>Kazajstán</w:t>
            </w:r>
            <w:r w:rsidRPr="00E71B56">
              <w:rPr>
                <w:lang w:val="es-ES"/>
              </w:rPr>
              <w:t xml:space="preserve">, </w:t>
            </w:r>
            <w:r w:rsidRPr="00E71B56">
              <w:rPr>
                <w:b/>
                <w:bCs/>
                <w:lang w:val="es-ES"/>
              </w:rPr>
              <w:t xml:space="preserve">Sierra Leona </w:t>
            </w:r>
            <w:r w:rsidRPr="00E71B56">
              <w:rPr>
                <w:lang w:val="es-ES"/>
              </w:rPr>
              <w:t>y</w:t>
            </w:r>
            <w:r w:rsidRPr="00E71B56">
              <w:rPr>
                <w:b/>
                <w:bCs/>
                <w:lang w:val="es-ES"/>
              </w:rPr>
              <w:t xml:space="preserve"> Uzbekistán</w:t>
            </w:r>
            <w:r w:rsidRPr="00E71B56">
              <w:rPr>
                <w:lang w:val="es-ES"/>
              </w:rPr>
              <w:t xml:space="preserve">. La cooperación con el Ministerio de Ciencias de la </w:t>
            </w:r>
            <w:r w:rsidRPr="00E71B56">
              <w:rPr>
                <w:b/>
                <w:bCs/>
                <w:lang w:val="es-ES"/>
              </w:rPr>
              <w:t xml:space="preserve">República de Corea </w:t>
            </w:r>
            <w:r w:rsidRPr="00E71B56">
              <w:rPr>
                <w:lang w:val="es-ES"/>
              </w:rPr>
              <w:t xml:space="preserve">y las TIC aportó sesiones de formación sobre SIG a </w:t>
            </w:r>
            <w:r w:rsidRPr="00E71B56">
              <w:rPr>
                <w:b/>
                <w:bCs/>
                <w:lang w:val="es-ES"/>
              </w:rPr>
              <w:t>Argelia</w:t>
            </w:r>
            <w:r w:rsidRPr="00E71B56">
              <w:rPr>
                <w:lang w:val="es-ES"/>
              </w:rPr>
              <w:t>, la</w:t>
            </w:r>
            <w:r w:rsidRPr="00E71B56">
              <w:rPr>
                <w:b/>
                <w:bCs/>
                <w:lang w:val="es-ES"/>
              </w:rPr>
              <w:t xml:space="preserve"> República Dominicana</w:t>
            </w:r>
            <w:r w:rsidRPr="00E71B56">
              <w:rPr>
                <w:lang w:val="es-ES"/>
              </w:rPr>
              <w:t xml:space="preserve">, </w:t>
            </w:r>
            <w:r w:rsidRPr="00E71B56">
              <w:rPr>
                <w:b/>
                <w:bCs/>
                <w:lang w:val="es-ES"/>
              </w:rPr>
              <w:t>Indonesia</w:t>
            </w:r>
            <w:r w:rsidRPr="00E71B56">
              <w:rPr>
                <w:lang w:val="es-ES"/>
              </w:rPr>
              <w:t xml:space="preserve">, </w:t>
            </w:r>
            <w:r w:rsidRPr="00E71B56">
              <w:rPr>
                <w:b/>
                <w:bCs/>
                <w:lang w:val="es-ES"/>
              </w:rPr>
              <w:t>Malasia</w:t>
            </w:r>
            <w:r w:rsidRPr="00E71B56">
              <w:rPr>
                <w:lang w:val="es-ES"/>
              </w:rPr>
              <w:t xml:space="preserve">, </w:t>
            </w:r>
            <w:r w:rsidRPr="00E71B56">
              <w:rPr>
                <w:b/>
                <w:bCs/>
                <w:lang w:val="es-ES"/>
              </w:rPr>
              <w:t xml:space="preserve">Tayikistán </w:t>
            </w:r>
            <w:r w:rsidRPr="00E71B56">
              <w:rPr>
                <w:lang w:val="es-ES"/>
              </w:rPr>
              <w:t>y</w:t>
            </w:r>
            <w:r w:rsidRPr="00E71B56">
              <w:rPr>
                <w:b/>
                <w:bCs/>
                <w:lang w:val="es-ES"/>
              </w:rPr>
              <w:t xml:space="preserve"> Uruguay</w:t>
            </w:r>
            <w:r w:rsidRPr="00E71B56">
              <w:rPr>
                <w:lang w:val="es-ES"/>
              </w:rPr>
              <w:t xml:space="preserve">. Además, se prestó asistencia técnica a la </w:t>
            </w:r>
            <w:r w:rsidRPr="00E71B56">
              <w:rPr>
                <w:b/>
                <w:bCs/>
                <w:lang w:val="es-ES"/>
              </w:rPr>
              <w:t xml:space="preserve">República Dominicana </w:t>
            </w:r>
            <w:r w:rsidRPr="00E71B56">
              <w:rPr>
                <w:lang w:val="es-ES"/>
              </w:rPr>
              <w:t>y</w:t>
            </w:r>
            <w:r w:rsidRPr="00E71B56">
              <w:rPr>
                <w:b/>
                <w:bCs/>
                <w:lang w:val="es-ES"/>
              </w:rPr>
              <w:t xml:space="preserve"> Uruguay</w:t>
            </w:r>
            <w:r w:rsidRPr="00E71B56">
              <w:rPr>
                <w:lang w:val="es-ES"/>
              </w:rPr>
              <w:t xml:space="preserve"> para establecer una hoja de ruta para la implementación de un sistema de cartografía.</w:t>
            </w:r>
          </w:p>
          <w:p w14:paraId="5F4A0294" w14:textId="77777777" w:rsidR="00BD155E" w:rsidRPr="00E71B56" w:rsidRDefault="00BD155E" w:rsidP="00A372FB">
            <w:pPr>
              <w:rPr>
                <w:lang w:val="es-ES"/>
              </w:rPr>
            </w:pPr>
            <w:r w:rsidRPr="00E71B56">
              <w:rPr>
                <w:lang w:val="es-ES"/>
              </w:rPr>
              <w:t xml:space="preserve">En 2025, se añadió un nuevo curso de IA para las infraestructuras de TIC, que demostró el compromiso de la UIT para estar un paso por delante de las tendencias tecnológicas. El </w:t>
            </w:r>
            <w:hyperlink r:id="rId69" w:history="1">
              <w:r w:rsidRPr="00E71B56">
                <w:rPr>
                  <w:rStyle w:val="Hyperlink"/>
                  <w:lang w:val="es-ES"/>
                </w:rPr>
                <w:t>Conjunto de Herramientas de Planificación Empresarial de Infraestructuras de TIC – Redes 5G</w:t>
              </w:r>
            </w:hyperlink>
            <w:r w:rsidRPr="00E71B56">
              <w:rPr>
                <w:lang w:val="es-ES"/>
              </w:rPr>
              <w:t>, introducido durante este periodo, se convirtió en una referencia fundamental para más de 60 países en su diseño de las hojas de ruta nacionales sobre la 5G. Estas intervenciones fortalecieron las capacidades institucionales y garantizaron que los proyectos de infraestructura estuvieran diseñados teniendo presentes tanto la sostenibilidad como la escalabilidad.</w:t>
            </w:r>
            <w:hyperlink r:id="rId70"/>
          </w:p>
          <w:p w14:paraId="3551E319" w14:textId="77777777" w:rsidR="00BD155E" w:rsidRPr="00E71B56" w:rsidRDefault="00BD155E" w:rsidP="00A372FB">
            <w:pPr>
              <w:rPr>
                <w:lang w:val="es-ES"/>
              </w:rPr>
            </w:pPr>
            <w:r w:rsidRPr="00E71B56">
              <w:rPr>
                <w:lang w:val="es-ES"/>
              </w:rPr>
              <w:t xml:space="preserve">La actualización de las </w:t>
            </w:r>
            <w:r w:rsidRPr="00E71B56">
              <w:rPr>
                <w:b/>
                <w:bCs/>
                <w:lang w:val="es-ES"/>
              </w:rPr>
              <w:t>herramientas técnicas y de gestión del espectro</w:t>
            </w:r>
            <w:r w:rsidRPr="00E71B56">
              <w:rPr>
                <w:lang w:val="es-ES"/>
              </w:rPr>
              <w:t xml:space="preserve"> ha sido otro logro importante. El </w:t>
            </w:r>
            <w:r w:rsidRPr="00E71B56">
              <w:rPr>
                <w:b/>
                <w:bCs/>
                <w:lang w:val="es-ES"/>
              </w:rPr>
              <w:t>Sistema de Gestión del Espectro para Países en Desarrollo (SMS4DC)</w:t>
            </w:r>
            <w:r w:rsidRPr="00E71B56">
              <w:rPr>
                <w:lang w:val="es-ES"/>
              </w:rPr>
              <w:t xml:space="preserve"> se actualizó en consonancia con las decisiones adoptadas en la Conferencia Mundial de Radiocomunicaciones de la UIT de 2023 (CMR-23), lo que </w:t>
            </w:r>
            <w:r w:rsidRPr="00E71B56">
              <w:rPr>
                <w:lang w:val="es-ES"/>
              </w:rPr>
              <w:lastRenderedPageBreak/>
              <w:t xml:space="preserve">permitió a los Estados Miembros modernizar sus bases de datos y sus procesos reglamentarios. Esto también ha contribuido específicamente a la implementación de la </w:t>
            </w:r>
            <w:hyperlink r:id="rId71" w:history="1">
              <w:r w:rsidRPr="00E71B56">
                <w:rPr>
                  <w:rStyle w:val="Hyperlink"/>
                  <w:lang w:val="es-ES"/>
                </w:rPr>
                <w:t>Resolución 9 (Rev. Kigali, 2022) de la CMDT-22</w:t>
              </w:r>
            </w:hyperlink>
            <w:r w:rsidRPr="00E71B56">
              <w:rPr>
                <w:lang w:val="es-ES"/>
              </w:rPr>
              <w:t>, relativa a la participación de los países, en particular los países en desarrollo, en la gestión del espectro</w:t>
            </w:r>
            <w:r w:rsidRPr="00E71B56">
              <w:rPr>
                <w:i/>
                <w:iCs/>
                <w:lang w:val="es-ES"/>
              </w:rPr>
              <w:t>.</w:t>
            </w:r>
            <w:r w:rsidRPr="00E71B56">
              <w:rPr>
                <w:lang w:val="es-ES"/>
              </w:rPr>
              <w:t xml:space="preserve"> En 2024, diez pequeños Estados insulares en desarrollo (PEID) recibieron formación en Vanuatu, mejorando su capacidad para gestionar los escasos recursos espectrales de manera eficiente. En </w:t>
            </w:r>
            <w:r w:rsidRPr="00E71B56">
              <w:rPr>
                <w:b/>
                <w:bCs/>
                <w:lang w:val="es-ES"/>
              </w:rPr>
              <w:t>África</w:t>
            </w:r>
            <w:r w:rsidRPr="00E71B56">
              <w:rPr>
                <w:lang w:val="es-ES"/>
              </w:rPr>
              <w:t xml:space="preserve">, en el marco del del proyecto PRIDA, se implementó en 2025 el </w:t>
            </w:r>
            <w:r w:rsidRPr="00E71B56">
              <w:rPr>
                <w:i/>
                <w:iCs/>
                <w:lang w:val="es-ES"/>
              </w:rPr>
              <w:t>software</w:t>
            </w:r>
            <w:r w:rsidRPr="00E71B56">
              <w:rPr>
                <w:lang w:val="es-ES"/>
              </w:rPr>
              <w:t xml:space="preserve"> relativo al método de cálculo armonizado para África (HCM4A), que proporcionó metodologías armonizadas para la coordinación del espectro. En toda la </w:t>
            </w:r>
            <w:r w:rsidRPr="00E71B56">
              <w:rPr>
                <w:b/>
                <w:bCs/>
                <w:lang w:val="es-ES"/>
              </w:rPr>
              <w:t>región de</w:t>
            </w:r>
            <w:r w:rsidRPr="00E71B56">
              <w:rPr>
                <w:lang w:val="es-ES"/>
              </w:rPr>
              <w:t xml:space="preserve"> </w:t>
            </w:r>
            <w:r w:rsidRPr="00E71B56">
              <w:rPr>
                <w:b/>
                <w:bCs/>
                <w:lang w:val="es-ES"/>
              </w:rPr>
              <w:t>Asia</w:t>
            </w:r>
            <w:r w:rsidRPr="00E71B56">
              <w:rPr>
                <w:b/>
                <w:bCs/>
                <w:lang w:val="es-ES"/>
              </w:rPr>
              <w:noBreakHyphen/>
              <w:t>Pacífico</w:t>
            </w:r>
            <w:r w:rsidRPr="00E71B56">
              <w:rPr>
                <w:lang w:val="es-ES"/>
              </w:rPr>
              <w:t xml:space="preserve">, el apoyo prestado a </w:t>
            </w:r>
            <w:r w:rsidRPr="00E71B56">
              <w:rPr>
                <w:b/>
                <w:bCs/>
                <w:lang w:val="es-ES"/>
              </w:rPr>
              <w:t xml:space="preserve">Nauru </w:t>
            </w:r>
            <w:r w:rsidRPr="00E71B56">
              <w:rPr>
                <w:lang w:val="es-ES"/>
              </w:rPr>
              <w:t xml:space="preserve">y </w:t>
            </w:r>
            <w:r w:rsidRPr="00E71B56">
              <w:rPr>
                <w:b/>
                <w:bCs/>
                <w:lang w:val="es-ES"/>
              </w:rPr>
              <w:t xml:space="preserve">Vanuatu </w:t>
            </w:r>
            <w:r w:rsidRPr="00E71B56">
              <w:rPr>
                <w:lang w:val="es-ES"/>
              </w:rPr>
              <w:t xml:space="preserve">dio lugar a un nuevo cuadro nacional de atribución de bandas de frecuencias, y en </w:t>
            </w:r>
            <w:r w:rsidRPr="00E71B56">
              <w:rPr>
                <w:b/>
                <w:bCs/>
                <w:lang w:val="es-ES"/>
              </w:rPr>
              <w:t>Timor</w:t>
            </w:r>
            <w:r w:rsidRPr="00E71B56">
              <w:rPr>
                <w:b/>
                <w:bCs/>
                <w:lang w:val="es-ES"/>
              </w:rPr>
              <w:noBreakHyphen/>
              <w:t>Leste</w:t>
            </w:r>
            <w:r w:rsidRPr="00E71B56">
              <w:rPr>
                <w:lang w:val="es-ES"/>
              </w:rPr>
              <w:t xml:space="preserve"> se prestó asistencia para actualizar el cuadro de atribución de bandas de frecuencias. En un taller organizado en Shanghái en 2024 se impulsó la armonización de frecuencias para la región, sentando las bases para que más de 500 millones de usuarios se beneficiasen de una gestión de frecuencias más eficiente para 2030. Estos avances confirmaron la función que desempeña el espectro como recurso técnico, y como factor habilitante estratégico del crecimiento digital.</w:t>
            </w:r>
            <w:hyperlink r:id="rId72" w:history="1"/>
          </w:p>
          <w:p w14:paraId="21820F2D" w14:textId="77777777" w:rsidR="00BD155E" w:rsidRPr="00E71B56" w:rsidRDefault="00BD155E" w:rsidP="00A372FB">
            <w:pPr>
              <w:rPr>
                <w:lang w:val="es-ES"/>
              </w:rPr>
            </w:pPr>
            <w:r w:rsidRPr="00E71B56">
              <w:rPr>
                <w:lang w:val="es-ES"/>
              </w:rPr>
              <w:t xml:space="preserve">La expansión de la </w:t>
            </w:r>
            <w:r w:rsidRPr="00E71B56">
              <w:rPr>
                <w:b/>
                <w:bCs/>
                <w:lang w:val="es-ES"/>
              </w:rPr>
              <w:t xml:space="preserve">conectividad espacial y por satélite </w:t>
            </w:r>
            <w:r w:rsidRPr="00E71B56">
              <w:rPr>
                <w:lang w:val="es-ES"/>
              </w:rPr>
              <w:t>se refleja en la creciente importancia de las soluciones híbridas para reducir las brechas. Entre 2023 y 2025, la BDT organizó talleres en</w:t>
            </w:r>
            <w:r w:rsidRPr="00E71B56">
              <w:rPr>
                <w:b/>
                <w:bCs/>
                <w:lang w:val="es-ES"/>
              </w:rPr>
              <w:t xml:space="preserve"> Granada</w:t>
            </w:r>
            <w:r w:rsidRPr="00E71B56">
              <w:rPr>
                <w:lang w:val="es-ES"/>
              </w:rPr>
              <w:t xml:space="preserve">, </w:t>
            </w:r>
            <w:r w:rsidRPr="00E71B56">
              <w:rPr>
                <w:b/>
                <w:bCs/>
                <w:lang w:val="es-ES"/>
              </w:rPr>
              <w:t xml:space="preserve">Mongolia </w:t>
            </w:r>
            <w:r w:rsidRPr="00E71B56">
              <w:rPr>
                <w:lang w:val="es-ES"/>
              </w:rPr>
              <w:t>y</w:t>
            </w:r>
            <w:r w:rsidRPr="00E71B56">
              <w:rPr>
                <w:b/>
                <w:bCs/>
                <w:lang w:val="es-ES"/>
              </w:rPr>
              <w:t xml:space="preserve"> Arabia Saudita</w:t>
            </w:r>
            <w:r w:rsidRPr="00E71B56">
              <w:rPr>
                <w:lang w:val="es-ES"/>
              </w:rPr>
              <w:t xml:space="preserve">, ayudando a los Estados Miembros a integrar la tecnología por satélite en las estrategias nacionales de banda ancha. La colaboración con el ITTLLDC </w:t>
            </w:r>
            <w:r w:rsidRPr="00E71B56">
              <w:rPr>
                <w:i/>
                <w:iCs/>
                <w:lang w:val="es-ES"/>
              </w:rPr>
              <w:t>(grupo internacional de reflexión para los países en desarrollo sin litoral (PDSL))</w:t>
            </w:r>
            <w:r w:rsidRPr="00E71B56">
              <w:rPr>
                <w:lang w:val="es-ES"/>
              </w:rPr>
              <w:t xml:space="preserve"> se centró en las necesidades específicas de estos países. En los seminarios organizados en </w:t>
            </w:r>
            <w:r w:rsidRPr="00E71B56">
              <w:rPr>
                <w:b/>
                <w:bCs/>
                <w:lang w:val="es-ES"/>
              </w:rPr>
              <w:t xml:space="preserve">Mongolia </w:t>
            </w:r>
            <w:r w:rsidRPr="00E71B56">
              <w:rPr>
                <w:lang w:val="es-ES"/>
              </w:rPr>
              <w:t xml:space="preserve">en 2024 y 2025 se presentaron diez estudios de caso sobre la reglamentación de los servicios por satélite y la compartición de infraestructuras, que ofrecieron orientaciones prácticas para los encargados de formular políticas. Un curso en línea sobre la reglamentación de los servicios por satélite amplió las oportunidades de formación en la región. </w:t>
            </w:r>
            <w:r w:rsidRPr="00E71B56">
              <w:rPr>
                <w:b/>
                <w:bCs/>
                <w:lang w:val="es-ES"/>
              </w:rPr>
              <w:t xml:space="preserve">Malasia </w:t>
            </w:r>
            <w:r w:rsidRPr="00E71B56">
              <w:rPr>
                <w:lang w:val="es-ES"/>
              </w:rPr>
              <w:t>adaptó sus políticas a las agendas de la CMR-23/27, abarcando las órbitas de los satélites no geoestacionarios (no OSG), las redes no terrenales (RNT) y las estaciones en plataformas a gran altitud (HAPS). La ASEAN y los asociados empezaron a explorar herramientas de comprobación técnica del espectro basadas en la IA, destacando la manera en la que las soluciones espaciales podían transformarse en sistemas adaptativos inteligentes.</w:t>
            </w:r>
          </w:p>
          <w:p w14:paraId="158CE3B4" w14:textId="77777777" w:rsidR="00BD155E" w:rsidRPr="00E71B56" w:rsidRDefault="00BD155E" w:rsidP="00A372FB">
            <w:pPr>
              <w:rPr>
                <w:lang w:val="es-ES"/>
              </w:rPr>
            </w:pPr>
            <w:r w:rsidRPr="00E71B56">
              <w:rPr>
                <w:lang w:val="es-ES"/>
              </w:rPr>
              <w:t xml:space="preserve">Los avances en materia de conectividad de las escuelas contribuyeron a los esfuerzos destinados a ampliar el acceso a Internet en la educación, demostrando la manera en la que las inversiones en infraestructuras </w:t>
            </w:r>
            <w:r w:rsidRPr="00E71B56">
              <w:rPr>
                <w:lang w:val="es-ES"/>
              </w:rPr>
              <w:lastRenderedPageBreak/>
              <w:t>digitales pueden generar beneficios sociales y económicos, y respaldando también iniciativas mundiales como la iniciativa Giga de la UIT y UNICEF.</w:t>
            </w:r>
          </w:p>
          <w:p w14:paraId="59082643" w14:textId="77777777" w:rsidR="00BD155E" w:rsidRPr="00E71B56" w:rsidRDefault="00BD155E" w:rsidP="00A372FB">
            <w:pPr>
              <w:rPr>
                <w:lang w:val="es-ES"/>
              </w:rPr>
            </w:pPr>
            <w:r w:rsidRPr="00E71B56">
              <w:rPr>
                <w:lang w:val="es-ES"/>
              </w:rPr>
              <w:t xml:space="preserve">En mayo de 2025, la BDT impartió una formación en la que hizo una introducción a los equipos nacionales sobre el análisis geoespacial utilizando QGIS y Python, mientras que en el Foro de Conectividad de la iniciativa Giga de la UIT y UNICEF, celebrado en julio de 2025, se reunieron asociados para el desarrollo y gobierno para armonizar las inversiones. La colaboración con Intelsat, que forma parte de la Coalición Digital Partner2Connect, permitió a </w:t>
            </w:r>
            <w:r w:rsidRPr="00E71B56">
              <w:rPr>
                <w:b/>
                <w:bCs/>
                <w:lang w:val="es-ES"/>
              </w:rPr>
              <w:t>Timor</w:t>
            </w:r>
            <w:r w:rsidRPr="00E71B56">
              <w:rPr>
                <w:b/>
                <w:bCs/>
                <w:lang w:val="es-ES"/>
              </w:rPr>
              <w:noBreakHyphen/>
              <w:t>Leste</w:t>
            </w:r>
            <w:r w:rsidRPr="00E71B56">
              <w:rPr>
                <w:lang w:val="es-ES"/>
              </w:rPr>
              <w:t xml:space="preserve"> activar la conectividad de las escuelas por satélite, un logro que estuvo seguido de acuerdos con siete países adicionales. Además de la cartografía, estas intervenciones incorporaron a las escuelas como instituciones fundamentales en los planes de conectividad nacionales, creando centros que podrían impulsar el acceso de la comunidad y la alfabetización digital.</w:t>
            </w:r>
          </w:p>
          <w:p w14:paraId="28B0C92F" w14:textId="77777777" w:rsidR="00BD155E" w:rsidRPr="00E71B56" w:rsidRDefault="00BD155E" w:rsidP="00A372FB">
            <w:pPr>
              <w:rPr>
                <w:lang w:val="es-ES"/>
              </w:rPr>
            </w:pPr>
            <w:r w:rsidRPr="00E71B56">
              <w:rPr>
                <w:lang w:val="es-ES"/>
              </w:rPr>
              <w:t xml:space="preserve">En el plano regional, la BDT ha ayudado a los Estados Miembros, dotándolos de los conocimientos y capacidades necesarios para mejorar sus infraestructuras y servicios de TIC/telecomunicaciones. Asimismo, en África, en el marco de Connect2Recover, se llevó a cabo una evaluación de la resiliencia de </w:t>
            </w:r>
            <w:r w:rsidRPr="00E71B56">
              <w:rPr>
                <w:b/>
                <w:bCs/>
                <w:lang w:val="es-ES"/>
              </w:rPr>
              <w:t xml:space="preserve">Zimbabwe </w:t>
            </w:r>
            <w:r w:rsidRPr="00E71B56">
              <w:rPr>
                <w:lang w:val="es-ES"/>
              </w:rPr>
              <w:t xml:space="preserve">con miras a reforzar la infraestructura de telecomunicaciones/TIC del país en favor de la recuperación económica tras las pandemias. Con el apoyo del FCDO del Reino Unido, se realizó en </w:t>
            </w:r>
            <w:r w:rsidRPr="00E71B56">
              <w:rPr>
                <w:b/>
                <w:bCs/>
                <w:lang w:val="es-ES"/>
              </w:rPr>
              <w:t xml:space="preserve">Nigeria </w:t>
            </w:r>
            <w:r w:rsidRPr="00E71B56">
              <w:rPr>
                <w:lang w:val="es-ES"/>
              </w:rPr>
              <w:t xml:space="preserve">un estudio sobre los costes operacionales de la infraestructura de telecomunicaciones y la conectividad. En </w:t>
            </w:r>
            <w:r w:rsidRPr="00E71B56">
              <w:rPr>
                <w:b/>
                <w:bCs/>
                <w:lang w:val="es-ES"/>
              </w:rPr>
              <w:t>Kenya</w:t>
            </w:r>
            <w:r w:rsidRPr="00E71B56">
              <w:rPr>
                <w:lang w:val="es-ES"/>
              </w:rPr>
              <w:t xml:space="preserve">, se realizó un estudio sobre modelos operacionales sostenibles de conectividad a Internet, así como un estudio adicional sobre proyectos de conectividad de último kilómetro. En </w:t>
            </w:r>
            <w:r w:rsidRPr="00E71B56">
              <w:rPr>
                <w:b/>
                <w:bCs/>
                <w:lang w:val="es-ES"/>
              </w:rPr>
              <w:t>Sudáfrica</w:t>
            </w:r>
            <w:r w:rsidRPr="00E71B56">
              <w:rPr>
                <w:lang w:val="es-ES"/>
              </w:rPr>
              <w:t>, se llevó a cabo un trabajo de investigación sobre modelos de conectividad sostenible y competencias digitales para jóvenes sin empleo, educación o formación. Además, en colaboración con la Oficina de Radiocomunicaciones de la UIT (BR), la BDT celebró un taller sobre el Cuadro Nacional de Atribución de Frecuencias (CNAF) para la región de África en Addis Abeba (Etiopía), del 20 al 23 de mayo de 2024, al que asistieron 120 delegados de 35 Estados Miembros. El objetivo de la formación era actualizar y adaptar el CNAF a los resultados de la CMR-23. En mayo de 2025, en colaboración con la BR, la BDT preparó el Seminario Regional de Radiocomunicaciones de 2025 para África (SRR-25-África) en Djibouti, en cooperación con la UAT y el Grupo Árabe de Gestión del Espectro (ASMG), que reunió en África a 200 participantes de 47 Estados Miembros.</w:t>
            </w:r>
          </w:p>
          <w:p w14:paraId="2122D8AF" w14:textId="77777777" w:rsidR="00BD155E" w:rsidRPr="00E71B56" w:rsidRDefault="00BD155E" w:rsidP="00A372FB">
            <w:pPr>
              <w:rPr>
                <w:lang w:val="es-ES"/>
              </w:rPr>
            </w:pPr>
            <w:r w:rsidRPr="00E71B56">
              <w:rPr>
                <w:lang w:val="es-ES"/>
              </w:rPr>
              <w:t xml:space="preserve">En la </w:t>
            </w:r>
            <w:r w:rsidRPr="00E71B56">
              <w:rPr>
                <w:b/>
                <w:bCs/>
                <w:lang w:val="es-ES"/>
              </w:rPr>
              <w:t>región de</w:t>
            </w:r>
            <w:r w:rsidRPr="00E71B56">
              <w:rPr>
                <w:lang w:val="es-ES"/>
              </w:rPr>
              <w:t xml:space="preserve"> </w:t>
            </w:r>
            <w:r w:rsidRPr="00E71B56">
              <w:rPr>
                <w:b/>
                <w:bCs/>
                <w:lang w:val="es-ES"/>
              </w:rPr>
              <w:t>Asia-Pacífico,</w:t>
            </w:r>
            <w:r w:rsidRPr="00E71B56">
              <w:rPr>
                <w:lang w:val="es-ES"/>
              </w:rPr>
              <w:t xml:space="preserve"> la BDT ha prestado apoyo a </w:t>
            </w:r>
            <w:r w:rsidRPr="00E71B56">
              <w:rPr>
                <w:b/>
                <w:bCs/>
                <w:lang w:val="es-ES"/>
              </w:rPr>
              <w:t>Sri Lanka</w:t>
            </w:r>
            <w:r w:rsidRPr="00E71B56">
              <w:rPr>
                <w:lang w:val="es-ES"/>
              </w:rPr>
              <w:t xml:space="preserve"> para elaborar directrices relativas a la compartición de infraestructuras, mientras que se han realizado evaluaciones nacionales de la itinerancia en </w:t>
            </w:r>
            <w:r w:rsidRPr="00E71B56">
              <w:rPr>
                <w:b/>
                <w:bCs/>
                <w:lang w:val="es-ES"/>
              </w:rPr>
              <w:lastRenderedPageBreak/>
              <w:t>Mongolia</w:t>
            </w:r>
            <w:r w:rsidRPr="00E71B56">
              <w:rPr>
                <w:lang w:val="es-ES"/>
              </w:rPr>
              <w:t xml:space="preserve">, y </w:t>
            </w:r>
            <w:r w:rsidRPr="00E71B56">
              <w:rPr>
                <w:b/>
                <w:bCs/>
                <w:lang w:val="es-ES"/>
              </w:rPr>
              <w:t xml:space="preserve">Tonga </w:t>
            </w:r>
            <w:r w:rsidRPr="00E71B56">
              <w:rPr>
                <w:lang w:val="es-ES"/>
              </w:rPr>
              <w:t xml:space="preserve">ha adoptado normas en materia de calidad del servicio (QoS). La formación impartida por la BDT ha incluido el SMS4DC en </w:t>
            </w:r>
            <w:r w:rsidRPr="00E71B56">
              <w:rPr>
                <w:b/>
                <w:bCs/>
                <w:lang w:val="es-ES"/>
              </w:rPr>
              <w:t>Vanuatu</w:t>
            </w:r>
            <w:r w:rsidRPr="00E71B56">
              <w:rPr>
                <w:lang w:val="es-ES"/>
              </w:rPr>
              <w:t xml:space="preserve">, la planificación de la banda ancha en </w:t>
            </w:r>
            <w:r w:rsidRPr="00E71B56">
              <w:rPr>
                <w:b/>
                <w:bCs/>
                <w:lang w:val="es-ES"/>
              </w:rPr>
              <w:t xml:space="preserve">Indonesia </w:t>
            </w:r>
            <w:r w:rsidRPr="00E71B56">
              <w:rPr>
                <w:lang w:val="es-ES"/>
              </w:rPr>
              <w:t xml:space="preserve">y </w:t>
            </w:r>
            <w:r w:rsidRPr="00E71B56">
              <w:rPr>
                <w:b/>
                <w:bCs/>
                <w:lang w:val="es-ES"/>
              </w:rPr>
              <w:t>Malasia</w:t>
            </w:r>
            <w:r w:rsidRPr="00E71B56">
              <w:rPr>
                <w:lang w:val="es-ES"/>
              </w:rPr>
              <w:t xml:space="preserve">, mientras que </w:t>
            </w:r>
            <w:r w:rsidRPr="00E71B56">
              <w:rPr>
                <w:b/>
                <w:bCs/>
                <w:lang w:val="es-ES"/>
              </w:rPr>
              <w:t xml:space="preserve">Indonesia </w:t>
            </w:r>
            <w:r w:rsidRPr="00E71B56">
              <w:rPr>
                <w:lang w:val="es-ES"/>
              </w:rPr>
              <w:t xml:space="preserve">también se está beneficiando de apoyo a las auditorías del espectro. En agosto de 2025, en el marco del seminario del ITTLLDC celebrado en Ulán Bator se examinaron los efectos de las deficiencias de la conectividad por cables submarinos en los países sin litoral y se destacaron los puntos de intercambio de Internet (IXP) y las constelaciones de satélites como soluciones. </w:t>
            </w:r>
            <w:r w:rsidRPr="00E71B56">
              <w:rPr>
                <w:b/>
                <w:bCs/>
                <w:lang w:val="es-ES"/>
              </w:rPr>
              <w:t xml:space="preserve">Camboya </w:t>
            </w:r>
            <w:r w:rsidRPr="00E71B56">
              <w:rPr>
                <w:lang w:val="es-ES"/>
              </w:rPr>
              <w:t xml:space="preserve">recibió una hoja de ruta sobre TV digital, mientras que </w:t>
            </w:r>
            <w:r w:rsidRPr="00E71B56">
              <w:rPr>
                <w:b/>
                <w:bCs/>
                <w:lang w:val="es-ES"/>
              </w:rPr>
              <w:t xml:space="preserve">Nauru </w:t>
            </w:r>
            <w:r w:rsidRPr="00E71B56">
              <w:rPr>
                <w:lang w:val="es-ES"/>
              </w:rPr>
              <w:t xml:space="preserve">y </w:t>
            </w:r>
            <w:r w:rsidRPr="00E71B56">
              <w:rPr>
                <w:b/>
                <w:bCs/>
                <w:lang w:val="es-ES"/>
              </w:rPr>
              <w:t xml:space="preserve">Vanuatu </w:t>
            </w:r>
            <w:r w:rsidRPr="00E71B56">
              <w:rPr>
                <w:lang w:val="es-ES"/>
              </w:rPr>
              <w:t>adaptaron sus Cuadros Nacionales de Atribución de Bandas de Frecuencias a las normas internacionales.</w:t>
            </w:r>
          </w:p>
          <w:p w14:paraId="50DF656D" w14:textId="77777777" w:rsidR="00BD155E" w:rsidRPr="00E71B56" w:rsidRDefault="00BD155E" w:rsidP="00A372FB">
            <w:pPr>
              <w:rPr>
                <w:lang w:val="es-ES"/>
              </w:rPr>
            </w:pPr>
            <w:r w:rsidRPr="00E71B56">
              <w:rPr>
                <w:lang w:val="es-ES"/>
              </w:rPr>
              <w:t xml:space="preserve">En la </w:t>
            </w:r>
            <w:r w:rsidRPr="00E71B56">
              <w:rPr>
                <w:b/>
                <w:bCs/>
                <w:lang w:val="es-ES"/>
              </w:rPr>
              <w:t>región de las Américas</w:t>
            </w:r>
            <w:r w:rsidRPr="00E71B56">
              <w:rPr>
                <w:lang w:val="es-ES"/>
              </w:rPr>
              <w:t xml:space="preserve">, </w:t>
            </w:r>
            <w:r w:rsidRPr="00E71B56">
              <w:rPr>
                <w:b/>
                <w:bCs/>
                <w:lang w:val="es-ES"/>
              </w:rPr>
              <w:t>Belice</w:t>
            </w:r>
            <w:r w:rsidRPr="00E71B56">
              <w:rPr>
                <w:lang w:val="es-ES"/>
              </w:rPr>
              <w:t xml:space="preserve">, </w:t>
            </w:r>
            <w:r w:rsidRPr="00E71B56">
              <w:rPr>
                <w:b/>
                <w:bCs/>
                <w:lang w:val="es-ES"/>
              </w:rPr>
              <w:t>Suriname</w:t>
            </w:r>
            <w:r w:rsidRPr="00E71B56">
              <w:rPr>
                <w:lang w:val="es-ES"/>
              </w:rPr>
              <w:t xml:space="preserve">, </w:t>
            </w:r>
            <w:r w:rsidRPr="00E71B56">
              <w:rPr>
                <w:b/>
                <w:bCs/>
                <w:lang w:val="es-ES"/>
              </w:rPr>
              <w:t xml:space="preserve">Trinidad y Tabago </w:t>
            </w:r>
            <w:r w:rsidRPr="00E71B56">
              <w:rPr>
                <w:lang w:val="es-ES"/>
              </w:rPr>
              <w:t xml:space="preserve">y la </w:t>
            </w:r>
            <w:r w:rsidRPr="00E71B56">
              <w:rPr>
                <w:b/>
                <w:bCs/>
                <w:lang w:val="es-ES"/>
              </w:rPr>
              <w:t>Organización de Estados del Caribe Oriental (OECO)</w:t>
            </w:r>
            <w:r w:rsidRPr="00E71B56">
              <w:rPr>
                <w:lang w:val="es-ES"/>
              </w:rPr>
              <w:t xml:space="preserve"> impulsaron los ejercicios de cartografía, mientras que la </w:t>
            </w:r>
            <w:r w:rsidRPr="00E71B56">
              <w:rPr>
                <w:b/>
                <w:bCs/>
                <w:lang w:val="es-ES"/>
              </w:rPr>
              <w:t xml:space="preserve">República Dominicana </w:t>
            </w:r>
            <w:r w:rsidRPr="00E71B56">
              <w:rPr>
                <w:lang w:val="es-ES"/>
              </w:rPr>
              <w:t xml:space="preserve">y </w:t>
            </w:r>
            <w:r w:rsidRPr="00E71B56">
              <w:rPr>
                <w:b/>
                <w:bCs/>
                <w:lang w:val="es-ES"/>
              </w:rPr>
              <w:t xml:space="preserve">Uruguay </w:t>
            </w:r>
            <w:r w:rsidRPr="00E71B56">
              <w:rPr>
                <w:lang w:val="es-ES"/>
              </w:rPr>
              <w:t xml:space="preserve">acogieron una formación sobre SIG en los mapas de banda ancha. </w:t>
            </w:r>
            <w:r w:rsidRPr="00E71B56">
              <w:rPr>
                <w:b/>
                <w:bCs/>
                <w:lang w:val="es-ES"/>
              </w:rPr>
              <w:t xml:space="preserve">Brasil </w:t>
            </w:r>
            <w:r w:rsidRPr="00E71B56">
              <w:rPr>
                <w:lang w:val="es-ES"/>
              </w:rPr>
              <w:t xml:space="preserve">mejoró la facilidad de uso de su interfaz nacional de cartografía, y </w:t>
            </w:r>
            <w:r w:rsidRPr="00E71B56">
              <w:rPr>
                <w:b/>
                <w:bCs/>
                <w:lang w:val="es-ES"/>
              </w:rPr>
              <w:t xml:space="preserve">Granada </w:t>
            </w:r>
            <w:r w:rsidRPr="00E71B56">
              <w:rPr>
                <w:lang w:val="es-ES"/>
              </w:rPr>
              <w:t xml:space="preserve">llevó a cabo evaluaciones de la resiliencia en el marco de la iniciativa Connect2Recover. </w:t>
            </w:r>
            <w:r w:rsidRPr="00E71B56">
              <w:rPr>
                <w:b/>
                <w:bCs/>
                <w:lang w:val="es-ES"/>
              </w:rPr>
              <w:t xml:space="preserve">Colombia </w:t>
            </w:r>
            <w:r w:rsidRPr="00E71B56">
              <w:rPr>
                <w:lang w:val="es-ES"/>
              </w:rPr>
              <w:t xml:space="preserve">está actualizando su plan general para el cese de las emisiones de televisión analógica, mientras que los talleres regionales sobre la 5G organizados por conducto de la colaboración TAIEX entre la UIT y la CE fortalecieron los conocimientos técnicos. En </w:t>
            </w:r>
            <w:r w:rsidRPr="00E71B56">
              <w:rPr>
                <w:b/>
                <w:bCs/>
                <w:lang w:val="es-ES"/>
              </w:rPr>
              <w:t xml:space="preserve">Jamaica </w:t>
            </w:r>
            <w:r w:rsidRPr="00E71B56">
              <w:rPr>
                <w:lang w:val="es-ES"/>
              </w:rPr>
              <w:t xml:space="preserve">y </w:t>
            </w:r>
            <w:r w:rsidRPr="00E71B56">
              <w:rPr>
                <w:b/>
                <w:bCs/>
                <w:lang w:val="es-ES"/>
              </w:rPr>
              <w:t>Guatemala</w:t>
            </w:r>
            <w:r w:rsidRPr="00E71B56">
              <w:rPr>
                <w:lang w:val="es-ES"/>
              </w:rPr>
              <w:t>, la Plataforma de Planificación de la Conectividad orientó las estrategias del último kilómetro, ayudando a los países a diseñar sus escenarios de infraestructuras para la expansión rural. Juntas, estas iniciativas combinaron las soluciones prácticas de conectividad con estrategias políticas más amplias.</w:t>
            </w:r>
          </w:p>
          <w:p w14:paraId="2542D4C0" w14:textId="77777777" w:rsidR="00BD155E" w:rsidRPr="00E71B56" w:rsidRDefault="00BD155E" w:rsidP="00A372FB">
            <w:pPr>
              <w:rPr>
                <w:lang w:val="es-ES"/>
              </w:rPr>
            </w:pPr>
            <w:r w:rsidRPr="00E71B56">
              <w:rPr>
                <w:lang w:val="es-ES"/>
              </w:rPr>
              <w:t xml:space="preserve">En la </w:t>
            </w:r>
            <w:r w:rsidRPr="00E71B56">
              <w:rPr>
                <w:b/>
                <w:bCs/>
                <w:lang w:val="es-ES"/>
              </w:rPr>
              <w:t>región de los Estados Árabes</w:t>
            </w:r>
            <w:r w:rsidRPr="00E71B56">
              <w:rPr>
                <w:lang w:val="es-ES"/>
              </w:rPr>
              <w:t xml:space="preserve">, en 2024 se celebró un taller regional en Argel que reunió a 278 participantes de los gobiernos, los organismos reguladores, la industria y las instituciones académicas para diseñar estrategias destinadas a la conectividad universal. Como complemento de ello, se impartió una formación especializada en cartografía y de las infraestructuras y herramientas de análisis de la conectividad a 25 participantes de Algérie Télécom y otros organismos nacionales, fortaleciendo las capacidades técnicas nacionales. </w:t>
            </w:r>
            <w:r w:rsidRPr="00E71B56">
              <w:rPr>
                <w:b/>
                <w:bCs/>
                <w:lang w:val="es-ES"/>
              </w:rPr>
              <w:t xml:space="preserve">Djibouti </w:t>
            </w:r>
            <w:r w:rsidRPr="00E71B56">
              <w:rPr>
                <w:lang w:val="es-ES"/>
              </w:rPr>
              <w:t xml:space="preserve">acogió sesiones sobre la atribución de frecuencias, mientras que </w:t>
            </w:r>
            <w:r w:rsidRPr="00E71B56">
              <w:rPr>
                <w:b/>
                <w:bCs/>
                <w:lang w:val="es-ES"/>
              </w:rPr>
              <w:t>Arabia Saudita</w:t>
            </w:r>
            <w:r w:rsidRPr="00E71B56">
              <w:rPr>
                <w:lang w:val="es-ES"/>
              </w:rPr>
              <w:t xml:space="preserve"> celebró diálogos sobre el espectro y los satélites. </w:t>
            </w:r>
            <w:r w:rsidRPr="00E71B56">
              <w:rPr>
                <w:b/>
                <w:bCs/>
                <w:lang w:val="es-ES"/>
              </w:rPr>
              <w:t>Argelia</w:t>
            </w:r>
            <w:r w:rsidRPr="00E71B56">
              <w:rPr>
                <w:lang w:val="es-ES"/>
              </w:rPr>
              <w:t xml:space="preserve">, </w:t>
            </w:r>
            <w:r w:rsidRPr="00E71B56">
              <w:rPr>
                <w:b/>
                <w:bCs/>
                <w:lang w:val="es-ES"/>
              </w:rPr>
              <w:t>Egipto</w:t>
            </w:r>
            <w:r w:rsidRPr="00E71B56">
              <w:rPr>
                <w:lang w:val="es-ES"/>
              </w:rPr>
              <w:t xml:space="preserve"> y </w:t>
            </w:r>
            <w:r w:rsidRPr="00E71B56">
              <w:rPr>
                <w:b/>
                <w:bCs/>
                <w:lang w:val="es-ES"/>
              </w:rPr>
              <w:t>Mauritania</w:t>
            </w:r>
            <w:r w:rsidRPr="00E71B56">
              <w:rPr>
                <w:lang w:val="es-ES"/>
              </w:rPr>
              <w:t xml:space="preserve"> adaptaron su planificación de infraestructuras a las agendas digitales ecológicas e inclusivas, mientras que </w:t>
            </w:r>
            <w:r w:rsidRPr="00E71B56">
              <w:rPr>
                <w:b/>
                <w:bCs/>
                <w:lang w:val="es-ES"/>
              </w:rPr>
              <w:t>Sudán</w:t>
            </w:r>
            <w:r w:rsidRPr="00E71B56">
              <w:rPr>
                <w:lang w:val="es-ES"/>
              </w:rPr>
              <w:t xml:space="preserve"> y </w:t>
            </w:r>
            <w:r w:rsidRPr="00E71B56">
              <w:rPr>
                <w:b/>
                <w:bCs/>
                <w:lang w:val="es-ES"/>
              </w:rPr>
              <w:t>Libia</w:t>
            </w:r>
            <w:r w:rsidRPr="00E71B56">
              <w:rPr>
                <w:lang w:val="es-ES"/>
              </w:rPr>
              <w:t xml:space="preserve"> recibieron apoyo técnico para la recuperación de las infraestructuras digitales.</w:t>
            </w:r>
          </w:p>
          <w:p w14:paraId="0FE88E8A" w14:textId="77777777" w:rsidR="00BD155E" w:rsidRPr="00E71B56" w:rsidRDefault="00BD155E" w:rsidP="00A372FB">
            <w:pPr>
              <w:rPr>
                <w:lang w:val="es-ES"/>
              </w:rPr>
            </w:pPr>
            <w:r w:rsidRPr="00E71B56">
              <w:rPr>
                <w:lang w:val="es-ES"/>
              </w:rPr>
              <w:lastRenderedPageBreak/>
              <w:t xml:space="preserve">Al integrar la cartografía de banda ancha en la cooperación regional, los países de la </w:t>
            </w:r>
            <w:r w:rsidRPr="00E71B56">
              <w:rPr>
                <w:b/>
                <w:bCs/>
                <w:lang w:val="es-ES"/>
              </w:rPr>
              <w:t>región de los</w:t>
            </w:r>
            <w:r w:rsidRPr="00E71B56">
              <w:rPr>
                <w:lang w:val="es-ES"/>
              </w:rPr>
              <w:t xml:space="preserve"> </w:t>
            </w:r>
            <w:r w:rsidRPr="00E71B56">
              <w:rPr>
                <w:b/>
                <w:bCs/>
                <w:lang w:val="es-ES"/>
              </w:rPr>
              <w:t>Estados Árabes</w:t>
            </w:r>
            <w:r w:rsidRPr="00E71B56">
              <w:rPr>
                <w:lang w:val="es-ES"/>
              </w:rPr>
              <w:t xml:space="preserve"> se posicionaron como centros de prueba de la formulación de políticas colaborativas y basadas en datos. La UIT está prestando apoyo específico al Organismo Regulador Multisectorial de Djibouti (ARMD) para fortalecer los marcos reglamentarios y de gestión del espectro nacionales. Esta asistencia tiene por objeto mejorar la capacidad del país para planificar, gestionar y utilizar los recursos de radiofrecuencias de manera eficiente y transparente. La labor incluye el desarrollo de dos instrumentos de política fundamentales, a saber, una estrategia nacional para la gestión y el uso del espectro radioeléctrico y un plan maestro para mejorar la reglamentación del espectro radioeléctrico, que establecerán un sistema estructurado y sostenible para la atribución y asignación del espectro. Estos esfuerzos contribuyen a mejorar la eficiencia reglamentaria, optimizar el uso del espectro y apoyar la transformación digital de Djibouti.</w:t>
            </w:r>
          </w:p>
          <w:p w14:paraId="67B0EDDE" w14:textId="77777777" w:rsidR="00BD155E" w:rsidRPr="00E71B56" w:rsidRDefault="00BD155E" w:rsidP="00A372FB">
            <w:pPr>
              <w:rPr>
                <w:lang w:val="es-ES"/>
              </w:rPr>
            </w:pPr>
            <w:r w:rsidRPr="00E71B56">
              <w:rPr>
                <w:lang w:val="es-ES"/>
              </w:rPr>
              <w:t xml:space="preserve">En la región de la CEI, la 5G y la resiliencia figuraban entre las principales prioridades. </w:t>
            </w:r>
            <w:r w:rsidRPr="00E71B56">
              <w:rPr>
                <w:b/>
                <w:bCs/>
                <w:lang w:val="es-ES"/>
              </w:rPr>
              <w:t>Armenia</w:t>
            </w:r>
            <w:r w:rsidRPr="00E71B56">
              <w:rPr>
                <w:lang w:val="es-ES"/>
              </w:rPr>
              <w:t xml:space="preserve">, </w:t>
            </w:r>
            <w:r w:rsidRPr="00E71B56">
              <w:rPr>
                <w:b/>
                <w:bCs/>
                <w:lang w:val="es-ES"/>
              </w:rPr>
              <w:t>Tayikistán</w:t>
            </w:r>
            <w:r w:rsidRPr="00E71B56">
              <w:rPr>
                <w:lang w:val="es-ES"/>
              </w:rPr>
              <w:t xml:space="preserve"> y </w:t>
            </w:r>
            <w:r w:rsidRPr="00E71B56">
              <w:rPr>
                <w:b/>
                <w:bCs/>
                <w:lang w:val="es-ES"/>
              </w:rPr>
              <w:t>Turkmenistán</w:t>
            </w:r>
            <w:r w:rsidRPr="00E71B56">
              <w:rPr>
                <w:lang w:val="es-ES"/>
              </w:rPr>
              <w:t xml:space="preserve"> recibieron formación sobre el despliegue de la 5G, mientras que </w:t>
            </w:r>
            <w:r w:rsidRPr="00E71B56">
              <w:rPr>
                <w:b/>
                <w:bCs/>
                <w:lang w:val="es-ES"/>
              </w:rPr>
              <w:t>Kazajstán</w:t>
            </w:r>
            <w:r w:rsidRPr="00E71B56">
              <w:rPr>
                <w:lang w:val="es-ES"/>
              </w:rPr>
              <w:t xml:space="preserve">, </w:t>
            </w:r>
            <w:r w:rsidRPr="00E71B56">
              <w:rPr>
                <w:b/>
                <w:bCs/>
                <w:lang w:val="es-ES"/>
              </w:rPr>
              <w:t>Kirguistán</w:t>
            </w:r>
            <w:r w:rsidRPr="00E71B56">
              <w:rPr>
                <w:lang w:val="es-ES"/>
              </w:rPr>
              <w:t xml:space="preserve"> y </w:t>
            </w:r>
            <w:r w:rsidRPr="00E71B56">
              <w:rPr>
                <w:b/>
                <w:bCs/>
                <w:lang w:val="es-ES"/>
              </w:rPr>
              <w:t>Uzbekistán</w:t>
            </w:r>
            <w:r w:rsidRPr="00E71B56">
              <w:rPr>
                <w:lang w:val="es-ES"/>
              </w:rPr>
              <w:t xml:space="preserve"> impulsaron las evaluaciones de la conectividad de las escuelas, que se presentaron durante la Semana de la Conectividad Escolar de Asia Central. </w:t>
            </w:r>
            <w:r w:rsidRPr="00E71B56">
              <w:rPr>
                <w:b/>
                <w:bCs/>
                <w:lang w:val="es-ES"/>
              </w:rPr>
              <w:t xml:space="preserve">Uzbekistán </w:t>
            </w:r>
            <w:r w:rsidRPr="00E71B56">
              <w:rPr>
                <w:lang w:val="es-ES"/>
              </w:rPr>
              <w:t xml:space="preserve">celebró una mesa redonda sobre la voz a través de redes LTE (VoLTE), mientras que la formación en </w:t>
            </w:r>
            <w:r w:rsidRPr="00E71B56">
              <w:rPr>
                <w:b/>
                <w:bCs/>
                <w:lang w:val="es-ES"/>
              </w:rPr>
              <w:t xml:space="preserve">Tayikistán </w:t>
            </w:r>
            <w:r w:rsidRPr="00E71B56">
              <w:rPr>
                <w:lang w:val="es-ES"/>
              </w:rPr>
              <w:t xml:space="preserve">realizada en marzo de 2025 creó competencias técnicas nacionales en materia de planificación de la conectividad basada en los SIG. En </w:t>
            </w:r>
            <w:r w:rsidRPr="00E71B56">
              <w:rPr>
                <w:b/>
                <w:bCs/>
                <w:lang w:val="es-ES"/>
              </w:rPr>
              <w:t>Kirguistán</w:t>
            </w:r>
            <w:r w:rsidRPr="00E71B56">
              <w:rPr>
                <w:lang w:val="es-ES"/>
              </w:rPr>
              <w:t>, la BDT impartió un taller sobre el despliegue de la 5G, que mejoró los conocimientos de los participantes. El primer seminario mundial de la UIT y la OMM sobre el uso del espectro para el desarrollo sostenible se celebró en septiembre de 2024, en Kazajstán. El programa del Futuro de la Conectividad se puso en marcha en 2025, institucionalizando las actividades de formación y consulta a nivel regional.</w:t>
            </w:r>
          </w:p>
          <w:p w14:paraId="09A23E29" w14:textId="77777777" w:rsidR="00BD155E" w:rsidRPr="00E71B56" w:rsidRDefault="00BD155E" w:rsidP="00A372FB">
            <w:pPr>
              <w:rPr>
                <w:lang w:val="es-ES"/>
              </w:rPr>
            </w:pPr>
            <w:r w:rsidRPr="00E71B56">
              <w:rPr>
                <w:lang w:val="es-ES"/>
              </w:rPr>
              <w:t xml:space="preserve">En la </w:t>
            </w:r>
            <w:r w:rsidRPr="00E71B56">
              <w:rPr>
                <w:b/>
                <w:bCs/>
                <w:lang w:val="es-ES"/>
              </w:rPr>
              <w:t>región de Europa</w:t>
            </w:r>
            <w:r w:rsidRPr="00E71B56">
              <w:rPr>
                <w:lang w:val="es-ES"/>
              </w:rPr>
              <w:t xml:space="preserve">, </w:t>
            </w:r>
            <w:r w:rsidRPr="00E71B56">
              <w:rPr>
                <w:b/>
                <w:bCs/>
                <w:lang w:val="es-ES"/>
              </w:rPr>
              <w:t xml:space="preserve">Montenegro </w:t>
            </w:r>
            <w:r w:rsidRPr="00E71B56">
              <w:rPr>
                <w:lang w:val="es-ES"/>
              </w:rPr>
              <w:t>ultimó su plan de banda ancha 2025</w:t>
            </w:r>
            <w:r w:rsidRPr="00E71B56">
              <w:rPr>
                <w:lang w:val="es-ES"/>
              </w:rPr>
              <w:noBreakHyphen/>
              <w:t xml:space="preserve">2029 con énfasis en las zonas rurales, mientras que </w:t>
            </w:r>
            <w:r w:rsidRPr="00E71B56">
              <w:rPr>
                <w:b/>
                <w:bCs/>
                <w:lang w:val="es-ES"/>
              </w:rPr>
              <w:t xml:space="preserve">Albania </w:t>
            </w:r>
            <w:r w:rsidRPr="00E71B56">
              <w:rPr>
                <w:lang w:val="es-ES"/>
              </w:rPr>
              <w:t xml:space="preserve">actualizó su sistema de cartografía Atlas. </w:t>
            </w:r>
            <w:r w:rsidRPr="00E71B56">
              <w:rPr>
                <w:b/>
                <w:bCs/>
                <w:lang w:val="es-ES"/>
              </w:rPr>
              <w:t xml:space="preserve">Moldova </w:t>
            </w:r>
            <w:r w:rsidRPr="00E71B56">
              <w:rPr>
                <w:lang w:val="es-ES"/>
              </w:rPr>
              <w:t xml:space="preserve">impulsó las especificaciones técnicas para la cartografía y la gestión del espectro, mientras que </w:t>
            </w:r>
            <w:r w:rsidRPr="00E71B56">
              <w:rPr>
                <w:b/>
                <w:bCs/>
                <w:lang w:val="es-ES"/>
              </w:rPr>
              <w:t>Bosnia y Herzegovina</w:t>
            </w:r>
            <w:r w:rsidRPr="00E71B56">
              <w:rPr>
                <w:lang w:val="es-ES"/>
              </w:rPr>
              <w:t xml:space="preserve"> se benefició de la formación en materia de reglamentación de la 5G. Un laboratorio IPv6 en Montenegro creó una plataforma abierta para la creación de capacidad, mientras que los talleres EMERG</w:t>
            </w:r>
            <w:r w:rsidRPr="00E71B56">
              <w:rPr>
                <w:lang w:val="es-ES"/>
              </w:rPr>
              <w:noBreakHyphen/>
              <w:t>EaPeReg elaboraron un compendio de estudios de caso sobre cartografía de la banda ancha.</w:t>
            </w:r>
          </w:p>
          <w:p w14:paraId="30375C93" w14:textId="77777777" w:rsidR="00BD155E" w:rsidRPr="00E71B56" w:rsidRDefault="00BD155E" w:rsidP="00A372FB">
            <w:pPr>
              <w:rPr>
                <w:lang w:val="es-ES"/>
              </w:rPr>
            </w:pPr>
            <w:r w:rsidRPr="00E71B56">
              <w:rPr>
                <w:lang w:val="es-ES"/>
              </w:rPr>
              <w:t xml:space="preserve">La labor de la BDT sobre las infraestructuras digitales y de red demuestra los efectos de combinar la innovación digital con la formulación de políticas inclusivas. La cartografía de infraestructuras se convirtió en </w:t>
            </w:r>
            <w:r w:rsidRPr="00E71B56">
              <w:rPr>
                <w:lang w:val="es-ES"/>
              </w:rPr>
              <w:lastRenderedPageBreak/>
              <w:t>la piedra angular de la planificación basada en datos, mientras que los programas de capacitación garantizaron que las competencias correspondían a las prioridades nacionales. Las herramientas de gestión del espectro se adaptaron a las decisiones de la CMR</w:t>
            </w:r>
            <w:r w:rsidRPr="00E71B56">
              <w:rPr>
                <w:lang w:val="es-ES"/>
              </w:rPr>
              <w:noBreakHyphen/>
              <w:t>23, los talleres regionales sobre satélites impulsaron el entendimiento de la esfera de la conectividad espacial y la modelización de infraestructuras para la conectividad escolar.</w:t>
            </w:r>
          </w:p>
          <w:p w14:paraId="56E73749" w14:textId="77777777" w:rsidR="00BD155E" w:rsidRPr="00E71B56" w:rsidRDefault="00BD155E" w:rsidP="00A372FB">
            <w:pPr>
              <w:spacing w:after="120"/>
              <w:rPr>
                <w:lang w:val="es-ES"/>
              </w:rPr>
            </w:pPr>
            <w:r w:rsidRPr="00E71B56">
              <w:rPr>
                <w:lang w:val="es-ES"/>
              </w:rPr>
              <w:t>La BDT sigue colaborando con diversos asociados, como las organizaciones regionales, los actores privados y los bancos de desarrollo, para velar por que toda inversión en la conectividad reduzca la brecha digital y abra vías hacia la transformación digital inclusiva y sostenible.</w:t>
            </w:r>
          </w:p>
        </w:tc>
        <w:tc>
          <w:tcPr>
            <w:tcW w:w="3322" w:type="dxa"/>
          </w:tcPr>
          <w:p w14:paraId="7F40DB16" w14:textId="77777777" w:rsidR="00BD155E" w:rsidRPr="00E71B56" w:rsidRDefault="00BD155E" w:rsidP="00A372FB">
            <w:pPr>
              <w:rPr>
                <w:b/>
                <w:bCs/>
                <w:color w:val="0070C0"/>
                <w:lang w:val="es-ES"/>
              </w:rPr>
            </w:pPr>
            <w:r w:rsidRPr="00E71B56">
              <w:rPr>
                <w:b/>
                <w:bCs/>
                <w:color w:val="0070C0"/>
                <w:lang w:val="es-ES"/>
              </w:rPr>
              <w:lastRenderedPageBreak/>
              <w:t>Mapas de banda ancha:</w:t>
            </w:r>
          </w:p>
          <w:p w14:paraId="7621C696"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Américas:</w:t>
            </w:r>
            <w:r w:rsidRPr="00E71B56">
              <w:rPr>
                <w:lang w:val="es-ES"/>
              </w:rPr>
              <w:t xml:space="preserve"> Uruguay</w:t>
            </w:r>
          </w:p>
          <w:p w14:paraId="08CC6267"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 xml:space="preserve">Estados Árabes: </w:t>
            </w:r>
            <w:r w:rsidRPr="00E71B56">
              <w:rPr>
                <w:lang w:val="es-ES"/>
              </w:rPr>
              <w:t>Argelia</w:t>
            </w:r>
          </w:p>
          <w:p w14:paraId="23E7D147"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Asia-Pacífico:</w:t>
            </w:r>
            <w:r w:rsidRPr="00E71B56">
              <w:rPr>
                <w:lang w:val="es-ES"/>
              </w:rPr>
              <w:t xml:space="preserve"> Indonesia y Malasia</w:t>
            </w:r>
          </w:p>
          <w:p w14:paraId="0F544BB1"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Europa:</w:t>
            </w:r>
            <w:r w:rsidRPr="00E71B56">
              <w:rPr>
                <w:lang w:val="es-ES"/>
              </w:rPr>
              <w:t xml:space="preserve"> Albania, Croacia, Chipre, Francia, Italia, Lituania, Moldova, Portugal, Rumania y Eslovenia</w:t>
            </w:r>
          </w:p>
          <w:p w14:paraId="2FE86FF0"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CEI:</w:t>
            </w:r>
            <w:r w:rsidRPr="00E71B56">
              <w:rPr>
                <w:lang w:val="es-ES"/>
              </w:rPr>
              <w:t xml:space="preserve"> Azerbaiyán, Armenia, Kazajstán, Kirguistán, Federación de Rusia, Tayikistán y Uzbekistán</w:t>
            </w:r>
          </w:p>
          <w:p w14:paraId="031B0B3B" w14:textId="77777777" w:rsidR="00BD155E" w:rsidRPr="00E71B56" w:rsidRDefault="00BD155E" w:rsidP="00A372FB">
            <w:pPr>
              <w:rPr>
                <w:b/>
                <w:bCs/>
                <w:color w:val="0070C0"/>
                <w:lang w:val="es-ES"/>
              </w:rPr>
            </w:pPr>
            <w:r w:rsidRPr="00E71B56">
              <w:rPr>
                <w:b/>
                <w:bCs/>
                <w:color w:val="0070C0"/>
                <w:lang w:val="es-ES"/>
              </w:rPr>
              <w:t>PMA, PDSL y PEID participantes/asistidos:</w:t>
            </w:r>
          </w:p>
          <w:p w14:paraId="3F8A7D06"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Más de 20 PMA, PDSL y PEID asistidos</w:t>
            </w:r>
          </w:p>
          <w:p w14:paraId="3EEB1790"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12 recibieron asistencia técnica</w:t>
            </w:r>
          </w:p>
          <w:p w14:paraId="5BF3CB9F" w14:textId="77777777" w:rsidR="00BD155E" w:rsidRPr="00E71B56" w:rsidRDefault="00BD155E" w:rsidP="00A372FB">
            <w:pPr>
              <w:pStyle w:val="enumlev1"/>
              <w:tabs>
                <w:tab w:val="clear" w:pos="1134"/>
                <w:tab w:val="left" w:pos="330"/>
              </w:tabs>
              <w:ind w:left="330" w:hanging="330"/>
              <w:rPr>
                <w:lang w:val="es-ES"/>
              </w:rPr>
            </w:pPr>
            <w:r w:rsidRPr="00E71B56">
              <w:rPr>
                <w:lang w:val="es-ES"/>
              </w:rPr>
              <w:lastRenderedPageBreak/>
              <w:t>○</w:t>
            </w:r>
            <w:r w:rsidRPr="00E71B56">
              <w:rPr>
                <w:lang w:val="es-ES"/>
              </w:rPr>
              <w:tab/>
              <w:t>10 recibieron formación sobre la gestión del espectro y competencias profesionales en materia de TIC</w:t>
            </w:r>
          </w:p>
          <w:p w14:paraId="32D78A93"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7 países impulsaron la conectividad escolar</w:t>
            </w:r>
          </w:p>
          <w:p w14:paraId="11EBEDE4"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6 PDSL participaron en talleres especializados</w:t>
            </w:r>
          </w:p>
          <w:p w14:paraId="2311F80E"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Se llevaron a cabo múltiples sesiones regionales de sensibilización en África, los Estados Árabes, Asia</w:t>
            </w:r>
            <w:r w:rsidRPr="00E71B56">
              <w:rPr>
                <w:lang w:val="es-ES"/>
              </w:rPr>
              <w:noBreakHyphen/>
              <w:t>Pacífico y la CEI</w:t>
            </w:r>
          </w:p>
          <w:p w14:paraId="0365FBB8" w14:textId="77777777" w:rsidR="00BD155E" w:rsidRPr="00E71B56" w:rsidRDefault="00BD155E" w:rsidP="00A372FB">
            <w:pPr>
              <w:rPr>
                <w:b/>
                <w:bCs/>
                <w:color w:val="0070C0"/>
                <w:lang w:val="es-ES"/>
              </w:rPr>
            </w:pPr>
            <w:r w:rsidRPr="00E71B56">
              <w:rPr>
                <w:b/>
                <w:bCs/>
                <w:color w:val="0070C0"/>
                <w:lang w:val="es-ES"/>
              </w:rPr>
              <w:t>Cuestión 5 de la Comisión de Estudio 1 del UIT</w:t>
            </w:r>
            <w:r w:rsidRPr="00E71B56">
              <w:rPr>
                <w:b/>
                <w:bCs/>
                <w:color w:val="0070C0"/>
                <w:lang w:val="es-ES"/>
              </w:rPr>
              <w:noBreakHyphen/>
              <w:t>D:</w:t>
            </w:r>
          </w:p>
          <w:p w14:paraId="7A767205"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4 reuniones</w:t>
            </w:r>
          </w:p>
          <w:p w14:paraId="2D012227"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174 contribuciones</w:t>
            </w:r>
          </w:p>
          <w:p w14:paraId="1F880138"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2 </w:t>
            </w:r>
            <w:hyperlink r:id="rId73" w:history="1">
              <w:r w:rsidRPr="00E71B56">
                <w:rPr>
                  <w:rStyle w:val="Hyperlink"/>
                  <w:lang w:val="es-ES"/>
                </w:rPr>
                <w:t>talleres</w:t>
              </w:r>
            </w:hyperlink>
            <w:r w:rsidRPr="00E71B56">
              <w:rPr>
                <w:lang w:val="es-ES"/>
              </w:rPr>
              <w:t xml:space="preserve">, se creó un </w:t>
            </w:r>
            <w:hyperlink r:id="rId74" w:history="1">
              <w:r w:rsidRPr="00E71B56">
                <w:rPr>
                  <w:rStyle w:val="Hyperlink"/>
                  <w:lang w:val="es-ES"/>
                </w:rPr>
                <w:t>producto intermedio conjunto</w:t>
              </w:r>
            </w:hyperlink>
            <w:r w:rsidRPr="00E71B56">
              <w:rPr>
                <w:lang w:val="es-ES"/>
              </w:rPr>
              <w:t xml:space="preserve"> y un </w:t>
            </w:r>
            <w:hyperlink r:id="rId75" w:history="1">
              <w:r w:rsidRPr="00E71B56">
                <w:rPr>
                  <w:rStyle w:val="Hyperlink"/>
                  <w:lang w:val="es-ES"/>
                </w:rPr>
                <w:t>informe final de resultados</w:t>
              </w:r>
            </w:hyperlink>
            <w:hyperlink r:id="rId76" w:history="1"/>
            <w:hyperlink r:id="rId77" w:history="1"/>
            <w:hyperlink r:id="rId78" w:history="1"/>
          </w:p>
          <w:p w14:paraId="3FA38D06" w14:textId="77777777" w:rsidR="00BD155E" w:rsidRPr="00E71B56" w:rsidRDefault="00BD155E" w:rsidP="00A372FB">
            <w:pPr>
              <w:rPr>
                <w:b/>
                <w:bCs/>
                <w:color w:val="0070C0"/>
                <w:lang w:val="es-ES"/>
              </w:rPr>
            </w:pPr>
            <w:r w:rsidRPr="00E71B56">
              <w:rPr>
                <w:b/>
                <w:bCs/>
                <w:color w:val="0070C0"/>
                <w:lang w:val="es-ES"/>
              </w:rPr>
              <w:t>Cuestión 4 de la Comisión de Estudio 2 del UIT</w:t>
            </w:r>
            <w:r w:rsidRPr="00E71B56">
              <w:rPr>
                <w:b/>
                <w:bCs/>
                <w:color w:val="0070C0"/>
                <w:lang w:val="es-ES"/>
              </w:rPr>
              <w:noBreakHyphen/>
              <w:t>D:</w:t>
            </w:r>
          </w:p>
          <w:p w14:paraId="0065E431"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4 reuniones</w:t>
            </w:r>
          </w:p>
          <w:p w14:paraId="5FEFEA70" w14:textId="77777777" w:rsidR="00BD155E" w:rsidRPr="00E71B56" w:rsidRDefault="00BD155E" w:rsidP="00A372FB">
            <w:pPr>
              <w:pStyle w:val="enumlev1"/>
              <w:tabs>
                <w:tab w:val="clear" w:pos="1134"/>
                <w:tab w:val="left" w:pos="330"/>
              </w:tabs>
              <w:ind w:left="330" w:hanging="330"/>
              <w:rPr>
                <w:lang w:val="es-ES"/>
              </w:rPr>
            </w:pPr>
            <w:r w:rsidRPr="00E71B56">
              <w:rPr>
                <w:lang w:val="es-ES"/>
              </w:rPr>
              <w:lastRenderedPageBreak/>
              <w:t>○</w:t>
            </w:r>
            <w:r w:rsidRPr="00E71B56">
              <w:rPr>
                <w:lang w:val="es-ES"/>
              </w:rPr>
              <w:tab/>
              <w:t>33 contribuciones</w:t>
            </w:r>
          </w:p>
          <w:p w14:paraId="1201C533"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Se celebraron 2 </w:t>
            </w:r>
            <w:hyperlink r:id="rId79" w:history="1">
              <w:r w:rsidRPr="00E71B56">
                <w:rPr>
                  <w:rStyle w:val="Hyperlink"/>
                  <w:lang w:val="es-ES"/>
                </w:rPr>
                <w:t>talleres</w:t>
              </w:r>
            </w:hyperlink>
            <w:r w:rsidRPr="00E71B56">
              <w:rPr>
                <w:lang w:val="es-ES"/>
              </w:rPr>
              <w:t xml:space="preserve"> y se elaboró un </w:t>
            </w:r>
            <w:hyperlink r:id="rId80" w:history="1">
              <w:r w:rsidRPr="00E71B56">
                <w:rPr>
                  <w:rStyle w:val="Hyperlink"/>
                  <w:lang w:val="es-ES"/>
                </w:rPr>
                <w:t>informe final de resultados</w:t>
              </w:r>
            </w:hyperlink>
            <w:hyperlink r:id="rId81" w:history="1"/>
            <w:hyperlink r:id="rId82" w:history="1"/>
          </w:p>
          <w:p w14:paraId="68F6F6B6" w14:textId="77777777" w:rsidR="00BD155E" w:rsidRPr="00E71B56" w:rsidRDefault="00BD155E" w:rsidP="00A372FB">
            <w:pPr>
              <w:rPr>
                <w:b/>
                <w:bCs/>
                <w:color w:val="0070C0"/>
                <w:lang w:val="es-ES"/>
              </w:rPr>
            </w:pPr>
            <w:r w:rsidRPr="00E71B56">
              <w:rPr>
                <w:b/>
                <w:bCs/>
                <w:color w:val="0070C0"/>
                <w:lang w:val="es-ES"/>
              </w:rPr>
              <w:t>Cuestión 7 de la Comisión de Estudio 2 del UIT</w:t>
            </w:r>
            <w:r w:rsidRPr="00E71B56">
              <w:rPr>
                <w:b/>
                <w:bCs/>
                <w:color w:val="0070C0"/>
                <w:lang w:val="es-ES"/>
              </w:rPr>
              <w:noBreakHyphen/>
              <w:t>D:</w:t>
            </w:r>
          </w:p>
          <w:p w14:paraId="6563A55E"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4 reuniones</w:t>
            </w:r>
          </w:p>
          <w:p w14:paraId="3ACBEDA7"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54 contribuciones</w:t>
            </w:r>
          </w:p>
          <w:p w14:paraId="3C68E5BA"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Se celebraron 2 </w:t>
            </w:r>
            <w:hyperlink r:id="rId83" w:history="1">
              <w:r w:rsidRPr="00E71B56">
                <w:rPr>
                  <w:rStyle w:val="Hyperlink"/>
                  <w:lang w:val="es-ES"/>
                </w:rPr>
                <w:t>talleres</w:t>
              </w:r>
            </w:hyperlink>
            <w:r w:rsidRPr="00E71B56">
              <w:rPr>
                <w:lang w:val="es-ES"/>
              </w:rPr>
              <w:t xml:space="preserve"> y se elaboró un </w:t>
            </w:r>
            <w:hyperlink r:id="rId84" w:history="1">
              <w:r w:rsidRPr="00E71B56">
                <w:rPr>
                  <w:rStyle w:val="Hyperlink"/>
                  <w:lang w:val="es-ES"/>
                </w:rPr>
                <w:t>informe final de resultados</w:t>
              </w:r>
            </w:hyperlink>
            <w:hyperlink r:id="rId85" w:history="1"/>
            <w:hyperlink r:id="rId86" w:history="1"/>
          </w:p>
        </w:tc>
      </w:tr>
      <w:tr w:rsidR="00BD155E" w:rsidRPr="00E71B56" w14:paraId="79CD366A" w14:textId="77777777" w:rsidTr="00A372FB">
        <w:trPr>
          <w:jc w:val="center"/>
        </w:trPr>
        <w:tc>
          <w:tcPr>
            <w:tcW w:w="3173" w:type="dxa"/>
          </w:tcPr>
          <w:p w14:paraId="3DD63ACF" w14:textId="77777777" w:rsidR="00BD155E" w:rsidRPr="00E71B56" w:rsidRDefault="00BD155E" w:rsidP="00A372FB">
            <w:pPr>
              <w:rPr>
                <w:b/>
                <w:lang w:val="es-ES"/>
              </w:rPr>
            </w:pPr>
            <w:r w:rsidRPr="00E71B56">
              <w:rPr>
                <w:b/>
                <w:bCs/>
                <w:lang w:val="es-ES"/>
              </w:rPr>
              <w:lastRenderedPageBreak/>
              <w:t>Contribución a las metas de los ODS</w:t>
            </w:r>
          </w:p>
        </w:tc>
        <w:tc>
          <w:tcPr>
            <w:tcW w:w="12211" w:type="dxa"/>
            <w:gridSpan w:val="2"/>
          </w:tcPr>
          <w:p w14:paraId="5E9AF59B" w14:textId="77777777" w:rsidR="00BD155E" w:rsidRPr="00E71B56" w:rsidRDefault="00BD155E" w:rsidP="00A372FB">
            <w:pPr>
              <w:rPr>
                <w:lang w:val="es-ES"/>
              </w:rPr>
            </w:pPr>
            <w:r w:rsidRPr="00E71B56">
              <w:rPr>
                <w:lang w:val="es-ES"/>
              </w:rPr>
              <w:t>ODS 1, 3, 4, 5, 8, 9, 10, 11, 16 y 17</w:t>
            </w:r>
          </w:p>
        </w:tc>
      </w:tr>
      <w:tr w:rsidR="00BD155E" w:rsidRPr="00E71B56" w14:paraId="5E672F1C" w14:textId="77777777" w:rsidTr="00A372FB">
        <w:trPr>
          <w:jc w:val="center"/>
        </w:trPr>
        <w:tc>
          <w:tcPr>
            <w:tcW w:w="3173" w:type="dxa"/>
          </w:tcPr>
          <w:p w14:paraId="50AD6B0E" w14:textId="77777777" w:rsidR="00BD155E" w:rsidRPr="00E71B56" w:rsidRDefault="00BD155E" w:rsidP="00A372FB">
            <w:pPr>
              <w:rPr>
                <w:b/>
                <w:lang w:val="es-ES"/>
              </w:rPr>
            </w:pPr>
            <w:r w:rsidRPr="00E71B56">
              <w:rPr>
                <w:b/>
                <w:bCs/>
                <w:lang w:val="es-ES"/>
              </w:rPr>
              <w:t>Líneas de Acción de la CMSI</w:t>
            </w:r>
          </w:p>
        </w:tc>
        <w:tc>
          <w:tcPr>
            <w:tcW w:w="12211" w:type="dxa"/>
            <w:gridSpan w:val="2"/>
          </w:tcPr>
          <w:p w14:paraId="27F0DD51" w14:textId="77777777" w:rsidR="00BD155E" w:rsidRPr="00E71B56" w:rsidRDefault="00BD155E" w:rsidP="00A372FB">
            <w:pPr>
              <w:rPr>
                <w:lang w:val="es-ES"/>
              </w:rPr>
            </w:pPr>
            <w:r w:rsidRPr="00E71B56">
              <w:rPr>
                <w:lang w:val="es-ES"/>
              </w:rPr>
              <w:t>C1, C2, C3, C4, C5, C6, C7 y C11</w:t>
            </w:r>
          </w:p>
        </w:tc>
      </w:tr>
      <w:tr w:rsidR="00BD155E" w:rsidRPr="00E71B56" w14:paraId="7C05EC45" w14:textId="77777777" w:rsidTr="00A372FB">
        <w:trPr>
          <w:jc w:val="center"/>
        </w:trPr>
        <w:tc>
          <w:tcPr>
            <w:tcW w:w="3173" w:type="dxa"/>
          </w:tcPr>
          <w:p w14:paraId="37873856" w14:textId="77777777" w:rsidR="00BD155E" w:rsidRPr="00E71B56" w:rsidRDefault="00BD155E" w:rsidP="00A372FB">
            <w:pPr>
              <w:rPr>
                <w:b/>
                <w:lang w:val="es-ES"/>
              </w:rPr>
            </w:pPr>
            <w:r w:rsidRPr="00E71B56">
              <w:rPr>
                <w:b/>
                <w:bCs/>
                <w:lang w:val="es-ES"/>
              </w:rPr>
              <w:t>Resoluciones</w:t>
            </w:r>
          </w:p>
        </w:tc>
        <w:tc>
          <w:tcPr>
            <w:tcW w:w="12211" w:type="dxa"/>
            <w:gridSpan w:val="2"/>
          </w:tcPr>
          <w:p w14:paraId="59891C0C" w14:textId="77777777" w:rsidR="00BD155E" w:rsidRPr="00E71B56" w:rsidRDefault="00BD155E" w:rsidP="00A372FB">
            <w:pPr>
              <w:rPr>
                <w:lang w:val="es-ES"/>
              </w:rPr>
            </w:pPr>
            <w:r w:rsidRPr="00E71B56">
              <w:rPr>
                <w:lang w:val="es-ES"/>
              </w:rPr>
              <w:t>136 de la PP; 9, 10, 11, 34, 43 y 66 de la CMDT; 646 y 647 de la CMR</w:t>
            </w:r>
          </w:p>
        </w:tc>
      </w:tr>
      <w:tr w:rsidR="00BD155E" w:rsidRPr="00E71B56" w14:paraId="6E4DF4E6" w14:textId="77777777" w:rsidTr="00A372FB">
        <w:trPr>
          <w:jc w:val="center"/>
        </w:trPr>
        <w:tc>
          <w:tcPr>
            <w:tcW w:w="3173" w:type="dxa"/>
          </w:tcPr>
          <w:p w14:paraId="0A461333" w14:textId="77777777" w:rsidR="00BD155E" w:rsidRPr="00E71B56" w:rsidRDefault="00BD155E" w:rsidP="00A372FB">
            <w:pPr>
              <w:rPr>
                <w:b/>
                <w:bCs/>
                <w:lang w:val="es-ES"/>
              </w:rPr>
            </w:pPr>
            <w:r w:rsidRPr="00E71B56">
              <w:rPr>
                <w:b/>
                <w:bCs/>
                <w:lang w:val="es-ES"/>
              </w:rPr>
              <w:t>Cuestiones de las Comisiones de Estudio del UIT</w:t>
            </w:r>
            <w:r w:rsidRPr="00E71B56">
              <w:rPr>
                <w:b/>
                <w:bCs/>
                <w:lang w:val="es-ES"/>
              </w:rPr>
              <w:noBreakHyphen/>
              <w:t>D</w:t>
            </w:r>
          </w:p>
        </w:tc>
        <w:tc>
          <w:tcPr>
            <w:tcW w:w="12211" w:type="dxa"/>
            <w:gridSpan w:val="2"/>
          </w:tcPr>
          <w:p w14:paraId="3D5B3005" w14:textId="77777777" w:rsidR="00BD155E" w:rsidRPr="00E71B56" w:rsidRDefault="00BD155E" w:rsidP="00A372FB">
            <w:pPr>
              <w:rPr>
                <w:lang w:val="es-ES"/>
              </w:rPr>
            </w:pPr>
            <w:r w:rsidRPr="00E71B56">
              <w:rPr>
                <w:lang w:val="es-ES"/>
              </w:rPr>
              <w:t>Cuestiones 1/1 (Banda ancha), 2/1 (Radiodifusión), 3/1(Reducción del riesgo de catástrofe) y 5/1 (Telecomunicaciones rurales) de la Comisión de Estudio 1 sobre entorno propicio para facilitar una conectividad efectiva y Cuestiones 4/2 (Conformidad e interoperabilidad) y 7/2 (CEM) de la Comisión de Estudio 2 sobre transformación digital</w:t>
            </w:r>
          </w:p>
        </w:tc>
      </w:tr>
    </w:tbl>
    <w:p w14:paraId="3FB90787" w14:textId="77777777" w:rsidR="00BD155E" w:rsidRPr="00E71B56" w:rsidRDefault="00BD155E" w:rsidP="00BD155E">
      <w:pPr>
        <w:rPr>
          <w:lang w:val="es-ES"/>
        </w:rPr>
      </w:pPr>
      <w:r w:rsidRPr="00E71B56">
        <w:rPr>
          <w:lang w:val="es-ES"/>
        </w:rPr>
        <w:br w:type="page"/>
      </w:r>
    </w:p>
    <w:tbl>
      <w:tblPr>
        <w:tblStyle w:val="TableGridLight"/>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2899"/>
        <w:gridCol w:w="8060"/>
        <w:gridCol w:w="3035"/>
      </w:tblGrid>
      <w:tr w:rsidR="00BD155E" w:rsidRPr="00E71B56" w14:paraId="1F2A2989" w14:textId="77777777" w:rsidTr="00A372FB">
        <w:trPr>
          <w:jc w:val="center"/>
        </w:trPr>
        <w:tc>
          <w:tcPr>
            <w:tcW w:w="15384" w:type="dxa"/>
            <w:gridSpan w:val="3"/>
            <w:shd w:val="clear" w:color="auto" w:fill="2F5496"/>
          </w:tcPr>
          <w:p w14:paraId="38629624" w14:textId="77777777" w:rsidR="00BD155E" w:rsidRPr="00E71B56" w:rsidRDefault="00BD155E" w:rsidP="00A372FB">
            <w:pPr>
              <w:pStyle w:val="Heading2"/>
              <w:jc w:val="center"/>
              <w:rPr>
                <w:color w:val="FFFFFF" w:themeColor="background1"/>
                <w:lang w:val="es-ES"/>
              </w:rPr>
            </w:pPr>
            <w:bookmarkStart w:id="23" w:name="_Toc212728818"/>
            <w:bookmarkStart w:id="24" w:name="_Toc213427966"/>
            <w:r w:rsidRPr="00E71B56">
              <w:rPr>
                <w:color w:val="FFFFFF" w:themeColor="background1"/>
                <w:lang w:val="es-ES"/>
              </w:rPr>
              <w:lastRenderedPageBreak/>
              <w:t>Prioridad 2 del UIT</w:t>
            </w:r>
            <w:r w:rsidRPr="00E71B56">
              <w:rPr>
                <w:color w:val="FFFFFF" w:themeColor="background1"/>
                <w:lang w:val="es-ES"/>
              </w:rPr>
              <w:noBreakHyphen/>
              <w:t>D: Transformación digital</w:t>
            </w:r>
            <w:bookmarkEnd w:id="23"/>
            <w:bookmarkEnd w:id="24"/>
          </w:p>
          <w:p w14:paraId="3926C396" w14:textId="77777777" w:rsidR="00BD155E" w:rsidRPr="00E71B56" w:rsidRDefault="00BD155E" w:rsidP="00A372FB">
            <w:pPr>
              <w:spacing w:after="120"/>
              <w:jc w:val="center"/>
              <w:rPr>
                <w:b/>
                <w:i/>
                <w:iCs/>
                <w:color w:val="FFFFFF" w:themeColor="background1"/>
                <w:lang w:val="es-ES"/>
              </w:rPr>
            </w:pPr>
            <w:r w:rsidRPr="00E71B56">
              <w:rPr>
                <w:b/>
                <w:bCs/>
                <w:i/>
                <w:iCs/>
                <w:color w:val="FFFFFF" w:themeColor="background1"/>
                <w:lang w:val="es-ES"/>
              </w:rPr>
              <w:t>Acelerar la transformación digital mediante el emprendimiento en TIC y una mayor innovación en el ecosistema de las TIC</w:t>
            </w:r>
          </w:p>
        </w:tc>
      </w:tr>
      <w:tr w:rsidR="00BD155E" w:rsidRPr="00E71B56" w14:paraId="47C1F765" w14:textId="77777777" w:rsidTr="00A372FB">
        <w:trPr>
          <w:jc w:val="center"/>
        </w:trPr>
        <w:tc>
          <w:tcPr>
            <w:tcW w:w="15384" w:type="dxa"/>
            <w:gridSpan w:val="3"/>
            <w:shd w:val="clear" w:color="auto" w:fill="E5DFEC"/>
          </w:tcPr>
          <w:p w14:paraId="2F8830A8" w14:textId="77777777" w:rsidR="00BD155E" w:rsidRPr="00E71B56" w:rsidRDefault="00BD155E" w:rsidP="00A372FB">
            <w:pPr>
              <w:pStyle w:val="Heading3"/>
              <w:rPr>
                <w:color w:val="0070C0"/>
                <w:lang w:val="es-ES"/>
              </w:rPr>
            </w:pPr>
            <w:bookmarkStart w:id="25" w:name="_Toc212728819"/>
            <w:bookmarkStart w:id="26" w:name="_Toc213427967"/>
            <w:r w:rsidRPr="00E71B56">
              <w:rPr>
                <w:color w:val="0070C0"/>
                <w:lang w:val="es-ES"/>
              </w:rPr>
              <w:t>Ecosistema de innovación digital</w:t>
            </w:r>
            <w:bookmarkEnd w:id="25"/>
            <w:bookmarkEnd w:id="26"/>
          </w:p>
          <w:p w14:paraId="16BF663D" w14:textId="77777777" w:rsidR="00BD155E" w:rsidRPr="00E71B56" w:rsidRDefault="00BD155E" w:rsidP="00A372FB">
            <w:pPr>
              <w:rPr>
                <w:i/>
                <w:iCs/>
                <w:lang w:val="es-ES"/>
              </w:rPr>
            </w:pPr>
            <w:r w:rsidRPr="00E71B56">
              <w:rPr>
                <w:b/>
                <w:bCs/>
                <w:i/>
                <w:iCs/>
                <w:lang w:val="es-ES"/>
              </w:rPr>
              <w:t>Realización:</w:t>
            </w:r>
            <w:r w:rsidRPr="00E71B56">
              <w:rPr>
                <w:i/>
                <w:iCs/>
                <w:lang w:val="es-ES"/>
              </w:rPr>
              <w:t xml:space="preserve"> Refuerzo de la capacidad de los miembros de la UIT para integrar la innovación y la digitalización de las telecomunicaciones/TIC en los programas nacionales de desarrollo y elaborar estrategias de promoción de iniciativas innovadoras, entre otras cosas, mediante asociaciones públicas, privadas y público</w:t>
            </w:r>
            <w:r w:rsidRPr="00E71B56">
              <w:rPr>
                <w:i/>
                <w:iCs/>
                <w:lang w:val="es-ES"/>
              </w:rPr>
              <w:noBreakHyphen/>
              <w:t>privadas.</w:t>
            </w:r>
            <w:r w:rsidRPr="00E71B56">
              <w:rPr>
                <w:lang w:val="es-ES"/>
              </w:rPr>
              <w:t xml:space="preserve"> </w:t>
            </w:r>
            <w:r w:rsidRPr="00E71B56">
              <w:rPr>
                <w:i/>
                <w:iCs/>
                <w:lang w:val="es-ES"/>
              </w:rPr>
              <w:t>Mejora de la capacidad de los miembros de la UIT en los planos humano e institucional en las esferas de las telecomunicaciones/TIC para fomentar la transformación digital.</w:t>
            </w:r>
          </w:p>
        </w:tc>
      </w:tr>
      <w:tr w:rsidR="00BD155E" w:rsidRPr="00E71B56" w14:paraId="2F5D4FFE" w14:textId="77777777" w:rsidTr="00A372FB">
        <w:trPr>
          <w:jc w:val="center"/>
        </w:trPr>
        <w:tc>
          <w:tcPr>
            <w:tcW w:w="12061" w:type="dxa"/>
            <w:gridSpan w:val="2"/>
          </w:tcPr>
          <w:p w14:paraId="773CB13C" w14:textId="77777777" w:rsidR="00BD155E" w:rsidRPr="00E71B56" w:rsidRDefault="00BD155E" w:rsidP="00A372FB">
            <w:pPr>
              <w:keepNext/>
              <w:keepLines/>
              <w:jc w:val="center"/>
              <w:rPr>
                <w:b/>
                <w:bCs/>
                <w:color w:val="0070C0"/>
                <w:lang w:val="es-ES"/>
              </w:rPr>
            </w:pPr>
            <w:r w:rsidRPr="00E71B56">
              <w:rPr>
                <w:b/>
                <w:bCs/>
                <w:color w:val="0070C0"/>
                <w:lang w:val="es-ES"/>
              </w:rPr>
              <w:t>Productos</w:t>
            </w:r>
          </w:p>
        </w:tc>
        <w:tc>
          <w:tcPr>
            <w:tcW w:w="3323" w:type="dxa"/>
          </w:tcPr>
          <w:p w14:paraId="6E6838F0" w14:textId="77777777" w:rsidR="00BD155E" w:rsidRPr="00E71B56" w:rsidRDefault="00BD155E" w:rsidP="00A372FB">
            <w:pPr>
              <w:keepNext/>
              <w:keepLines/>
              <w:jc w:val="center"/>
              <w:rPr>
                <w:b/>
                <w:bCs/>
                <w:color w:val="0070C0"/>
                <w:lang w:val="es-ES"/>
              </w:rPr>
            </w:pPr>
            <w:r w:rsidRPr="00E71B56">
              <w:rPr>
                <w:b/>
                <w:bCs/>
                <w:color w:val="0070C0"/>
                <w:lang w:val="es-ES"/>
              </w:rPr>
              <w:t>Aspectos destacados</w:t>
            </w:r>
          </w:p>
        </w:tc>
      </w:tr>
      <w:tr w:rsidR="00BD155E" w:rsidRPr="00E71B56" w14:paraId="2515F354" w14:textId="77777777" w:rsidTr="00A372FB">
        <w:trPr>
          <w:jc w:val="center"/>
        </w:trPr>
        <w:tc>
          <w:tcPr>
            <w:tcW w:w="12061" w:type="dxa"/>
            <w:gridSpan w:val="2"/>
          </w:tcPr>
          <w:p w14:paraId="29D2800B" w14:textId="77777777" w:rsidR="00BD155E" w:rsidRPr="00E71B56" w:rsidRDefault="00BD155E" w:rsidP="00A372FB">
            <w:pPr>
              <w:rPr>
                <w:lang w:val="es-ES"/>
              </w:rPr>
            </w:pPr>
            <w:r w:rsidRPr="00E71B56">
              <w:rPr>
                <w:lang w:val="es-ES"/>
              </w:rPr>
              <w:t xml:space="preserve">Sobre la base de la </w:t>
            </w:r>
            <w:hyperlink r:id="rId87" w:history="1">
              <w:r w:rsidRPr="00E71B56">
                <w:rPr>
                  <w:rStyle w:val="Hyperlink"/>
                  <w:lang w:val="es-ES"/>
                </w:rPr>
                <w:t>Resolución 89 (Kigali, 2022) de la CMDT-22</w:t>
              </w:r>
            </w:hyperlink>
            <w:r w:rsidRPr="00E71B56">
              <w:rPr>
                <w:lang w:val="es-ES"/>
              </w:rPr>
              <w:t xml:space="preserve"> sobre la transformación digital para el desarrollo sostenible y la </w:t>
            </w:r>
            <w:hyperlink r:id="rId88" w:history="1">
              <w:r w:rsidRPr="00E71B56">
                <w:rPr>
                  <w:rStyle w:val="Hyperlink"/>
                  <w:lang w:val="es-ES"/>
                </w:rPr>
                <w:t>Resolución 90 (Kigali, 2022) de la CMDT-22</w:t>
              </w:r>
            </w:hyperlink>
            <w:r w:rsidRPr="00E71B56">
              <w:rPr>
                <w:lang w:val="es-ES"/>
              </w:rPr>
              <w:t xml:space="preserve"> sobre el fomento de la iniciativa empresarial y los ecosistemas de innovación digital centrados en las telecomunicaciones/TIC para un desarrollo digital sostenible, la BDT siguió impulsando una cartera de iniciativas para ayudar a los Estados Miembros a fortalecer los ecosistemas nacionales de innovación y acelerar la transformación digital. Combinó dos resultados de la prioridad del UIT</w:t>
            </w:r>
            <w:r w:rsidRPr="00E71B56">
              <w:rPr>
                <w:lang w:val="es-ES"/>
              </w:rPr>
              <w:noBreakHyphen/>
              <w:t>D sobre la transformación digital.</w:t>
            </w:r>
            <w:hyperlink r:id="rId89" w:history="1"/>
            <w:hyperlink r:id="rId90" w:history="1"/>
          </w:p>
          <w:p w14:paraId="0B86E564" w14:textId="77777777" w:rsidR="00BD155E" w:rsidRPr="00E71B56" w:rsidRDefault="00BD155E" w:rsidP="00A372FB">
            <w:pPr>
              <w:rPr>
                <w:lang w:val="es-ES"/>
              </w:rPr>
            </w:pPr>
            <w:r w:rsidRPr="00E71B56">
              <w:rPr>
                <w:lang w:val="es-ES"/>
              </w:rPr>
              <w:t>Se consiguió adoptar un enfoque variado por conducto de la asistencia técnica continua para la elaboración de estrategias y hojas de ruta, la creación de capacidad humana mediante cursos de la Academia de la UIT y talleres mundiales y regionales, el fortalecimiento institucional mediante los Centros de Aceleración de la UIT y las iniciativas de investigación y previsión que ofrecían a los países la capacidad para navegar por nuestro evolutivo panorama digital. Esto también incluyó el desarrollo de marcos de innovación y política por conducto del laboratorio de transformación digital, así como plataformas de intercambio de conocimientos para intercambiar las prácticas idóneas e impulsar la economía digital.</w:t>
            </w:r>
          </w:p>
          <w:p w14:paraId="511AD411" w14:textId="77777777" w:rsidR="00BD155E" w:rsidRPr="00E71B56" w:rsidRDefault="00BD155E" w:rsidP="00A372FB">
            <w:pPr>
              <w:rPr>
                <w:lang w:val="es-ES"/>
              </w:rPr>
            </w:pPr>
            <w:r w:rsidRPr="00E71B56">
              <w:rPr>
                <w:lang w:val="es-ES"/>
              </w:rPr>
              <w:t>Se llevaron a cabo actividades mediante la participación de múltiples partes interesadas y alianzas para crear modelos sostenibles que conforman los ecosistemas digitales resilientes. La implementación se realizó en todas las regiones de la UIT, prestando especial atención a adaptar el apoyo destinado a los países a las prioridades nacionales y las iniciativas regionales.</w:t>
            </w:r>
          </w:p>
          <w:p w14:paraId="0D46667F" w14:textId="77777777" w:rsidR="00BD155E" w:rsidRPr="00E71B56" w:rsidRDefault="00BD155E" w:rsidP="00A372FB">
            <w:pPr>
              <w:rPr>
                <w:lang w:val="es-ES"/>
              </w:rPr>
            </w:pPr>
            <w:r w:rsidRPr="00E71B56">
              <w:rPr>
                <w:lang w:val="es-ES"/>
              </w:rPr>
              <w:lastRenderedPageBreak/>
              <w:t xml:space="preserve">Una iniciativa faro, denominada </w:t>
            </w:r>
            <w:bookmarkStart w:id="27" w:name="_Hlk213337045"/>
            <w:r w:rsidRPr="00E71B56">
              <w:rPr>
                <w:lang w:val="es-ES"/>
              </w:rPr>
              <w:fldChar w:fldCharType="begin"/>
            </w:r>
            <w:r w:rsidRPr="00E71B56">
              <w:rPr>
                <w:lang w:val="es-ES"/>
              </w:rPr>
              <w:instrText xml:space="preserve"> HYPERLINK "https://www.itu.int/itu-d/sites/innovation-alliance/" </w:instrText>
            </w:r>
            <w:r w:rsidRPr="00E71B56">
              <w:rPr>
                <w:lang w:val="es-ES"/>
              </w:rPr>
              <w:fldChar w:fldCharType="separate"/>
            </w:r>
            <w:r w:rsidRPr="00E71B56">
              <w:rPr>
                <w:rStyle w:val="Hyperlink"/>
                <w:lang w:val="es-ES"/>
              </w:rPr>
              <w:t>Alianza para la innovación y el emprendimiento para el desarrollo digital</w:t>
            </w:r>
            <w:r w:rsidRPr="00E71B56">
              <w:rPr>
                <w:rStyle w:val="Hyperlink"/>
                <w:lang w:val="es-ES"/>
              </w:rPr>
              <w:fldChar w:fldCharType="end"/>
            </w:r>
            <w:bookmarkEnd w:id="27"/>
            <w:r w:rsidRPr="00E71B56">
              <w:rPr>
                <w:lang w:val="es-ES"/>
              </w:rPr>
              <w:t xml:space="preserve">, puesta en marcha en enero de 2023, se convirtió en la piedra angular de los esfuerzos de la BDT. La Alianza fue diseñada para fortalecer los ecosistemas nacionales de innovación, promover la participación del sector privado y las instituciones académicas, y proporcionar nuevas herramientas y capacidad propia nacional a los miembros de la UIT. Hasta abril de 2023, se recibieron más de 73 solicitudes de 54 países interesados en acoger los </w:t>
            </w:r>
            <w:hyperlink r:id="rId91" w:history="1">
              <w:r w:rsidRPr="00E71B56">
                <w:rPr>
                  <w:rStyle w:val="Hyperlink"/>
                  <w:lang w:val="es-ES"/>
                </w:rPr>
                <w:t>Centros de Aceleración de la UIT</w:t>
              </w:r>
            </w:hyperlink>
            <w:r w:rsidRPr="00E71B56">
              <w:rPr>
                <w:lang w:val="es-ES"/>
              </w:rPr>
              <w:t xml:space="preserve">. Además, la BDT creó la Oficina Zonal de la UIT y el </w:t>
            </w:r>
            <w:hyperlink r:id="rId92" w:history="1">
              <w:r w:rsidRPr="00E71B56">
                <w:rPr>
                  <w:rStyle w:val="Hyperlink"/>
                  <w:lang w:val="es-ES"/>
                </w:rPr>
                <w:t>Centro de Innovación en Nueva Delhi (India)</w:t>
              </w:r>
            </w:hyperlink>
            <w:r w:rsidRPr="00E71B56">
              <w:rPr>
                <w:lang w:val="es-ES"/>
              </w:rPr>
              <w:t>, que proporcionaron un centro para la colaboración en materia de innovación digital y el desarrollo de nuevas empresas y pequeñas y medianas empresas (pymes).</w:t>
            </w:r>
            <w:hyperlink r:id="rId93" w:history="1"/>
            <w:hyperlink r:id="rId94" w:history="1"/>
            <w:hyperlink r:id="rId95" w:history="1"/>
          </w:p>
          <w:p w14:paraId="60D6D334" w14:textId="77777777" w:rsidR="00BD155E" w:rsidRPr="00E71B56" w:rsidRDefault="00BD155E" w:rsidP="00A372FB">
            <w:pPr>
              <w:rPr>
                <w:lang w:val="es-ES"/>
              </w:rPr>
            </w:pPr>
            <w:r w:rsidRPr="00E71B56">
              <w:rPr>
                <w:lang w:val="es-ES"/>
              </w:rPr>
              <w:t>Como iniciativa global, la Alianza operó por conducto de tres vehículos principales: la Junta de Innovación Digital, el Laboratorio de Transformación Digital y la red de Centros de Aceleración de la UIT.</w:t>
            </w:r>
          </w:p>
          <w:p w14:paraId="2C714D28" w14:textId="77777777" w:rsidR="00BD155E" w:rsidRPr="00E71B56" w:rsidRDefault="00BD155E" w:rsidP="00A372FB">
            <w:pPr>
              <w:rPr>
                <w:lang w:val="es-ES"/>
              </w:rPr>
            </w:pPr>
            <w:r w:rsidRPr="00E71B56">
              <w:rPr>
                <w:lang w:val="es-ES"/>
              </w:rPr>
              <w:t xml:space="preserve">En 2023, se creó el </w:t>
            </w:r>
            <w:hyperlink r:id="rId96" w:history="1">
              <w:r w:rsidRPr="00E71B56">
                <w:rPr>
                  <w:rStyle w:val="Hyperlink"/>
                  <w:lang w:val="es-ES"/>
                </w:rPr>
                <w:t>Laboratorio de Transformación Digital</w:t>
              </w:r>
            </w:hyperlink>
            <w:r w:rsidRPr="00E71B56">
              <w:rPr>
                <w:lang w:val="es-ES"/>
              </w:rPr>
              <w:t xml:space="preserve"> como una instalación virtual, que era un laboratorio de investigación e implementación orientado a objetivos similar a un grupo de reflexión especializado en la investigación aplicada, la creación conjunta y la preservación de nuevas herramientas, productos y servicios del conocimiento. A través de este laboratorio, la BDT introdujo un conjunto de ocho guías de innovación. Estas cubren esferas como la previsión estratégica, la experimentación de políticas, el crecimiento de las pymes, el desarrollo de iniciativas para el ecosistema, y la innovación en materia de tecnologías abiertas, en consonancia con los objetivos centrales de la Alianza, así como las guías transversales sobre comunicación estratégica, movilización de recursos y desarrollo de alianzas y programas conjuntos. La BDT está desplegando estas herramientas para crear capacidad por conducto de eventos mundiales y cursos de la Academia de la UIT.</w:t>
            </w:r>
            <w:hyperlink r:id="rId97"/>
          </w:p>
          <w:p w14:paraId="11A9B427" w14:textId="77777777" w:rsidR="00BD155E" w:rsidRPr="00E71B56" w:rsidRDefault="00BD155E" w:rsidP="00A372FB">
            <w:pPr>
              <w:rPr>
                <w:lang w:val="es-ES"/>
              </w:rPr>
            </w:pPr>
            <w:r w:rsidRPr="00E71B56">
              <w:rPr>
                <w:lang w:val="es-ES"/>
              </w:rPr>
              <w:t xml:space="preserve">Constituida en 2023, la </w:t>
            </w:r>
            <w:hyperlink r:id="rId98" w:history="1">
              <w:r w:rsidRPr="00E71B56">
                <w:rPr>
                  <w:rStyle w:val="Hyperlink"/>
                  <w:lang w:val="es-ES"/>
                </w:rPr>
                <w:t>Junta de Innovación Digital</w:t>
              </w:r>
            </w:hyperlink>
            <w:r w:rsidRPr="00E71B56">
              <w:rPr>
                <w:lang w:val="es-ES"/>
              </w:rPr>
              <w:t xml:space="preserve"> incluye más de 30 miembros de alto nivel que son desde encargados de formular políticas hasta otras partes interesadas y asociados, algunos de ellos de organismos de las Naciones Unidas, gobiernos y el sector privado. Estos miembros proporcionan orientaciones estratégicas, conocimientos técnicos y labor de defensa y contribuyen a su misión de crear facilitadores locales esenciales y fomentar la innovación y el emprendimiento en materia de desarrollo digital, a fin de crear un futuro digital más inclusivo y equitativo para todos. Desde 2023 se han celebrado tres reuniones de la Junta, en las que esta ha elaborado y aprobado varios resultados que ahora están siendo implementados </w:t>
            </w:r>
            <w:r w:rsidRPr="00E71B56">
              <w:rPr>
                <w:lang w:val="es-ES"/>
              </w:rPr>
              <w:lastRenderedPageBreak/>
              <w:t xml:space="preserve">por la Alianza. En 2025, la Junta experimentó la creación de la </w:t>
            </w:r>
            <w:hyperlink r:id="rId99" w:history="1">
              <w:r w:rsidRPr="00E71B56">
                <w:rPr>
                  <w:rStyle w:val="Hyperlink"/>
                  <w:lang w:val="es-ES"/>
                </w:rPr>
                <w:t>Red de Expertos</w:t>
              </w:r>
            </w:hyperlink>
            <w:r w:rsidRPr="00E71B56">
              <w:rPr>
                <w:lang w:val="es-ES"/>
              </w:rPr>
              <w:t xml:space="preserve"> para apoyar su labor, que reunió a 70 expertos de 30 países para proporcionar información técnica y facilitar el aprendizaje entre pares.</w:t>
            </w:r>
            <w:hyperlink r:id="rId100"/>
            <w:bookmarkStart w:id="28" w:name="_Int_Cga6cDGG"/>
            <w:bookmarkEnd w:id="28"/>
            <w:r w:rsidRPr="00E71B56">
              <w:rPr>
                <w:lang w:val="es-ES"/>
              </w:rPr>
              <w:fldChar w:fldCharType="begin"/>
            </w:r>
            <w:r w:rsidRPr="00E71B56">
              <w:rPr>
                <w:lang w:val="es-ES"/>
              </w:rPr>
              <w:instrText xml:space="preserve"> HYPERLINK "https://www.itu.int/itu-d/sites/innovation-alliance/the-expert-network/" \h </w:instrText>
            </w:r>
            <w:r w:rsidRPr="00E71B56">
              <w:rPr>
                <w:lang w:val="es-ES"/>
              </w:rPr>
              <w:fldChar w:fldCharType="separate"/>
            </w:r>
            <w:r w:rsidRPr="00E71B56">
              <w:rPr>
                <w:lang w:val="es-ES"/>
              </w:rPr>
              <w:fldChar w:fldCharType="end"/>
            </w:r>
          </w:p>
          <w:p w14:paraId="3670ED9F" w14:textId="77777777" w:rsidR="00BD155E" w:rsidRPr="00E71B56" w:rsidRDefault="00BD155E" w:rsidP="00A372FB">
            <w:pPr>
              <w:rPr>
                <w:lang w:val="es-ES"/>
              </w:rPr>
            </w:pPr>
            <w:r w:rsidRPr="00E71B56">
              <w:rPr>
                <w:lang w:val="es-ES"/>
              </w:rPr>
              <w:t>En 2023, se han seleccionado 17 Centros de Aceleración de la UIT en todo el mundo, que cubren todas las regiones y actúan como centros en los que los gobiernos, los actores del sector privado y las instituciones académicas colaboran para acelerar la innovación digital desde la investigación hasta la práctica en favor del desarrollo socioeconómico. Los Estados Miembros, incluidos los centros de Tanzanía, Zimbabwe, Kenya, China, la República Dominicana, Sudáfrica, Pakistán, Malawi y Gabón, han ultimado los diseños o se encuentran en la fase de implementación, y la BDT les presta el apoyo institucional necesario para su despliegue. La BDT sigue ayudando a los países que están interesados en unirse a la iniciativa o que han manifestado su interés, con un centro en el proceso de desarrollo.</w:t>
            </w:r>
            <w:hyperlink r:id="rId101"/>
          </w:p>
          <w:p w14:paraId="2558C21B" w14:textId="77777777" w:rsidR="00BD155E" w:rsidRPr="00E71B56" w:rsidRDefault="00BD155E" w:rsidP="00A372FB">
            <w:pPr>
              <w:rPr>
                <w:lang w:val="es-ES"/>
              </w:rPr>
            </w:pPr>
            <w:r w:rsidRPr="00E71B56">
              <w:rPr>
                <w:lang w:val="es-ES"/>
              </w:rPr>
              <w:t xml:space="preserve">También mejoró la compartición de conocimientos por conducto de eventos de alto nivel como los </w:t>
            </w:r>
            <w:hyperlink r:id="rId102" w:history="1">
              <w:r w:rsidRPr="00E71B56">
                <w:rPr>
                  <w:rStyle w:val="Hyperlink"/>
                  <w:lang w:val="es-ES"/>
                </w:rPr>
                <w:t>Foros Mundiales de Innovación</w:t>
              </w:r>
            </w:hyperlink>
            <w:r w:rsidRPr="00E71B56">
              <w:rPr>
                <w:lang w:val="es-ES"/>
              </w:rPr>
              <w:t>. El Foro Mundial de Innovación (</w:t>
            </w:r>
            <w:hyperlink r:id="rId103" w:history="1">
              <w:r w:rsidRPr="00E71B56">
                <w:rPr>
                  <w:rStyle w:val="Hyperlink"/>
                  <w:lang w:val="es-ES"/>
                </w:rPr>
                <w:t>GIF 2024</w:t>
              </w:r>
            </w:hyperlink>
            <w:r w:rsidRPr="00E71B56">
              <w:rPr>
                <w:lang w:val="es-ES"/>
              </w:rPr>
              <w:t xml:space="preserve">), celebrado en </w:t>
            </w:r>
            <w:r w:rsidRPr="00E71B56">
              <w:rPr>
                <w:b/>
                <w:bCs/>
                <w:lang w:val="es-ES"/>
              </w:rPr>
              <w:t>Malta</w:t>
            </w:r>
            <w:r w:rsidRPr="00E71B56">
              <w:rPr>
                <w:lang w:val="es-ES"/>
              </w:rPr>
              <w:t xml:space="preserve">, ofreció un escenario mundial para el diálogo sobre el tema de la </w:t>
            </w:r>
            <w:r w:rsidRPr="00E71B56">
              <w:rPr>
                <w:i/>
                <w:iCs/>
                <w:lang w:val="es-ES"/>
              </w:rPr>
              <w:t>conformación de nuestros futuros digitales para la prosperidad y el bienestar de todas las personas.</w:t>
            </w:r>
            <w:r w:rsidRPr="00E71B56">
              <w:rPr>
                <w:lang w:val="es-ES"/>
              </w:rPr>
              <w:t xml:space="preserve"> Inaugurado por el Presidente de Malta, el Foro reunió a gobiernos, líderes de la industria e instituciones académicas. Su principal producto, el </w:t>
            </w:r>
            <w:hyperlink r:id="rId104" w:history="1">
              <w:r w:rsidRPr="00E71B56">
                <w:rPr>
                  <w:rStyle w:val="Hyperlink"/>
                  <w:lang w:val="es-ES"/>
                </w:rPr>
                <w:t>Informe sob</w:t>
              </w:r>
              <w:r w:rsidRPr="00E71B56">
                <w:rPr>
                  <w:rStyle w:val="Hyperlink"/>
                  <w:lang w:val="es-ES"/>
                </w:rPr>
                <w:t>r</w:t>
              </w:r>
              <w:r w:rsidRPr="00E71B56">
                <w:rPr>
                  <w:rStyle w:val="Hyperlink"/>
                  <w:lang w:val="es-ES"/>
                </w:rPr>
                <w:t>e el P</w:t>
              </w:r>
              <w:r w:rsidRPr="00E71B56">
                <w:rPr>
                  <w:rStyle w:val="Hyperlink"/>
                  <w:lang w:val="es-ES"/>
                </w:rPr>
                <w:t>a</w:t>
              </w:r>
              <w:r w:rsidRPr="00E71B56">
                <w:rPr>
                  <w:rStyle w:val="Hyperlink"/>
                  <w:lang w:val="es-ES"/>
                </w:rPr>
                <w:t>norama de la Innovación de Malta</w:t>
              </w:r>
            </w:hyperlink>
            <w:r w:rsidRPr="00E71B56">
              <w:rPr>
                <w:lang w:val="es-ES"/>
              </w:rPr>
              <w:t xml:space="preserve">, expuso las prácticas idóneas y posicionó al país como modelo para integrar a múltiples partes interesadas en una estrategia de innovación coherente. También se promovió la compartición similar de conocimientos en el evento titulado "Innovación y Emprendimiento para los ODS", celebrado en la </w:t>
            </w:r>
            <w:r w:rsidRPr="00E71B56">
              <w:rPr>
                <w:b/>
                <w:bCs/>
                <w:lang w:val="es-ES"/>
              </w:rPr>
              <w:t>India</w:t>
            </w:r>
            <w:r w:rsidRPr="00E71B56">
              <w:rPr>
                <w:lang w:val="es-ES"/>
              </w:rPr>
              <w:t>, y el "Foro Regional de Innovación para Asia-Pacífico", donde las partes interesadas regionales intercambiaron las lecciones extraídas y fortalecieron su colaboración.</w:t>
            </w:r>
            <w:hyperlink r:id="rId105" w:history="1"/>
            <w:hyperlink r:id="rId106" w:history="1"/>
            <w:hyperlink r:id="rId107" w:history="1"/>
          </w:p>
          <w:p w14:paraId="591B5B60" w14:textId="77777777" w:rsidR="00BD155E" w:rsidRPr="00E71B56" w:rsidRDefault="00BD155E" w:rsidP="00A372FB">
            <w:pPr>
              <w:rPr>
                <w:lang w:val="es-ES"/>
              </w:rPr>
            </w:pPr>
            <w:r w:rsidRPr="00E71B56">
              <w:rPr>
                <w:lang w:val="es-ES"/>
              </w:rPr>
              <w:t xml:space="preserve">Por conducto de eventos mundiales celebrados en 2024 y 2025 en Dubái (Emiratos Árabes Unidos), los miembros de los Centros de Aceleración de la UIT recibieron sesiones de formación de capacidad en materia de previsión estratégica, experimentación de políticas y desarrollo de iniciativas para el ecosistema, gracias a una asociación con la Autoridad de Reglamentación de las Telecomunicaciones y el Gobierno Digital de los Emiratos Árabes Unidos (TDRA). También se pusieron en marcha nuevos cursos en línea por conducto de la Academia de la UIT (Previsión estratégica 101, Previsión estratégica 201, Desarrollo de iniciativas para el Ecosistema 201 y Ecosistema 101), que suscitaron un considerable interés por parte de los miembros. También se impartieron sesiones de capacitación por conducto de clases magistrales sobre previsión </w:t>
            </w:r>
            <w:r w:rsidRPr="00E71B56">
              <w:rPr>
                <w:lang w:val="es-ES"/>
              </w:rPr>
              <w:lastRenderedPageBreak/>
              <w:t>estratégica, tanto en el GIF</w:t>
            </w:r>
            <w:r w:rsidRPr="00E71B56">
              <w:rPr>
                <w:lang w:val="es-ES"/>
              </w:rPr>
              <w:noBreakHyphen/>
              <w:t>24 como en el GSR</w:t>
            </w:r>
            <w:r w:rsidRPr="00E71B56">
              <w:rPr>
                <w:lang w:val="es-ES"/>
              </w:rPr>
              <w:noBreakHyphen/>
              <w:t>25, destinadas a los encargados de formular políticas y a los demás grupos de miembros.</w:t>
            </w:r>
          </w:p>
          <w:p w14:paraId="098D5C5A" w14:textId="77777777" w:rsidR="00BD155E" w:rsidRPr="00E71B56" w:rsidRDefault="00BD155E" w:rsidP="00A372FB">
            <w:pPr>
              <w:rPr>
                <w:lang w:val="es-ES"/>
              </w:rPr>
            </w:pPr>
            <w:r w:rsidRPr="00E71B56">
              <w:rPr>
                <w:lang w:val="es-ES"/>
              </w:rPr>
              <w:t xml:space="preserve">La implementación difirió en función de las regiones, y cada una de ellas adaptó los marcos mundiales de la Alianza a los contextos nacionales y locales. En el plano regional, algunos de los efectos troncales fueron la prestación de asistencia técnica para el desarrollo de estrategias y hojas de ruta (mediante los </w:t>
            </w:r>
            <w:hyperlink r:id="rId108" w:history="1">
              <w:r w:rsidRPr="00E71B56">
                <w:rPr>
                  <w:rStyle w:val="Hyperlink"/>
                  <w:lang w:val="es-ES"/>
                </w:rPr>
                <w:t>Perfiles de Innovación Digital</w:t>
              </w:r>
            </w:hyperlink>
            <w:r w:rsidRPr="00E71B56">
              <w:rPr>
                <w:lang w:val="es-ES"/>
              </w:rPr>
              <w:t>) para fortalecer los ecosistemas de innovación digital, el despliegue de proyectos específicos y la creación de Centros de Aceleración de la UIT.</w:t>
            </w:r>
            <w:hyperlink r:id="rId109" w:history="1"/>
          </w:p>
          <w:p w14:paraId="0F1CA072" w14:textId="77777777" w:rsidR="00BD155E" w:rsidRPr="00E71B56" w:rsidRDefault="00BD155E" w:rsidP="00A372FB">
            <w:pPr>
              <w:rPr>
                <w:lang w:val="es-ES"/>
              </w:rPr>
            </w:pPr>
            <w:r w:rsidRPr="00E71B56">
              <w:rPr>
                <w:lang w:val="es-ES"/>
              </w:rPr>
              <w:t xml:space="preserve">En </w:t>
            </w:r>
            <w:r w:rsidRPr="00E71B56">
              <w:rPr>
                <w:b/>
                <w:bCs/>
                <w:lang w:val="es-ES"/>
              </w:rPr>
              <w:t>África</w:t>
            </w:r>
            <w:r w:rsidRPr="00E71B56">
              <w:rPr>
                <w:lang w:val="es-ES"/>
              </w:rPr>
              <w:t xml:space="preserve">, se completaron los perfiles de innovación para </w:t>
            </w:r>
            <w:r w:rsidRPr="00E71B56">
              <w:rPr>
                <w:b/>
                <w:bCs/>
                <w:lang w:val="es-ES"/>
              </w:rPr>
              <w:t>Mozambique</w:t>
            </w:r>
            <w:r w:rsidRPr="00E71B56">
              <w:rPr>
                <w:lang w:val="es-ES"/>
              </w:rPr>
              <w:t xml:space="preserve">, </w:t>
            </w:r>
            <w:r w:rsidRPr="00E71B56">
              <w:rPr>
                <w:b/>
                <w:bCs/>
                <w:lang w:val="es-ES"/>
              </w:rPr>
              <w:t xml:space="preserve">Zambia </w:t>
            </w:r>
            <w:r w:rsidRPr="00E71B56">
              <w:rPr>
                <w:lang w:val="es-ES"/>
              </w:rPr>
              <w:t>y</w:t>
            </w:r>
            <w:r w:rsidRPr="00E71B56">
              <w:rPr>
                <w:b/>
                <w:bCs/>
                <w:lang w:val="es-ES"/>
              </w:rPr>
              <w:t xml:space="preserve"> Zimbabwe.</w:t>
            </w:r>
            <w:r w:rsidRPr="00E71B56">
              <w:rPr>
                <w:lang w:val="es-ES"/>
              </w:rPr>
              <w:t xml:space="preserve"> En marzo de 2025, se celebró un taller técnico en el marco del proyecto VaMoz Digital!, en el que se ultimó el Perfil de Innovación Digital de </w:t>
            </w:r>
            <w:r w:rsidRPr="00E71B56">
              <w:rPr>
                <w:b/>
                <w:bCs/>
                <w:lang w:val="es-ES"/>
              </w:rPr>
              <w:t>Mozambique</w:t>
            </w:r>
            <w:r w:rsidRPr="00E71B56">
              <w:rPr>
                <w:lang w:val="es-ES"/>
              </w:rPr>
              <w:t>.</w:t>
            </w:r>
          </w:p>
          <w:p w14:paraId="5843EE49" w14:textId="77777777" w:rsidR="00BD155E" w:rsidRPr="00E71B56" w:rsidRDefault="00BD155E" w:rsidP="00A372FB">
            <w:pPr>
              <w:rPr>
                <w:lang w:val="es-ES"/>
              </w:rPr>
            </w:pPr>
            <w:r w:rsidRPr="00E71B56">
              <w:rPr>
                <w:lang w:val="es-ES"/>
              </w:rPr>
              <w:t xml:space="preserve">En </w:t>
            </w:r>
            <w:r w:rsidRPr="00E71B56">
              <w:rPr>
                <w:b/>
                <w:bCs/>
                <w:lang w:val="es-ES"/>
              </w:rPr>
              <w:t>Benin</w:t>
            </w:r>
            <w:r w:rsidRPr="00E71B56">
              <w:rPr>
                <w:lang w:val="es-ES"/>
              </w:rPr>
              <w:t xml:space="preserve">, en colaboración con el Fondo de Población de las Naciones Unidas (UNFPA), la BDT apoyó el diseño de una hoja de ruta para la innovación centrada en los jóvenes con un componente de género. La BDT también coorganizó el Concurso de Innovación de la UAT, en el que se expusieron soluciones impulsadas por la IA de jóvenes innovadores. Más de 50 organismos reguladores y encargados de formular políticas de países africanos de habla francesa participaron en un programa de gobernanza de datos, mientras que </w:t>
            </w:r>
            <w:r w:rsidRPr="00E71B56">
              <w:rPr>
                <w:b/>
                <w:lang w:val="es-ES"/>
              </w:rPr>
              <w:t>Senegal</w:t>
            </w:r>
            <w:r w:rsidRPr="00E71B56">
              <w:rPr>
                <w:lang w:val="es-ES"/>
              </w:rPr>
              <w:t xml:space="preserve"> puso en marcha un proyecto piloto de Justicia electrónica con la UIT, el PNUD, la Oficina de las Naciones Unidas de Servicios para Proyectos (UNOPS) y ONU Mujer, transformando los procesos judiciales por conducto de la digitalización.</w:t>
            </w:r>
          </w:p>
          <w:p w14:paraId="41193B30" w14:textId="77777777" w:rsidR="00BD155E" w:rsidRPr="00E71B56" w:rsidRDefault="00BD155E" w:rsidP="00A372FB">
            <w:pPr>
              <w:rPr>
                <w:lang w:val="es-ES"/>
              </w:rPr>
            </w:pPr>
            <w:r w:rsidRPr="00E71B56">
              <w:rPr>
                <w:lang w:val="es-ES"/>
              </w:rPr>
              <w:t>En la</w:t>
            </w:r>
            <w:r w:rsidRPr="00E71B56">
              <w:rPr>
                <w:b/>
                <w:bCs/>
                <w:lang w:val="es-ES"/>
              </w:rPr>
              <w:t xml:space="preserve"> región de Asia-Pacífico</w:t>
            </w:r>
            <w:r w:rsidRPr="00E71B56">
              <w:rPr>
                <w:lang w:val="es-ES"/>
              </w:rPr>
              <w:t xml:space="preserve">, </w:t>
            </w:r>
            <w:r w:rsidRPr="00E71B56">
              <w:rPr>
                <w:b/>
                <w:bCs/>
                <w:lang w:val="es-ES"/>
              </w:rPr>
              <w:t xml:space="preserve">la Oficina Zonal de la UIT y Centro de Innovación </w:t>
            </w:r>
            <w:r w:rsidRPr="00E71B56">
              <w:rPr>
                <w:lang w:val="es-ES"/>
              </w:rPr>
              <w:t>de Delhi (India) se ha creado como centro regional para la innovación digital y las tecnologías emergentes, y puso en marcha una nueva plataforma titulada "Café para la Innovación" en febrero de 2025, con el objetivo de convertir las ideas abstractas en resultados accionables y hacer que la "innovación" sea accesible para todos. Desde febrero de 2025, se han organizado en total ocho Cafés para la Innovación sobre temas como la IA y la Internet de las cosas (IoT), la identidad digital, el sostenimiento de la iniciativa de Islas Inteligentes por conducto de soluciones innovadoras, los residuos electrónicos, la IA para la transformación digital, el futuro de la IA y la mejora de la conectividad en los PDSL. Hasta ahora, en los Cafés para la Innovación han participado más de 300 personas de más de 30 Estados Miembros en la región de Asia</w:t>
            </w:r>
            <w:r w:rsidRPr="00E71B56">
              <w:rPr>
                <w:lang w:val="es-ES"/>
              </w:rPr>
              <w:noBreakHyphen/>
              <w:t xml:space="preserve">Pacífico, destacando las oportunidades estratégicas para la UIT, entre ellas la necesidad de crear iniciativas de compartición de conocimientos en </w:t>
            </w:r>
            <w:r w:rsidRPr="00E71B56">
              <w:rPr>
                <w:lang w:val="es-ES"/>
              </w:rPr>
              <w:lastRenderedPageBreak/>
              <w:t xml:space="preserve">materia de IA e identidad digital; y la importancia de crear soluciones innovadoras para la sostenibilidad de las "islas inteligentes". Con las próximas series de Cafés para la Innovación sobre la IA, el Centro de Innovación goza de una buena posición para atender las demandas de los Estados Miembros a nivel mundial. El </w:t>
            </w:r>
            <w:hyperlink r:id="rId110" w:history="1">
              <w:r w:rsidRPr="00E71B56">
                <w:rPr>
                  <w:rStyle w:val="Hyperlink"/>
                  <w:lang w:val="es-ES"/>
                </w:rPr>
                <w:t>Taller sobre el Acelerador de Iniciativas Regionales en Asia</w:t>
              </w:r>
              <w:r w:rsidRPr="00E71B56">
                <w:rPr>
                  <w:rStyle w:val="Hyperlink"/>
                  <w:lang w:val="es-ES"/>
                </w:rPr>
                <w:noBreakHyphen/>
                <w:t>Pacífico</w:t>
              </w:r>
            </w:hyperlink>
            <w:r w:rsidRPr="00E71B56">
              <w:rPr>
                <w:lang w:val="es-ES"/>
              </w:rPr>
              <w:t xml:space="preserve"> se celebró del 27 al 29 de abril de 2025 en Shenzhen (China), en conexión con el evento de BRICS. Este taller de tres días de duración fue organizado conjuntamente por la UIT, la Academia de Tecnologías de la Información y las Comunicaciones de China y la sucursal china del Instituto BRICS de Redes Futuras.</w:t>
            </w:r>
            <w:hyperlink r:id="rId111" w:history="1"/>
          </w:p>
          <w:p w14:paraId="00008405" w14:textId="77777777" w:rsidR="00BD155E" w:rsidRPr="00E71B56" w:rsidRDefault="00BD155E" w:rsidP="00A372FB">
            <w:pPr>
              <w:rPr>
                <w:lang w:val="es-ES"/>
              </w:rPr>
            </w:pPr>
            <w:r w:rsidRPr="00E71B56">
              <w:rPr>
                <w:lang w:val="es-ES"/>
              </w:rPr>
              <w:t xml:space="preserve">En la </w:t>
            </w:r>
            <w:r w:rsidRPr="00E71B56">
              <w:rPr>
                <w:b/>
                <w:bCs/>
                <w:lang w:val="es-ES"/>
              </w:rPr>
              <w:t>región de las Américas</w:t>
            </w:r>
            <w:r w:rsidRPr="00E71B56">
              <w:rPr>
                <w:lang w:val="es-ES"/>
              </w:rPr>
              <w:t>, la</w:t>
            </w:r>
            <w:r w:rsidRPr="00E71B56">
              <w:rPr>
                <w:b/>
                <w:bCs/>
                <w:lang w:val="es-ES"/>
              </w:rPr>
              <w:t xml:space="preserve"> República Dominicana</w:t>
            </w:r>
            <w:r w:rsidRPr="00E71B56">
              <w:rPr>
                <w:lang w:val="es-ES"/>
              </w:rPr>
              <w:t xml:space="preserve"> avanzó en el diseño de sus Centros de Aceleración para actuar como soporte de la innovación nacional. </w:t>
            </w:r>
            <w:r w:rsidRPr="00E71B56">
              <w:rPr>
                <w:b/>
                <w:bCs/>
                <w:lang w:val="es-ES"/>
              </w:rPr>
              <w:t>Brasil</w:t>
            </w:r>
            <w:r w:rsidRPr="00E71B56">
              <w:rPr>
                <w:lang w:val="es-ES"/>
              </w:rPr>
              <w:t xml:space="preserve">, </w:t>
            </w:r>
            <w:r w:rsidRPr="00E71B56">
              <w:rPr>
                <w:b/>
                <w:bCs/>
                <w:lang w:val="es-ES"/>
              </w:rPr>
              <w:t xml:space="preserve">Suriname </w:t>
            </w:r>
            <w:r w:rsidRPr="00E71B56">
              <w:rPr>
                <w:lang w:val="es-ES"/>
              </w:rPr>
              <w:t>y la</w:t>
            </w:r>
            <w:r w:rsidRPr="00E71B56">
              <w:rPr>
                <w:b/>
                <w:bCs/>
                <w:lang w:val="es-ES"/>
              </w:rPr>
              <w:t> OECO</w:t>
            </w:r>
            <w:r w:rsidRPr="00E71B56">
              <w:rPr>
                <w:lang w:val="es-ES"/>
              </w:rPr>
              <w:t xml:space="preserve"> se beneficiaron de programas de formación y ejercicios de cartografía del ecosistema, que mejoraron los conocimientos de los responsables de formular políticas y proporcionaron una imagen clara de los panoramas nacionales de la innovación. </w:t>
            </w:r>
            <w:r w:rsidRPr="00E71B56">
              <w:rPr>
                <w:b/>
                <w:bCs/>
                <w:lang w:val="es-ES"/>
              </w:rPr>
              <w:t xml:space="preserve">Colombia </w:t>
            </w:r>
            <w:r w:rsidRPr="00E71B56">
              <w:rPr>
                <w:lang w:val="es-ES"/>
              </w:rPr>
              <w:t xml:space="preserve">actualizó su marco nacional de innovación, adaptándolo a estrategias de diversificación económica más amplias. En los talleres regionales organizados en el marco del programa TAIEX de la UIT y la CE se profundizaron los conocimientos técnicos en materia de innovación impulsada por las pymes y la preparación para la 5G, demostrando la manera en la que pueden adaptarse las políticas de innovación al grado de preparación del mercado y las infraestructuras. Además, a fin de apoyar la gobernanza digital, la BDT prestó asistencia técnica a la </w:t>
            </w:r>
            <w:r w:rsidRPr="00E71B56">
              <w:rPr>
                <w:b/>
                <w:bCs/>
                <w:lang w:val="es-ES"/>
              </w:rPr>
              <w:t>República Dominicana</w:t>
            </w:r>
            <w:r w:rsidRPr="00E71B56">
              <w:rPr>
                <w:lang w:val="es-ES"/>
              </w:rPr>
              <w:t xml:space="preserve">, </w:t>
            </w:r>
            <w:r w:rsidRPr="00E71B56">
              <w:rPr>
                <w:b/>
                <w:bCs/>
                <w:lang w:val="es-ES"/>
              </w:rPr>
              <w:t xml:space="preserve">Saint Kitts y Nevis </w:t>
            </w:r>
            <w:r w:rsidRPr="00E71B56">
              <w:rPr>
                <w:lang w:val="es-ES"/>
              </w:rPr>
              <w:t xml:space="preserve">y </w:t>
            </w:r>
            <w:r w:rsidRPr="00E71B56">
              <w:rPr>
                <w:b/>
                <w:bCs/>
                <w:lang w:val="es-ES"/>
              </w:rPr>
              <w:t>Trinidad y Tabago</w:t>
            </w:r>
            <w:r w:rsidRPr="00E71B56">
              <w:rPr>
                <w:lang w:val="es-ES"/>
              </w:rPr>
              <w:t xml:space="preserve">. Este apoyo los ayudó a establecer un ecosistema jurídico coherente para los sistemas de identidad electrónica, que es fundamental para la seguridad de los servicios digitales. La BDT contribuyó a la Cumbre Técnica Internacional de </w:t>
            </w:r>
            <w:r w:rsidRPr="00E71B56">
              <w:rPr>
                <w:b/>
                <w:bCs/>
                <w:lang w:val="es-ES"/>
              </w:rPr>
              <w:t>Haití</w:t>
            </w:r>
            <w:r w:rsidRPr="00E71B56">
              <w:rPr>
                <w:lang w:val="es-ES"/>
              </w:rPr>
              <w:t xml:space="preserve"> sobre la Mujer, sobre el tema de "la innovación inclusiva: motor de la rentabilidad económica y financiera", que fue organizada por la Cámara de Comercio de las Mujeres Empresarias de Haití, con el apoyo del Banco Central y la Administración de Haití (CONATEL).</w:t>
            </w:r>
          </w:p>
          <w:p w14:paraId="2ED576A7" w14:textId="77777777" w:rsidR="00BD155E" w:rsidRPr="00E71B56" w:rsidRDefault="00BD155E" w:rsidP="00A372FB">
            <w:pPr>
              <w:rPr>
                <w:lang w:val="es-ES"/>
              </w:rPr>
            </w:pPr>
            <w:r w:rsidRPr="00E71B56">
              <w:rPr>
                <w:lang w:val="es-ES"/>
              </w:rPr>
              <w:t xml:space="preserve">En la </w:t>
            </w:r>
            <w:r w:rsidRPr="00E71B56">
              <w:rPr>
                <w:b/>
                <w:bCs/>
                <w:lang w:val="es-ES"/>
              </w:rPr>
              <w:t>región de los Estados Árabes</w:t>
            </w:r>
            <w:r w:rsidRPr="00E71B56">
              <w:rPr>
                <w:lang w:val="es-ES"/>
              </w:rPr>
              <w:t xml:space="preserve">, </w:t>
            </w:r>
            <w:r w:rsidRPr="00E71B56">
              <w:rPr>
                <w:b/>
                <w:bCs/>
                <w:lang w:val="es-ES"/>
              </w:rPr>
              <w:t xml:space="preserve">Bahrein </w:t>
            </w:r>
            <w:r w:rsidRPr="00E71B56">
              <w:rPr>
                <w:lang w:val="es-ES"/>
              </w:rPr>
              <w:t xml:space="preserve">ultimó su Perfil de Innovación Digital, mientras que </w:t>
            </w:r>
            <w:r w:rsidRPr="00E71B56">
              <w:rPr>
                <w:b/>
                <w:bCs/>
                <w:lang w:val="es-ES"/>
              </w:rPr>
              <w:t xml:space="preserve">Qatar </w:t>
            </w:r>
            <w:r w:rsidRPr="00E71B56">
              <w:rPr>
                <w:lang w:val="es-ES"/>
              </w:rPr>
              <w:t>y</w:t>
            </w:r>
            <w:r w:rsidRPr="00E71B56">
              <w:rPr>
                <w:b/>
                <w:bCs/>
                <w:lang w:val="es-ES"/>
              </w:rPr>
              <w:t xml:space="preserve"> Jordania</w:t>
            </w:r>
            <w:r w:rsidRPr="00E71B56">
              <w:rPr>
                <w:lang w:val="es-ES"/>
              </w:rPr>
              <w:t xml:space="preserve"> realizaron avances para su ultimación en 2025, y el </w:t>
            </w:r>
            <w:r w:rsidRPr="00E71B56">
              <w:rPr>
                <w:b/>
                <w:bCs/>
                <w:lang w:val="es-ES"/>
              </w:rPr>
              <w:t xml:space="preserve">Estado de Palestina </w:t>
            </w:r>
            <w:r w:rsidRPr="00E71B56">
              <w:rPr>
                <w:lang w:val="es-ES"/>
              </w:rPr>
              <w:t>y</w:t>
            </w:r>
            <w:r w:rsidRPr="00E71B56">
              <w:rPr>
                <w:b/>
                <w:bCs/>
                <w:lang w:val="es-ES"/>
              </w:rPr>
              <w:t xml:space="preserve"> Túnez</w:t>
            </w:r>
            <w:r w:rsidRPr="00E71B56">
              <w:rPr>
                <w:lang w:val="es-ES"/>
              </w:rPr>
              <w:t xml:space="preserve"> empezaron sus propios procesos. Una nueva alianza con la TDRA de los</w:t>
            </w:r>
            <w:r w:rsidRPr="00E71B56">
              <w:rPr>
                <w:b/>
                <w:bCs/>
                <w:lang w:val="es-ES"/>
              </w:rPr>
              <w:t xml:space="preserve"> Emiratos Árabes Unidos</w:t>
            </w:r>
            <w:r w:rsidRPr="00E71B56">
              <w:rPr>
                <w:lang w:val="es-ES"/>
              </w:rPr>
              <w:t xml:space="preserve"> en el marco de la iniciativa iCodi institucionalizó la figura de los talleres mundiales y regionales como oportunidades de diálogo recurrentes.</w:t>
            </w:r>
          </w:p>
          <w:p w14:paraId="4E35BF68" w14:textId="77777777" w:rsidR="00BD155E" w:rsidRPr="00E71B56" w:rsidRDefault="00BD155E" w:rsidP="00A372FB">
            <w:pPr>
              <w:rPr>
                <w:lang w:val="es-ES"/>
              </w:rPr>
            </w:pPr>
            <w:r w:rsidRPr="00E71B56">
              <w:rPr>
                <w:lang w:val="es-ES"/>
              </w:rPr>
              <w:lastRenderedPageBreak/>
              <w:t xml:space="preserve">En la </w:t>
            </w:r>
            <w:r w:rsidRPr="00E71B56">
              <w:rPr>
                <w:b/>
                <w:bCs/>
                <w:lang w:val="es-ES"/>
              </w:rPr>
              <w:t>región de Europa</w:t>
            </w:r>
            <w:r w:rsidRPr="00E71B56">
              <w:rPr>
                <w:lang w:val="es-ES"/>
              </w:rPr>
              <w:t xml:space="preserve">, </w:t>
            </w:r>
            <w:r w:rsidRPr="00E71B56">
              <w:rPr>
                <w:b/>
                <w:bCs/>
                <w:lang w:val="es-ES"/>
              </w:rPr>
              <w:t>Albania</w:t>
            </w:r>
            <w:r w:rsidRPr="00E71B56">
              <w:rPr>
                <w:lang w:val="es-ES"/>
              </w:rPr>
              <w:t xml:space="preserve"> ultimó su Perfil de Innovación Digital, adaptándolo a su Estrategia de Especialización Inteligente y ejecutándolo mediante una comisión interministerial presidida por el Vice Primer Ministro. </w:t>
            </w:r>
            <w:r w:rsidRPr="00E71B56">
              <w:rPr>
                <w:b/>
                <w:bCs/>
                <w:lang w:val="es-ES"/>
              </w:rPr>
              <w:t xml:space="preserve">Montenegro </w:t>
            </w:r>
            <w:r w:rsidRPr="00E71B56">
              <w:rPr>
                <w:lang w:val="es-ES"/>
              </w:rPr>
              <w:t xml:space="preserve">avanzó en sus iniciativas de transformación digital en colaboración con la UNOPS y, en 2025, celebró el </w:t>
            </w:r>
            <w:hyperlink r:id="rId112" w:history="1">
              <w:r w:rsidRPr="00E71B56">
                <w:rPr>
                  <w:rStyle w:val="Hyperlink"/>
                  <w:lang w:val="es-ES"/>
                </w:rPr>
                <w:t>Taller del Acelerador de Iniciativas Regionales</w:t>
              </w:r>
            </w:hyperlink>
            <w:r w:rsidRPr="00E71B56">
              <w:rPr>
                <w:lang w:val="es-ES"/>
              </w:rPr>
              <w:t xml:space="preserve">, que dio lugar a la creación de cinco conceptos de proyectos valorados en 20 millones USD para los países de los Balcanes Occidentales. El Informe sobre el Panorama de la Innovación de </w:t>
            </w:r>
            <w:r w:rsidRPr="00E71B56">
              <w:rPr>
                <w:b/>
                <w:bCs/>
                <w:lang w:val="es-ES"/>
              </w:rPr>
              <w:t>Malta</w:t>
            </w:r>
            <w:r w:rsidRPr="00E71B56">
              <w:rPr>
                <w:lang w:val="es-ES"/>
              </w:rPr>
              <w:t>, publicado en el Foro Mundial de Innovación de 2024, reforzó su papel como modelo para la integración de las partes interesadas y la planificación basada en las previsiones, sentando un precedente para los demás Estados Miembros.</w:t>
            </w:r>
            <w:hyperlink r:id="rId113"/>
          </w:p>
          <w:p w14:paraId="7EFCDF21" w14:textId="77777777" w:rsidR="00BD155E" w:rsidRPr="00E71B56" w:rsidRDefault="00BD155E" w:rsidP="00A372FB">
            <w:pPr>
              <w:keepNext/>
              <w:keepLines/>
              <w:rPr>
                <w:lang w:val="es-ES"/>
              </w:rPr>
            </w:pPr>
            <w:r w:rsidRPr="00E71B56">
              <w:rPr>
                <w:lang w:val="es-ES"/>
              </w:rPr>
              <w:t xml:space="preserve">En la </w:t>
            </w:r>
            <w:r w:rsidRPr="00E71B56">
              <w:rPr>
                <w:b/>
                <w:bCs/>
                <w:lang w:val="es-ES"/>
              </w:rPr>
              <w:t>región de la CEI</w:t>
            </w:r>
            <w:r w:rsidRPr="00E71B56">
              <w:rPr>
                <w:lang w:val="es-ES"/>
              </w:rPr>
              <w:t xml:space="preserve">, </w:t>
            </w:r>
            <w:r w:rsidRPr="00E71B56">
              <w:rPr>
                <w:b/>
                <w:bCs/>
                <w:lang w:val="es-ES"/>
              </w:rPr>
              <w:t>Tayikistán</w:t>
            </w:r>
            <w:r w:rsidRPr="00E71B56">
              <w:rPr>
                <w:lang w:val="es-ES"/>
              </w:rPr>
              <w:t xml:space="preserve"> organizó "ideatones" para presentar a los estudiantes la creación de empresas de nueva creación y las competencias empresariales, mientras que </w:t>
            </w:r>
            <w:r w:rsidRPr="00E71B56">
              <w:rPr>
                <w:b/>
                <w:bCs/>
                <w:lang w:val="es-ES"/>
              </w:rPr>
              <w:t xml:space="preserve">Belarús </w:t>
            </w:r>
            <w:r w:rsidRPr="00E71B56">
              <w:rPr>
                <w:lang w:val="es-ES"/>
              </w:rPr>
              <w:t xml:space="preserve">organizó un hackatón sobre ciudades inteligentes en el que participaron más de 100 universidades que desarrollaban soluciones tecnológicas para problemas urbanos. </w:t>
            </w:r>
            <w:r w:rsidRPr="00E71B56">
              <w:rPr>
                <w:b/>
                <w:bCs/>
                <w:lang w:val="es-ES"/>
              </w:rPr>
              <w:t xml:space="preserve">Kirguistán </w:t>
            </w:r>
            <w:r w:rsidRPr="00E71B56">
              <w:rPr>
                <w:lang w:val="es-ES"/>
              </w:rPr>
              <w:t>impulsó una estrategia nacional sobre el ecosistema de empresas de nueva creación en 2025, apoyada por una formación para administradores de aceleradores con el fin de fortalecer las infraestructuras de innovación. En el concurso Batken 4.0 participaron municipios, universidades y empresarios para diseñar conjuntamente soluciones digitales que atendían las necesidades locales, demostrando la manera en la que la innovación podía basarse en las prioridades comunitarias. Estos esfuerzos destacaron el creciente reconocimiento en la región de que los ecosistemas digitales florecen cuando los jóvenes talentos y las partes interesadas locales se sitúan en el centro de la innovación.</w:t>
            </w:r>
          </w:p>
          <w:p w14:paraId="4608F9D6" w14:textId="77777777" w:rsidR="00BD155E" w:rsidRPr="00E71B56" w:rsidRDefault="00BD155E" w:rsidP="00A372FB">
            <w:pPr>
              <w:rPr>
                <w:lang w:val="es-ES"/>
              </w:rPr>
            </w:pPr>
            <w:r w:rsidRPr="00E71B56">
              <w:rPr>
                <w:lang w:val="es-ES"/>
              </w:rPr>
              <w:t xml:space="preserve">La BDT sigue probando un </w:t>
            </w:r>
            <w:r w:rsidRPr="00E71B56">
              <w:rPr>
                <w:b/>
                <w:bCs/>
                <w:lang w:val="es-ES"/>
              </w:rPr>
              <w:t>Marco de Aceleración de Iniciativas Regionales</w:t>
            </w:r>
            <w:r w:rsidRPr="00E71B56">
              <w:rPr>
                <w:lang w:val="es-ES"/>
              </w:rPr>
              <w:t xml:space="preserve"> con financiación del MIIT de China y está preparando su implementación e integración en las nuevas iniciativas regionales que se adoptarán en Bakú (República de Azerbaiyán), y también sigue impulsando los productos procedentes de las estrategias, las hojas de ruta o las actividades de los Cafés para la Innovación. Todo esto crea vías para la prestación sistémica de servicios destinados a apoyar a los Estados Miembros de la UIT.</w:t>
            </w:r>
          </w:p>
          <w:p w14:paraId="61656287" w14:textId="77777777" w:rsidR="00BD155E" w:rsidRPr="00E71B56" w:rsidRDefault="00BD155E" w:rsidP="00A372FB">
            <w:pPr>
              <w:rPr>
                <w:lang w:val="es-ES"/>
              </w:rPr>
            </w:pPr>
            <w:r w:rsidRPr="00E71B56">
              <w:rPr>
                <w:lang w:val="es-ES"/>
              </w:rPr>
              <w:t xml:space="preserve">En general, los ecosistemas de innovación digital han progresado hacia una implementación estructurada, anclada por los vehículos de la </w:t>
            </w:r>
            <w:r w:rsidRPr="00E71B56">
              <w:rPr>
                <w:b/>
                <w:bCs/>
                <w:lang w:val="es-ES"/>
              </w:rPr>
              <w:t>Alianza para la innovación y el emprendimiento para el desarrollo digital</w:t>
            </w:r>
            <w:r w:rsidRPr="00E71B56">
              <w:rPr>
                <w:lang w:val="es-ES"/>
              </w:rPr>
              <w:t>, las plataformas del conocimiento y la asistencia técnica prestada en el país.</w:t>
            </w:r>
          </w:p>
          <w:p w14:paraId="0981C271" w14:textId="77777777" w:rsidR="00BD155E" w:rsidRPr="00E71B56" w:rsidRDefault="00BD155E" w:rsidP="00A372FB">
            <w:pPr>
              <w:rPr>
                <w:lang w:val="es-ES"/>
              </w:rPr>
            </w:pPr>
            <w:r w:rsidRPr="00E71B56">
              <w:rPr>
                <w:lang w:val="es-ES"/>
              </w:rPr>
              <w:t xml:space="preserve">Combinados, estos esfuerzos ponen de relieve varias tendencias clave, a saber: ofrecer a los países la capacidad para navegar por un entorno desafiante; explorar espacios para la experimentación de políticas y </w:t>
            </w:r>
            <w:r w:rsidRPr="00E71B56">
              <w:rPr>
                <w:lang w:val="es-ES"/>
              </w:rPr>
              <w:lastRenderedPageBreak/>
              <w:t>las iniciativas; institucionalizar la gobernanza de la innovación; aprovechar las metodologías y los conocimientos mundiales para fortalecer la innovación digital localmente dirigida; fomentar las empresas de nueva creación y las pymes, y empoderar a las partes interesadas para que colaboren activamente y conformen sus ecosistemas digitales para el desarrollo socioeconómico.</w:t>
            </w:r>
          </w:p>
          <w:p w14:paraId="520D2405" w14:textId="77777777" w:rsidR="00BD155E" w:rsidRPr="00E71B56" w:rsidRDefault="00BD155E" w:rsidP="00A372FB">
            <w:pPr>
              <w:spacing w:after="120"/>
              <w:rPr>
                <w:lang w:val="es-ES"/>
              </w:rPr>
            </w:pPr>
            <w:r w:rsidRPr="00E71B56">
              <w:rPr>
                <w:lang w:val="es-ES"/>
              </w:rPr>
              <w:t>La BDT, como catalizador de ecosistemas de innovación inclusivos, resilientes y preparados para el futuro, sigue apoyando a los Estados Miembros, dotándolos de las herramientas y conocimientos necesarios para adaptar sus agendas digitales nacionales al desarrollo sostenible y a la evolutiva economía digital.</w:t>
            </w:r>
          </w:p>
        </w:tc>
        <w:tc>
          <w:tcPr>
            <w:tcW w:w="3323" w:type="dxa"/>
          </w:tcPr>
          <w:p w14:paraId="5D2BABC8" w14:textId="77777777" w:rsidR="00BD155E" w:rsidRPr="00E71B56" w:rsidRDefault="00BD155E" w:rsidP="00A372FB">
            <w:pPr>
              <w:rPr>
                <w:b/>
                <w:bCs/>
                <w:color w:val="0070C0"/>
                <w:lang w:val="es-ES"/>
              </w:rPr>
            </w:pPr>
            <w:r w:rsidRPr="00E71B56">
              <w:rPr>
                <w:b/>
                <w:bCs/>
                <w:color w:val="0070C0"/>
                <w:lang w:val="es-ES"/>
              </w:rPr>
              <w:lastRenderedPageBreak/>
              <w:t>Perfiles de innovación digital:</w:t>
            </w:r>
          </w:p>
          <w:p w14:paraId="6F69FAEF" w14:textId="77777777" w:rsidR="00BD155E" w:rsidRPr="00E71B56" w:rsidRDefault="00BD155E" w:rsidP="00A372FB">
            <w:pPr>
              <w:rPr>
                <w:bCs/>
                <w:lang w:val="es-ES"/>
              </w:rPr>
            </w:pPr>
            <w:r w:rsidRPr="00E71B56">
              <w:rPr>
                <w:lang w:val="es-ES"/>
              </w:rPr>
              <w:t>Desarrollo de estrategias, políticas, hojas de ruta y perfiles de innovación digital:</w:t>
            </w:r>
          </w:p>
          <w:p w14:paraId="4FCC9683"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 xml:space="preserve">África: </w:t>
            </w:r>
            <w:r w:rsidRPr="00E71B56">
              <w:rPr>
                <w:lang w:val="es-ES"/>
              </w:rPr>
              <w:t>Mozambique, Zambia y Zimbabwe</w:t>
            </w:r>
          </w:p>
          <w:p w14:paraId="76B70ACF"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Estados Árabes:</w:t>
            </w:r>
            <w:r w:rsidRPr="00E71B56">
              <w:rPr>
                <w:lang w:val="es-ES"/>
              </w:rPr>
              <w:t xml:space="preserve"> Bahrein, Jordania, Omán, Estado de Palestina y Qatar</w:t>
            </w:r>
          </w:p>
          <w:p w14:paraId="6726A4A1"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Europa:</w:t>
            </w:r>
            <w:r w:rsidRPr="00E71B56">
              <w:rPr>
                <w:lang w:val="es-ES"/>
              </w:rPr>
              <w:t xml:space="preserve"> Albania, Georgia, Macedonia del Norte y Serbia</w:t>
            </w:r>
          </w:p>
          <w:p w14:paraId="50869106"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Asia:</w:t>
            </w:r>
            <w:r w:rsidRPr="00E71B56">
              <w:rPr>
                <w:lang w:val="es-ES"/>
              </w:rPr>
              <w:t xml:space="preserve"> Brunei Darussalam</w:t>
            </w:r>
          </w:p>
          <w:p w14:paraId="55767988" w14:textId="77777777" w:rsidR="00BD155E" w:rsidRPr="00E71B56" w:rsidRDefault="00BD155E" w:rsidP="00A372FB">
            <w:pPr>
              <w:rPr>
                <w:b/>
                <w:bCs/>
                <w:color w:val="0070C0"/>
                <w:lang w:val="es-ES"/>
              </w:rPr>
            </w:pPr>
            <w:r w:rsidRPr="00E71B56">
              <w:rPr>
                <w:b/>
                <w:bCs/>
                <w:color w:val="0070C0"/>
                <w:lang w:val="es-ES"/>
              </w:rPr>
              <w:lastRenderedPageBreak/>
              <w:t>PMA, PDSL y PEID participantes/asistidos – Transformación digital:</w:t>
            </w:r>
          </w:p>
          <w:p w14:paraId="3D2134E4"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39 PMA, PDSL y PEID asistidos</w:t>
            </w:r>
          </w:p>
          <w:p w14:paraId="3DF6EA8A"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17 recibieron asistencia técnica</w:t>
            </w:r>
          </w:p>
          <w:p w14:paraId="4490968F"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22 elaboraron marcos políticos y productos del conocimiento</w:t>
            </w:r>
          </w:p>
          <w:p w14:paraId="79ECD166" w14:textId="77777777" w:rsidR="00BD155E" w:rsidRPr="00E71B56" w:rsidRDefault="00BD155E" w:rsidP="00A372FB">
            <w:pPr>
              <w:rPr>
                <w:b/>
                <w:bCs/>
                <w:color w:val="0070C0"/>
                <w:lang w:val="es-ES"/>
              </w:rPr>
            </w:pPr>
            <w:r w:rsidRPr="00E71B56">
              <w:rPr>
                <w:b/>
                <w:bCs/>
                <w:color w:val="0070C0"/>
                <w:lang w:val="es-ES"/>
              </w:rPr>
              <w:t>Foro Mundial de la Innovación y eventos relativos al desarrollo de la capacidad innovadora:</w:t>
            </w:r>
          </w:p>
          <w:p w14:paraId="0D2A3403"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Europa:</w:t>
            </w:r>
            <w:r w:rsidRPr="00E71B56">
              <w:rPr>
                <w:lang w:val="es-ES"/>
              </w:rPr>
              <w:t xml:space="preserve"> Malta</w:t>
            </w:r>
          </w:p>
          <w:p w14:paraId="271A179B"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Asia-Pacífico:</w:t>
            </w:r>
            <w:r w:rsidRPr="00E71B56">
              <w:rPr>
                <w:lang w:val="es-ES"/>
              </w:rPr>
              <w:t xml:space="preserve"> Fiji</w:t>
            </w:r>
          </w:p>
          <w:p w14:paraId="2F0857D9"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Estados Árabes:</w:t>
            </w:r>
            <w:r w:rsidRPr="00E71B56">
              <w:rPr>
                <w:lang w:val="es-ES"/>
              </w:rPr>
              <w:t xml:space="preserve"> Emiratos Árabes Unidos</w:t>
            </w:r>
          </w:p>
          <w:p w14:paraId="6E1EDEB2" w14:textId="77777777" w:rsidR="00BD155E" w:rsidRPr="00E71B56" w:rsidRDefault="00BD155E" w:rsidP="00A372FB">
            <w:pPr>
              <w:rPr>
                <w:b/>
                <w:bCs/>
                <w:color w:val="0070C0"/>
                <w:lang w:val="es-ES"/>
              </w:rPr>
            </w:pPr>
            <w:r w:rsidRPr="00E71B56">
              <w:rPr>
                <w:b/>
                <w:bCs/>
                <w:color w:val="0070C0"/>
                <w:lang w:val="es-ES"/>
              </w:rPr>
              <w:t>Programa de la Academia de la UIT:</w:t>
            </w:r>
          </w:p>
          <w:p w14:paraId="31523BB7"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 xml:space="preserve">4 cursos: </w:t>
            </w:r>
            <w:r w:rsidRPr="00E71B56">
              <w:rPr>
                <w:lang w:val="es-ES"/>
              </w:rPr>
              <w:t>Ecosistema 101, Desarrollo de iniciativas para el Ecosistema 201, Previsión estratégica 101 y 201</w:t>
            </w:r>
          </w:p>
          <w:p w14:paraId="3AC9A86F" w14:textId="77777777" w:rsidR="00BD155E" w:rsidRPr="00E71B56" w:rsidRDefault="00BD155E" w:rsidP="00A372FB">
            <w:pPr>
              <w:keepNext/>
              <w:keepLines/>
              <w:rPr>
                <w:b/>
                <w:bCs/>
                <w:color w:val="0070C0"/>
                <w:lang w:val="es-ES"/>
              </w:rPr>
            </w:pPr>
            <w:r w:rsidRPr="00E71B56">
              <w:rPr>
                <w:b/>
                <w:bCs/>
                <w:color w:val="0070C0"/>
                <w:lang w:val="es-ES"/>
              </w:rPr>
              <w:lastRenderedPageBreak/>
              <w:t>Centros de Aceleración de la UIT:</w:t>
            </w:r>
          </w:p>
          <w:p w14:paraId="654F72B4" w14:textId="77777777" w:rsidR="00BD155E" w:rsidRPr="00E71B56" w:rsidRDefault="00BD155E" w:rsidP="00A372FB">
            <w:pPr>
              <w:pStyle w:val="enumlev1"/>
              <w:keepNext/>
              <w:keepLines/>
              <w:tabs>
                <w:tab w:val="clear" w:pos="1134"/>
                <w:tab w:val="left" w:pos="330"/>
              </w:tabs>
              <w:ind w:left="330" w:hanging="330"/>
              <w:rPr>
                <w:lang w:val="es-ES"/>
              </w:rPr>
            </w:pPr>
            <w:r w:rsidRPr="00E71B56">
              <w:rPr>
                <w:lang w:val="es-ES"/>
              </w:rPr>
              <w:t>○</w:t>
            </w:r>
            <w:r w:rsidRPr="00E71B56">
              <w:rPr>
                <w:lang w:val="es-ES"/>
              </w:rPr>
              <w:tab/>
              <w:t>Una red de 17 Centros de Aceleración de la UIT en desarrollo</w:t>
            </w:r>
          </w:p>
          <w:p w14:paraId="33F04F10" w14:textId="77777777" w:rsidR="00BD155E" w:rsidRPr="00E71B56" w:rsidRDefault="00BD155E" w:rsidP="00A372FB">
            <w:pPr>
              <w:pStyle w:val="enumlev1"/>
              <w:keepNext/>
              <w:keepLines/>
              <w:tabs>
                <w:tab w:val="clear" w:pos="1134"/>
                <w:tab w:val="left" w:pos="330"/>
              </w:tabs>
              <w:ind w:left="330" w:hanging="330"/>
              <w:rPr>
                <w:b/>
                <w:lang w:val="es-ES"/>
              </w:rPr>
            </w:pPr>
            <w:r w:rsidRPr="00E71B56">
              <w:rPr>
                <w:lang w:val="es-ES"/>
              </w:rPr>
              <w:t>○</w:t>
            </w:r>
            <w:r w:rsidRPr="00E71B56">
              <w:rPr>
                <w:lang w:val="es-ES"/>
              </w:rPr>
              <w:tab/>
              <w:t>8 Guías de la Innovación</w:t>
            </w:r>
          </w:p>
        </w:tc>
      </w:tr>
      <w:tr w:rsidR="00BD155E" w:rsidRPr="00E71B56" w14:paraId="268142B0" w14:textId="77777777" w:rsidTr="00A372FB">
        <w:trPr>
          <w:jc w:val="center"/>
        </w:trPr>
        <w:tc>
          <w:tcPr>
            <w:tcW w:w="15384" w:type="dxa"/>
            <w:gridSpan w:val="3"/>
            <w:shd w:val="clear" w:color="auto" w:fill="E5DFEC"/>
          </w:tcPr>
          <w:p w14:paraId="5624A12D" w14:textId="77777777" w:rsidR="00BD155E" w:rsidRPr="00E71B56" w:rsidRDefault="00BD155E" w:rsidP="00A372FB">
            <w:pPr>
              <w:pStyle w:val="Heading3"/>
              <w:rPr>
                <w:color w:val="0070C0"/>
                <w:lang w:val="es-ES"/>
              </w:rPr>
            </w:pPr>
            <w:bookmarkStart w:id="29" w:name="_Toc212728820"/>
            <w:bookmarkStart w:id="30" w:name="_Toc213427968"/>
            <w:r w:rsidRPr="00E71B56">
              <w:rPr>
                <w:color w:val="0070C0"/>
                <w:lang w:val="es-ES"/>
              </w:rPr>
              <w:lastRenderedPageBreak/>
              <w:t>Servicios y aplicaciones digitales</w:t>
            </w:r>
            <w:bookmarkEnd w:id="29"/>
            <w:bookmarkEnd w:id="30"/>
          </w:p>
          <w:p w14:paraId="56481603" w14:textId="77777777" w:rsidR="00BD155E" w:rsidRPr="00E71B56" w:rsidRDefault="00BD155E" w:rsidP="00A372FB">
            <w:pPr>
              <w:keepNext/>
              <w:keepLines/>
              <w:rPr>
                <w:i/>
                <w:iCs/>
                <w:lang w:val="es-ES"/>
              </w:rPr>
            </w:pPr>
            <w:r w:rsidRPr="00E71B56">
              <w:rPr>
                <w:b/>
                <w:bCs/>
                <w:i/>
                <w:iCs/>
                <w:lang w:val="es-ES"/>
              </w:rPr>
              <w:t>Realización:</w:t>
            </w:r>
            <w:r w:rsidRPr="00E71B56">
              <w:rPr>
                <w:i/>
                <w:iCs/>
                <w:lang w:val="es-ES"/>
              </w:rPr>
              <w:t xml:space="preserve"> Mejora de la capacidad de los Miembros de la UIT para acelerar la transformación digital y el desarrollo socioeconómico sostenible aprovechando y utilizando las telecomunicaciones/TIC y los servicios nuevos e incipientes de los Miembros de la UIT en las telecomunicaciones/TIC para fomentar la transformación digital</w:t>
            </w:r>
          </w:p>
        </w:tc>
      </w:tr>
      <w:tr w:rsidR="00BD155E" w:rsidRPr="00E71B56" w14:paraId="189D2BF2" w14:textId="77777777" w:rsidTr="00A372FB">
        <w:trPr>
          <w:jc w:val="center"/>
        </w:trPr>
        <w:tc>
          <w:tcPr>
            <w:tcW w:w="12061" w:type="dxa"/>
            <w:gridSpan w:val="2"/>
          </w:tcPr>
          <w:p w14:paraId="47E82C5C" w14:textId="77777777" w:rsidR="00BD155E" w:rsidRPr="00E71B56" w:rsidRDefault="00BD155E" w:rsidP="00A372FB">
            <w:pPr>
              <w:keepNext/>
              <w:keepLines/>
              <w:jc w:val="center"/>
              <w:rPr>
                <w:b/>
                <w:bCs/>
                <w:color w:val="0070C0"/>
                <w:lang w:val="es-ES"/>
              </w:rPr>
            </w:pPr>
          </w:p>
        </w:tc>
        <w:tc>
          <w:tcPr>
            <w:tcW w:w="3323" w:type="dxa"/>
          </w:tcPr>
          <w:p w14:paraId="30FA97C5" w14:textId="77777777" w:rsidR="00BD155E" w:rsidRPr="00E71B56" w:rsidRDefault="00BD155E" w:rsidP="00A372FB">
            <w:pPr>
              <w:keepNext/>
              <w:keepLines/>
              <w:jc w:val="center"/>
              <w:rPr>
                <w:b/>
                <w:bCs/>
                <w:color w:val="0070C0"/>
                <w:lang w:val="es-ES"/>
              </w:rPr>
            </w:pPr>
            <w:r w:rsidRPr="00E71B56">
              <w:rPr>
                <w:b/>
                <w:bCs/>
                <w:color w:val="0070C0"/>
                <w:lang w:val="es-ES"/>
              </w:rPr>
              <w:t>Aspectos destacados</w:t>
            </w:r>
          </w:p>
        </w:tc>
      </w:tr>
      <w:tr w:rsidR="00BD155E" w:rsidRPr="00E71B56" w14:paraId="0BBAD853" w14:textId="77777777" w:rsidTr="00A372FB">
        <w:trPr>
          <w:jc w:val="center"/>
        </w:trPr>
        <w:tc>
          <w:tcPr>
            <w:tcW w:w="12061" w:type="dxa"/>
            <w:gridSpan w:val="2"/>
          </w:tcPr>
          <w:p w14:paraId="60ABB269" w14:textId="77777777" w:rsidR="00BD155E" w:rsidRPr="00E71B56" w:rsidRDefault="00BD155E" w:rsidP="00A372FB">
            <w:pPr>
              <w:rPr>
                <w:lang w:val="es-ES"/>
              </w:rPr>
            </w:pPr>
            <w:r w:rsidRPr="00E71B56">
              <w:rPr>
                <w:lang w:val="es-ES"/>
              </w:rPr>
              <w:t xml:space="preserve">Entre 2023 y 2025, la BDT reforzó su apoyo a los Estados Miembros para acelerar la inclusión de los servicios y las aplicaciones digitales como parte de sus objetivos nacionales en materia de desarrollo de las TIC. Esta labor ilustra la manera en la que la transformación digital requiere infraestructuras, así como servicios y aplicaciones que conecten a los gobiernos, los ciudadanos y las comunidades. Por conducto de marcos como </w:t>
            </w:r>
            <w:hyperlink r:id="rId114">
              <w:r w:rsidRPr="00E71B56">
                <w:rPr>
                  <w:rStyle w:val="Hyperlink"/>
                  <w:lang w:val="es-ES"/>
                </w:rPr>
                <w:t>GovStack</w:t>
              </w:r>
            </w:hyperlink>
            <w:r w:rsidRPr="00E71B56">
              <w:rPr>
                <w:lang w:val="es-ES"/>
              </w:rPr>
              <w:t>, la iniciativa Aldeas Inteligentes e Islas Inteligentes, la expansión de los ecosistemas de código abierto y las soluciones de salud y agricultura digital, la BDT centró su labor en los servicios digitales como habilitadores fundamentales del crecimiento inclusivo, la resiliencia social y las oportunidades económicas. La intensificación de estas iniciativas garantizó que fuesen interoperables, inclusivas y adaptables a diferentes contextos nacionales. El trabajo de la BDT estuvo marcado por una amplia implicación regional, proyectos pilotos llevados a cabo en los países y plataformas de colaboración, mediante las cuales se tradujo la innovación en beneficios mensurables para los países de las diferentes regiones.</w:t>
            </w:r>
            <w:hyperlink r:id="rId115"/>
          </w:p>
          <w:p w14:paraId="35E85BA2" w14:textId="77777777" w:rsidR="00BD155E" w:rsidRPr="00E71B56" w:rsidRDefault="00BD155E" w:rsidP="00A372FB">
            <w:pPr>
              <w:keepNext/>
              <w:keepLines/>
              <w:rPr>
                <w:lang w:val="es-ES"/>
              </w:rPr>
            </w:pPr>
            <w:r w:rsidRPr="00E71B56">
              <w:rPr>
                <w:lang w:val="es-ES"/>
              </w:rPr>
              <w:lastRenderedPageBreak/>
              <w:t xml:space="preserve">La expansión de GovStack, que emergió como marco transformador para los servicios de gobierno digital, ofreció bases sólidas para progresar a nivel mundial. Se publicaron 15 especificaciones para los elementos constitutivos de un gobierno digital, como </w:t>
            </w:r>
            <w:r w:rsidRPr="00E71B56">
              <w:rPr>
                <w:b/>
                <w:bCs/>
                <w:lang w:val="es-ES"/>
              </w:rPr>
              <w:t>la identidad</w:t>
            </w:r>
            <w:r w:rsidRPr="00E71B56">
              <w:rPr>
                <w:lang w:val="es-ES"/>
              </w:rPr>
              <w:t xml:space="preserve">, </w:t>
            </w:r>
            <w:r w:rsidRPr="00E71B56">
              <w:rPr>
                <w:b/>
                <w:bCs/>
                <w:lang w:val="es-ES"/>
              </w:rPr>
              <w:t>los pagos</w:t>
            </w:r>
            <w:r w:rsidRPr="00E71B56">
              <w:rPr>
                <w:lang w:val="es-ES"/>
              </w:rPr>
              <w:t xml:space="preserve">, </w:t>
            </w:r>
            <w:r w:rsidRPr="00E71B56">
              <w:rPr>
                <w:b/>
                <w:bCs/>
                <w:lang w:val="es-ES"/>
              </w:rPr>
              <w:t>el intercambio</w:t>
            </w:r>
            <w:r w:rsidRPr="00E71B56">
              <w:rPr>
                <w:lang w:val="es-ES"/>
              </w:rPr>
              <w:t xml:space="preserve">, </w:t>
            </w:r>
            <w:r w:rsidRPr="00E71B56">
              <w:rPr>
                <w:b/>
                <w:bCs/>
                <w:lang w:val="es-ES"/>
              </w:rPr>
              <w:t>el consentimiento</w:t>
            </w:r>
            <w:r w:rsidRPr="00E71B56">
              <w:rPr>
                <w:lang w:val="es-ES"/>
              </w:rPr>
              <w:t xml:space="preserve">, </w:t>
            </w:r>
            <w:r w:rsidRPr="00E71B56">
              <w:rPr>
                <w:b/>
                <w:bCs/>
                <w:lang w:val="es-ES"/>
              </w:rPr>
              <w:t>los registros</w:t>
            </w:r>
            <w:r w:rsidRPr="00E71B56">
              <w:rPr>
                <w:lang w:val="es-ES"/>
              </w:rPr>
              <w:t xml:space="preserve">, </w:t>
            </w:r>
            <w:r w:rsidRPr="00E71B56">
              <w:rPr>
                <w:b/>
                <w:bCs/>
                <w:lang w:val="es-ES"/>
              </w:rPr>
              <w:t>la firma digital</w:t>
            </w:r>
            <w:r w:rsidRPr="00E71B56">
              <w:rPr>
                <w:lang w:val="es-ES"/>
              </w:rPr>
              <w:t xml:space="preserve">, </w:t>
            </w:r>
            <w:r w:rsidRPr="00E71B56">
              <w:rPr>
                <w:b/>
                <w:bCs/>
                <w:lang w:val="es-ES"/>
              </w:rPr>
              <w:t>el SIG</w:t>
            </w:r>
            <w:r w:rsidRPr="00E71B56">
              <w:rPr>
                <w:lang w:val="es-ES"/>
              </w:rPr>
              <w:t xml:space="preserve"> y</w:t>
            </w:r>
            <w:r w:rsidRPr="00E71B56">
              <w:rPr>
                <w:b/>
                <w:bCs/>
                <w:lang w:val="es-ES"/>
              </w:rPr>
              <w:t xml:space="preserve"> el mercado electrónico</w:t>
            </w:r>
            <w:r w:rsidRPr="00E71B56">
              <w:rPr>
                <w:lang w:val="es-ES"/>
              </w:rPr>
              <w:t>, que ofrecieron a los Estados Miembros un recurso abierto y reutilizable. La</w:t>
            </w:r>
            <w:r w:rsidRPr="00E71B56">
              <w:rPr>
                <w:b/>
                <w:bCs/>
                <w:lang w:val="es-ES"/>
              </w:rPr>
              <w:t xml:space="preserve"> documentación relativa al espacio controlado de pruebas</w:t>
            </w:r>
            <w:r w:rsidRPr="00E71B56">
              <w:rPr>
                <w:lang w:val="es-ES"/>
              </w:rPr>
              <w:t xml:space="preserve"> permitió a los desarrolladores, arquitectos y diseñadores de servicios replicar las soluciones ambientales y de prueba, mientras que las </w:t>
            </w:r>
            <w:r w:rsidRPr="00E71B56">
              <w:rPr>
                <w:b/>
                <w:bCs/>
                <w:lang w:val="es-ES"/>
              </w:rPr>
              <w:t xml:space="preserve">directrices sobre la contratación sostenible de TIC </w:t>
            </w:r>
            <w:r w:rsidRPr="00E71B56">
              <w:rPr>
                <w:lang w:val="es-ES"/>
              </w:rPr>
              <w:t>y</w:t>
            </w:r>
            <w:r w:rsidRPr="00E71B56">
              <w:rPr>
                <w:b/>
                <w:bCs/>
                <w:lang w:val="es-ES"/>
              </w:rPr>
              <w:t xml:space="preserve"> los centros de datos ecológicos</w:t>
            </w:r>
            <w:r w:rsidRPr="00E71B56">
              <w:rPr>
                <w:lang w:val="es-ES"/>
              </w:rPr>
              <w:t xml:space="preserve"> integraron las dimensiones ambientales en el diseño del gobierno digital.</w:t>
            </w:r>
          </w:p>
          <w:p w14:paraId="2E102880" w14:textId="77777777" w:rsidR="00BD155E" w:rsidRPr="00E71B56" w:rsidRDefault="00BD155E" w:rsidP="00A372FB">
            <w:pPr>
              <w:rPr>
                <w:lang w:val="es-ES"/>
              </w:rPr>
            </w:pPr>
            <w:r w:rsidRPr="00E71B56">
              <w:rPr>
                <w:lang w:val="es-ES"/>
              </w:rPr>
              <w:t xml:space="preserve">Para fortalecer la inclusión, se organizaron ediciones del concurso Women in GovTech en 2024 y 2025. Además, se creó un </w:t>
            </w:r>
            <w:r w:rsidRPr="00E71B56">
              <w:rPr>
                <w:b/>
                <w:bCs/>
                <w:lang w:val="es-ES"/>
              </w:rPr>
              <w:t xml:space="preserve">espacio controlado de pruebas del gobierno digital </w:t>
            </w:r>
            <w:r w:rsidRPr="00E71B56">
              <w:rPr>
                <w:lang w:val="es-ES"/>
              </w:rPr>
              <w:t xml:space="preserve">para probar los servicios interoperables utilizando componentes de </w:t>
            </w:r>
            <w:r w:rsidRPr="00E71B56">
              <w:rPr>
                <w:i/>
                <w:iCs/>
                <w:lang w:val="es-ES"/>
              </w:rPr>
              <w:t>software</w:t>
            </w:r>
            <w:r w:rsidRPr="00E71B56">
              <w:rPr>
                <w:lang w:val="es-ES"/>
              </w:rPr>
              <w:t xml:space="preserve"> reutilizables para la identidad, los pagos, el consentimiento y el intercambio de información.</w:t>
            </w:r>
          </w:p>
          <w:p w14:paraId="3CEE7763" w14:textId="77777777" w:rsidR="00BD155E" w:rsidRPr="00E71B56" w:rsidRDefault="00BD155E" w:rsidP="00A372FB">
            <w:pPr>
              <w:rPr>
                <w:lang w:val="es-ES"/>
              </w:rPr>
            </w:pPr>
            <w:r w:rsidRPr="00E71B56">
              <w:rPr>
                <w:lang w:val="es-ES"/>
              </w:rPr>
              <w:t xml:space="preserve">La BDT también impulsó los </w:t>
            </w:r>
            <w:r w:rsidRPr="00E71B56">
              <w:rPr>
                <w:b/>
                <w:bCs/>
                <w:lang w:val="es-ES"/>
              </w:rPr>
              <w:t>ecosistemas de código abierto para los servicios públicos.</w:t>
            </w:r>
            <w:r w:rsidRPr="00E71B56">
              <w:rPr>
                <w:lang w:val="es-ES"/>
              </w:rPr>
              <w:t xml:space="preserve"> El proyecto destinado a propiciar ecosistemas de código abierto (OSEE), desarrollado con el PNUD y financiado por la Unión Europea, creó marcos de educación, formación y apoyo para ayudar a los gobiernos a adoptar tecnologías de código abierto. La iniciativa hizo énfasis en reducir la dependencia de las soluciones propias y ofrecer a los países opciones con buena relación costo-eficacia para adaptar y ampliar los servicios digitales, evitando al mismo tiempo la dependencia de proveedores únicos. Los webinarios y talleres, impartidos por la BDT, abordaron la gobernanza de datos, la infraestructura en la nube y aplicaciones emergentes como la inteligencia artificial generativa de código abierto, mejorando los conocimientos internacionales y fortaleciendo el ecosistema mundial de código abierto.</w:t>
            </w:r>
          </w:p>
          <w:p w14:paraId="2366F658" w14:textId="77777777" w:rsidR="00BD155E" w:rsidRPr="00E71B56" w:rsidRDefault="00BD155E" w:rsidP="00A372FB">
            <w:pPr>
              <w:keepNext/>
              <w:keepLines/>
              <w:rPr>
                <w:lang w:val="es-ES"/>
              </w:rPr>
            </w:pPr>
            <w:r w:rsidRPr="00E71B56">
              <w:rPr>
                <w:lang w:val="es-ES"/>
              </w:rPr>
              <w:t>En el sector de la salud, las aplicaciones digitales cobraron importancia con un estudio conjunto de la Organización Mundial de la Salud (OMS) y la UIT. El estudio evaluó las intervenciones digitales en tres categorías y demostró un fuerte potencial para prestar apoyo a los sistemas de salud. Destacando las dimensiones relativas a la relación entre coste y beneficio, el informe pone de relieve la manera en la que los Estados Miembros pueden utilizar la tecnología para ampliar las soluciones de asistencia sanitaria para enfermedades no transmisibles.</w:t>
            </w:r>
          </w:p>
          <w:p w14:paraId="40055E98" w14:textId="77777777" w:rsidR="00BD155E" w:rsidRPr="00E71B56" w:rsidRDefault="00BD155E" w:rsidP="00A372FB">
            <w:pPr>
              <w:rPr>
                <w:lang w:val="es-ES"/>
              </w:rPr>
            </w:pPr>
            <w:r w:rsidRPr="00E71B56">
              <w:rPr>
                <w:lang w:val="es-ES"/>
              </w:rPr>
              <w:lastRenderedPageBreak/>
              <w:t xml:space="preserve">La agricultura también experimentó un avance estructurado. Uno de los puntos más destacados fue la firma del </w:t>
            </w:r>
            <w:r w:rsidRPr="00E71B56">
              <w:rPr>
                <w:b/>
                <w:bCs/>
                <w:lang w:val="es-ES"/>
              </w:rPr>
              <w:t>proyecto MERIAN</w:t>
            </w:r>
            <w:r w:rsidRPr="00E71B56">
              <w:rPr>
                <w:lang w:val="es-ES"/>
              </w:rPr>
              <w:t xml:space="preserve"> entre la UIT y la Organización de las Naciones Unidas para la Alimentación y la Agricultura (FAO), financiado por la Unión Europea, destinado a mejorar la formación de los profesionales de la agricultura en la educación digital, la investigación y los servicios de extensión. Los </w:t>
            </w:r>
            <w:hyperlink r:id="rId116" w:history="1">
              <w:r w:rsidRPr="00E71B56">
                <w:rPr>
                  <w:rStyle w:val="Hyperlink"/>
                  <w:lang w:val="es-ES"/>
                </w:rPr>
                <w:t>principios de GovStack</w:t>
              </w:r>
            </w:hyperlink>
            <w:r w:rsidRPr="00E71B56">
              <w:rPr>
                <w:lang w:val="es-ES"/>
              </w:rPr>
              <w:t xml:space="preserve"> proporcionaron el marco para construir plataformas web y aplicaciones móviles e integrar la infraestructura pública digital en los sistemas agrícolas. Además, en el marco del proyecto STREIT financiado por la Unión Europea para </w:t>
            </w:r>
            <w:hyperlink r:id="rId117" w:history="1">
              <w:r w:rsidRPr="00E71B56">
                <w:rPr>
                  <w:rStyle w:val="Hyperlink"/>
                  <w:lang w:val="es-ES"/>
                </w:rPr>
                <w:t>apoyar el emprendimiento rural, las inversiones y el comercio</w:t>
              </w:r>
            </w:hyperlink>
            <w:r w:rsidRPr="00E71B56">
              <w:rPr>
                <w:lang w:val="es-ES"/>
              </w:rPr>
              <w:t xml:space="preserve"> en </w:t>
            </w:r>
            <w:r w:rsidRPr="00E71B56">
              <w:rPr>
                <w:b/>
                <w:bCs/>
                <w:lang w:val="es-ES"/>
              </w:rPr>
              <w:t>Papua Nueva Guinea</w:t>
            </w:r>
            <w:r w:rsidRPr="00E71B56">
              <w:rPr>
                <w:lang w:val="es-ES"/>
              </w:rPr>
              <w:t>, la BDT apoyó la creación de cuatro centros de recursos, en los que 542 agricultores recibieron formación en competencias digitales y comercio electrónico, dando lugar a una mejora de la productividad y del aprendizaje entre pares. Los centros de recursos se convirtieron en centros de innovación, donde los agricultores compartieron las prácticas idóneas, accedieron a mercados en línea y probaron las soluciones de finanzas digitales para ampliar sus negocios.</w:t>
            </w:r>
            <w:hyperlink r:id="rId118" w:history="1"/>
            <w:hyperlink r:id="rId119" w:history="1"/>
          </w:p>
          <w:p w14:paraId="290AB1C8" w14:textId="77777777" w:rsidR="00BD155E" w:rsidRPr="00E71B56" w:rsidRDefault="00BD155E" w:rsidP="00A372FB">
            <w:pPr>
              <w:rPr>
                <w:lang w:val="es-ES"/>
              </w:rPr>
            </w:pPr>
            <w:r w:rsidRPr="00E71B56">
              <w:rPr>
                <w:lang w:val="es-ES"/>
              </w:rPr>
              <w:t>Se elaboraron otras herramientas para apoyar la educación. Se diseñó un sistema de gestión del aprendizaje mejorado que se puso a disposición de la Universidad de Tecnología de Papua Nueva Guinea, ofreciendo una continuidad entre las instituciones académicas y las estrategias digitales nacionales. Esta integración de las plataformas educativas digitales con las estrategias nacionales demostró la manera en la que los servicios digitales podían reforzar la resiliencia institucional y actuar a la vez como incubadoras de la innovación.</w:t>
            </w:r>
          </w:p>
          <w:p w14:paraId="1A5300DA" w14:textId="77777777" w:rsidR="00BD155E" w:rsidRPr="00E71B56" w:rsidRDefault="00BD155E" w:rsidP="00A372FB">
            <w:pPr>
              <w:rPr>
                <w:lang w:val="es-ES"/>
              </w:rPr>
            </w:pPr>
            <w:r w:rsidRPr="00E71B56">
              <w:rPr>
                <w:lang w:val="es-ES"/>
              </w:rPr>
              <w:t>Conjuntamente, estas iniciativas demostraron que los bienes públicos digitales como GovStack, los marcos de código abierto, las pruebas de salud digital y las plataformas agrícolas actúan como herramientas técnicas y como habilitadores prácticos del progreso. Representan impulsores estratégicos que empoderan a los países para gestionar la transformación con coherencia, interoperabilidad y sostenibilidad.</w:t>
            </w:r>
          </w:p>
          <w:p w14:paraId="7D5471B3" w14:textId="77777777" w:rsidR="00BD155E" w:rsidRPr="00E71B56" w:rsidRDefault="00BD155E" w:rsidP="00A372FB">
            <w:pPr>
              <w:rPr>
                <w:lang w:val="es-ES"/>
              </w:rPr>
            </w:pPr>
            <w:r w:rsidRPr="00E71B56">
              <w:rPr>
                <w:lang w:val="es-ES"/>
              </w:rPr>
              <w:t xml:space="preserve">Las contribuciones de la BDT para acelerar la transformación digital fueron evidentes en todas las regiones. En </w:t>
            </w:r>
            <w:r w:rsidRPr="00E71B56">
              <w:rPr>
                <w:b/>
                <w:bCs/>
                <w:lang w:val="es-ES"/>
              </w:rPr>
              <w:t>África</w:t>
            </w:r>
            <w:r w:rsidRPr="00E71B56">
              <w:rPr>
                <w:lang w:val="es-ES"/>
              </w:rPr>
              <w:t xml:space="preserve">, se celebraron consultas estratégicas apoyadas por proyectos del Banco Mundial en </w:t>
            </w:r>
            <w:r w:rsidRPr="00E71B56">
              <w:rPr>
                <w:b/>
                <w:bCs/>
                <w:lang w:val="es-ES"/>
              </w:rPr>
              <w:t>Guinea</w:t>
            </w:r>
            <w:r w:rsidRPr="00E71B56">
              <w:rPr>
                <w:b/>
                <w:bCs/>
                <w:lang w:val="es-ES"/>
              </w:rPr>
              <w:noBreakHyphen/>
              <w:t>Bissau</w:t>
            </w:r>
            <w:r w:rsidRPr="00E71B56">
              <w:rPr>
                <w:lang w:val="es-ES"/>
              </w:rPr>
              <w:t xml:space="preserve">, </w:t>
            </w:r>
            <w:r w:rsidRPr="00E71B56">
              <w:rPr>
                <w:b/>
                <w:bCs/>
                <w:lang w:val="es-ES"/>
              </w:rPr>
              <w:t>Gambia</w:t>
            </w:r>
            <w:r w:rsidRPr="00E71B56">
              <w:rPr>
                <w:lang w:val="es-ES"/>
              </w:rPr>
              <w:t xml:space="preserve">, </w:t>
            </w:r>
            <w:r w:rsidRPr="00E71B56">
              <w:rPr>
                <w:b/>
                <w:bCs/>
                <w:lang w:val="es-ES"/>
              </w:rPr>
              <w:t>Guinea</w:t>
            </w:r>
            <w:r w:rsidRPr="00E71B56">
              <w:rPr>
                <w:lang w:val="es-ES"/>
              </w:rPr>
              <w:t xml:space="preserve">, </w:t>
            </w:r>
            <w:r w:rsidRPr="00E71B56">
              <w:rPr>
                <w:b/>
                <w:bCs/>
                <w:lang w:val="es-ES"/>
              </w:rPr>
              <w:t xml:space="preserve">Nigeria </w:t>
            </w:r>
            <w:r w:rsidRPr="00E71B56">
              <w:rPr>
                <w:lang w:val="es-ES"/>
              </w:rPr>
              <w:t>y</w:t>
            </w:r>
            <w:r w:rsidRPr="00E71B56">
              <w:rPr>
                <w:b/>
                <w:bCs/>
                <w:lang w:val="es-ES"/>
              </w:rPr>
              <w:t xml:space="preserve"> Senegal</w:t>
            </w:r>
            <w:r w:rsidRPr="00E71B56">
              <w:rPr>
                <w:lang w:val="es-ES"/>
              </w:rPr>
              <w:t>, que reunieron a los gobiernos para adaptarse a GovStack y a la Arquitectura de Referencia del Ecosistema de la Administración Pública (PAERA). En los debates se presentaron elementos clave como los marcos de interoperabilidad, la arquitectura empresarial, las especificaciones de las plataformas de intercambio de datos de servicio y el desarrollo global de la capacidad.</w:t>
            </w:r>
          </w:p>
          <w:p w14:paraId="2B9ADD4F" w14:textId="77777777" w:rsidR="00BD155E" w:rsidRPr="00E71B56" w:rsidRDefault="00BD155E" w:rsidP="00A372FB">
            <w:pPr>
              <w:rPr>
                <w:lang w:val="es-ES"/>
              </w:rPr>
            </w:pPr>
            <w:r w:rsidRPr="00E71B56">
              <w:rPr>
                <w:lang w:val="es-ES"/>
              </w:rPr>
              <w:lastRenderedPageBreak/>
              <w:t xml:space="preserve">En </w:t>
            </w:r>
            <w:r w:rsidRPr="00E71B56">
              <w:rPr>
                <w:b/>
                <w:bCs/>
                <w:lang w:val="es-ES"/>
              </w:rPr>
              <w:t>Togo</w:t>
            </w:r>
            <w:r w:rsidRPr="00E71B56">
              <w:rPr>
                <w:lang w:val="es-ES"/>
              </w:rPr>
              <w:t xml:space="preserve">, la BDT apoyó la implementación de una plataforma de identidad digital basada en las especificaciones de GovStack, que logró una mejora de la eficiencia en la prestación de servicios, mientras que en </w:t>
            </w:r>
            <w:r w:rsidRPr="00E71B56">
              <w:rPr>
                <w:b/>
                <w:bCs/>
                <w:lang w:val="es-ES"/>
              </w:rPr>
              <w:t xml:space="preserve">Kenya </w:t>
            </w:r>
            <w:r w:rsidRPr="00E71B56">
              <w:rPr>
                <w:lang w:val="es-ES"/>
              </w:rPr>
              <w:t xml:space="preserve">se puso en marcha un sistema de gestión de casos en el marco del compromiso con el Cuerno de África. En </w:t>
            </w:r>
            <w:r w:rsidRPr="00E71B56">
              <w:rPr>
                <w:b/>
                <w:bCs/>
                <w:lang w:val="es-ES"/>
              </w:rPr>
              <w:t>Rwanda</w:t>
            </w:r>
            <w:r w:rsidRPr="00E71B56">
              <w:rPr>
                <w:lang w:val="es-ES"/>
              </w:rPr>
              <w:t xml:space="preserve">, más de 70 participantes de </w:t>
            </w:r>
            <w:r w:rsidRPr="00E71B56">
              <w:rPr>
                <w:b/>
                <w:bCs/>
                <w:lang w:val="es-ES"/>
              </w:rPr>
              <w:t>Djibouti</w:t>
            </w:r>
            <w:r w:rsidRPr="00E71B56">
              <w:rPr>
                <w:lang w:val="es-ES"/>
              </w:rPr>
              <w:t xml:space="preserve">, </w:t>
            </w:r>
            <w:r w:rsidRPr="00E71B56">
              <w:rPr>
                <w:b/>
                <w:bCs/>
                <w:lang w:val="es-ES"/>
              </w:rPr>
              <w:t>Kenya</w:t>
            </w:r>
            <w:r w:rsidRPr="00E71B56">
              <w:rPr>
                <w:lang w:val="es-ES"/>
              </w:rPr>
              <w:t xml:space="preserve"> y </w:t>
            </w:r>
            <w:r w:rsidRPr="00E71B56">
              <w:rPr>
                <w:b/>
                <w:bCs/>
                <w:lang w:val="es-ES"/>
              </w:rPr>
              <w:t>Somalia</w:t>
            </w:r>
            <w:r w:rsidRPr="00E71B56">
              <w:rPr>
                <w:lang w:val="es-ES"/>
              </w:rPr>
              <w:t xml:space="preserve"> participaron en sesiones de formación intensiva en las que se extrajeron lecciones prácticas del recorrido de la transformación digital del país. En </w:t>
            </w:r>
            <w:r w:rsidRPr="00E71B56">
              <w:rPr>
                <w:b/>
                <w:bCs/>
                <w:lang w:val="es-ES"/>
              </w:rPr>
              <w:t>Senegal</w:t>
            </w:r>
            <w:r w:rsidRPr="00E71B56">
              <w:rPr>
                <w:lang w:val="es-ES"/>
              </w:rPr>
              <w:t xml:space="preserve"> y </w:t>
            </w:r>
            <w:r w:rsidRPr="00E71B56">
              <w:rPr>
                <w:b/>
                <w:bCs/>
                <w:lang w:val="es-ES"/>
              </w:rPr>
              <w:t>Togo</w:t>
            </w:r>
            <w:r w:rsidRPr="00E71B56">
              <w:rPr>
                <w:lang w:val="es-ES"/>
              </w:rPr>
              <w:t>, más de 60 partes interesadas participaron en talleres de capacitación, en los que se perfeccionaron los enfoques sobre la infraestructura pública digital.</w:t>
            </w:r>
          </w:p>
          <w:p w14:paraId="6F28EE26" w14:textId="77777777" w:rsidR="00BD155E" w:rsidRPr="00E71B56" w:rsidRDefault="00BD155E" w:rsidP="00A372FB">
            <w:pPr>
              <w:rPr>
                <w:lang w:val="es-ES"/>
              </w:rPr>
            </w:pPr>
            <w:r w:rsidRPr="00E71B56">
              <w:rPr>
                <w:lang w:val="es-ES"/>
              </w:rPr>
              <w:t>África también contribuyó a los sistemas de código abierto. En 2025, Kenya se convirtió en el primer país piloto de la iniciativa OSEE, al crear una Oficina Nacional de Programas de Código Abierto (OSPO) para fortalecer la capacidad nacional e impulsar la transformación digital abierta como parte de su agenda relativa a la infraestructura pública digital (IPD). Apoyada por la UIT, la OSPO está fomentando los conocimientos técnicos especializados, impartiendo formación en múltiples niveles y posicionando a Kenya como centro regional para la innovación abierta y sostenible. Tras su primera implementación, el PNUD está preparando el siguiente proyecto piloto OSEE en Trinidad y Tabago, ampliando sus esfuerzos mundiales destinados a empoderar a los países mediante infraestructuras públicas digitales de código abierto e inclusivas.</w:t>
            </w:r>
          </w:p>
          <w:p w14:paraId="10450877" w14:textId="77777777" w:rsidR="00BD155E" w:rsidRPr="00E71B56" w:rsidRDefault="00BD155E" w:rsidP="00A372FB">
            <w:pPr>
              <w:rPr>
                <w:lang w:val="es-ES"/>
              </w:rPr>
            </w:pPr>
            <w:r w:rsidRPr="00E71B56">
              <w:rPr>
                <w:lang w:val="es-ES"/>
              </w:rPr>
              <w:t>Estas iniciativas demostraron los avances realizados en África respecto de la transición desde marcos de política a plataformas operativas, en cuyo marco los gobiernos adoptaron elementos constitutivos reutilizables e interoperables que reducen los costes, simplifican los sistemas y aceleran los avances.</w:t>
            </w:r>
          </w:p>
          <w:p w14:paraId="43627CFF" w14:textId="77777777" w:rsidR="00BD155E" w:rsidRPr="00E71B56" w:rsidRDefault="00BD155E" w:rsidP="00A372FB">
            <w:pPr>
              <w:rPr>
                <w:lang w:val="es-ES"/>
              </w:rPr>
            </w:pPr>
            <w:r w:rsidRPr="00E71B56">
              <w:rPr>
                <w:lang w:val="es-ES"/>
              </w:rPr>
              <w:t xml:space="preserve">En la </w:t>
            </w:r>
            <w:r w:rsidRPr="00E71B56">
              <w:rPr>
                <w:b/>
                <w:bCs/>
                <w:lang w:val="es-ES"/>
              </w:rPr>
              <w:t>región de Asia-Pacífico</w:t>
            </w:r>
            <w:r w:rsidRPr="00E71B56">
              <w:rPr>
                <w:lang w:val="es-ES"/>
              </w:rPr>
              <w:t xml:space="preserve">, la BDT prestó apoyo a iniciativas relativas al gobierno digital, la agricultura, la educación y la transformación rural. En </w:t>
            </w:r>
            <w:r w:rsidRPr="00E71B56">
              <w:rPr>
                <w:b/>
                <w:bCs/>
                <w:lang w:val="es-ES"/>
              </w:rPr>
              <w:t>Papua Nueva Guinea</w:t>
            </w:r>
            <w:r w:rsidRPr="00E71B56">
              <w:rPr>
                <w:lang w:val="es-ES"/>
              </w:rPr>
              <w:t xml:space="preserve">, por conducto del proyecto STREIT financiado por la Unión Europea e implementado por la BDT en colaboración con la FAO, la Organización Internacional del Trabajo (OIT), el PNUD y el Fondo de las Naciones Unidas para el Desarrollo de la Capitalización (FNUDC), las administraciones provinciales de Sepik Oriental y Sepik Occidental aprobaron una serie de estrategias de ciberagricultura que abarcaban las cadenas de valor del cacao, la vainilla y la pesca. La estrategia vinculaba directamente los servicios de TIC con el crecimiento económico rural, mientras que los talleres dotaron a los agricultores de competencias, herramientas y aplicaciones digitales para acceder a las plataformas de comercio electrónico que los agricultores utilizaban para exportar el cacao y la vainilla. La UIT desarrolló y </w:t>
            </w:r>
            <w:r w:rsidRPr="00E71B56">
              <w:rPr>
                <w:lang w:val="es-ES"/>
              </w:rPr>
              <w:lastRenderedPageBreak/>
              <w:t>puso a disposición el Sistema de Información de Gestión (SIG) de la Junta del Cacao, el SIG de la agricultura, el SIG del aprendizaje y el SIG de la Administración Provincial.</w:t>
            </w:r>
          </w:p>
          <w:p w14:paraId="34620C38" w14:textId="77777777" w:rsidR="00BD155E" w:rsidRPr="00E71B56" w:rsidRDefault="00BD155E" w:rsidP="00A372FB">
            <w:pPr>
              <w:rPr>
                <w:lang w:val="es-ES"/>
              </w:rPr>
            </w:pPr>
            <w:r w:rsidRPr="00E71B56">
              <w:rPr>
                <w:lang w:val="es-ES"/>
              </w:rPr>
              <w:t xml:space="preserve">En consonancia con la </w:t>
            </w:r>
            <w:hyperlink r:id="rId120" w:history="1">
              <w:r w:rsidRPr="00E71B56">
                <w:rPr>
                  <w:rStyle w:val="Hyperlink"/>
                  <w:lang w:val="es-ES"/>
                </w:rPr>
                <w:t>Resolución 85 (Rev. Kigali, 2022) de la CMDT-22</w:t>
              </w:r>
            </w:hyperlink>
            <w:r w:rsidRPr="00E71B56">
              <w:rPr>
                <w:lang w:val="es-ES"/>
              </w:rPr>
              <w:t xml:space="preserve"> sobre facilitación de la Internet de las cosas y las ciudades y comunidades inteligentes para el desarrollo mundial, se llevaron a cabo varias actividades y proyectos. La iniciativa </w:t>
            </w:r>
            <w:r w:rsidRPr="00E71B56">
              <w:rPr>
                <w:b/>
                <w:bCs/>
                <w:lang w:val="es-ES"/>
              </w:rPr>
              <w:t>Aldeas Inteligentes e Islas Inteligentes</w:t>
            </w:r>
            <w:r w:rsidRPr="00E71B56">
              <w:rPr>
                <w:lang w:val="es-ES"/>
              </w:rPr>
              <w:t xml:space="preserve">, se ha expandido rápidamente en las regiones del Pacífico y Asia Meridional durante los tres últimos años. A fecha de 2025, se había desplegado en </w:t>
            </w:r>
            <w:r w:rsidRPr="00E71B56">
              <w:rPr>
                <w:b/>
                <w:bCs/>
                <w:lang w:val="es-ES"/>
              </w:rPr>
              <w:t>11 Estados Miembros</w:t>
            </w:r>
            <w:r w:rsidRPr="00E71B56">
              <w:rPr>
                <w:lang w:val="es-ES"/>
              </w:rPr>
              <w:t xml:space="preserve">, a saber, </w:t>
            </w:r>
            <w:r w:rsidRPr="00E71B56">
              <w:rPr>
                <w:b/>
                <w:bCs/>
                <w:lang w:val="es-ES"/>
              </w:rPr>
              <w:t>Fiji</w:t>
            </w:r>
            <w:r w:rsidRPr="00E71B56">
              <w:rPr>
                <w:lang w:val="es-ES"/>
              </w:rPr>
              <w:t xml:space="preserve">, </w:t>
            </w:r>
            <w:r w:rsidRPr="00E71B56">
              <w:rPr>
                <w:b/>
                <w:bCs/>
                <w:lang w:val="es-ES"/>
              </w:rPr>
              <w:t>Kiribati</w:t>
            </w:r>
            <w:r w:rsidRPr="00E71B56">
              <w:rPr>
                <w:lang w:val="es-ES"/>
              </w:rPr>
              <w:t xml:space="preserve">, </w:t>
            </w:r>
            <w:r w:rsidRPr="00E71B56">
              <w:rPr>
                <w:b/>
                <w:bCs/>
                <w:lang w:val="es-ES"/>
              </w:rPr>
              <w:t>Islas Marshall</w:t>
            </w:r>
            <w:r w:rsidRPr="00E71B56">
              <w:rPr>
                <w:lang w:val="es-ES"/>
              </w:rPr>
              <w:t xml:space="preserve">, </w:t>
            </w:r>
            <w:r w:rsidRPr="00E71B56">
              <w:rPr>
                <w:b/>
                <w:bCs/>
                <w:lang w:val="es-ES"/>
              </w:rPr>
              <w:t>Micronesia</w:t>
            </w:r>
            <w:r w:rsidRPr="00E71B56">
              <w:rPr>
                <w:lang w:val="es-ES"/>
              </w:rPr>
              <w:t xml:space="preserve">, </w:t>
            </w:r>
            <w:r w:rsidRPr="00E71B56">
              <w:rPr>
                <w:b/>
                <w:bCs/>
                <w:lang w:val="es-ES"/>
              </w:rPr>
              <w:t>Nauru</w:t>
            </w:r>
            <w:r w:rsidRPr="00E71B56">
              <w:rPr>
                <w:lang w:val="es-ES"/>
              </w:rPr>
              <w:t xml:space="preserve">, </w:t>
            </w:r>
            <w:r w:rsidRPr="00E71B56">
              <w:rPr>
                <w:b/>
                <w:bCs/>
                <w:lang w:val="es-ES"/>
              </w:rPr>
              <w:t>Palau</w:t>
            </w:r>
            <w:r w:rsidRPr="00E71B56">
              <w:rPr>
                <w:lang w:val="es-ES"/>
              </w:rPr>
              <w:t xml:space="preserve">, </w:t>
            </w:r>
            <w:r w:rsidRPr="00E71B56">
              <w:rPr>
                <w:b/>
                <w:bCs/>
                <w:lang w:val="es-ES"/>
              </w:rPr>
              <w:t>Pakistán</w:t>
            </w:r>
            <w:r w:rsidRPr="00E71B56">
              <w:rPr>
                <w:lang w:val="es-ES"/>
              </w:rPr>
              <w:t xml:space="preserve">, </w:t>
            </w:r>
            <w:r w:rsidRPr="00E71B56">
              <w:rPr>
                <w:b/>
                <w:bCs/>
                <w:lang w:val="es-ES"/>
              </w:rPr>
              <w:t>Papua Nueva Guinea</w:t>
            </w:r>
            <w:r w:rsidRPr="00E71B56">
              <w:rPr>
                <w:lang w:val="es-ES"/>
              </w:rPr>
              <w:t xml:space="preserve">, </w:t>
            </w:r>
            <w:r w:rsidRPr="00E71B56">
              <w:rPr>
                <w:b/>
                <w:bCs/>
                <w:lang w:val="es-ES"/>
              </w:rPr>
              <w:t>Samoa</w:t>
            </w:r>
            <w:r w:rsidRPr="00E71B56">
              <w:rPr>
                <w:lang w:val="es-ES"/>
              </w:rPr>
              <w:t xml:space="preserve">, </w:t>
            </w:r>
            <w:r w:rsidRPr="00E71B56">
              <w:rPr>
                <w:b/>
                <w:bCs/>
                <w:lang w:val="es-ES"/>
              </w:rPr>
              <w:t xml:space="preserve">Tonga </w:t>
            </w:r>
            <w:r w:rsidRPr="00E71B56">
              <w:rPr>
                <w:lang w:val="es-ES"/>
              </w:rPr>
              <w:t>y</w:t>
            </w:r>
            <w:r w:rsidRPr="00E71B56">
              <w:rPr>
                <w:b/>
                <w:bCs/>
                <w:lang w:val="es-ES"/>
              </w:rPr>
              <w:t xml:space="preserve"> Vanuatu</w:t>
            </w:r>
            <w:r w:rsidRPr="00E71B56">
              <w:rPr>
                <w:lang w:val="es-ES"/>
              </w:rPr>
              <w:t>. Con cada implementación se acercaron los servicios digitales a comunidades insuficientemente atendidas. En Pakistán, el emblemático programa "</w:t>
            </w:r>
            <w:hyperlink r:id="rId121" w:history="1">
              <w:r w:rsidRPr="00E71B56">
                <w:rPr>
                  <w:rStyle w:val="Hyperlink"/>
                  <w:lang w:val="es-ES"/>
                </w:rPr>
                <w:t>Aldea Inteligente de Gokina</w:t>
              </w:r>
            </w:hyperlink>
            <w:r w:rsidRPr="00E71B56">
              <w:rPr>
                <w:lang w:val="es-ES"/>
              </w:rPr>
              <w:t xml:space="preserve">" puesto en marcha en 2023 permitió prestar servicios de telemedicina a más de 5 000 pacientes, de los cuales el 84 % eran mujeres, mientras que 100 niñas accedieron a la educación a distancia. El programa se extendió para abarcar Sambrial y Swabi, e incluyó sesiones de formación en competencias digitales para los nuevos participantes. En Sambrial, más de 200 miembros de la comunidad (jóvenes) han recibido formación en competencias digitales básicas, intermedias y avanzadas, y más de 100 niñas tienen acceso a clases en línea en las escuelas de las aldeas. En Swabi, más de 100 miembros de la comunidad han recibido hasta ahora formación en las esferas temáticas del </w:t>
            </w:r>
            <w:r w:rsidRPr="00E71B56">
              <w:rPr>
                <w:i/>
                <w:iCs/>
                <w:lang w:val="es-ES"/>
              </w:rPr>
              <w:t>marketing</w:t>
            </w:r>
            <w:r w:rsidRPr="00E71B56">
              <w:rPr>
                <w:lang w:val="es-ES"/>
              </w:rPr>
              <w:t xml:space="preserve"> digital, la agricultura digital y la inclusión financiera digital.</w:t>
            </w:r>
            <w:hyperlink r:id="rId122" w:history="1"/>
            <w:hyperlink r:id="rId123" w:history="1"/>
          </w:p>
          <w:p w14:paraId="307B820F" w14:textId="77777777" w:rsidR="00BD155E" w:rsidRPr="00E71B56" w:rsidRDefault="00BD155E" w:rsidP="00A372FB">
            <w:pPr>
              <w:keepNext/>
              <w:keepLines/>
              <w:rPr>
                <w:lang w:val="es-ES"/>
              </w:rPr>
            </w:pPr>
            <w:r w:rsidRPr="00E71B56">
              <w:rPr>
                <w:lang w:val="es-ES"/>
              </w:rPr>
              <w:t xml:space="preserve">En </w:t>
            </w:r>
            <w:r w:rsidRPr="00E71B56">
              <w:rPr>
                <w:b/>
                <w:bCs/>
                <w:lang w:val="es-ES"/>
              </w:rPr>
              <w:t>Vanuatu</w:t>
            </w:r>
            <w:r w:rsidRPr="00E71B56">
              <w:rPr>
                <w:lang w:val="es-ES"/>
              </w:rPr>
              <w:t xml:space="preserve">, algunas aldeas de Malekula del Sur se beneficiaron de aulas digitales equipadas con tabletas y sistemas de videoconferencia y de red, que conectan a los estudiantes y profesores con Port Vila. Esto también ha permitido acceder a diversos servicios digitales y ha promovido el comercio. En </w:t>
            </w:r>
            <w:r w:rsidRPr="00E71B56">
              <w:rPr>
                <w:b/>
                <w:bCs/>
                <w:lang w:val="es-ES"/>
              </w:rPr>
              <w:t>Kiribati</w:t>
            </w:r>
            <w:r w:rsidRPr="00E71B56">
              <w:rPr>
                <w:lang w:val="es-ES"/>
              </w:rPr>
              <w:t>, la isla de Tamana consiguió ampliar la cobertura Wi</w:t>
            </w:r>
            <w:r w:rsidRPr="00E71B56">
              <w:rPr>
                <w:lang w:val="es-ES"/>
              </w:rPr>
              <w:noBreakHyphen/>
              <w:t>Fi, lo que permitió los pagos digitales y las consultas en línea en una serie de aldeas, algunos de cuyos beneficiarios fueron 485 mujeres, 19 personas con discapacidad y 309 jóvenes.</w:t>
            </w:r>
          </w:p>
          <w:p w14:paraId="0D393864" w14:textId="09C0B6E9" w:rsidR="00BD155E" w:rsidRPr="00E71B56" w:rsidRDefault="00BD155E" w:rsidP="00A372FB">
            <w:pPr>
              <w:rPr>
                <w:lang w:val="es-ES"/>
              </w:rPr>
            </w:pPr>
            <w:r w:rsidRPr="00E71B56">
              <w:rPr>
                <w:lang w:val="es-ES"/>
              </w:rPr>
              <w:t>En la región de Asia-Pacífico, más de 1</w:t>
            </w:r>
            <w:r w:rsidR="006A75BC" w:rsidRPr="00E71B56">
              <w:rPr>
                <w:lang w:val="es-ES"/>
              </w:rPr>
              <w:t xml:space="preserve"> </w:t>
            </w:r>
            <w:r w:rsidRPr="00E71B56">
              <w:rPr>
                <w:lang w:val="es-ES"/>
              </w:rPr>
              <w:t xml:space="preserve">300 personas mejoraron su capacidad para aplicar un enfoque pangubernamental utilizando GovStack. La BDT prestó apoyo por conducto de la asistencia técnica a nivel nacional en ocho países, a saber, </w:t>
            </w:r>
            <w:r w:rsidRPr="00E71B56">
              <w:rPr>
                <w:b/>
                <w:bCs/>
                <w:lang w:val="es-ES"/>
              </w:rPr>
              <w:t>Bangladesh</w:t>
            </w:r>
            <w:r w:rsidRPr="00E71B56">
              <w:rPr>
                <w:lang w:val="es-ES"/>
              </w:rPr>
              <w:t xml:space="preserve">, </w:t>
            </w:r>
            <w:r w:rsidRPr="00E71B56">
              <w:rPr>
                <w:b/>
                <w:bCs/>
                <w:lang w:val="es-ES"/>
              </w:rPr>
              <w:t>Camboya</w:t>
            </w:r>
            <w:r w:rsidRPr="00E71B56">
              <w:rPr>
                <w:lang w:val="es-ES"/>
              </w:rPr>
              <w:t xml:space="preserve">, </w:t>
            </w:r>
            <w:r w:rsidRPr="00E71B56">
              <w:rPr>
                <w:b/>
                <w:bCs/>
                <w:lang w:val="es-ES"/>
              </w:rPr>
              <w:t>Kiribati</w:t>
            </w:r>
            <w:r w:rsidRPr="00E71B56">
              <w:rPr>
                <w:lang w:val="es-ES"/>
              </w:rPr>
              <w:t xml:space="preserve">, </w:t>
            </w:r>
            <w:r w:rsidRPr="00E71B56">
              <w:rPr>
                <w:b/>
                <w:bCs/>
                <w:lang w:val="es-ES"/>
              </w:rPr>
              <w:t>R.D.P. Lao</w:t>
            </w:r>
            <w:r w:rsidRPr="00E71B56">
              <w:rPr>
                <w:lang w:val="es-ES"/>
              </w:rPr>
              <w:t xml:space="preserve">, </w:t>
            </w:r>
            <w:r w:rsidRPr="00E71B56">
              <w:rPr>
                <w:b/>
                <w:bCs/>
                <w:lang w:val="es-ES"/>
              </w:rPr>
              <w:t>Papua Nueva Guinea</w:t>
            </w:r>
            <w:r w:rsidRPr="00E71B56">
              <w:rPr>
                <w:lang w:val="es-ES"/>
              </w:rPr>
              <w:t xml:space="preserve">, </w:t>
            </w:r>
            <w:r w:rsidRPr="00E71B56">
              <w:rPr>
                <w:b/>
                <w:bCs/>
                <w:lang w:val="es-ES"/>
              </w:rPr>
              <w:t>Nauru</w:t>
            </w:r>
            <w:r w:rsidRPr="00E71B56">
              <w:rPr>
                <w:lang w:val="es-ES"/>
              </w:rPr>
              <w:t xml:space="preserve">, </w:t>
            </w:r>
            <w:r w:rsidRPr="00E71B56">
              <w:rPr>
                <w:b/>
                <w:bCs/>
                <w:lang w:val="es-ES"/>
              </w:rPr>
              <w:t xml:space="preserve">Tonga </w:t>
            </w:r>
            <w:r w:rsidRPr="00E71B56">
              <w:rPr>
                <w:lang w:val="es-ES"/>
              </w:rPr>
              <w:t>y</w:t>
            </w:r>
            <w:r w:rsidRPr="00E71B56">
              <w:rPr>
                <w:b/>
                <w:bCs/>
                <w:lang w:val="es-ES"/>
              </w:rPr>
              <w:t xml:space="preserve"> Vanuatu</w:t>
            </w:r>
            <w:r w:rsidRPr="00E71B56">
              <w:rPr>
                <w:lang w:val="es-ES"/>
              </w:rPr>
              <w:t xml:space="preserve">, complementada por talleres en múltiples países. Estas actividades se llevaron a cabo en colaboración con el Departamento de Infraestructura, Transporte, Desarrollo Regional, Comunicaciones, Deportes y Artes de Australia (DITRDCA), el Fondo Conjunto para los ODS y la Sociedad Alemana para la </w:t>
            </w:r>
            <w:r w:rsidRPr="00E71B56">
              <w:rPr>
                <w:lang w:val="es-ES"/>
              </w:rPr>
              <w:lastRenderedPageBreak/>
              <w:t xml:space="preserve">Cooperación Internacional (GIZ). También se adoptó un enfoque pangubernamental como parte de estrategias y planes nacionales en países como </w:t>
            </w:r>
            <w:r w:rsidRPr="00E71B56">
              <w:rPr>
                <w:b/>
                <w:bCs/>
                <w:lang w:val="es-ES"/>
              </w:rPr>
              <w:t xml:space="preserve">Papua Nueva Guinea </w:t>
            </w:r>
            <w:r w:rsidRPr="00E71B56">
              <w:rPr>
                <w:lang w:val="es-ES"/>
              </w:rPr>
              <w:t>y</w:t>
            </w:r>
            <w:r w:rsidRPr="00E71B56">
              <w:rPr>
                <w:b/>
                <w:bCs/>
                <w:lang w:val="es-ES"/>
              </w:rPr>
              <w:t xml:space="preserve"> Vanuatu</w:t>
            </w:r>
            <w:r w:rsidRPr="00E71B56">
              <w:rPr>
                <w:lang w:val="es-ES"/>
              </w:rPr>
              <w:t>, y esta cuestión sigue siendo prioritaria para los Miembros. Además, con la asistencia técnica de la BDT, los Ministros encargados de lo digital de los países de la ASEAN adoptaron un marco de interoperabilidad para el gobierno digital a fin de mejorar el acceso a los servicios digitales en los Estados Miembros de la ASEAN.</w:t>
            </w:r>
          </w:p>
          <w:p w14:paraId="67351DFB" w14:textId="77777777" w:rsidR="00BD155E" w:rsidRPr="00E71B56" w:rsidRDefault="00BD155E" w:rsidP="00A372FB">
            <w:pPr>
              <w:rPr>
                <w:lang w:val="es-ES"/>
              </w:rPr>
            </w:pPr>
            <w:r w:rsidRPr="00E71B56">
              <w:rPr>
                <w:lang w:val="es-ES"/>
              </w:rPr>
              <w:t xml:space="preserve">En la </w:t>
            </w:r>
            <w:r w:rsidRPr="00E71B56">
              <w:rPr>
                <w:b/>
                <w:bCs/>
                <w:lang w:val="es-ES"/>
              </w:rPr>
              <w:t>región de las Américas</w:t>
            </w:r>
            <w:r w:rsidRPr="00E71B56">
              <w:rPr>
                <w:lang w:val="es-ES"/>
              </w:rPr>
              <w:t xml:space="preserve">, la BDT apoyó la transformación digital con especial énfasis en la inclusión por conducto del gobierno digital y los servicios financieros. En </w:t>
            </w:r>
            <w:r w:rsidRPr="00E71B56">
              <w:rPr>
                <w:b/>
                <w:bCs/>
                <w:lang w:val="es-ES"/>
              </w:rPr>
              <w:t xml:space="preserve">Antigua y Barbuda </w:t>
            </w:r>
            <w:r w:rsidRPr="00E71B56">
              <w:rPr>
                <w:lang w:val="es-ES"/>
              </w:rPr>
              <w:t>y</w:t>
            </w:r>
            <w:r w:rsidRPr="00E71B56">
              <w:rPr>
                <w:b/>
                <w:bCs/>
                <w:lang w:val="es-ES"/>
              </w:rPr>
              <w:t xml:space="preserve"> Santa Lucía</w:t>
            </w:r>
            <w:r w:rsidRPr="00E71B56">
              <w:rPr>
                <w:lang w:val="es-ES"/>
              </w:rPr>
              <w:t xml:space="preserve">, la BDT, por conducto de un programa conjunto de las Naciones Unidas, ayudó a los gobiernos a adoptar medidas reglamentarias, políticas y de ciberseguridad para mejorar los servicios financieros digitales. Se impartió formación a más de 65 partes interesadas en materia de seguridad móvil, mientras que 15 especialistas recibieron formación para llevar a cabo auditorías independientes de las aplicaciones e infraestructuras de pago digital. En </w:t>
            </w:r>
            <w:r w:rsidRPr="00E71B56">
              <w:rPr>
                <w:b/>
                <w:bCs/>
                <w:lang w:val="es-ES"/>
              </w:rPr>
              <w:t>El Salvador</w:t>
            </w:r>
            <w:r w:rsidRPr="00E71B56">
              <w:rPr>
                <w:lang w:val="es-ES"/>
              </w:rPr>
              <w:t>, en 2024, la BDT participó en la implementación exitosa del programa de mejora del acceso a los servicios sanitarios de calidad para enfermedades no transmisibles por conducto de un proyecto de innovación digital llevado a cabo con la OMS/la Organización Panamericana de la Salud (OPS), el UNFPA y UNICEF.</w:t>
            </w:r>
          </w:p>
          <w:p w14:paraId="7BCC1539" w14:textId="77777777" w:rsidR="00BD155E" w:rsidRPr="00E71B56" w:rsidRDefault="00BD155E" w:rsidP="00A372FB">
            <w:pPr>
              <w:rPr>
                <w:lang w:val="es-ES"/>
              </w:rPr>
            </w:pPr>
            <w:r w:rsidRPr="00E71B56">
              <w:rPr>
                <w:lang w:val="es-ES"/>
              </w:rPr>
              <w:t xml:space="preserve">A nivel regional, 26 directores de organismos participaron en la formación sobre GovStack impartida en el marco de la reunión anual de la Red Regional para el Desarrollo del Gobierno Electrónico, ayudando a difundir las prácticas idóneas entre los países. En </w:t>
            </w:r>
            <w:r w:rsidRPr="00E71B56">
              <w:rPr>
                <w:b/>
                <w:bCs/>
                <w:lang w:val="es-ES"/>
              </w:rPr>
              <w:t>Belice</w:t>
            </w:r>
            <w:r w:rsidRPr="00E71B56">
              <w:rPr>
                <w:lang w:val="es-ES"/>
              </w:rPr>
              <w:t xml:space="preserve">, </w:t>
            </w:r>
            <w:r w:rsidRPr="00E71B56">
              <w:rPr>
                <w:b/>
                <w:bCs/>
                <w:lang w:val="es-ES"/>
              </w:rPr>
              <w:t>Colombia</w:t>
            </w:r>
            <w:r w:rsidRPr="00E71B56">
              <w:rPr>
                <w:lang w:val="es-ES"/>
              </w:rPr>
              <w:t xml:space="preserve">, </w:t>
            </w:r>
            <w:r w:rsidRPr="00E71B56">
              <w:rPr>
                <w:b/>
                <w:bCs/>
                <w:lang w:val="es-ES"/>
              </w:rPr>
              <w:t>Costa Rica</w:t>
            </w:r>
            <w:r w:rsidRPr="00E71B56">
              <w:rPr>
                <w:lang w:val="es-ES"/>
              </w:rPr>
              <w:t>, la</w:t>
            </w:r>
            <w:r w:rsidRPr="00E71B56">
              <w:rPr>
                <w:b/>
                <w:bCs/>
                <w:lang w:val="es-ES"/>
              </w:rPr>
              <w:t xml:space="preserve"> República Dominicana </w:t>
            </w:r>
            <w:r w:rsidRPr="00E71B56">
              <w:rPr>
                <w:lang w:val="es-ES"/>
              </w:rPr>
              <w:t>y</w:t>
            </w:r>
            <w:r w:rsidRPr="00E71B56">
              <w:rPr>
                <w:b/>
                <w:bCs/>
                <w:lang w:val="es-ES"/>
              </w:rPr>
              <w:t xml:space="preserve"> Guatemala </w:t>
            </w:r>
            <w:r w:rsidRPr="00E71B56">
              <w:rPr>
                <w:lang w:val="es-ES"/>
              </w:rPr>
              <w:t>se exploraron oportunidades para adoptar enfoques sobre elementos constitutivos, y los proyectos demostraron la manera en la que el gobierno digital podía fortalecer la inclusión financiera y la prestación de servicios públicos de manera simultánea.</w:t>
            </w:r>
          </w:p>
          <w:p w14:paraId="5F573340" w14:textId="77777777" w:rsidR="00BD155E" w:rsidRPr="00E71B56" w:rsidRDefault="00BD155E" w:rsidP="00A372FB">
            <w:pPr>
              <w:keepNext/>
              <w:keepLines/>
              <w:rPr>
                <w:lang w:val="es-ES"/>
              </w:rPr>
            </w:pPr>
            <w:r w:rsidRPr="00E71B56">
              <w:rPr>
                <w:lang w:val="es-ES"/>
              </w:rPr>
              <w:lastRenderedPageBreak/>
              <w:t xml:space="preserve">En la </w:t>
            </w:r>
            <w:r w:rsidRPr="00E71B56">
              <w:rPr>
                <w:b/>
                <w:bCs/>
                <w:lang w:val="es-ES"/>
              </w:rPr>
              <w:t>región de los Estados Árabes</w:t>
            </w:r>
            <w:r w:rsidRPr="00E71B56">
              <w:rPr>
                <w:lang w:val="es-ES"/>
              </w:rPr>
              <w:t xml:space="preserve">, la BDT impulsó implementaciones de proyectos piloto y organizó eventos de alto nivel. En </w:t>
            </w:r>
            <w:r w:rsidRPr="00E71B56">
              <w:rPr>
                <w:b/>
                <w:bCs/>
                <w:lang w:val="es-ES"/>
              </w:rPr>
              <w:t>Djibouti</w:t>
            </w:r>
            <w:r w:rsidRPr="00E71B56">
              <w:rPr>
                <w:lang w:val="es-ES"/>
              </w:rPr>
              <w:t xml:space="preserve">, </w:t>
            </w:r>
            <w:r w:rsidRPr="00E71B56">
              <w:rPr>
                <w:b/>
                <w:bCs/>
                <w:lang w:val="es-ES"/>
              </w:rPr>
              <w:t xml:space="preserve">Mauritania </w:t>
            </w:r>
            <w:r w:rsidRPr="00E71B56">
              <w:rPr>
                <w:lang w:val="es-ES"/>
              </w:rPr>
              <w:t>y</w:t>
            </w:r>
            <w:r w:rsidRPr="00E71B56">
              <w:rPr>
                <w:b/>
                <w:bCs/>
                <w:lang w:val="es-ES"/>
              </w:rPr>
              <w:t xml:space="preserve"> Somalia</w:t>
            </w:r>
            <w:r w:rsidRPr="00E71B56">
              <w:rPr>
                <w:lang w:val="es-ES"/>
              </w:rPr>
              <w:t xml:space="preserve">, la BDT apoyó implementaciones de referencia de GovStack, con casos de uso sobre servicios electrónicos como el cibergabinete, los ciberpermisos de construcción, los expedientes escolares y los portales de servicios. En </w:t>
            </w:r>
            <w:r w:rsidRPr="00E71B56">
              <w:rPr>
                <w:b/>
                <w:bCs/>
                <w:lang w:val="es-ES"/>
              </w:rPr>
              <w:t>Egipto</w:t>
            </w:r>
            <w:r w:rsidRPr="00E71B56">
              <w:rPr>
                <w:lang w:val="es-ES"/>
              </w:rPr>
              <w:t xml:space="preserve">, la colaboración con la Autoridad Nacional de Reglamentación de las Telecomunicaciones dio lugar a la creación de un marco de evaluación de las ciudades y comunidades inteligentes y sostenibles. Esto fue respaldado por la creación de capacidad para 250 partes interesadas, centrada en las especificaciones técnicas de GovStack y las interfaces de programación de aplicaciones (API). A nivel regional, la Cumbre Mundial sobre Infraestructura Pública Digital, organizada con el apoyo de la BDT en El Cairo en 2024, reunió a representantes de más de 100 países, posicionando a la </w:t>
            </w:r>
            <w:r w:rsidRPr="00E71B56">
              <w:rPr>
                <w:b/>
                <w:bCs/>
                <w:lang w:val="es-ES"/>
              </w:rPr>
              <w:t>región de los Estados Árabes</w:t>
            </w:r>
            <w:r w:rsidRPr="00E71B56">
              <w:rPr>
                <w:lang w:val="es-ES"/>
              </w:rPr>
              <w:t xml:space="preserve"> como centro para el diálogo internacional sobre la IPD. En la región también se celebró un foro sobre la 5G y las tecnologías ulteriores, adaptando las tecnologías emergentes a las prioridades nacionales en materia de ciudades inteligentes. En </w:t>
            </w:r>
            <w:r w:rsidRPr="00E71B56">
              <w:rPr>
                <w:b/>
                <w:bCs/>
                <w:lang w:val="es-ES"/>
              </w:rPr>
              <w:t>Jordania</w:t>
            </w:r>
            <w:r w:rsidRPr="00E71B56">
              <w:rPr>
                <w:lang w:val="es-ES"/>
              </w:rPr>
              <w:t>, un estudio de evaluación sobre las tecnologías inmersivas permitió cartografiar las fortalezas y oportunidades del ecosistema, y elaborar recomendaciones para la creación de empleo y la innovación. Además, también se ha empezado a prestar asistencia técnica para desarrollar la estrategia nacional del país sobre tecnologías inmersivas en consonancia con la evaluación realizada.</w:t>
            </w:r>
          </w:p>
          <w:p w14:paraId="2F560EB8" w14:textId="77777777" w:rsidR="00BD155E" w:rsidRPr="00E71B56" w:rsidRDefault="00BD155E" w:rsidP="00A372FB">
            <w:pPr>
              <w:rPr>
                <w:lang w:val="es-ES"/>
              </w:rPr>
            </w:pPr>
            <w:r w:rsidRPr="00E71B56">
              <w:rPr>
                <w:lang w:val="es-ES"/>
              </w:rPr>
              <w:t xml:space="preserve">En la </w:t>
            </w:r>
            <w:r w:rsidRPr="00E71B56">
              <w:rPr>
                <w:b/>
                <w:bCs/>
                <w:lang w:val="es-ES"/>
              </w:rPr>
              <w:t>región de Europa</w:t>
            </w:r>
            <w:r w:rsidRPr="00E71B56">
              <w:rPr>
                <w:lang w:val="es-ES"/>
              </w:rPr>
              <w:t xml:space="preserve">, la BDT hizo énfasis en el diseño centrado en las personas, la adaptación en fase de preadhesión y la implementación local. </w:t>
            </w:r>
            <w:r w:rsidRPr="00E71B56">
              <w:rPr>
                <w:b/>
                <w:bCs/>
                <w:lang w:val="es-ES"/>
              </w:rPr>
              <w:t xml:space="preserve">Macedonia del Norte </w:t>
            </w:r>
            <w:r w:rsidRPr="00E71B56">
              <w:rPr>
                <w:lang w:val="es-ES"/>
              </w:rPr>
              <w:t>y</w:t>
            </w:r>
            <w:r w:rsidRPr="00E71B56">
              <w:rPr>
                <w:b/>
                <w:bCs/>
                <w:lang w:val="es-ES"/>
              </w:rPr>
              <w:t xml:space="preserve"> Moldova</w:t>
            </w:r>
            <w:r w:rsidRPr="00E71B56">
              <w:rPr>
                <w:lang w:val="es-ES"/>
              </w:rPr>
              <w:t xml:space="preserve">, con el apoyo de la BDT, ultimaron sus estrategias nacionales de transformación digital, adaptando sus marcos a objetivos de desarrollo más amplios. </w:t>
            </w:r>
            <w:r w:rsidRPr="00E71B56">
              <w:rPr>
                <w:b/>
                <w:bCs/>
                <w:lang w:val="es-ES"/>
              </w:rPr>
              <w:t>Albania</w:t>
            </w:r>
            <w:r w:rsidRPr="00E71B56">
              <w:rPr>
                <w:lang w:val="es-ES"/>
              </w:rPr>
              <w:t xml:space="preserve">, </w:t>
            </w:r>
            <w:r w:rsidRPr="00E71B56">
              <w:rPr>
                <w:b/>
                <w:bCs/>
                <w:lang w:val="es-ES"/>
              </w:rPr>
              <w:t xml:space="preserve">Montenegro </w:t>
            </w:r>
            <w:r w:rsidRPr="00E71B56">
              <w:rPr>
                <w:lang w:val="es-ES"/>
              </w:rPr>
              <w:t>y</w:t>
            </w:r>
            <w:r w:rsidRPr="00E71B56">
              <w:rPr>
                <w:b/>
                <w:bCs/>
                <w:lang w:val="es-ES"/>
              </w:rPr>
              <w:t xml:space="preserve"> Serbia </w:t>
            </w:r>
            <w:r w:rsidRPr="00E71B56">
              <w:rPr>
                <w:lang w:val="es-ES"/>
              </w:rPr>
              <w:t xml:space="preserve">pusieron en marcha proyectos en el marco de la Ventana Digital del Fondo Conjunto para los ODS. </w:t>
            </w:r>
            <w:r w:rsidRPr="00E71B56">
              <w:rPr>
                <w:b/>
                <w:bCs/>
                <w:lang w:val="es-ES"/>
              </w:rPr>
              <w:t xml:space="preserve">Albania </w:t>
            </w:r>
            <w:r w:rsidRPr="00E71B56">
              <w:rPr>
                <w:lang w:val="es-ES"/>
              </w:rPr>
              <w:t xml:space="preserve">se centró en la agricultura digital y la transformación rural, </w:t>
            </w:r>
            <w:r w:rsidRPr="00E71B56">
              <w:rPr>
                <w:b/>
                <w:bCs/>
                <w:lang w:val="es-ES"/>
              </w:rPr>
              <w:t xml:space="preserve">Montenegro </w:t>
            </w:r>
            <w:r w:rsidRPr="00E71B56">
              <w:rPr>
                <w:lang w:val="es-ES"/>
              </w:rPr>
              <w:t xml:space="preserve">prestó apoyo para el gobierno electrónico y las ciudades inteligentes, y </w:t>
            </w:r>
            <w:r w:rsidRPr="00E71B56">
              <w:rPr>
                <w:b/>
                <w:bCs/>
                <w:lang w:val="es-ES"/>
              </w:rPr>
              <w:t xml:space="preserve">Serbia </w:t>
            </w:r>
            <w:r w:rsidRPr="00E71B56">
              <w:rPr>
                <w:lang w:val="es-ES"/>
              </w:rPr>
              <w:t>creó un Centro de Diseño de Servicios Digitales para servicios centrados en los usuarios. La serie monográfica sobre transformación digital centrada en el ser humano documentó experiencias de diez países europeos, en las que se analizaron lecciones extraídas respecto de los servicios de salud, educación y gobierno. Paralelamente, en la serie de talleres titulada "</w:t>
            </w:r>
            <w:hyperlink r:id="rId124" w:history="1">
              <w:r w:rsidRPr="00E71B56">
                <w:rPr>
                  <w:rStyle w:val="Hyperlink"/>
                  <w:lang w:val="es-ES"/>
                </w:rPr>
                <w:t>Reconsiderar los servicios públicos</w:t>
              </w:r>
            </w:hyperlink>
            <w:r w:rsidRPr="00E71B56">
              <w:rPr>
                <w:lang w:val="es-ES"/>
              </w:rPr>
              <w:t xml:space="preserve">" participaron 11 Estados Miembros en el marco de un diálogo colaborativo. En </w:t>
            </w:r>
            <w:r w:rsidRPr="00E71B56">
              <w:rPr>
                <w:b/>
                <w:bCs/>
                <w:lang w:val="es-ES"/>
              </w:rPr>
              <w:t>Ucrania</w:t>
            </w:r>
            <w:r w:rsidRPr="00E71B56">
              <w:rPr>
                <w:lang w:val="es-ES"/>
              </w:rPr>
              <w:t>, la BDT prestó apoyo a las actividades de recuperación nacional rehabilitando las estaciones de radiodifusión y modernizando la infraestructura de la 4G/5G, vinculando la reconstrucción con el desarrollo digital a largo plazo.</w:t>
            </w:r>
            <w:hyperlink r:id="rId125"/>
          </w:p>
          <w:p w14:paraId="137F74F9" w14:textId="77777777" w:rsidR="00BD155E" w:rsidRPr="00E71B56" w:rsidRDefault="00BD155E" w:rsidP="00A372FB">
            <w:pPr>
              <w:rPr>
                <w:lang w:val="es-ES"/>
              </w:rPr>
            </w:pPr>
            <w:r w:rsidRPr="00E71B56">
              <w:rPr>
                <w:lang w:val="es-ES"/>
              </w:rPr>
              <w:lastRenderedPageBreak/>
              <w:t xml:space="preserve">En la </w:t>
            </w:r>
            <w:r w:rsidRPr="00E71B56">
              <w:rPr>
                <w:b/>
                <w:bCs/>
                <w:lang w:val="es-ES"/>
              </w:rPr>
              <w:t>región de la CEI</w:t>
            </w:r>
            <w:r w:rsidRPr="00E71B56">
              <w:rPr>
                <w:lang w:val="es-ES"/>
              </w:rPr>
              <w:t xml:space="preserve">, la BDT estrechó la cooperación regional en materia de gobierno digital y ciudades inteligentes. El </w:t>
            </w:r>
            <w:hyperlink r:id="rId126" w:history="1">
              <w:r w:rsidRPr="00E71B56">
                <w:rPr>
                  <w:rStyle w:val="Hyperlink"/>
                  <w:lang w:val="es-ES"/>
                </w:rPr>
                <w:t>Foro Regional sobre Ciudades Inteligentes y Sostenibles</w:t>
              </w:r>
            </w:hyperlink>
            <w:r w:rsidRPr="00E71B56">
              <w:rPr>
                <w:lang w:val="es-ES"/>
              </w:rPr>
              <w:t xml:space="preserve"> reunió a gobiernos, organismos de las Naciones Unidas y municipios para intercambiar soluciones.</w:t>
            </w:r>
            <w:hyperlink r:id="rId127"/>
          </w:p>
          <w:p w14:paraId="1BB73CEA" w14:textId="77777777" w:rsidR="00BD155E" w:rsidRPr="00E71B56" w:rsidRDefault="00BD155E" w:rsidP="00A372FB">
            <w:pPr>
              <w:rPr>
                <w:lang w:val="es-ES"/>
              </w:rPr>
            </w:pPr>
            <w:r w:rsidRPr="00E71B56">
              <w:rPr>
                <w:lang w:val="es-ES"/>
              </w:rPr>
              <w:t xml:space="preserve">En </w:t>
            </w:r>
            <w:r w:rsidRPr="00E71B56">
              <w:rPr>
                <w:b/>
                <w:bCs/>
                <w:lang w:val="es-ES"/>
              </w:rPr>
              <w:t>Belarús</w:t>
            </w:r>
            <w:r w:rsidRPr="00E71B56">
              <w:rPr>
                <w:lang w:val="es-ES"/>
              </w:rPr>
              <w:t xml:space="preserve">, más de 340 funcionarios municipales recibieron formación sobre soluciones relativas a las ciudades inteligentes y la alfabetización digital, garantizando que las administraciones locales pudieran diseñar y prestar servicios. En cooperación con </w:t>
            </w:r>
            <w:r w:rsidRPr="00E71B56">
              <w:rPr>
                <w:b/>
                <w:bCs/>
                <w:lang w:val="es-ES"/>
              </w:rPr>
              <w:t>Kazajstán</w:t>
            </w:r>
            <w:r w:rsidRPr="00E71B56">
              <w:rPr>
                <w:lang w:val="es-ES"/>
              </w:rPr>
              <w:t>, se puso en marcha un proyecto regional bienal sobre la cooperación en la esfera del gobierno digital, con el apoyo del Banco Euroasiático de Desarrollo, en consonancia con la Iniciativa Regional 3 de la CEI.</w:t>
            </w:r>
          </w:p>
          <w:p w14:paraId="5FA8A949" w14:textId="77777777" w:rsidR="00BD155E" w:rsidRPr="00E71B56" w:rsidRDefault="00BD155E" w:rsidP="00A372FB">
            <w:pPr>
              <w:spacing w:after="120"/>
              <w:rPr>
                <w:lang w:val="es-ES"/>
              </w:rPr>
            </w:pPr>
            <w:r w:rsidRPr="00E71B56">
              <w:rPr>
                <w:lang w:val="es-ES"/>
              </w:rPr>
              <w:t xml:space="preserve">En </w:t>
            </w:r>
            <w:r w:rsidRPr="00E71B56">
              <w:rPr>
                <w:b/>
                <w:bCs/>
                <w:lang w:val="es-ES"/>
              </w:rPr>
              <w:t>Armenia</w:t>
            </w:r>
            <w:r w:rsidRPr="00E71B56">
              <w:rPr>
                <w:lang w:val="es-ES"/>
              </w:rPr>
              <w:t xml:space="preserve">, </w:t>
            </w:r>
            <w:r w:rsidRPr="00E71B56">
              <w:rPr>
                <w:b/>
                <w:bCs/>
                <w:lang w:val="es-ES"/>
              </w:rPr>
              <w:t xml:space="preserve">Kirguistán </w:t>
            </w:r>
            <w:r w:rsidRPr="00E71B56">
              <w:rPr>
                <w:lang w:val="es-ES"/>
              </w:rPr>
              <w:t>y</w:t>
            </w:r>
            <w:r w:rsidRPr="00E71B56">
              <w:rPr>
                <w:b/>
                <w:bCs/>
                <w:lang w:val="es-ES"/>
              </w:rPr>
              <w:t xml:space="preserve"> Turkmenistán</w:t>
            </w:r>
            <w:r w:rsidRPr="00E71B56">
              <w:rPr>
                <w:lang w:val="es-ES"/>
              </w:rPr>
              <w:t>, la BDT impulsó proyectos que vinculaban GovStack con los esfuerzos nacionales en materia de digitalización. Las reuniones temáticas en línea y los foros regionales apoyaron el aprendizaje compartido, permitiendo a los países coordinar sus esfuerzos y adaptar las soluciones prácticas a sus contextos locales.</w:t>
            </w:r>
          </w:p>
        </w:tc>
        <w:tc>
          <w:tcPr>
            <w:tcW w:w="3323" w:type="dxa"/>
          </w:tcPr>
          <w:p w14:paraId="64732BE9" w14:textId="77777777" w:rsidR="00BD155E" w:rsidRPr="00E71B56" w:rsidRDefault="00BD155E" w:rsidP="00A372FB">
            <w:pPr>
              <w:rPr>
                <w:b/>
                <w:bCs/>
                <w:color w:val="0070C0"/>
                <w:lang w:val="es-ES"/>
              </w:rPr>
            </w:pPr>
            <w:r w:rsidRPr="00E71B56">
              <w:rPr>
                <w:b/>
                <w:bCs/>
                <w:color w:val="0070C0"/>
                <w:lang w:val="es-ES"/>
              </w:rPr>
              <w:lastRenderedPageBreak/>
              <w:t>GovStack:</w:t>
            </w:r>
          </w:p>
          <w:p w14:paraId="3168740B"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Publicación de 15 especificaciones para los elementos constitutivos de un gobierno digital</w:t>
            </w:r>
          </w:p>
          <w:p w14:paraId="0F38A124"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Documentación relativa al espacio controlado de pruebas y directrices sobre las TIC sostenibles</w:t>
            </w:r>
          </w:p>
          <w:p w14:paraId="0A8A9F13"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Concurso Women in Govtech: formación de 139 mujeres de 59 países</w:t>
            </w:r>
          </w:p>
          <w:p w14:paraId="030549D6" w14:textId="77777777" w:rsidR="00BD155E" w:rsidRPr="00E71B56" w:rsidRDefault="00BD155E" w:rsidP="00A372FB">
            <w:pPr>
              <w:keepNext/>
              <w:keepLines/>
              <w:rPr>
                <w:b/>
                <w:bCs/>
                <w:color w:val="0070C0"/>
                <w:lang w:val="es-ES"/>
              </w:rPr>
            </w:pPr>
            <w:r w:rsidRPr="00E71B56">
              <w:rPr>
                <w:b/>
                <w:bCs/>
                <w:color w:val="0070C0"/>
                <w:lang w:val="es-ES"/>
              </w:rPr>
              <w:lastRenderedPageBreak/>
              <w:t>Iniciativa Aldeas Inteligentes e Islas Inteligentes:</w:t>
            </w:r>
          </w:p>
          <w:p w14:paraId="7CEE577A"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Desplegada en 13 países</w:t>
            </w:r>
          </w:p>
          <w:p w14:paraId="5E9EE120"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Ampliación del acceso a los servicios digitales para las comunidades insuficientemente atendidas</w:t>
            </w:r>
          </w:p>
          <w:p w14:paraId="102F787F" w14:textId="77777777" w:rsidR="00BD155E" w:rsidRPr="00E71B56" w:rsidRDefault="00BD155E" w:rsidP="00A372FB">
            <w:pPr>
              <w:rPr>
                <w:b/>
                <w:bCs/>
                <w:color w:val="0070C0"/>
                <w:lang w:val="es-ES"/>
              </w:rPr>
            </w:pPr>
            <w:r w:rsidRPr="00E71B56">
              <w:rPr>
                <w:b/>
                <w:bCs/>
                <w:color w:val="0070C0"/>
                <w:lang w:val="es-ES"/>
              </w:rPr>
              <w:t>Proyecto OSEE:</w:t>
            </w:r>
          </w:p>
          <w:p w14:paraId="082E5AE2"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Webinarios y talleres sobre la gobernanza de datos, la infraestructura en la nube y la IA generativa</w:t>
            </w:r>
          </w:p>
          <w:p w14:paraId="75615329"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Marcos de formación y educación para adoptar tecnologías de código abierto</w:t>
            </w:r>
          </w:p>
          <w:p w14:paraId="31C03B8A" w14:textId="77777777" w:rsidR="00BD155E" w:rsidRPr="00E71B56" w:rsidRDefault="00BD155E" w:rsidP="00A372FB">
            <w:pPr>
              <w:rPr>
                <w:b/>
                <w:bCs/>
                <w:color w:val="0070C0"/>
                <w:lang w:val="es-ES"/>
              </w:rPr>
            </w:pPr>
            <w:r w:rsidRPr="00E71B56">
              <w:rPr>
                <w:b/>
                <w:bCs/>
                <w:color w:val="0070C0"/>
                <w:lang w:val="es-ES"/>
              </w:rPr>
              <w:t>Cuestión 1 de la Comisión de Estudio 2 del UIT</w:t>
            </w:r>
            <w:r w:rsidRPr="00E71B56">
              <w:rPr>
                <w:b/>
                <w:bCs/>
                <w:color w:val="0070C0"/>
                <w:lang w:val="es-ES"/>
              </w:rPr>
              <w:noBreakHyphen/>
              <w:t>D:</w:t>
            </w:r>
          </w:p>
          <w:p w14:paraId="36B8E97C"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4 reuniones</w:t>
            </w:r>
          </w:p>
          <w:p w14:paraId="6EE21768"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63 contribuciones</w:t>
            </w:r>
          </w:p>
          <w:p w14:paraId="72A8D70E"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Se celebraron 2 </w:t>
            </w:r>
            <w:hyperlink r:id="rId128" w:history="1">
              <w:r w:rsidRPr="00E71B56">
                <w:rPr>
                  <w:rStyle w:val="Hyperlink"/>
                  <w:lang w:val="es-ES"/>
                </w:rPr>
                <w:t>talleres</w:t>
              </w:r>
            </w:hyperlink>
            <w:r w:rsidRPr="00E71B56">
              <w:rPr>
                <w:lang w:val="es-ES"/>
              </w:rPr>
              <w:t xml:space="preserve"> y se elaboró un </w:t>
            </w:r>
            <w:hyperlink r:id="rId129" w:history="1">
              <w:r w:rsidRPr="00E71B56">
                <w:rPr>
                  <w:rStyle w:val="Hyperlink"/>
                  <w:lang w:val="es-ES"/>
                </w:rPr>
                <w:t>informe final de resultados</w:t>
              </w:r>
            </w:hyperlink>
            <w:hyperlink r:id="rId130" w:history="1"/>
            <w:hyperlink r:id="rId131" w:history="1"/>
          </w:p>
          <w:p w14:paraId="524F320A" w14:textId="77777777" w:rsidR="00BD155E" w:rsidRPr="00E71B56" w:rsidRDefault="00BD155E" w:rsidP="00A372FB">
            <w:pPr>
              <w:keepNext/>
              <w:keepLines/>
              <w:rPr>
                <w:b/>
                <w:bCs/>
                <w:color w:val="0070C0"/>
                <w:lang w:val="es-ES"/>
              </w:rPr>
            </w:pPr>
            <w:r w:rsidRPr="00E71B56">
              <w:rPr>
                <w:b/>
                <w:bCs/>
                <w:color w:val="0070C0"/>
                <w:lang w:val="es-ES"/>
              </w:rPr>
              <w:lastRenderedPageBreak/>
              <w:t>Cuestión 2 de la Comisión de Estudio 2 del UIT</w:t>
            </w:r>
            <w:r w:rsidRPr="00E71B56">
              <w:rPr>
                <w:b/>
                <w:bCs/>
                <w:color w:val="0070C0"/>
                <w:lang w:val="es-ES"/>
              </w:rPr>
              <w:noBreakHyphen/>
              <w:t>D:</w:t>
            </w:r>
          </w:p>
          <w:p w14:paraId="433F9082"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4 reuniones</w:t>
            </w:r>
          </w:p>
          <w:p w14:paraId="7897B41F"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98 contribuciones</w:t>
            </w:r>
          </w:p>
          <w:p w14:paraId="6EE614DA" w14:textId="77777777" w:rsidR="00BD155E" w:rsidRPr="00E71B56" w:rsidRDefault="00BD155E" w:rsidP="00A372FB">
            <w:pPr>
              <w:pStyle w:val="enumlev1"/>
              <w:tabs>
                <w:tab w:val="left" w:pos="330"/>
              </w:tabs>
              <w:ind w:left="330" w:hanging="330"/>
              <w:rPr>
                <w:b/>
                <w:bCs/>
                <w:color w:val="0070C0"/>
                <w:lang w:val="es-ES"/>
              </w:rPr>
            </w:pPr>
            <w:r w:rsidRPr="00E71B56">
              <w:rPr>
                <w:lang w:val="es-ES"/>
              </w:rPr>
              <w:t>○</w:t>
            </w:r>
            <w:r w:rsidRPr="00E71B56">
              <w:rPr>
                <w:lang w:val="es-ES"/>
              </w:rPr>
              <w:tab/>
              <w:t>Se celebraron 2 </w:t>
            </w:r>
            <w:hyperlink r:id="rId132" w:history="1">
              <w:r w:rsidRPr="00E71B56">
                <w:rPr>
                  <w:rStyle w:val="Hyperlink"/>
                  <w:lang w:val="es-ES"/>
                </w:rPr>
                <w:t>talleres</w:t>
              </w:r>
            </w:hyperlink>
            <w:r w:rsidRPr="00E71B56">
              <w:rPr>
                <w:lang w:val="es-ES"/>
              </w:rPr>
              <w:t xml:space="preserve"> y se elaboró un </w:t>
            </w:r>
            <w:hyperlink r:id="rId133" w:history="1">
              <w:r w:rsidRPr="00E71B56">
                <w:rPr>
                  <w:rStyle w:val="Hyperlink"/>
                  <w:lang w:val="es-ES"/>
                </w:rPr>
                <w:t>informe final de resultados</w:t>
              </w:r>
            </w:hyperlink>
            <w:hyperlink r:id="rId134" w:history="1"/>
            <w:hyperlink r:id="rId135" w:history="1"/>
          </w:p>
        </w:tc>
      </w:tr>
      <w:tr w:rsidR="00BD155E" w:rsidRPr="00E71B56" w14:paraId="2B638408" w14:textId="77777777" w:rsidTr="00A372FB">
        <w:trPr>
          <w:jc w:val="center"/>
        </w:trPr>
        <w:tc>
          <w:tcPr>
            <w:tcW w:w="3173" w:type="dxa"/>
          </w:tcPr>
          <w:p w14:paraId="1A0995A3" w14:textId="77777777" w:rsidR="00BD155E" w:rsidRPr="00E71B56" w:rsidRDefault="00BD155E" w:rsidP="00A372FB">
            <w:pPr>
              <w:rPr>
                <w:b/>
                <w:bCs/>
                <w:lang w:val="es-ES"/>
              </w:rPr>
            </w:pPr>
            <w:r w:rsidRPr="00E71B56">
              <w:rPr>
                <w:b/>
                <w:bCs/>
                <w:lang w:val="es-ES"/>
              </w:rPr>
              <w:lastRenderedPageBreak/>
              <w:t>Contribución a las metas de los ODS</w:t>
            </w:r>
          </w:p>
        </w:tc>
        <w:tc>
          <w:tcPr>
            <w:tcW w:w="12211" w:type="dxa"/>
            <w:gridSpan w:val="2"/>
          </w:tcPr>
          <w:p w14:paraId="7CBE4B81" w14:textId="77777777" w:rsidR="00BD155E" w:rsidRPr="00E71B56" w:rsidRDefault="00BD155E" w:rsidP="00A372FB">
            <w:pPr>
              <w:rPr>
                <w:lang w:val="es-ES"/>
              </w:rPr>
            </w:pPr>
            <w:r w:rsidRPr="00E71B56">
              <w:rPr>
                <w:lang w:val="es-ES"/>
              </w:rPr>
              <w:t>ODS 1, 3, 4, 5, 8, 9, 10, 11, 16 y 17</w:t>
            </w:r>
          </w:p>
        </w:tc>
      </w:tr>
      <w:tr w:rsidR="00BD155E" w:rsidRPr="00E71B56" w14:paraId="7D4AC66D" w14:textId="77777777" w:rsidTr="00A372FB">
        <w:trPr>
          <w:jc w:val="center"/>
        </w:trPr>
        <w:tc>
          <w:tcPr>
            <w:tcW w:w="3173" w:type="dxa"/>
          </w:tcPr>
          <w:p w14:paraId="23CCFD9A" w14:textId="77777777" w:rsidR="00BD155E" w:rsidRPr="00E71B56" w:rsidRDefault="00BD155E" w:rsidP="00A372FB">
            <w:pPr>
              <w:rPr>
                <w:b/>
                <w:bCs/>
                <w:lang w:val="es-ES"/>
              </w:rPr>
            </w:pPr>
            <w:r w:rsidRPr="00E71B56">
              <w:rPr>
                <w:b/>
                <w:bCs/>
                <w:lang w:val="es-ES"/>
              </w:rPr>
              <w:t>Líneas de Acción de la CMSI</w:t>
            </w:r>
          </w:p>
        </w:tc>
        <w:tc>
          <w:tcPr>
            <w:tcW w:w="12211" w:type="dxa"/>
            <w:gridSpan w:val="2"/>
          </w:tcPr>
          <w:p w14:paraId="0A29B67E" w14:textId="77777777" w:rsidR="00BD155E" w:rsidRPr="00E71B56" w:rsidRDefault="00BD155E" w:rsidP="00A372FB">
            <w:pPr>
              <w:rPr>
                <w:lang w:val="es-ES"/>
              </w:rPr>
            </w:pPr>
            <w:r w:rsidRPr="00E71B56">
              <w:rPr>
                <w:lang w:val="es-ES"/>
              </w:rPr>
              <w:t>C1, C2, C3, C4, C5, C6, C7 y C11</w:t>
            </w:r>
          </w:p>
        </w:tc>
      </w:tr>
      <w:tr w:rsidR="00BD155E" w:rsidRPr="00E71B56" w14:paraId="2EC2AF80" w14:textId="77777777" w:rsidTr="00A372FB">
        <w:trPr>
          <w:jc w:val="center"/>
        </w:trPr>
        <w:tc>
          <w:tcPr>
            <w:tcW w:w="3173" w:type="dxa"/>
          </w:tcPr>
          <w:p w14:paraId="38AB4ED1" w14:textId="77777777" w:rsidR="00BD155E" w:rsidRPr="00E71B56" w:rsidRDefault="00BD155E" w:rsidP="00A372FB">
            <w:pPr>
              <w:rPr>
                <w:b/>
                <w:lang w:val="es-ES"/>
              </w:rPr>
            </w:pPr>
            <w:r w:rsidRPr="00E71B56">
              <w:rPr>
                <w:b/>
                <w:bCs/>
                <w:lang w:val="es-ES"/>
              </w:rPr>
              <w:t>Resoluciones</w:t>
            </w:r>
          </w:p>
        </w:tc>
        <w:tc>
          <w:tcPr>
            <w:tcW w:w="12211" w:type="dxa"/>
            <w:gridSpan w:val="2"/>
          </w:tcPr>
          <w:p w14:paraId="1EFB6E49" w14:textId="77777777" w:rsidR="00BD155E" w:rsidRPr="00E71B56" w:rsidRDefault="00BD155E" w:rsidP="00A372FB">
            <w:pPr>
              <w:rPr>
                <w:lang w:val="es-ES"/>
              </w:rPr>
            </w:pPr>
            <w:r w:rsidRPr="00E71B56">
              <w:rPr>
                <w:lang w:val="es-ES"/>
              </w:rPr>
              <w:t>205 de la PP; 16, 30, 37, 85, 89 y 90 de la CMDT</w:t>
            </w:r>
          </w:p>
        </w:tc>
      </w:tr>
      <w:tr w:rsidR="00BD155E" w:rsidRPr="00E71B56" w14:paraId="5C045FC6" w14:textId="77777777" w:rsidTr="00A372FB">
        <w:trPr>
          <w:jc w:val="center"/>
        </w:trPr>
        <w:tc>
          <w:tcPr>
            <w:tcW w:w="3173" w:type="dxa"/>
          </w:tcPr>
          <w:p w14:paraId="7DD39830" w14:textId="77777777" w:rsidR="00BD155E" w:rsidRPr="00E71B56" w:rsidRDefault="00BD155E" w:rsidP="00A372FB">
            <w:pPr>
              <w:rPr>
                <w:b/>
                <w:lang w:val="es-ES"/>
              </w:rPr>
            </w:pPr>
            <w:r w:rsidRPr="00E71B56">
              <w:rPr>
                <w:b/>
                <w:bCs/>
                <w:lang w:val="es-ES"/>
              </w:rPr>
              <w:t>Cuestiones de las Comisiones de Estudio del UIT</w:t>
            </w:r>
            <w:r w:rsidRPr="00E71B56">
              <w:rPr>
                <w:b/>
                <w:bCs/>
                <w:lang w:val="es-ES"/>
              </w:rPr>
              <w:noBreakHyphen/>
              <w:t>D</w:t>
            </w:r>
          </w:p>
        </w:tc>
        <w:tc>
          <w:tcPr>
            <w:tcW w:w="12211" w:type="dxa"/>
            <w:gridSpan w:val="2"/>
          </w:tcPr>
          <w:p w14:paraId="39826FB6" w14:textId="77777777" w:rsidR="00BD155E" w:rsidRPr="00E71B56" w:rsidRDefault="00BD155E" w:rsidP="00A372FB">
            <w:pPr>
              <w:rPr>
                <w:lang w:val="es-ES"/>
              </w:rPr>
            </w:pPr>
            <w:r w:rsidRPr="00E71B56">
              <w:rPr>
                <w:lang w:val="es-ES"/>
              </w:rPr>
              <w:t>Cuestiones 1/2 (Comunidades inteligentes) y 2/2 (Tecnologías habilitadoras) de la Comisión de Estudio 2 sobre transformación digital</w:t>
            </w:r>
          </w:p>
        </w:tc>
      </w:tr>
    </w:tbl>
    <w:p w14:paraId="2EDB13C9" w14:textId="77777777" w:rsidR="00BD155E" w:rsidRPr="00E71B56" w:rsidRDefault="00BD155E" w:rsidP="00BD155E">
      <w:pPr>
        <w:rPr>
          <w:lang w:val="es-ES"/>
        </w:rPr>
      </w:pPr>
      <w:r w:rsidRPr="00E71B56">
        <w:rPr>
          <w:lang w:val="es-ES"/>
        </w:rPr>
        <w:br w:type="page"/>
      </w:r>
    </w:p>
    <w:tbl>
      <w:tblPr>
        <w:tblStyle w:val="TableGridLight"/>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2899"/>
        <w:gridCol w:w="8060"/>
        <w:gridCol w:w="3035"/>
      </w:tblGrid>
      <w:tr w:rsidR="00BD155E" w:rsidRPr="00E71B56" w14:paraId="3A7F5D41" w14:textId="77777777" w:rsidTr="00A372FB">
        <w:trPr>
          <w:jc w:val="center"/>
        </w:trPr>
        <w:tc>
          <w:tcPr>
            <w:tcW w:w="15384" w:type="dxa"/>
            <w:gridSpan w:val="3"/>
            <w:shd w:val="clear" w:color="auto" w:fill="2F5496"/>
          </w:tcPr>
          <w:p w14:paraId="2592CC3B" w14:textId="77777777" w:rsidR="00BD155E" w:rsidRPr="00E71B56" w:rsidRDefault="00BD155E" w:rsidP="00A372FB">
            <w:pPr>
              <w:pStyle w:val="Heading2"/>
              <w:jc w:val="center"/>
              <w:rPr>
                <w:color w:val="FFFFFF" w:themeColor="background1"/>
                <w:lang w:val="es-ES"/>
              </w:rPr>
            </w:pPr>
            <w:bookmarkStart w:id="31" w:name="_Toc212728821"/>
            <w:bookmarkStart w:id="32" w:name="_Toc213427969"/>
            <w:r w:rsidRPr="00E71B56">
              <w:rPr>
                <w:color w:val="FFFFFF" w:themeColor="background1"/>
                <w:lang w:val="es-ES"/>
              </w:rPr>
              <w:lastRenderedPageBreak/>
              <w:t>Prioridad 3 del UIT</w:t>
            </w:r>
            <w:r w:rsidRPr="00E71B56">
              <w:rPr>
                <w:color w:val="FFFFFF" w:themeColor="background1"/>
                <w:lang w:val="es-ES"/>
              </w:rPr>
              <w:noBreakHyphen/>
              <w:t>D: Entorno político y reglamentario propicio</w:t>
            </w:r>
            <w:bookmarkEnd w:id="31"/>
            <w:bookmarkEnd w:id="32"/>
          </w:p>
          <w:p w14:paraId="0BB1AE7B" w14:textId="77777777" w:rsidR="00BD155E" w:rsidRPr="00E71B56" w:rsidRDefault="00BD155E" w:rsidP="00A372FB">
            <w:pPr>
              <w:spacing w:after="120"/>
              <w:jc w:val="center"/>
              <w:rPr>
                <w:b/>
                <w:i/>
                <w:iCs/>
                <w:color w:val="FFFFFF" w:themeColor="background1"/>
                <w:lang w:val="es-ES"/>
              </w:rPr>
            </w:pPr>
            <w:r w:rsidRPr="00E71B56">
              <w:rPr>
                <w:b/>
                <w:bCs/>
                <w:i/>
                <w:iCs/>
                <w:color w:val="FFFFFF" w:themeColor="background1"/>
                <w:lang w:val="es-ES"/>
              </w:rPr>
              <w:t>Promover un entorno político y reglamentario habilitador que propicie el desarrollo sostenible de las telecomunicaciones/TIC</w:t>
            </w:r>
          </w:p>
        </w:tc>
      </w:tr>
      <w:tr w:rsidR="00BD155E" w:rsidRPr="00E71B56" w14:paraId="6D9A4A30" w14:textId="77777777" w:rsidTr="00A372FB">
        <w:trPr>
          <w:jc w:val="center"/>
        </w:trPr>
        <w:tc>
          <w:tcPr>
            <w:tcW w:w="15384" w:type="dxa"/>
            <w:gridSpan w:val="3"/>
            <w:shd w:val="clear" w:color="auto" w:fill="E5DFEC"/>
          </w:tcPr>
          <w:p w14:paraId="432965C6" w14:textId="77777777" w:rsidR="00BD155E" w:rsidRPr="00E71B56" w:rsidRDefault="00BD155E" w:rsidP="00A372FB">
            <w:pPr>
              <w:pStyle w:val="Heading3"/>
              <w:rPr>
                <w:color w:val="0070C0"/>
                <w:lang w:val="es-ES"/>
              </w:rPr>
            </w:pPr>
            <w:bookmarkStart w:id="33" w:name="_Toc212728822"/>
            <w:bookmarkStart w:id="34" w:name="_Toc213427970"/>
            <w:r w:rsidRPr="00E71B56">
              <w:rPr>
                <w:color w:val="0070C0"/>
                <w:lang w:val="es-ES"/>
              </w:rPr>
              <w:t>Capacitación</w:t>
            </w:r>
            <w:bookmarkEnd w:id="33"/>
            <w:bookmarkEnd w:id="34"/>
          </w:p>
          <w:p w14:paraId="26322AA2" w14:textId="77777777" w:rsidR="00BD155E" w:rsidRPr="00E71B56" w:rsidRDefault="00BD155E" w:rsidP="00A372FB">
            <w:pPr>
              <w:rPr>
                <w:b/>
                <w:bCs/>
                <w:lang w:val="es-ES"/>
              </w:rPr>
            </w:pPr>
            <w:r w:rsidRPr="00E71B56">
              <w:rPr>
                <w:b/>
                <w:bCs/>
                <w:i/>
                <w:iCs/>
                <w:lang w:val="es-ES"/>
              </w:rPr>
              <w:t xml:space="preserve">Realización: </w:t>
            </w:r>
            <w:r w:rsidRPr="00E71B56">
              <w:rPr>
                <w:i/>
                <w:iCs/>
                <w:lang w:val="es-ES"/>
              </w:rPr>
              <w:t>Mejora de las capacidades humanas e institucionales de los miembros de la UIT en materia de telecomunicaciones/TIC para aprovechar todo el potencial de la economía y la sociedad digitales</w:t>
            </w:r>
          </w:p>
        </w:tc>
      </w:tr>
      <w:tr w:rsidR="00BD155E" w:rsidRPr="00E71B56" w14:paraId="04B6DEA1" w14:textId="77777777" w:rsidTr="00A372FB">
        <w:trPr>
          <w:jc w:val="center"/>
        </w:trPr>
        <w:tc>
          <w:tcPr>
            <w:tcW w:w="12061" w:type="dxa"/>
            <w:gridSpan w:val="2"/>
          </w:tcPr>
          <w:p w14:paraId="531CFC43" w14:textId="77777777" w:rsidR="00BD155E" w:rsidRPr="00E71B56" w:rsidRDefault="00BD155E" w:rsidP="00A372FB">
            <w:pPr>
              <w:keepNext/>
              <w:keepLines/>
              <w:jc w:val="center"/>
              <w:rPr>
                <w:b/>
                <w:bCs/>
                <w:color w:val="0070C0"/>
                <w:lang w:val="es-ES"/>
              </w:rPr>
            </w:pPr>
            <w:r w:rsidRPr="00E71B56">
              <w:rPr>
                <w:b/>
                <w:bCs/>
                <w:color w:val="0070C0"/>
                <w:lang w:val="es-ES"/>
              </w:rPr>
              <w:t>Productos</w:t>
            </w:r>
          </w:p>
        </w:tc>
        <w:tc>
          <w:tcPr>
            <w:tcW w:w="3323" w:type="dxa"/>
          </w:tcPr>
          <w:p w14:paraId="1A0674AD" w14:textId="77777777" w:rsidR="00BD155E" w:rsidRPr="00E71B56" w:rsidRDefault="00BD155E" w:rsidP="00A372FB">
            <w:pPr>
              <w:keepNext/>
              <w:keepLines/>
              <w:jc w:val="center"/>
              <w:rPr>
                <w:b/>
                <w:bCs/>
                <w:color w:val="0070C0"/>
                <w:lang w:val="es-ES"/>
              </w:rPr>
            </w:pPr>
            <w:r w:rsidRPr="00E71B56">
              <w:rPr>
                <w:b/>
                <w:bCs/>
                <w:color w:val="0070C0"/>
                <w:lang w:val="es-ES"/>
              </w:rPr>
              <w:t>Aspectos destacados</w:t>
            </w:r>
          </w:p>
        </w:tc>
      </w:tr>
      <w:tr w:rsidR="00BD155E" w:rsidRPr="00E71B56" w14:paraId="744F45EB" w14:textId="77777777" w:rsidTr="00A372FB">
        <w:trPr>
          <w:jc w:val="center"/>
        </w:trPr>
        <w:tc>
          <w:tcPr>
            <w:tcW w:w="12061" w:type="dxa"/>
            <w:gridSpan w:val="2"/>
          </w:tcPr>
          <w:p w14:paraId="7687686E" w14:textId="77777777" w:rsidR="00BD155E" w:rsidRPr="00E71B56" w:rsidRDefault="00BD155E" w:rsidP="00A372FB">
            <w:pPr>
              <w:rPr>
                <w:lang w:val="es-ES"/>
              </w:rPr>
            </w:pPr>
            <w:r w:rsidRPr="00E71B56">
              <w:rPr>
                <w:lang w:val="es-ES"/>
              </w:rPr>
              <w:t>El periodo comprendido entre 2023 y 2025 estuvo marcado por esfuerzos destinados a redefinir el desarrollo de la capacidad como piedra angular de la transformación digital. La BDT siguió ejecutando programas de formación de gran calidad en toda su red mundial. Se llevaron a cabo actividades por conducto de la Academia de la UIT, los Centros de Formación de la Academia (CFA) de la UIT y la iniciativa del Centro de Transformación Digital (CTD), que garantizaron un impacto significativo para los gobiernos, los organismos reguladores, las instituciones y los ciudadanos de todo el mundo. La especial atención prestada a los grupos insuficientemente atendidos, incluidas las mujeres, los jóvenes y las comunidades marginadas, garantizó que los beneficios de la alfabetización digital y la formación técnica avanzada se distribuyesen de manera equitativa. El periodo puso de relieve el reconocimiento de que la transformación digital no puede alcanzar su pleno potencial sin el desarrollo de la capacidad humana como base.</w:t>
            </w:r>
          </w:p>
          <w:p w14:paraId="43BE28AA" w14:textId="77777777" w:rsidR="00BD155E" w:rsidRPr="00E71B56" w:rsidRDefault="00BD155E" w:rsidP="00A372FB">
            <w:pPr>
              <w:rPr>
                <w:lang w:val="es-ES"/>
              </w:rPr>
            </w:pPr>
            <w:r w:rsidRPr="00E71B56">
              <w:rPr>
                <w:lang w:val="es-ES"/>
              </w:rPr>
              <w:t xml:space="preserve">Uno de los principales avances institucionales fue la puesta en marcha del programa de los </w:t>
            </w:r>
            <w:hyperlink r:id="rId136" w:history="1">
              <w:r w:rsidRPr="00E71B56">
                <w:rPr>
                  <w:rStyle w:val="Hyperlink"/>
                  <w:lang w:val="es-ES"/>
                </w:rPr>
                <w:t>Centros de Formación de la Academia</w:t>
              </w:r>
            </w:hyperlink>
            <w:r w:rsidRPr="00E71B56">
              <w:rPr>
                <w:lang w:val="es-ES"/>
              </w:rPr>
              <w:t xml:space="preserve"> en 2023, creados a raíz de los resultados de la CMDT-22, en la que los miembros de la UIT adoptaron la Resolución 73 revisada, en sustitución de los antiguos centros de excelencia de la UIT. Los CFA son instituciones internacionalmente reconocidas que ofrecen formación de alta calidad al personal intermedio y superior, centrándose especialmente en las necesidades de los países en desarrollo. Las instituciones que participan en el programa siguen siendo los principales asociados para el desarrollo de capacidades de la UIT, ya que imparten casi el 40 % de todos los cursos de la plataforma de la Academia de la UIT. La red consolidó la experiencia global en 14 instituciones acreditadas, seleccionadas por su capacidad para impartir formación avanzada en esferas como la gestión del espectro, la inclusión digital, la ciberseguridad y la política y la reglamentación. Desde la puesta en marcha del programa en enero de 2023 </w:t>
            </w:r>
            <w:r w:rsidRPr="00E71B56">
              <w:rPr>
                <w:lang w:val="es-ES"/>
              </w:rPr>
              <w:lastRenderedPageBreak/>
              <w:t>hasta agosto de 2025, los 14 CFA han implementado 146 cursos, en cuyo marco se otorgaron certificados a 3 500 participantes. La mayoría de los participantes en los cursos pertenecían a entidades del sector público (ministerios, autoridades reglamentarias) y entidades de telecomunicaciones, y en menor medida a instituciones académicas, el sector privado y otras organizaciones. De los participantes de los Estados Miembros, el 81 % procedían de países en desarrollo. Las reuniones anuales de coordinación garantizaron la armonización de las normas, permitiendo a los CFA actuar no solo como proveedores de actividades de formación sino también como centros para el intercambio de conocimientos y la garantía de calidad.</w:t>
            </w:r>
            <w:hyperlink r:id="rId137"/>
          </w:p>
          <w:p w14:paraId="712AE064" w14:textId="77777777" w:rsidR="00BD155E" w:rsidRPr="00E71B56" w:rsidRDefault="00BD155E" w:rsidP="00A372FB">
            <w:pPr>
              <w:rPr>
                <w:lang w:val="es-ES"/>
              </w:rPr>
            </w:pPr>
            <w:r w:rsidRPr="00E71B56">
              <w:rPr>
                <w:lang w:val="es-ES"/>
              </w:rPr>
              <w:t xml:space="preserve">Otro hito fue la expansión de la Academia de la UIT, que evolucionó hasta convertirse en una pasarela rectora para el desarrollo de las competencias digitales en todo el mundo. A finales de agosto de 2025, el número de usuarios se había prácticamente duplicado, alcanzando más de </w:t>
            </w:r>
            <w:r w:rsidRPr="00E71B56">
              <w:rPr>
                <w:b/>
                <w:bCs/>
                <w:lang w:val="es-ES"/>
              </w:rPr>
              <w:t>75 000 personas</w:t>
            </w:r>
            <w:r w:rsidRPr="00E71B56">
              <w:rPr>
                <w:lang w:val="es-ES"/>
              </w:rPr>
              <w:t>, de las cuales la gran mayoría, aproximadamente un 80 % procedía de países en desarrollo. La proporción de mujeres entre los nuevos usuarios ha aumentado hasta el 40 %, nivel que corresponde casi al doble del registrado en 2019.</w:t>
            </w:r>
          </w:p>
          <w:p w14:paraId="14EF45FB" w14:textId="77777777" w:rsidR="00BD155E" w:rsidRPr="00E71B56" w:rsidRDefault="00BD155E" w:rsidP="00A372FB">
            <w:pPr>
              <w:rPr>
                <w:lang w:val="es-ES"/>
              </w:rPr>
            </w:pPr>
            <w:r w:rsidRPr="00E71B56">
              <w:rPr>
                <w:lang w:val="es-ES"/>
              </w:rPr>
              <w:t>Desde 2023, se han impartido 400 cursos, de los cuales el 70 % en línea, lo que permitió su despliegue y accesibilidad, y el resto se impartió en aulas tradicionales, facilitando el intercambio entre los participantes. Las tasas de finalización han superado sistemáticamente los niveles de referencia de la industria, y pasaron del 68 % para los cursos presenciales y el 28 % para los cursos en línea en 2023 al 90 % y el 45 % respectivamente en 2025. Este progreso refleja los esfuerzos continuos para mejorar la calidad de los cursos y fortalecer la colaboración con los estudiantes. En total, se emitieron más de 15 000 certificaciones, que reconocían los logros de los participantes y les ofrecían credenciales para avanzar en sus carreras.</w:t>
            </w:r>
          </w:p>
          <w:p w14:paraId="3A5C6628" w14:textId="77777777" w:rsidR="00BD155E" w:rsidRPr="00E71B56" w:rsidRDefault="00BD155E" w:rsidP="00A372FB">
            <w:pPr>
              <w:keepNext/>
              <w:keepLines/>
              <w:rPr>
                <w:lang w:val="es-ES"/>
              </w:rPr>
            </w:pPr>
            <w:r w:rsidRPr="00E71B56">
              <w:rPr>
                <w:lang w:val="es-ES"/>
              </w:rPr>
              <w:lastRenderedPageBreak/>
              <w:t xml:space="preserve">El catálogo de cursos se diversificó para incluir nuevas esferas como la inteligencia artificial, las tecnologías cuánticas y la gobernanza de datos, mientras que se siguieron ofreciendo los programas de larga data sobre gestión del espectro, reglamentación y política digital. Los niveles de satisfacción de los alumnos siguieron siendo constantemente altos, ya que el 98 % de los participantes atribuyeron a sus cursos una calificación positiva y confirmaron la pertinencia y accesibilidad de la plataforma de la Academia de la UIT. Las evaluaciones posteriores a la formación, realizadas desde 2024 como parte del nuevo marco de evaluación integral de la formación, demuestran un importante aumento de las competencias de los participantes, que comunicaron contar con un mayor grado de competencias tras finalizar sus cursos, así como un elevado grado de aplicación en sus trabajos actuales de los conocimientos adquiridos en la formación. Estos resultados se han reflejado en un cambio real: entre otras cosas, </w:t>
            </w:r>
            <w:r w:rsidRPr="00E71B56">
              <w:rPr>
                <w:b/>
                <w:bCs/>
                <w:lang w:val="es-ES"/>
              </w:rPr>
              <w:t>los alumnos han fortalecido los sistemas nacionales de supervisión de la ciberseguridad, han adaptado procesos internos a las nuevas leyes de protección de datos, han contribuido a la elaboración de normas en materia de residuos electrónicos y han desarrollado estrategias de banda ancha para las zonas insuficientemente atendidas</w:t>
            </w:r>
            <w:r w:rsidRPr="00E71B56">
              <w:rPr>
                <w:lang w:val="es-ES"/>
              </w:rPr>
              <w:t>. Asimismo, muchos han sido mentores de otros, han organizado talleres internos o han revisado marcos institucionales, multiplicando los beneficios y haciendo que lleguen mucho más allá del propio estudiante.</w:t>
            </w:r>
          </w:p>
          <w:p w14:paraId="05C7DA50" w14:textId="77777777" w:rsidR="00BD155E" w:rsidRPr="00E71B56" w:rsidRDefault="00BD155E" w:rsidP="00A372FB">
            <w:pPr>
              <w:rPr>
                <w:lang w:val="es-ES"/>
              </w:rPr>
            </w:pPr>
            <w:r w:rsidRPr="00E71B56">
              <w:rPr>
                <w:lang w:val="es-ES"/>
              </w:rPr>
              <w:t>Contando con la financiación de la iniciativa Global Gateway de la Unión Europea durante un periodo de cuatro años, la UIT, en colaboración con el PNUD, empezó a llevar a cabo el proyecto de "</w:t>
            </w:r>
            <w:hyperlink r:id="rId138" w:history="1">
              <w:r w:rsidRPr="00E71B56">
                <w:rPr>
                  <w:rStyle w:val="Hyperlink"/>
                  <w:lang w:val="es-ES"/>
                </w:rPr>
                <w:t>Desarrollo de la capacidad para la transformación digital</w:t>
              </w:r>
            </w:hyperlink>
            <w:r w:rsidRPr="00E71B56">
              <w:rPr>
                <w:lang w:val="es-ES"/>
              </w:rPr>
              <w:t>" a finales de 2023. El proyecto apoya la impartición de formación para responsables de formular políticas y funcionarios públicos de todo el mundo por conducto de la plataforma de la Academia de la UIT y tiene por objeto formar a al menos 5 000 participantes sobre 18 temas básicos relacionados con las tecnologías digitales. Los cursos formativos son impartidos por la BDT, en asociación con los CFA, así como otros asociados de las Naciones Unidas como la Organización de las Naciones Unidas para la Educación, la Ciencia y la Cultura (UNESCO), la OIT y la Oficina del Alto Comisionado de las Naciones Unidas para los Derechos Humanos (ACNUDH). Desde el principio del proyecto, en total, se impartieron por completo 51 cursos presenciales y en línea, y casi 3 000 participantes fueron formados, procedentes de 115 países (en su mayoría, en desarrollo). Todos los cursos versaron sobre los 18 temas especificados en el proyecto, y el número total de participantes fue superior a 7 702.</w:t>
            </w:r>
            <w:hyperlink r:id="rId139"/>
          </w:p>
          <w:p w14:paraId="5F0ED101" w14:textId="77777777" w:rsidR="00BD155E" w:rsidRPr="00E71B56" w:rsidRDefault="00BD155E" w:rsidP="00A372FB">
            <w:pPr>
              <w:rPr>
                <w:lang w:val="es-ES"/>
              </w:rPr>
            </w:pPr>
            <w:r w:rsidRPr="00E71B56">
              <w:rPr>
                <w:lang w:val="es-ES"/>
              </w:rPr>
              <w:lastRenderedPageBreak/>
              <w:t>Por conducto del proyecto "Capacitación para acelerar la conectividad escolar" en colaboración con la Iniciativa Giga, que se puso en marcha en 2024, la BDT apoya los esfuerzos de los Estados Miembros en materia de conectividad escolar, impartiendo cursos de formación adaptados por conducto de la Academia de la UIT. Los cursos de formación abarcan todas las etapas de la conectividad escolar, desde su concepción y planificación tempranas hasta la cartografía y la elaboración de modelos de las infraestructuras, la financiación y la contratación, la implementación técnica y la supervisión de la conectividad, aprovechando la experiencia de la UIT en materia de conectividad de las TIC y entornos propicios.</w:t>
            </w:r>
          </w:p>
          <w:p w14:paraId="5674F811" w14:textId="77777777" w:rsidR="00BD155E" w:rsidRPr="00E71B56" w:rsidRDefault="00BD155E" w:rsidP="00A372FB">
            <w:pPr>
              <w:rPr>
                <w:lang w:val="es-ES"/>
              </w:rPr>
            </w:pPr>
            <w:r w:rsidRPr="00E71B56">
              <w:rPr>
                <w:lang w:val="es-ES"/>
              </w:rPr>
              <w:t xml:space="preserve">A nivel comunitario, la iniciativa de los </w:t>
            </w:r>
            <w:hyperlink r:id="rId140" w:history="1">
              <w:r w:rsidRPr="00E71B56">
                <w:rPr>
                  <w:rStyle w:val="Hyperlink"/>
                  <w:lang w:val="es-ES"/>
                </w:rPr>
                <w:t>Centros de Transformación Digital</w:t>
              </w:r>
            </w:hyperlink>
            <w:r w:rsidRPr="00E71B56">
              <w:rPr>
                <w:lang w:val="es-ES"/>
              </w:rPr>
              <w:t xml:space="preserve"> surgió como vehículo emblemático para ampliar la alfabetización digital. La iniciativa opera por conducto de una red mundial de CTD nacionales, que tienen el mandato de ofrecer programas sobre competencias digitales en sus correspondientes países. A finales de 2025, el número de miembros de la red de CTD había aumentado hasta </w:t>
            </w:r>
            <w:r w:rsidRPr="00E71B56">
              <w:rPr>
                <w:b/>
                <w:bCs/>
                <w:lang w:val="es-ES"/>
              </w:rPr>
              <w:t>14 países</w:t>
            </w:r>
            <w:r w:rsidRPr="00E71B56">
              <w:rPr>
                <w:lang w:val="es-ES"/>
              </w:rPr>
              <w:t xml:space="preserve"> (Côte d'Ivoire, República Democrática del Congo, República Dominicana, Ghana, Indonesia, Marruecos, Pakistán, Papua Nueva Guinea, Filipinas, Rwanda, Senegal, Sierra Leona, Uganda y Zambia) y se había impartido formación a </w:t>
            </w:r>
            <w:r w:rsidRPr="00E71B56">
              <w:rPr>
                <w:b/>
                <w:bCs/>
                <w:lang w:val="es-ES"/>
              </w:rPr>
              <w:t>más de</w:t>
            </w:r>
            <w:r w:rsidRPr="00E71B56">
              <w:rPr>
                <w:lang w:val="es-ES"/>
              </w:rPr>
              <w:t xml:space="preserve"> </w:t>
            </w:r>
            <w:r w:rsidRPr="00E71B56">
              <w:rPr>
                <w:b/>
                <w:bCs/>
                <w:lang w:val="es-ES"/>
              </w:rPr>
              <w:t>medio millón</w:t>
            </w:r>
            <w:r w:rsidRPr="00E71B56">
              <w:rPr>
                <w:lang w:val="es-ES"/>
              </w:rPr>
              <w:t xml:space="preserve"> de personas, de las cuales </w:t>
            </w:r>
            <w:r w:rsidRPr="00E71B56">
              <w:rPr>
                <w:b/>
                <w:bCs/>
                <w:lang w:val="es-ES"/>
              </w:rPr>
              <w:t>más del 50 % eran mujeres</w:t>
            </w:r>
            <w:r w:rsidRPr="00E71B56">
              <w:rPr>
                <w:lang w:val="es-ES"/>
              </w:rPr>
              <w:t>. A fin de fortalecer la red mundial de CTD, cada año se reúnen los coordinadores de los CTD en un taller anual para examinar la implementación de la iniciativa, revisar los avances y logros realizados y explorar nuevas ideas para apoyar y ampliar la labor de los CTD. De 2023 a 2025, los talleres anuales fueron organizados por diferentes CTD cada año: Filipinas (2023), Indonesia (2024) y la República Dominicana (2025). Recientemente, se hizo una prueba piloto de una herramienta de evaluación del impacto de la formación, que se puso a disposición de todos los CTD, a fin de llevar a cabo evaluaciones del impacto de sus actividades de formación, a bajo coste. Por conducto de contenidos adaptados de sus cursos de formación, los CTD de Ghana, Pakistán, Senegal, Sierra Leona y Uganda impartieron a estudiantes con discapacidad visual formaciones en competencias digitales de calidad. A fin de fomentar la sostenibilidad y facilitar la apropiación local, los programas de formación de formadores constituyen un elemento clave de la iniciativa. Integrando el desarrollo de capacidad directamente en las instituciones locales, la iniciativa de los CTD demostró la manera en la que las alianzas mundiales pueden ofrecer resultados tangibles y con impacto a nivel comunitario.</w:t>
            </w:r>
            <w:hyperlink r:id="rId141" w:history="1"/>
          </w:p>
          <w:p w14:paraId="605D82CF" w14:textId="77777777" w:rsidR="00BD155E" w:rsidRPr="00E71B56" w:rsidRDefault="00BD155E" w:rsidP="00A372FB">
            <w:pPr>
              <w:rPr>
                <w:lang w:val="es-ES"/>
              </w:rPr>
            </w:pPr>
            <w:r w:rsidRPr="00E71B56">
              <w:rPr>
                <w:lang w:val="es-ES"/>
              </w:rPr>
              <w:t xml:space="preserve">El Gobierno de Noruega y la UIT prestaron apoyo a la iniciativa de los CTD por conducto de dos proyectos: "Fomento de las competencias digitales a través de los Centros de Transformación Digital", fases 1 </w:t>
            </w:r>
            <w:r w:rsidRPr="00E71B56">
              <w:rPr>
                <w:lang w:val="es-ES"/>
              </w:rPr>
              <w:lastRenderedPageBreak/>
              <w:t>(2021</w:t>
            </w:r>
            <w:r w:rsidRPr="00E71B56">
              <w:rPr>
                <w:lang w:val="es-ES"/>
              </w:rPr>
              <w:noBreakHyphen/>
              <w:t>2023) y 2 (2024</w:t>
            </w:r>
            <w:r w:rsidRPr="00E71B56">
              <w:rPr>
                <w:lang w:val="es-ES"/>
              </w:rPr>
              <w:noBreakHyphen/>
              <w:t xml:space="preserve">2025). La fase 1 del proyecto impulsó considerablemente las actividades de los CTD, en particular en </w:t>
            </w:r>
            <w:r w:rsidRPr="00E71B56">
              <w:rPr>
                <w:b/>
                <w:bCs/>
                <w:lang w:val="es-ES"/>
              </w:rPr>
              <w:t>Ghana</w:t>
            </w:r>
            <w:r w:rsidRPr="00E71B56">
              <w:rPr>
                <w:lang w:val="es-ES"/>
              </w:rPr>
              <w:t xml:space="preserve">. El CTD de Ghana superó casi todas las metas del proyecto y llegó a comunidades insuficientemente atendidas de las 16 regiones. Cabe sobre todo destacar el logro de la formación de 22 000 ciudadanos, de los cuales el 68 % eran mujeres. Un estudio de impacto llevado a cabo en </w:t>
            </w:r>
            <w:r w:rsidRPr="00E71B56">
              <w:rPr>
                <w:b/>
                <w:bCs/>
                <w:lang w:val="es-ES"/>
              </w:rPr>
              <w:t>Ghana</w:t>
            </w:r>
            <w:r w:rsidRPr="00E71B56">
              <w:rPr>
                <w:lang w:val="es-ES"/>
              </w:rPr>
              <w:t xml:space="preserve"> reveló que el 82 % de los beneficiarios comunicaron mejoras en el bienestar y los medios de subsistencia, y otros resultados adicionales como la reducción de las disparidades regionales, el creciente interés por las materias de ciencia, tecnología, ingeniería y matemáticas (STEM) entre los jóvenes, especialmente las niñas, y el refuerzo de la capacidad local en materia de formación en TIC. Además de Ghana, el proyecto apoyó a CTD de nueve países por conducto de programas de formación de formadores y creación de competencias digitales en zonas insuficientemente atendidas, mientras que la UIT facilitó la impartición de cursos de capacitación para formadores sobre las plataformas de Cisco y HP LIFE. La fase 2 se centró en el refuerzo de la iniciativa de los CTD por conducto de la continua impartición de formación, la creación de capacidad y la puesta a prueba de una metodología de evaluación del impacto. También incluyó la dotación en nuevas tecnologías de centros de TIC en </w:t>
            </w:r>
            <w:r w:rsidRPr="00E71B56">
              <w:rPr>
                <w:b/>
                <w:bCs/>
                <w:lang w:val="es-ES"/>
              </w:rPr>
              <w:t>Uganda</w:t>
            </w:r>
            <w:r w:rsidRPr="00E71B56">
              <w:rPr>
                <w:lang w:val="es-ES"/>
              </w:rPr>
              <w:t xml:space="preserve"> y </w:t>
            </w:r>
            <w:r w:rsidRPr="00E71B56">
              <w:rPr>
                <w:b/>
                <w:bCs/>
                <w:lang w:val="es-ES"/>
              </w:rPr>
              <w:t>Zambia</w:t>
            </w:r>
            <w:r w:rsidRPr="00E71B56">
              <w:rPr>
                <w:lang w:val="es-ES"/>
              </w:rPr>
              <w:t>, con instalaciones previstas para finales de 2025.</w:t>
            </w:r>
          </w:p>
          <w:p w14:paraId="7E7028D8" w14:textId="77777777" w:rsidR="00BD155E" w:rsidRPr="00E71B56" w:rsidRDefault="00BD155E" w:rsidP="00A372FB">
            <w:pPr>
              <w:rPr>
                <w:lang w:val="es-ES"/>
              </w:rPr>
            </w:pPr>
            <w:r w:rsidRPr="00E71B56">
              <w:rPr>
                <w:lang w:val="es-ES"/>
              </w:rPr>
              <w:t xml:space="preserve">A fin de apoyar la planificación política nacional, la BDT publicó el </w:t>
            </w:r>
            <w:hyperlink r:id="rId142" w:history="1">
              <w:r w:rsidRPr="00E71B56">
                <w:rPr>
                  <w:rStyle w:val="Hyperlink"/>
                  <w:i/>
                  <w:iCs/>
                  <w:lang w:val="es-ES"/>
                </w:rPr>
                <w:t>Conjunto de herramientas sobre competencias digitales de 2024</w:t>
              </w:r>
            </w:hyperlink>
            <w:r w:rsidRPr="00E71B56">
              <w:rPr>
                <w:lang w:val="es-ES"/>
              </w:rPr>
              <w:t xml:space="preserve">, un marco actualizado para diseñar estrategias nacionales. Este conjunto de herramientas ofrece una guía exhaustiva y por etapas para ayudar a los miembros de la UIT a crear estrategias y políticas digitales nacionales eficaces y se basa en las evaluaciones, hojas de ruta y estudios de casos mundiales. Países como </w:t>
            </w:r>
            <w:r w:rsidRPr="00E71B56">
              <w:rPr>
                <w:b/>
                <w:bCs/>
                <w:lang w:val="es-ES"/>
              </w:rPr>
              <w:t>Kenya</w:t>
            </w:r>
            <w:r w:rsidRPr="00E71B56">
              <w:rPr>
                <w:lang w:val="es-ES"/>
              </w:rPr>
              <w:t xml:space="preserve">, la </w:t>
            </w:r>
            <w:r w:rsidRPr="00E71B56">
              <w:rPr>
                <w:b/>
                <w:bCs/>
                <w:lang w:val="es-ES"/>
              </w:rPr>
              <w:t>República de Sudán del Sur</w:t>
            </w:r>
            <w:r w:rsidRPr="00E71B56">
              <w:rPr>
                <w:lang w:val="es-ES"/>
              </w:rPr>
              <w:t xml:space="preserve"> y </w:t>
            </w:r>
            <w:r w:rsidRPr="00E71B56">
              <w:rPr>
                <w:b/>
                <w:bCs/>
                <w:lang w:val="es-ES"/>
              </w:rPr>
              <w:t>Uganda</w:t>
            </w:r>
            <w:r w:rsidRPr="00E71B56">
              <w:rPr>
                <w:lang w:val="es-ES"/>
              </w:rPr>
              <w:t xml:space="preserve"> aplicaron estas herramientas para diseñar o perfeccionar las estrategias nacionales, mientras que otros las adoptaron para comparar los avances y coordinar el apoyo de los donantes. El conjunto de herramientas ofrece pautas metodológicas así como un vocabulario común para que los gobiernos y asociados puedan armonizar sus esfuerzos.</w:t>
            </w:r>
            <w:hyperlink r:id="rId143"/>
          </w:p>
          <w:p w14:paraId="2FDBEB05" w14:textId="77777777" w:rsidR="00BD155E" w:rsidRPr="00E71B56" w:rsidRDefault="00BD155E" w:rsidP="00A372FB">
            <w:pPr>
              <w:rPr>
                <w:lang w:val="es-ES"/>
              </w:rPr>
            </w:pPr>
            <w:r w:rsidRPr="00E71B56">
              <w:rPr>
                <w:lang w:val="es-ES"/>
              </w:rPr>
              <w:t xml:space="preserve">El </w:t>
            </w:r>
            <w:hyperlink r:id="rId144" w:history="1">
              <w:r w:rsidRPr="00E71B56">
                <w:rPr>
                  <w:rStyle w:val="Hyperlink"/>
                  <w:lang w:val="es-ES"/>
                </w:rPr>
                <w:t>Foro de Competencias Digitales de la UIT de 2024</w:t>
              </w:r>
            </w:hyperlink>
            <w:r w:rsidRPr="00E71B56">
              <w:rPr>
                <w:lang w:val="es-ES"/>
              </w:rPr>
              <w:t xml:space="preserve"> se celebró en Manama (</w:t>
            </w:r>
            <w:r w:rsidRPr="00E71B56">
              <w:rPr>
                <w:b/>
                <w:bCs/>
                <w:lang w:val="es-ES"/>
              </w:rPr>
              <w:t>Bahrein</w:t>
            </w:r>
            <w:r w:rsidRPr="00E71B56">
              <w:rPr>
                <w:lang w:val="es-ES"/>
              </w:rPr>
              <w:t xml:space="preserve">), del 17 al 19 de septiembre de 2024. Fue organizado por la UIT y su anfitriona fue la Autoridad de Reglamentación de las Telecomunicaciones (TRA) de Bahrein. Celebrado en torno al tema "Desarrollo de competencias para la transformación digital", el Foro reunió a más de 700 participantes de 66 países, procedentes de organizaciones públicas y privadas, universidades e instituciones de investigación, así como otras organizaciones regionales e internacionales. El Foro estuvo precedido el 16 de septiembre de 2024 por la reunión anual del Centro de Formación de la Academia de la UIT. En el Foro se abordaron las necesidades más </w:t>
            </w:r>
            <w:r w:rsidRPr="00E71B56">
              <w:rPr>
                <w:lang w:val="es-ES"/>
              </w:rPr>
              <w:lastRenderedPageBreak/>
              <w:t>acuciantes que deben atenderse para garantizar que se puedan conseguir las competencias digitales universales y se pueda reducir la brecha de competencias digitales mundiales.</w:t>
            </w:r>
            <w:hyperlink r:id="rId145" w:history="1"/>
          </w:p>
          <w:p w14:paraId="22D3DEBB" w14:textId="77777777" w:rsidR="00BD155E" w:rsidRPr="00E71B56" w:rsidRDefault="00BD155E" w:rsidP="00A372FB">
            <w:pPr>
              <w:rPr>
                <w:lang w:val="es-ES"/>
              </w:rPr>
            </w:pPr>
            <w:r w:rsidRPr="00E71B56">
              <w:rPr>
                <w:lang w:val="es-ES"/>
              </w:rPr>
              <w:t xml:space="preserve">La UIT sigue liderando la </w:t>
            </w:r>
            <w:hyperlink r:id="rId146" w:history="1">
              <w:r w:rsidRPr="00E71B56">
                <w:rPr>
                  <w:rStyle w:val="Hyperlink"/>
                  <w:lang w:val="es-ES"/>
                </w:rPr>
                <w:t>campaña de competencias digitales</w:t>
              </w:r>
            </w:hyperlink>
            <w:r w:rsidRPr="00E71B56">
              <w:rPr>
                <w:lang w:val="es-ES"/>
              </w:rPr>
              <w:t xml:space="preserve"> en asociación con la OIT. La campaña, que se lanzó en 2016 como una de las prioridades temáticas de la iniciativa mundial de la OIT sobre empleo decente para los jóvenes, tiene por objeto dotar a los hombres y mujeres jóvenes de las competencias necesarias para los empleos digitales actuales y futuros. En 2021, el objetivo se revisó, pasando de comprometerse a formar a 5 millones de jóvenes a formar a 25 millones para finales de 2030. En marzo de 2025, la campaña había recibido compromisos para formar a más de 23 millones de jóvenes en competencias digitales para 2030. Los 19 asociados que formularon compromisos en el marco de esta iniciativa proceden de diversos sectores como el gobierno, los bancos de desarrollo, las organizaciones no gubernamentales (ONG), los organismos de las Naciones Unidas y el sector privado.</w:t>
            </w:r>
            <w:hyperlink r:id="rId147"/>
          </w:p>
          <w:p w14:paraId="35148373" w14:textId="77777777" w:rsidR="00BD155E" w:rsidRPr="00E71B56" w:rsidRDefault="00BD155E" w:rsidP="00A372FB">
            <w:pPr>
              <w:rPr>
                <w:lang w:val="es-ES"/>
              </w:rPr>
            </w:pPr>
            <w:r w:rsidRPr="00E71B56">
              <w:rPr>
                <w:lang w:val="es-ES"/>
              </w:rPr>
              <w:t>Estas iniciativas ilustran la manera en la que las alianzas podrían ampliar el alcance de la UIT para llegar más allá de sus destinatarios tradicionales, creando un movimiento común para reducir las brechas mundiales en materia de competencias digitales.</w:t>
            </w:r>
          </w:p>
          <w:p w14:paraId="6E5BE883" w14:textId="77777777" w:rsidR="006A75BC" w:rsidRPr="00E71B56" w:rsidRDefault="00BD155E" w:rsidP="00A372FB">
            <w:pPr>
              <w:rPr>
                <w:lang w:val="es-ES"/>
              </w:rPr>
            </w:pPr>
            <w:r w:rsidRPr="00E71B56">
              <w:rPr>
                <w:lang w:val="es-ES"/>
              </w:rPr>
              <w:t xml:space="preserve">Los progresos regionales reflejaron diversas prioridades pero coincidieron en el reconocimiento de que la capacidad es esencial para la transformación digital. En </w:t>
            </w:r>
            <w:r w:rsidRPr="00E71B56">
              <w:rPr>
                <w:b/>
                <w:bCs/>
                <w:lang w:val="es-ES"/>
              </w:rPr>
              <w:t>África</w:t>
            </w:r>
            <w:r w:rsidRPr="00E71B56">
              <w:rPr>
                <w:lang w:val="es-ES"/>
              </w:rPr>
              <w:t xml:space="preserve">, el progreso estuvo marcado por el fortalecimiento institucional y la divulgación a las comunidades. En </w:t>
            </w:r>
            <w:r w:rsidRPr="00E71B56">
              <w:rPr>
                <w:b/>
                <w:bCs/>
                <w:lang w:val="es-ES"/>
              </w:rPr>
              <w:t>Ghana</w:t>
            </w:r>
            <w:r w:rsidRPr="00E71B56">
              <w:rPr>
                <w:lang w:val="es-ES"/>
              </w:rPr>
              <w:t xml:space="preserve"> y </w:t>
            </w:r>
            <w:r w:rsidRPr="00E71B56">
              <w:rPr>
                <w:b/>
                <w:bCs/>
                <w:lang w:val="es-ES"/>
              </w:rPr>
              <w:t>Zambia</w:t>
            </w:r>
            <w:r w:rsidRPr="00E71B56">
              <w:rPr>
                <w:lang w:val="es-ES"/>
              </w:rPr>
              <w:t xml:space="preserve">, las redes de los CTD se expandieron con el apoyo de Cisco, formando a nuevos grupos de formadores para garantizar la sostenibilidad local. En </w:t>
            </w:r>
            <w:r w:rsidRPr="00E71B56">
              <w:rPr>
                <w:b/>
                <w:bCs/>
                <w:lang w:val="es-ES"/>
              </w:rPr>
              <w:t>Côte d'Ivoire</w:t>
            </w:r>
            <w:r w:rsidRPr="00E71B56">
              <w:rPr>
                <w:lang w:val="es-ES"/>
              </w:rPr>
              <w:t xml:space="preserve">, </w:t>
            </w:r>
            <w:r w:rsidRPr="00E71B56">
              <w:rPr>
                <w:b/>
                <w:bCs/>
                <w:lang w:val="es-ES"/>
              </w:rPr>
              <w:t>Senegal</w:t>
            </w:r>
            <w:r w:rsidRPr="00E71B56">
              <w:rPr>
                <w:lang w:val="es-ES"/>
              </w:rPr>
              <w:t xml:space="preserve"> y </w:t>
            </w:r>
            <w:r w:rsidRPr="00E71B56">
              <w:rPr>
                <w:b/>
                <w:bCs/>
                <w:lang w:val="es-ES"/>
              </w:rPr>
              <w:t>Sierra Leona</w:t>
            </w:r>
            <w:r w:rsidRPr="00E71B56">
              <w:rPr>
                <w:lang w:val="es-ES"/>
              </w:rPr>
              <w:t xml:space="preserve">, la BDT prestó apoyo al lanzamiento de centros nacionales, mientras que en </w:t>
            </w:r>
            <w:r w:rsidRPr="00E71B56">
              <w:rPr>
                <w:b/>
                <w:bCs/>
                <w:lang w:val="es-ES"/>
              </w:rPr>
              <w:t>Malawi</w:t>
            </w:r>
            <w:r w:rsidRPr="00E71B56">
              <w:rPr>
                <w:lang w:val="es-ES"/>
              </w:rPr>
              <w:t xml:space="preserve"> el personal judicial participó en una formación sobre el derecho cibernético y las pruebas digitales. En </w:t>
            </w:r>
            <w:r w:rsidRPr="00E71B56">
              <w:rPr>
                <w:b/>
                <w:bCs/>
                <w:lang w:val="es-ES"/>
              </w:rPr>
              <w:t>Mozambique</w:t>
            </w:r>
            <w:r w:rsidRPr="00E71B56">
              <w:rPr>
                <w:lang w:val="es-ES"/>
              </w:rPr>
              <w:t xml:space="preserve">, </w:t>
            </w:r>
            <w:r w:rsidRPr="00E71B56">
              <w:rPr>
                <w:b/>
                <w:bCs/>
                <w:lang w:val="es-ES"/>
              </w:rPr>
              <w:t>Sudán del Sur</w:t>
            </w:r>
            <w:r w:rsidRPr="00E71B56">
              <w:rPr>
                <w:lang w:val="es-ES"/>
              </w:rPr>
              <w:t xml:space="preserve"> y </w:t>
            </w:r>
            <w:r w:rsidRPr="00E71B56">
              <w:rPr>
                <w:b/>
                <w:bCs/>
                <w:lang w:val="es-ES"/>
              </w:rPr>
              <w:t>Uganda</w:t>
            </w:r>
            <w:r w:rsidRPr="00E71B56">
              <w:rPr>
                <w:lang w:val="es-ES"/>
              </w:rPr>
              <w:t>, se prestó apoyo para aplicar el Conjunto de herramientas sobre competencias digitales a fin de llevar a cabo evaluaciones nacionales, que arrojaban datos que orientaban las inversiones y el desarrollo de estrategias sobre competencias digitales.</w:t>
            </w:r>
          </w:p>
          <w:p w14:paraId="6F03B29C" w14:textId="761DC001" w:rsidR="00BD155E" w:rsidRPr="00E71B56" w:rsidRDefault="00BD155E" w:rsidP="00A372FB">
            <w:pPr>
              <w:rPr>
                <w:lang w:val="es-ES"/>
              </w:rPr>
            </w:pPr>
            <w:r w:rsidRPr="00E71B56">
              <w:rPr>
                <w:lang w:val="es-ES"/>
              </w:rPr>
              <w:t xml:space="preserve">En África, en el marco del proyecto "Iniciativa de Política y Reglamentación para África Digital" (PRIDA), una iniciativa conjunta de la Unión Africana (UA), la Unión Europea (UE) y la UIT, la BDT impartió formación especializada en materia de gestión del espectro y reglamentación de la IoT a más de </w:t>
            </w:r>
            <w:r w:rsidRPr="00E71B56">
              <w:rPr>
                <w:b/>
                <w:bCs/>
                <w:lang w:val="es-ES"/>
              </w:rPr>
              <w:t>40 países africanos</w:t>
            </w:r>
            <w:r w:rsidRPr="00E71B56">
              <w:rPr>
                <w:lang w:val="es-ES"/>
              </w:rPr>
              <w:t>, mejorando la capacidad técnica de los Estados Miembros para impulsar la transformación digital.</w:t>
            </w:r>
          </w:p>
          <w:p w14:paraId="7BE7F0B9" w14:textId="77777777" w:rsidR="00BD155E" w:rsidRPr="00E71B56" w:rsidRDefault="00BD155E" w:rsidP="00A372FB">
            <w:pPr>
              <w:rPr>
                <w:lang w:val="es-ES"/>
              </w:rPr>
            </w:pPr>
            <w:r w:rsidRPr="00E71B56">
              <w:rPr>
                <w:lang w:val="es-ES"/>
              </w:rPr>
              <w:lastRenderedPageBreak/>
              <w:t xml:space="preserve">La </w:t>
            </w:r>
            <w:r w:rsidRPr="00E71B56">
              <w:rPr>
                <w:b/>
                <w:bCs/>
                <w:lang w:val="es-ES"/>
              </w:rPr>
              <w:t>región de Asia-Pacífico</w:t>
            </w:r>
            <w:r w:rsidRPr="00E71B56">
              <w:rPr>
                <w:lang w:val="es-ES"/>
              </w:rPr>
              <w:t xml:space="preserve"> realizó avances en materia de desarrollo de la capacidad por conducto de una combinación de programas comunitarios y sesiones de formación técnica. En </w:t>
            </w:r>
            <w:r w:rsidRPr="00E71B56">
              <w:rPr>
                <w:b/>
                <w:bCs/>
                <w:lang w:val="es-ES"/>
              </w:rPr>
              <w:t>Indonesia</w:t>
            </w:r>
            <w:r w:rsidRPr="00E71B56">
              <w:rPr>
                <w:lang w:val="es-ES"/>
              </w:rPr>
              <w:t xml:space="preserve">, </w:t>
            </w:r>
            <w:r w:rsidRPr="00E71B56">
              <w:rPr>
                <w:b/>
                <w:bCs/>
                <w:lang w:val="es-ES"/>
              </w:rPr>
              <w:t>Papua Nueva Guinea</w:t>
            </w:r>
            <w:r w:rsidRPr="00E71B56">
              <w:rPr>
                <w:lang w:val="es-ES"/>
              </w:rPr>
              <w:t xml:space="preserve"> y </w:t>
            </w:r>
            <w:r w:rsidRPr="00E71B56">
              <w:rPr>
                <w:b/>
                <w:bCs/>
                <w:lang w:val="es-ES"/>
              </w:rPr>
              <w:t>Filipinas</w:t>
            </w:r>
            <w:r w:rsidRPr="00E71B56">
              <w:rPr>
                <w:lang w:val="es-ES"/>
              </w:rPr>
              <w:t xml:space="preserve">, la BDT facilitó cursos de formación de formadores que permitieron que más de 150 instructores impartiesen sesiones de alfabetización digital a nivel comunitario. Por conducto de la asociación entre la </w:t>
            </w:r>
            <w:r w:rsidRPr="00E71B56">
              <w:rPr>
                <w:b/>
                <w:bCs/>
                <w:lang w:val="es-ES"/>
              </w:rPr>
              <w:t>Comisión Nacional de Radiodifusión y Telecomunicaciones de Tailandia (NBTC)</w:t>
            </w:r>
            <w:r w:rsidRPr="00E71B56">
              <w:rPr>
                <w:lang w:val="es-ES"/>
              </w:rPr>
              <w:t xml:space="preserve"> y la </w:t>
            </w:r>
            <w:r w:rsidRPr="00E71B56">
              <w:rPr>
                <w:b/>
                <w:bCs/>
                <w:lang w:val="es-ES"/>
              </w:rPr>
              <w:t>UIT</w:t>
            </w:r>
            <w:r w:rsidRPr="00E71B56">
              <w:rPr>
                <w:lang w:val="es-ES"/>
              </w:rPr>
              <w:t xml:space="preserve">, la BDT ha impartido formación especializada en materia de cadena de bloques, inteligencia artificial y 5G, que integra los principios de GovStack en el desarrollo de la capacidad nacional. En </w:t>
            </w:r>
            <w:r w:rsidRPr="00E71B56">
              <w:rPr>
                <w:b/>
                <w:bCs/>
                <w:lang w:val="es-ES"/>
              </w:rPr>
              <w:t>Papua Nueva Guinea</w:t>
            </w:r>
            <w:r w:rsidRPr="00E71B56">
              <w:rPr>
                <w:lang w:val="es-ES"/>
              </w:rPr>
              <w:t xml:space="preserve">, los esfuerzos de creación de capacidad estuvieron vinculados con los medios de subsistencia: en el marco del </w:t>
            </w:r>
            <w:r w:rsidRPr="00E71B56">
              <w:rPr>
                <w:b/>
                <w:bCs/>
                <w:lang w:val="es-ES"/>
              </w:rPr>
              <w:t>proyecto STREIT de la Unión Europea</w:t>
            </w:r>
            <w:r w:rsidRPr="00E71B56">
              <w:rPr>
                <w:lang w:val="es-ES"/>
              </w:rPr>
              <w:t xml:space="preserve">, la formación en competencias digitales apoyó las cadenas de valor agrícolas, permitiendo a los agricultores mejorar el acceso al mercado. La primera evaluación de competencias digitales para trabajadores migratorios llevada a cabo en </w:t>
            </w:r>
            <w:r w:rsidRPr="00E71B56">
              <w:rPr>
                <w:b/>
                <w:bCs/>
                <w:lang w:val="es-ES"/>
              </w:rPr>
              <w:t>Tailandia</w:t>
            </w:r>
            <w:r w:rsidRPr="00E71B56">
              <w:rPr>
                <w:lang w:val="es-ES"/>
              </w:rPr>
              <w:t>, con la Organización Internacional para las Migraciones (OIM), demostró la manera en la que la formación en TIC podía apoyar la movilidad laboral y la integración económica.</w:t>
            </w:r>
          </w:p>
          <w:p w14:paraId="0C0AD256" w14:textId="77777777" w:rsidR="00BD155E" w:rsidRPr="00E71B56" w:rsidRDefault="00BD155E" w:rsidP="00A372FB">
            <w:pPr>
              <w:rPr>
                <w:lang w:val="es-ES"/>
              </w:rPr>
            </w:pPr>
            <w:r w:rsidRPr="00E71B56">
              <w:rPr>
                <w:lang w:val="es-ES"/>
              </w:rPr>
              <w:t xml:space="preserve">En la </w:t>
            </w:r>
            <w:r w:rsidRPr="00E71B56">
              <w:rPr>
                <w:b/>
                <w:bCs/>
                <w:lang w:val="es-ES"/>
              </w:rPr>
              <w:t>región de las Américas</w:t>
            </w:r>
            <w:r w:rsidRPr="00E71B56">
              <w:rPr>
                <w:lang w:val="es-ES"/>
              </w:rPr>
              <w:t xml:space="preserve">, la iniciativa del </w:t>
            </w:r>
            <w:hyperlink r:id="rId148" w:history="1">
              <w:r w:rsidRPr="00E71B56">
                <w:rPr>
                  <w:rStyle w:val="Hyperlink"/>
                  <w:b/>
                  <w:bCs/>
                  <w:lang w:val="es-ES"/>
                </w:rPr>
                <w:t>KIT de Transformación Digital</w:t>
              </w:r>
            </w:hyperlink>
            <w:r w:rsidRPr="00E71B56">
              <w:rPr>
                <w:lang w:val="es-ES"/>
              </w:rPr>
              <w:t xml:space="preserve"> ofreció a las mujeres y jóvenes emprendedores de la </w:t>
            </w:r>
            <w:r w:rsidRPr="00E71B56">
              <w:rPr>
                <w:b/>
                <w:bCs/>
                <w:lang w:val="es-ES"/>
              </w:rPr>
              <w:t>República Dominicana</w:t>
            </w:r>
            <w:r w:rsidRPr="00E71B56">
              <w:rPr>
                <w:lang w:val="es-ES"/>
              </w:rPr>
              <w:t xml:space="preserve">, </w:t>
            </w:r>
            <w:r w:rsidRPr="00E71B56">
              <w:rPr>
                <w:b/>
                <w:bCs/>
                <w:lang w:val="es-ES"/>
              </w:rPr>
              <w:t>El Salvador</w:t>
            </w:r>
            <w:r w:rsidRPr="00E71B56">
              <w:rPr>
                <w:lang w:val="es-ES"/>
              </w:rPr>
              <w:t xml:space="preserve">, </w:t>
            </w:r>
            <w:r w:rsidRPr="00E71B56">
              <w:rPr>
                <w:b/>
                <w:bCs/>
                <w:lang w:val="es-ES"/>
              </w:rPr>
              <w:t>Guatemala</w:t>
            </w:r>
            <w:r w:rsidRPr="00E71B56">
              <w:rPr>
                <w:lang w:val="es-ES"/>
              </w:rPr>
              <w:t xml:space="preserve"> y </w:t>
            </w:r>
            <w:r w:rsidRPr="00E71B56">
              <w:rPr>
                <w:b/>
                <w:bCs/>
                <w:lang w:val="es-ES"/>
              </w:rPr>
              <w:t>Panamá</w:t>
            </w:r>
            <w:r w:rsidRPr="00E71B56">
              <w:rPr>
                <w:lang w:val="es-ES"/>
              </w:rPr>
              <w:t xml:space="preserve"> formación específica sobre herramientas comerciales digitales. Un segundo ciclo amplió el programa a </w:t>
            </w:r>
            <w:r w:rsidRPr="00E71B56">
              <w:rPr>
                <w:b/>
                <w:bCs/>
                <w:lang w:val="es-ES"/>
              </w:rPr>
              <w:t>Cuba</w:t>
            </w:r>
            <w:r w:rsidRPr="00E71B56">
              <w:rPr>
                <w:lang w:val="es-ES"/>
              </w:rPr>
              <w:t xml:space="preserve">, </w:t>
            </w:r>
            <w:r w:rsidRPr="00E71B56">
              <w:rPr>
                <w:b/>
                <w:bCs/>
                <w:lang w:val="es-ES"/>
              </w:rPr>
              <w:t>Honduras</w:t>
            </w:r>
            <w:r w:rsidRPr="00E71B56">
              <w:rPr>
                <w:lang w:val="es-ES"/>
              </w:rPr>
              <w:t xml:space="preserve">, </w:t>
            </w:r>
            <w:r w:rsidRPr="00E71B56">
              <w:rPr>
                <w:b/>
                <w:bCs/>
                <w:lang w:val="es-ES"/>
              </w:rPr>
              <w:t>Paraguay</w:t>
            </w:r>
            <w:r w:rsidRPr="00E71B56">
              <w:rPr>
                <w:lang w:val="es-ES"/>
              </w:rPr>
              <w:t xml:space="preserve"> y </w:t>
            </w:r>
            <w:r w:rsidRPr="00E71B56">
              <w:rPr>
                <w:b/>
                <w:bCs/>
                <w:lang w:val="es-ES"/>
              </w:rPr>
              <w:t>Uruguay</w:t>
            </w:r>
            <w:r w:rsidRPr="00E71B56">
              <w:rPr>
                <w:lang w:val="es-ES"/>
              </w:rPr>
              <w:t xml:space="preserve">, llegando a más de 200 empresas. El evento </w:t>
            </w:r>
            <w:r w:rsidRPr="00E71B56">
              <w:rPr>
                <w:b/>
                <w:bCs/>
                <w:lang w:val="es-ES"/>
              </w:rPr>
              <w:t>América Accesible</w:t>
            </w:r>
            <w:r w:rsidRPr="00E71B56">
              <w:rPr>
                <w:lang w:val="es-ES"/>
              </w:rPr>
              <w:t xml:space="preserve">, celebrado en </w:t>
            </w:r>
            <w:r w:rsidRPr="00E71B56">
              <w:rPr>
                <w:b/>
                <w:bCs/>
                <w:lang w:val="es-ES"/>
              </w:rPr>
              <w:t>Cuba</w:t>
            </w:r>
            <w:r w:rsidRPr="00E71B56">
              <w:rPr>
                <w:lang w:val="es-ES"/>
              </w:rPr>
              <w:t xml:space="preserve"> en 2023 y en </w:t>
            </w:r>
            <w:r w:rsidRPr="00E71B56">
              <w:rPr>
                <w:b/>
                <w:bCs/>
                <w:lang w:val="es-ES"/>
              </w:rPr>
              <w:t>México</w:t>
            </w:r>
            <w:r w:rsidRPr="00E71B56">
              <w:rPr>
                <w:lang w:val="es-ES"/>
              </w:rPr>
              <w:t xml:space="preserve"> en 2024, ofreció formación ejecutiva en materia de accesibilidad de las TIC, incluido el diseño de proyectos para comunidades indígenas y rurales. </w:t>
            </w:r>
            <w:r w:rsidRPr="00E71B56">
              <w:rPr>
                <w:b/>
                <w:bCs/>
                <w:lang w:val="es-ES"/>
              </w:rPr>
              <w:t>Trinidad y Tabago</w:t>
            </w:r>
            <w:r w:rsidRPr="00E71B56">
              <w:rPr>
                <w:lang w:val="es-ES"/>
              </w:rPr>
              <w:t xml:space="preserve"> puso en marcha una iniciativa nacional para formar a 10 000 ciudadanos para 2025, que integró la alfabetización digital como componente central de su estrategia para la transformación. La BDT está prestando apoyo para optimizar las finanzas innovadoras en </w:t>
            </w:r>
            <w:r w:rsidRPr="00E71B56">
              <w:rPr>
                <w:b/>
                <w:bCs/>
                <w:lang w:val="es-ES"/>
              </w:rPr>
              <w:t>Antigua y Barbuda</w:t>
            </w:r>
            <w:r w:rsidRPr="00E71B56">
              <w:rPr>
                <w:lang w:val="es-ES"/>
              </w:rPr>
              <w:t xml:space="preserve"> y </w:t>
            </w:r>
            <w:r w:rsidRPr="00E71B56">
              <w:rPr>
                <w:b/>
                <w:bCs/>
                <w:lang w:val="es-ES"/>
              </w:rPr>
              <w:t>Santa Lucía</w:t>
            </w:r>
            <w:r w:rsidRPr="00E71B56">
              <w:rPr>
                <w:lang w:val="es-ES"/>
              </w:rPr>
              <w:t xml:space="preserve"> a fin de crear resiliencia y acelerar la consecución de los ODS. Este proyecto reforzará las políticas, normas y leyes nacionales para respaldar la digitalización de la economía. La UIT ha estado prestando apoyo a la CTU y, por extensión, a la Comunidad del Caribe (CARICOM), con el fin de aumentar la armonización reglamentaria de las TIC, que es fundamental para crear con éxito el Espacio Único de TIC de la CARICOM.</w:t>
            </w:r>
            <w:hyperlink r:id="rId149"/>
          </w:p>
          <w:p w14:paraId="1633DABA" w14:textId="77777777" w:rsidR="00BD155E" w:rsidRPr="00E71B56" w:rsidRDefault="00BD155E" w:rsidP="00A372FB">
            <w:pPr>
              <w:keepNext/>
              <w:keepLines/>
              <w:rPr>
                <w:lang w:val="es-ES"/>
              </w:rPr>
            </w:pPr>
            <w:r w:rsidRPr="00E71B56">
              <w:rPr>
                <w:lang w:val="es-ES"/>
              </w:rPr>
              <w:lastRenderedPageBreak/>
              <w:t xml:space="preserve">En la </w:t>
            </w:r>
            <w:r w:rsidRPr="00E71B56">
              <w:rPr>
                <w:b/>
                <w:bCs/>
                <w:lang w:val="es-ES"/>
              </w:rPr>
              <w:t>región de los Estados Árabes</w:t>
            </w:r>
            <w:r w:rsidRPr="00E71B56">
              <w:rPr>
                <w:lang w:val="es-ES"/>
              </w:rPr>
              <w:t xml:space="preserve">, la BDT prestó apoyo a la integración del desarrollo de la capacidad en las agendas nacionales. En </w:t>
            </w:r>
            <w:r w:rsidRPr="00E71B56">
              <w:rPr>
                <w:b/>
                <w:bCs/>
                <w:lang w:val="es-ES"/>
              </w:rPr>
              <w:t>Jordania</w:t>
            </w:r>
            <w:r w:rsidRPr="00E71B56">
              <w:rPr>
                <w:lang w:val="es-ES"/>
              </w:rPr>
              <w:t xml:space="preserve">, los cursos de la Academia de la UIT sobre la gestión del espectro y la calidad del servicio ampliaron el grupo de formadores nacionales. En </w:t>
            </w:r>
            <w:r w:rsidRPr="00E71B56">
              <w:rPr>
                <w:b/>
                <w:bCs/>
                <w:lang w:val="es-ES"/>
              </w:rPr>
              <w:t>Túnez</w:t>
            </w:r>
            <w:r w:rsidRPr="00E71B56">
              <w:rPr>
                <w:lang w:val="es-ES"/>
              </w:rPr>
              <w:t xml:space="preserve">, más de 200 funcionarios públicos recibieron formación por conducto de un programa conjunto con GIZ, que adaptaba el desarrollo de capacidad a la reforma del sector público, mientras que en </w:t>
            </w:r>
            <w:r w:rsidRPr="00E71B56">
              <w:rPr>
                <w:b/>
                <w:bCs/>
                <w:lang w:val="es-ES"/>
              </w:rPr>
              <w:t>Comoras</w:t>
            </w:r>
            <w:r w:rsidRPr="00E71B56">
              <w:rPr>
                <w:lang w:val="es-ES"/>
              </w:rPr>
              <w:t xml:space="preserve"> se impartió una formación especializada sobre la valoración del espectro. Estas iniciativas ilustran la manera en la que el desarrollo de la capacidad contribuye a impulsar agendas nacionales más amplias, desde la modernización reglamentaria hasta la creación de empleo.</w:t>
            </w:r>
          </w:p>
          <w:p w14:paraId="5E5ACEDC" w14:textId="77777777" w:rsidR="00BD155E" w:rsidRPr="00E71B56" w:rsidRDefault="00BD155E" w:rsidP="00A372FB">
            <w:pPr>
              <w:rPr>
                <w:lang w:val="es-ES"/>
              </w:rPr>
            </w:pPr>
            <w:r w:rsidRPr="00E71B56">
              <w:rPr>
                <w:lang w:val="es-ES"/>
              </w:rPr>
              <w:t xml:space="preserve">En la </w:t>
            </w:r>
            <w:r w:rsidRPr="00E71B56">
              <w:rPr>
                <w:b/>
                <w:bCs/>
                <w:lang w:val="es-ES"/>
              </w:rPr>
              <w:t>región de Europa</w:t>
            </w:r>
            <w:r w:rsidRPr="00E71B56">
              <w:rPr>
                <w:lang w:val="es-ES"/>
              </w:rPr>
              <w:t xml:space="preserve">, en </w:t>
            </w:r>
            <w:r w:rsidRPr="00E71B56">
              <w:rPr>
                <w:b/>
                <w:bCs/>
                <w:lang w:val="es-ES"/>
              </w:rPr>
              <w:t>Albania</w:t>
            </w:r>
            <w:r w:rsidRPr="00E71B56">
              <w:rPr>
                <w:lang w:val="es-ES"/>
              </w:rPr>
              <w:t xml:space="preserve">, la BDT prestó apoyo a la evaluación de las competencias digitales de las personas de edad, mientras que en </w:t>
            </w:r>
            <w:r w:rsidRPr="00E71B56">
              <w:rPr>
                <w:b/>
                <w:bCs/>
                <w:lang w:val="es-ES"/>
              </w:rPr>
              <w:t>Moldova</w:t>
            </w:r>
            <w:r w:rsidRPr="00E71B56">
              <w:rPr>
                <w:lang w:val="es-ES"/>
              </w:rPr>
              <w:t xml:space="preserve">, por conducto de una asociación con la OIT, se llevó a cabo una evaluación de las competencias digitales de los adultos de 45 años y más en las zonas rurales. En </w:t>
            </w:r>
            <w:r w:rsidRPr="00E71B56">
              <w:rPr>
                <w:b/>
                <w:bCs/>
                <w:lang w:val="es-ES"/>
              </w:rPr>
              <w:t>Montenegro</w:t>
            </w:r>
            <w:r w:rsidRPr="00E71B56">
              <w:rPr>
                <w:lang w:val="es-ES"/>
              </w:rPr>
              <w:t xml:space="preserve">, durante la Conferencia de Reglamentación Regional de 2025, la BDT impartió formación que integraba la reglamentación digital y de accesibilidad en el diálogo político. En un </w:t>
            </w:r>
            <w:hyperlink r:id="rId150" w:history="1">
              <w:r w:rsidRPr="00E71B56">
                <w:rPr>
                  <w:rStyle w:val="Hyperlink"/>
                  <w:b/>
                  <w:bCs/>
                  <w:lang w:val="es-ES"/>
                </w:rPr>
                <w:t>compendio regional de iniciativas sobre competencias digitales</w:t>
              </w:r>
            </w:hyperlink>
            <w:r w:rsidRPr="00E71B56">
              <w:rPr>
                <w:lang w:val="es-ES"/>
              </w:rPr>
              <w:t>, preparado por el Grupo de Transformación Digital de las Naciones Unidas, se consolidaron las prácticas idóneas de las regiones de Europa y Asia Central, que ofrecían una base de conocimientos a efectos de réplica y reforma.</w:t>
            </w:r>
            <w:hyperlink r:id="rId151"/>
          </w:p>
          <w:p w14:paraId="5CBEBE17" w14:textId="77777777" w:rsidR="00BD155E" w:rsidRPr="00E71B56" w:rsidRDefault="00BD155E" w:rsidP="00A372FB">
            <w:pPr>
              <w:rPr>
                <w:lang w:val="es-ES"/>
              </w:rPr>
            </w:pPr>
            <w:r w:rsidRPr="00E71B56">
              <w:rPr>
                <w:lang w:val="es-ES"/>
              </w:rPr>
              <w:t xml:space="preserve">En la </w:t>
            </w:r>
            <w:r w:rsidRPr="00E71B56">
              <w:rPr>
                <w:b/>
                <w:bCs/>
                <w:lang w:val="es-ES"/>
              </w:rPr>
              <w:t>región de la CEI</w:t>
            </w:r>
            <w:r w:rsidRPr="00E71B56">
              <w:rPr>
                <w:lang w:val="es-ES"/>
              </w:rPr>
              <w:t xml:space="preserve">, el desarrollo de la capacidad hizo énfasis en el fortalecimiento de los conocimientos técnicos a nivel nacional, así como en el gobierno local. En </w:t>
            </w:r>
            <w:r w:rsidRPr="00E71B56">
              <w:rPr>
                <w:b/>
                <w:bCs/>
                <w:lang w:val="es-ES"/>
              </w:rPr>
              <w:t>Armenia</w:t>
            </w:r>
            <w:r w:rsidRPr="00E71B56">
              <w:rPr>
                <w:lang w:val="es-ES"/>
              </w:rPr>
              <w:t xml:space="preserve"> y </w:t>
            </w:r>
            <w:r w:rsidRPr="00E71B56">
              <w:rPr>
                <w:b/>
                <w:bCs/>
                <w:lang w:val="es-ES"/>
              </w:rPr>
              <w:t>Kirguistán</w:t>
            </w:r>
            <w:r w:rsidRPr="00E71B56">
              <w:rPr>
                <w:lang w:val="es-ES"/>
              </w:rPr>
              <w:t xml:space="preserve">, la BDT organizó talleres sobre la gobernanza de datos, la evaluación de la calidad del servicio y la gestión de proyectos digitales, que dotaron a los encargados de formular políticas y organismos reguladores de competencias prácticas. En </w:t>
            </w:r>
            <w:r w:rsidRPr="00E71B56">
              <w:rPr>
                <w:b/>
                <w:bCs/>
                <w:lang w:val="es-ES"/>
              </w:rPr>
              <w:t>Belarús</w:t>
            </w:r>
            <w:r w:rsidRPr="00E71B56">
              <w:rPr>
                <w:lang w:val="es-ES"/>
              </w:rPr>
              <w:t xml:space="preserve">, se impartió formación técnica que aumentó el conocimiento de los funcionarios locales para crear capacidad en TIC en los servicios municipales. En </w:t>
            </w:r>
            <w:r w:rsidRPr="00E71B56">
              <w:rPr>
                <w:b/>
                <w:bCs/>
                <w:lang w:val="es-ES"/>
              </w:rPr>
              <w:t>Kirguistán</w:t>
            </w:r>
            <w:r w:rsidRPr="00E71B56">
              <w:rPr>
                <w:lang w:val="es-ES"/>
              </w:rPr>
              <w:t>, se pusieron a prueba nuevos modelos de formación de aceleradores para conectar los sistemas locales de innovación con la pericia mundial. Estas iniciativas garantizaron que el desarrollo de la capacidad abordase las necesidades tanto de la gobernanza central como de la implementación local, dando lugar a un refuerzo de los ecosistemas institucionales. Por conducto de diversos niveles de formación, la región hizo avances para garantizar que la transformación digital estuviese respaldada por profesionales capacitados en todos los niveles del gobierno.</w:t>
            </w:r>
          </w:p>
          <w:p w14:paraId="1C8F4EFA" w14:textId="77777777" w:rsidR="00BD155E" w:rsidRPr="00E71B56" w:rsidRDefault="00BD155E" w:rsidP="00A372FB">
            <w:pPr>
              <w:spacing w:after="120"/>
              <w:rPr>
                <w:lang w:val="es-ES"/>
              </w:rPr>
            </w:pPr>
            <w:r w:rsidRPr="00E71B56">
              <w:rPr>
                <w:lang w:val="es-ES"/>
              </w:rPr>
              <w:lastRenderedPageBreak/>
              <w:t>La lección fundamental de este periodo es que el desarrollo de la capacidad se ha convertido en el habilitador más importante de la transformación digital. Los avances futuros dependerán de la rapidez con la que los sistemas de formación se adapten a las tecnologías de vanguardia como la inteligencia artificial y la computación cuántica, de la eficacia con la que harán llegar las oportunidades a los grupos marginados y del grado de coherencia que tendrán los gobiernos al equilibrar las inversiones en infraestructuras y las inversiones en las capacidades humanas. Para superar estos desafíos será necesario prever, obtener financiación y estrechar fuertes alianzas.</w:t>
            </w:r>
          </w:p>
        </w:tc>
        <w:tc>
          <w:tcPr>
            <w:tcW w:w="3323" w:type="dxa"/>
          </w:tcPr>
          <w:p w14:paraId="40D57F66" w14:textId="77777777" w:rsidR="00BD155E" w:rsidRPr="00E71B56" w:rsidRDefault="00BD155E" w:rsidP="00A372FB">
            <w:pPr>
              <w:rPr>
                <w:lang w:val="es-ES"/>
              </w:rPr>
            </w:pPr>
            <w:r w:rsidRPr="00E71B56">
              <w:rPr>
                <w:b/>
                <w:bCs/>
                <w:color w:val="0070C0"/>
                <w:lang w:val="es-ES"/>
              </w:rPr>
              <w:lastRenderedPageBreak/>
              <w:t>Academia de la UIT:</w:t>
            </w:r>
            <w:r w:rsidRPr="00E71B56">
              <w:rPr>
                <w:lang w:val="es-ES"/>
              </w:rPr>
              <w:t xml:space="preserve"> más de 75 000 usuarios, de los cuales el 80 % proceden de países en desarrollo y el 40 % son mujeres. Más de 400 cursos y más de 15 000 certificados emitidos.</w:t>
            </w:r>
          </w:p>
          <w:p w14:paraId="598536D5" w14:textId="77777777" w:rsidR="00BD155E" w:rsidRPr="00E71B56" w:rsidRDefault="00BD155E" w:rsidP="00A372FB">
            <w:pPr>
              <w:rPr>
                <w:lang w:val="es-ES"/>
              </w:rPr>
            </w:pPr>
            <w:r w:rsidRPr="00E71B56">
              <w:rPr>
                <w:b/>
                <w:bCs/>
                <w:color w:val="0070C0"/>
                <w:lang w:val="es-ES"/>
              </w:rPr>
              <w:t>CFA:</w:t>
            </w:r>
            <w:r w:rsidRPr="00E71B56">
              <w:rPr>
                <w:lang w:val="es-ES"/>
              </w:rPr>
              <w:t xml:space="preserve"> 14 instituciones participantes, 146 cursos y 3 500 personas certificadas</w:t>
            </w:r>
          </w:p>
          <w:p w14:paraId="66956DDB" w14:textId="77777777" w:rsidR="00BD155E" w:rsidRPr="00E71B56" w:rsidRDefault="00BD155E" w:rsidP="00A372FB">
            <w:pPr>
              <w:rPr>
                <w:lang w:val="es-ES"/>
              </w:rPr>
            </w:pPr>
            <w:r w:rsidRPr="00E71B56">
              <w:rPr>
                <w:b/>
                <w:bCs/>
                <w:color w:val="0070C0"/>
                <w:lang w:val="es-ES"/>
              </w:rPr>
              <w:t>CTD:</w:t>
            </w:r>
            <w:r w:rsidRPr="00E71B56">
              <w:rPr>
                <w:lang w:val="es-ES"/>
              </w:rPr>
              <w:t xml:space="preserve"> 14 CTD, medio millón de personas formadas (el 53 % de ellas son mujeres)</w:t>
            </w:r>
          </w:p>
          <w:p w14:paraId="0DA45AA8" w14:textId="77777777" w:rsidR="00BD155E" w:rsidRPr="00E71B56" w:rsidRDefault="00BD155E" w:rsidP="00A372FB">
            <w:pPr>
              <w:rPr>
                <w:b/>
                <w:bCs/>
                <w:color w:val="0070C0"/>
                <w:lang w:val="es-ES"/>
              </w:rPr>
            </w:pPr>
            <w:r w:rsidRPr="00E71B56">
              <w:rPr>
                <w:b/>
                <w:bCs/>
                <w:color w:val="0070C0"/>
                <w:lang w:val="es-ES"/>
              </w:rPr>
              <w:t>El desarrollo de competencias digitales repercute en:</w:t>
            </w:r>
          </w:p>
          <w:p w14:paraId="75368850"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los profesionales de las TIC;</w:t>
            </w:r>
          </w:p>
          <w:p w14:paraId="4818687D" w14:textId="77777777" w:rsidR="00BD155E" w:rsidRPr="00E71B56" w:rsidRDefault="00BD155E" w:rsidP="00A372FB">
            <w:pPr>
              <w:pStyle w:val="enumlev1"/>
              <w:tabs>
                <w:tab w:val="clear" w:pos="1134"/>
                <w:tab w:val="left" w:pos="330"/>
              </w:tabs>
              <w:ind w:left="330" w:hanging="330"/>
              <w:rPr>
                <w:lang w:val="es-ES"/>
              </w:rPr>
            </w:pPr>
            <w:r w:rsidRPr="00E71B56">
              <w:rPr>
                <w:lang w:val="es-ES"/>
              </w:rPr>
              <w:lastRenderedPageBreak/>
              <w:t>○</w:t>
            </w:r>
            <w:r w:rsidRPr="00E71B56">
              <w:rPr>
                <w:lang w:val="es-ES"/>
              </w:rPr>
              <w:tab/>
              <w:t>los pueblos indígenas y las comunidades remotas;</w:t>
            </w:r>
          </w:p>
          <w:p w14:paraId="6B6D4DF6"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las mujeres y niñas;</w:t>
            </w:r>
          </w:p>
          <w:p w14:paraId="5B54CC4E"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los jóvenes;</w:t>
            </w:r>
          </w:p>
          <w:p w14:paraId="5F2EA294"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las personas con discapacidad;</w:t>
            </w:r>
          </w:p>
          <w:p w14:paraId="1B1FE43B"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los pequeños empresarios.</w:t>
            </w:r>
          </w:p>
          <w:p w14:paraId="31836475" w14:textId="77777777" w:rsidR="00BD155E" w:rsidRPr="00E71B56" w:rsidRDefault="00BD155E" w:rsidP="00A372FB">
            <w:pPr>
              <w:rPr>
                <w:b/>
                <w:bCs/>
                <w:color w:val="0070C0"/>
                <w:lang w:val="es-ES"/>
              </w:rPr>
            </w:pPr>
            <w:r w:rsidRPr="00E71B56">
              <w:rPr>
                <w:b/>
                <w:bCs/>
                <w:color w:val="0070C0"/>
                <w:lang w:val="es-ES"/>
              </w:rPr>
              <w:t>PMA, PDSL y PEID participantes/asistidos:</w:t>
            </w:r>
          </w:p>
          <w:p w14:paraId="18B198C0" w14:textId="77777777" w:rsidR="00BD155E" w:rsidRPr="00E71B56" w:rsidRDefault="00BD155E" w:rsidP="00A372FB">
            <w:pPr>
              <w:rPr>
                <w:lang w:val="es-ES"/>
              </w:rPr>
            </w:pPr>
            <w:r w:rsidRPr="00E71B56">
              <w:rPr>
                <w:lang w:val="es-ES"/>
              </w:rPr>
              <w:t>En total, 63, PMA, PDSL y PEID:</w:t>
            </w:r>
          </w:p>
          <w:p w14:paraId="703DB2B9"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48 recibieron asistencia técnica;</w:t>
            </w:r>
          </w:p>
          <w:p w14:paraId="09FE4D29"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31 elaboraron marcos políticos y productos del conocimiento;</w:t>
            </w:r>
          </w:p>
          <w:p w14:paraId="7BE2CB5F"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2 proyectos en curso.</w:t>
            </w:r>
          </w:p>
          <w:p w14:paraId="46A10588" w14:textId="77777777" w:rsidR="00BD155E" w:rsidRPr="00E71B56" w:rsidRDefault="00BD155E" w:rsidP="00A372FB">
            <w:pPr>
              <w:rPr>
                <w:b/>
                <w:bCs/>
                <w:color w:val="0070C0"/>
                <w:lang w:val="es-ES"/>
              </w:rPr>
            </w:pPr>
            <w:r w:rsidRPr="00E71B56">
              <w:rPr>
                <w:b/>
                <w:bCs/>
                <w:color w:val="0070C0"/>
                <w:lang w:val="es-ES"/>
              </w:rPr>
              <w:t>Cuestión 5 de la Comisión de Estudio 2 del UIT</w:t>
            </w:r>
            <w:r w:rsidRPr="00E71B56">
              <w:rPr>
                <w:b/>
                <w:bCs/>
                <w:color w:val="0070C0"/>
                <w:lang w:val="es-ES"/>
              </w:rPr>
              <w:noBreakHyphen/>
              <w:t>D:</w:t>
            </w:r>
          </w:p>
          <w:p w14:paraId="2A5DFC5D"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4 reuniones</w:t>
            </w:r>
          </w:p>
          <w:p w14:paraId="72A739F9"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100 contribuciones</w:t>
            </w:r>
          </w:p>
          <w:p w14:paraId="1467FC85" w14:textId="77777777" w:rsidR="00BD155E" w:rsidRPr="00E71B56" w:rsidRDefault="00BD155E" w:rsidP="00A372FB">
            <w:pPr>
              <w:pStyle w:val="enumlev1"/>
              <w:tabs>
                <w:tab w:val="clear" w:pos="1134"/>
                <w:tab w:val="left" w:pos="330"/>
              </w:tabs>
              <w:ind w:left="330" w:hanging="330"/>
              <w:rPr>
                <w:b/>
                <w:bCs/>
                <w:lang w:val="es-ES"/>
              </w:rPr>
            </w:pPr>
            <w:r w:rsidRPr="00E71B56">
              <w:rPr>
                <w:lang w:val="es-ES"/>
              </w:rPr>
              <w:lastRenderedPageBreak/>
              <w:t>○</w:t>
            </w:r>
            <w:r w:rsidRPr="00E71B56">
              <w:rPr>
                <w:lang w:val="es-ES"/>
              </w:rPr>
              <w:tab/>
              <w:t>Se celebraron 2 </w:t>
            </w:r>
            <w:hyperlink r:id="rId152" w:history="1">
              <w:r w:rsidRPr="00E71B56">
                <w:rPr>
                  <w:rStyle w:val="Hyperlink"/>
                  <w:lang w:val="es-ES"/>
                </w:rPr>
                <w:t>talleres</w:t>
              </w:r>
            </w:hyperlink>
            <w:r w:rsidRPr="00E71B56">
              <w:rPr>
                <w:lang w:val="es-ES"/>
              </w:rPr>
              <w:t xml:space="preserve"> y se elaboró un </w:t>
            </w:r>
            <w:hyperlink r:id="rId153" w:history="1">
              <w:r w:rsidRPr="00E71B56">
                <w:rPr>
                  <w:rStyle w:val="Hyperlink"/>
                  <w:lang w:val="es-ES"/>
                </w:rPr>
                <w:t>informe final de resultados</w:t>
              </w:r>
            </w:hyperlink>
            <w:hyperlink r:id="rId154" w:history="1"/>
            <w:hyperlink r:id="rId155" w:history="1"/>
          </w:p>
        </w:tc>
      </w:tr>
      <w:tr w:rsidR="00BD155E" w:rsidRPr="00E71B56" w14:paraId="5FCD99DB" w14:textId="77777777" w:rsidTr="00A372FB">
        <w:trPr>
          <w:jc w:val="center"/>
        </w:trPr>
        <w:tc>
          <w:tcPr>
            <w:tcW w:w="15384" w:type="dxa"/>
            <w:gridSpan w:val="3"/>
            <w:shd w:val="clear" w:color="auto" w:fill="E5DFEC"/>
          </w:tcPr>
          <w:p w14:paraId="203A2CC7" w14:textId="77777777" w:rsidR="00BD155E" w:rsidRPr="00E71B56" w:rsidRDefault="00BD155E" w:rsidP="00A372FB">
            <w:pPr>
              <w:pStyle w:val="Heading3"/>
              <w:rPr>
                <w:color w:val="0070C0"/>
                <w:lang w:val="es-ES"/>
              </w:rPr>
            </w:pPr>
            <w:bookmarkStart w:id="35" w:name="_Toc212728823"/>
            <w:bookmarkStart w:id="36" w:name="_Toc213427971"/>
            <w:r w:rsidRPr="00E71B56">
              <w:rPr>
                <w:color w:val="0070C0"/>
                <w:lang w:val="es-ES"/>
              </w:rPr>
              <w:lastRenderedPageBreak/>
              <w:t>Política y reglamentación</w:t>
            </w:r>
            <w:bookmarkEnd w:id="35"/>
            <w:bookmarkEnd w:id="36"/>
          </w:p>
          <w:p w14:paraId="72D4910D" w14:textId="77777777" w:rsidR="00BD155E" w:rsidRPr="00E71B56" w:rsidRDefault="00BD155E" w:rsidP="00A372FB">
            <w:pPr>
              <w:rPr>
                <w:b/>
                <w:bCs/>
                <w:i/>
                <w:iCs/>
                <w:lang w:val="es-ES"/>
              </w:rPr>
            </w:pPr>
            <w:r w:rsidRPr="00E71B56">
              <w:rPr>
                <w:b/>
                <w:bCs/>
                <w:i/>
                <w:iCs/>
                <w:lang w:val="es-ES"/>
              </w:rPr>
              <w:t>Realización:</w:t>
            </w:r>
            <w:r w:rsidRPr="00E71B56">
              <w:rPr>
                <w:i/>
                <w:iCs/>
                <w:lang w:val="es-ES"/>
              </w:rPr>
              <w:t xml:space="preserve"> Refuerzo de la capacidad de los Estados Miembros para mejorar sus marcos políticos, jurídicos y reglamentarios en materia de telecomunicaciones/TIC, de tal manera que favorezcan el desarrollo sostenible y la transformación digital.</w:t>
            </w:r>
          </w:p>
        </w:tc>
      </w:tr>
      <w:tr w:rsidR="00BD155E" w:rsidRPr="00E71B56" w14:paraId="17E0F6BD" w14:textId="77777777" w:rsidTr="00A372FB">
        <w:trPr>
          <w:jc w:val="center"/>
        </w:trPr>
        <w:tc>
          <w:tcPr>
            <w:tcW w:w="12061" w:type="dxa"/>
            <w:gridSpan w:val="2"/>
          </w:tcPr>
          <w:p w14:paraId="6D944364" w14:textId="77777777" w:rsidR="00BD155E" w:rsidRPr="00E71B56" w:rsidRDefault="00BD155E" w:rsidP="00A372FB">
            <w:pPr>
              <w:keepNext/>
              <w:keepLines/>
              <w:jc w:val="center"/>
              <w:rPr>
                <w:b/>
                <w:bCs/>
                <w:color w:val="0070C0"/>
                <w:lang w:val="es-ES"/>
              </w:rPr>
            </w:pPr>
            <w:r w:rsidRPr="00E71B56">
              <w:rPr>
                <w:b/>
                <w:bCs/>
                <w:color w:val="0070C0"/>
                <w:lang w:val="es-ES"/>
              </w:rPr>
              <w:t>Productos</w:t>
            </w:r>
          </w:p>
        </w:tc>
        <w:tc>
          <w:tcPr>
            <w:tcW w:w="3323" w:type="dxa"/>
          </w:tcPr>
          <w:p w14:paraId="6BEA558D" w14:textId="77777777" w:rsidR="00BD155E" w:rsidRPr="00E71B56" w:rsidRDefault="00BD155E" w:rsidP="00A372FB">
            <w:pPr>
              <w:keepNext/>
              <w:keepLines/>
              <w:jc w:val="center"/>
              <w:rPr>
                <w:b/>
                <w:bCs/>
                <w:color w:val="0070C0"/>
                <w:lang w:val="es-ES"/>
              </w:rPr>
            </w:pPr>
            <w:r w:rsidRPr="00E71B56">
              <w:rPr>
                <w:b/>
                <w:bCs/>
                <w:color w:val="0070C0"/>
                <w:lang w:val="es-ES"/>
              </w:rPr>
              <w:t>Aspectos destacados</w:t>
            </w:r>
          </w:p>
        </w:tc>
      </w:tr>
      <w:tr w:rsidR="00BD155E" w:rsidRPr="00E71B56" w14:paraId="2AB2A537" w14:textId="77777777" w:rsidTr="00A372FB">
        <w:trPr>
          <w:jc w:val="center"/>
        </w:trPr>
        <w:tc>
          <w:tcPr>
            <w:tcW w:w="12061" w:type="dxa"/>
            <w:gridSpan w:val="2"/>
          </w:tcPr>
          <w:p w14:paraId="2C667585" w14:textId="77777777" w:rsidR="00BD155E" w:rsidRPr="00E71B56" w:rsidRDefault="00BD155E" w:rsidP="00A372FB">
            <w:pPr>
              <w:rPr>
                <w:lang w:val="es-ES"/>
              </w:rPr>
            </w:pPr>
            <w:bookmarkStart w:id="37" w:name="OLE_LINK2"/>
            <w:bookmarkStart w:id="38" w:name="OLE_LINK5"/>
            <w:r w:rsidRPr="00E71B56">
              <w:rPr>
                <w:lang w:val="es-ES"/>
              </w:rPr>
              <w:t>Con miras a fortalecer la capacidad de los Estados Miembros para impulsar sus marcos políticos, jurídicos y reglamentarios de TIC, la BDT siguió prestando apoyo para conformar entornos propicios que fomenten la transformación digital inclusiva, segura y resiliente y en el periodo comprendido entre 2023 y 2025. Por conducto de orientaciones políticas, productos del conocimiento, el desarrollo de la capacidad y la asistencia técnica, la labor de la BDT ayudó a los miembros a aprovechar la política y la reglamentación como habilitadores clave de la conectividad universal y efectiva, y como contribuyentes al fomento de las prioridades nacionales y los ODS.</w:t>
            </w:r>
          </w:p>
          <w:p w14:paraId="71B74661" w14:textId="77777777" w:rsidR="00BD155E" w:rsidRPr="00E71B56" w:rsidRDefault="00BD155E" w:rsidP="00A372FB">
            <w:pPr>
              <w:rPr>
                <w:lang w:val="es-ES"/>
              </w:rPr>
            </w:pPr>
            <w:r w:rsidRPr="00E71B56">
              <w:rPr>
                <w:lang w:val="es-ES"/>
              </w:rPr>
              <w:t>Desde los emblemáticos informes analíticos hasta las hojas de ruta reglamentarias y las estrategias digitales nacionales, la BDT siguió dotando a los decisores nacionales de las pruebas y herramientas necesarias para navegar por los ecosistemas y mercados digitales y de TIC cada vez más complejos. Los esfuerzos coordinados de la BDT también garantizaron que el apoyo proporcionado a los países incorporase dimensiones clave como la asequibilidad, la inclusión, la competencia y la inversión en un enfoque pangubernamental a fin de dar rienda suelta a estrategias digitales generales.</w:t>
            </w:r>
          </w:p>
          <w:p w14:paraId="1F13F9FE" w14:textId="77777777" w:rsidR="00BD155E" w:rsidRPr="00E71B56" w:rsidRDefault="00BD155E" w:rsidP="00A372FB">
            <w:pPr>
              <w:rPr>
                <w:lang w:val="es-ES"/>
              </w:rPr>
            </w:pPr>
            <w:r w:rsidRPr="00E71B56">
              <w:rPr>
                <w:lang w:val="es-ES"/>
              </w:rPr>
              <w:t xml:space="preserve">Asimismo, la BDT siguió avanzando en su labor de defensa mundial relativa a la función de la reglamentación para propiciar la transformación digital sostenible por conducto de eventos emblemáticos de alto nivel en </w:t>
            </w:r>
            <w:r w:rsidRPr="00E71B56">
              <w:rPr>
                <w:lang w:val="es-ES"/>
              </w:rPr>
              <w:lastRenderedPageBreak/>
              <w:t xml:space="preserve">consonancia con la </w:t>
            </w:r>
            <w:hyperlink r:id="rId156" w:history="1">
              <w:r w:rsidRPr="00E71B56">
                <w:rPr>
                  <w:rStyle w:val="Hyperlink"/>
                  <w:lang w:val="es-ES"/>
                </w:rPr>
                <w:t>Resolución 48 (Rev. Kigali, 2022) de la CMDT-22</w:t>
              </w:r>
            </w:hyperlink>
            <w:r w:rsidRPr="00E71B56">
              <w:rPr>
                <w:lang w:val="es-ES"/>
              </w:rPr>
              <w:t xml:space="preserve"> sobre el fortalecimiento de la cooperación entre organismos reguladores de las telecomunicaciones</w:t>
            </w:r>
            <w:r w:rsidRPr="00E71B56">
              <w:rPr>
                <w:i/>
                <w:iCs/>
                <w:lang w:val="es-ES"/>
              </w:rPr>
              <w:t>.</w:t>
            </w:r>
            <w:r w:rsidRPr="00E71B56">
              <w:rPr>
                <w:lang w:val="es-ES"/>
              </w:rPr>
              <w:t xml:space="preserve"> Celebrado en Egipto, el </w:t>
            </w:r>
            <w:hyperlink r:id="rId157" w:history="1">
              <w:r w:rsidRPr="00E71B56">
                <w:rPr>
                  <w:rStyle w:val="Hyperlink"/>
                  <w:lang w:val="es-ES"/>
                </w:rPr>
                <w:t>Simposio Mundial para Organismos Reguladores (GSR) de 2023</w:t>
              </w:r>
            </w:hyperlink>
            <w:r w:rsidRPr="00E71B56">
              <w:rPr>
                <w:lang w:val="es-ES"/>
              </w:rPr>
              <w:t xml:space="preserve"> atrajo a más de 750 participantes de más de 100 países, entre ellos ministros de gobierno, jefes de organismos reguladores y directores ejecutivos de la industria. En dicho marco se adoptaron y compartieron las </w:t>
            </w:r>
            <w:hyperlink r:id="rId158" w:history="1">
              <w:r w:rsidRPr="00E71B56">
                <w:rPr>
                  <w:rStyle w:val="Hyperlink"/>
                  <w:lang w:val="es-ES"/>
                </w:rPr>
                <w:t>Directrices de prácticas óptimas del GSR-23 sobre incentivos reglamentarios y económicos para un futuro digital inclusivo y sostenible</w:t>
              </w:r>
            </w:hyperlink>
            <w:r w:rsidRPr="00E71B56">
              <w:rPr>
                <w:lang w:val="es-ES"/>
              </w:rPr>
              <w:t>.</w:t>
            </w:r>
            <w:hyperlink r:id="rId159"/>
            <w:hyperlink r:id="rId160"/>
            <w:hyperlink r:id="rId161"/>
          </w:p>
          <w:p w14:paraId="5C6A3766" w14:textId="77777777" w:rsidR="00BD155E" w:rsidRPr="00E71B56" w:rsidRDefault="00BD155E" w:rsidP="00A372FB">
            <w:pPr>
              <w:rPr>
                <w:lang w:val="es-ES"/>
              </w:rPr>
            </w:pPr>
            <w:r w:rsidRPr="00E71B56">
              <w:rPr>
                <w:lang w:val="es-ES"/>
              </w:rPr>
              <w:t xml:space="preserve">En el </w:t>
            </w:r>
            <w:hyperlink r:id="rId162" w:history="1">
              <w:r w:rsidRPr="00E71B56">
                <w:rPr>
                  <w:rStyle w:val="Hyperlink"/>
                  <w:lang w:val="es-ES"/>
                </w:rPr>
                <w:t>GSR-24</w:t>
              </w:r>
            </w:hyperlink>
            <w:r w:rsidRPr="00E71B56">
              <w:rPr>
                <w:lang w:val="es-ES"/>
              </w:rPr>
              <w:t xml:space="preserve">, celebrado en </w:t>
            </w:r>
            <w:r w:rsidRPr="00E71B56">
              <w:rPr>
                <w:b/>
                <w:bCs/>
                <w:lang w:val="es-ES"/>
              </w:rPr>
              <w:t>Uganda</w:t>
            </w:r>
            <w:r w:rsidRPr="00E71B56">
              <w:rPr>
                <w:lang w:val="es-ES"/>
              </w:rPr>
              <w:t xml:space="preserve">, organismos reguladores y encargados de formular políticas procedentes de más de 70 países entablaron un debate mundial sobre el tema "Regular para generar impacto". En el evento se elaboró un conjunto de </w:t>
            </w:r>
            <w:hyperlink r:id="rId163" w:history="1">
              <w:r w:rsidRPr="00E71B56">
                <w:rPr>
                  <w:rStyle w:val="Hyperlink"/>
                  <w:lang w:val="es-ES"/>
                </w:rPr>
                <w:t>directrices de prácticas idóneas sobre trazar el rumbo de las tecnologías transformadoras para lograr efectos positivos</w:t>
              </w:r>
            </w:hyperlink>
            <w:r w:rsidRPr="00E71B56">
              <w:rPr>
                <w:lang w:val="es-ES"/>
              </w:rPr>
              <w:t xml:space="preserve">. El </w:t>
            </w:r>
            <w:hyperlink r:id="rId164" w:history="1">
              <w:r w:rsidRPr="00E71B56">
                <w:rPr>
                  <w:rStyle w:val="Hyperlink"/>
                  <w:lang w:val="es-ES"/>
                </w:rPr>
                <w:t>GSR-25</w:t>
              </w:r>
            </w:hyperlink>
            <w:r w:rsidRPr="00E71B56">
              <w:rPr>
                <w:lang w:val="es-ES"/>
              </w:rPr>
              <w:t xml:space="preserve">, celebrado en </w:t>
            </w:r>
            <w:r w:rsidRPr="00E71B56">
              <w:rPr>
                <w:b/>
                <w:bCs/>
                <w:lang w:val="es-ES"/>
              </w:rPr>
              <w:t>Arabia Saudita</w:t>
            </w:r>
            <w:r w:rsidRPr="00E71B56">
              <w:rPr>
                <w:lang w:val="es-ES"/>
              </w:rPr>
              <w:t xml:space="preserve">, atrajo un número sin precedentes de 1 200 participantes, entre ellos ministros, jefes de organismos reguladores, ejecutivos del sector y miembros de la comunidad académica, para debatir cuestiones reglamentarias sobre el desarrollo digital centrándose en ocho temas fundamentales: colaboración, conectividad, confianza, protección, inclusión, empoderamiento, sostenibilidad e innovación. Las </w:t>
            </w:r>
            <w:hyperlink r:id="rId165" w:anchor="p=1" w:history="1">
              <w:r w:rsidRPr="00E71B56">
                <w:rPr>
                  <w:rStyle w:val="Hyperlink"/>
                  <w:lang w:val="es-ES"/>
                </w:rPr>
                <w:t>directrices sobre prácticas idóneas del GSR-25 sobre "Empoderar a los organismos reguladores como creadores de ecosistemas digitales"</w:t>
              </w:r>
            </w:hyperlink>
            <w:r w:rsidRPr="00E71B56">
              <w:rPr>
                <w:lang w:val="es-ES"/>
              </w:rPr>
              <w:t xml:space="preserve"> sirven de guía para ayudar a los organismos reguladores a ofrecer un liderazgo reglamentario práctico y con visión de futuro para lograr un futuro digital que no deje nadie a la zaga.</w:t>
            </w:r>
            <w:hyperlink r:id="rId166"/>
            <w:hyperlink r:id="rId167"/>
            <w:hyperlink r:id="rId168"/>
            <w:hyperlink r:id="rId169" w:anchor="p=1"/>
          </w:p>
          <w:p w14:paraId="71DC31BF" w14:textId="77777777" w:rsidR="00BD155E" w:rsidRPr="00E71B56" w:rsidRDefault="00BD155E" w:rsidP="00A372FB">
            <w:pPr>
              <w:rPr>
                <w:lang w:val="es-ES"/>
              </w:rPr>
            </w:pPr>
            <w:r w:rsidRPr="00E71B56">
              <w:rPr>
                <w:lang w:val="es-ES"/>
              </w:rPr>
              <w:t xml:space="preserve">Reforzando la coordinación reglamentaria en los planos regional y mundial, la BDT puso en marcha la </w:t>
            </w:r>
            <w:hyperlink r:id="rId170" w:history="1">
              <w:r w:rsidRPr="00E71B56">
                <w:rPr>
                  <w:rStyle w:val="Hyperlink"/>
                  <w:lang w:val="es-ES"/>
                </w:rPr>
                <w:t>Red de Reglamentación Digital</w:t>
              </w:r>
            </w:hyperlink>
            <w:r w:rsidRPr="00E71B56">
              <w:rPr>
                <w:lang w:val="es-ES"/>
              </w:rPr>
              <w:t xml:space="preserve"> (RRD) en 2023, a fin de acelerar la transformación digital sostenible. La iniciativa impulsa enfoques comunes y transversales sobre la política digital, la reglamentación y la gobernanza, trabajando directamente con las asociaciones reglamentarias regionales y sus miembros en los planos regional y mundial. En 2025, la Red de Asociaciones de Reglamentación Regionales/Reglamentación Digital celebró su reunión anual en el marco del GSR</w:t>
            </w:r>
            <w:r w:rsidRPr="00E71B56">
              <w:rPr>
                <w:lang w:val="es-ES"/>
              </w:rPr>
              <w:noBreakHyphen/>
              <w:t>25 el día 1 de septiembre, en Riad. La reunión congregó a 12 asociaciones de reglamentación regionales. Esta reunión de alto nivel permitió a las asociaciones de reglamentación regionales y a sus miembros intercambiar experiencias e información práctica. Algunos temas de debate fueron el acceso universal a la banda ancha, la competencia, la ciberseguridad, las herramientas y estrategias reglamentarias propiciadas por la innovación y los enfoques regionales sobre las cuestiones transfronterizas como la inteligencia artificial, las comunicaciones por satélite y la protección de datos.</w:t>
            </w:r>
            <w:hyperlink r:id="rId171"/>
          </w:p>
          <w:p w14:paraId="276D6998" w14:textId="77777777" w:rsidR="00BD155E" w:rsidRPr="00E71B56" w:rsidRDefault="00BD155E" w:rsidP="00A372FB">
            <w:pPr>
              <w:rPr>
                <w:lang w:val="es-ES"/>
              </w:rPr>
            </w:pPr>
            <w:r w:rsidRPr="00E71B56">
              <w:rPr>
                <w:lang w:val="es-ES"/>
              </w:rPr>
              <w:lastRenderedPageBreak/>
              <w:t>El Coloquio de Política y Economía de la UIT (IPEC) para las Américas constituye un evento regional anual organizado por la UIT y los asociados regionales para abordar las cuestiones de política y economía de las telecomunicaciones y las TIC en la región de las Américas. En algunos coloquios recientes se destacó la evolución del IPEC: el </w:t>
            </w:r>
            <w:r w:rsidRPr="00E71B56">
              <w:rPr>
                <w:b/>
                <w:bCs/>
                <w:lang w:val="es-ES"/>
              </w:rPr>
              <w:t>IPEC</w:t>
            </w:r>
            <w:r w:rsidRPr="00E71B56">
              <w:rPr>
                <w:b/>
                <w:bCs/>
                <w:lang w:val="es-ES"/>
              </w:rPr>
              <w:noBreakHyphen/>
              <w:t xml:space="preserve">23 </w:t>
            </w:r>
            <w:r w:rsidRPr="00E71B56">
              <w:rPr>
                <w:lang w:val="es-ES"/>
              </w:rPr>
              <w:t xml:space="preserve">se celebró en San José (Costa Rica) y contó con el Diálogo Económico Regional (RED-AMS), una clase magistral sobre la 5G y una reunión del Grupo Regional de la Comisión de Estudio 3. El </w:t>
            </w:r>
            <w:r w:rsidRPr="00E71B56">
              <w:rPr>
                <w:b/>
                <w:bCs/>
                <w:lang w:val="es-ES"/>
              </w:rPr>
              <w:t>IPEC</w:t>
            </w:r>
            <w:r w:rsidRPr="00E71B56">
              <w:rPr>
                <w:b/>
                <w:bCs/>
                <w:lang w:val="es-ES"/>
              </w:rPr>
              <w:noBreakHyphen/>
              <w:t xml:space="preserve">24 </w:t>
            </w:r>
            <w:r w:rsidRPr="00E71B56">
              <w:rPr>
                <w:lang w:val="es-ES"/>
              </w:rPr>
              <w:t>tuvo lugar en Lima (Perú) y se centró en la gestión del espectro, las nuevas tecnologías, la brecha digital y la agenda del Diálogo Económico Regional del UIT</w:t>
            </w:r>
            <w:r w:rsidRPr="00E71B56">
              <w:rPr>
                <w:lang w:val="es-ES"/>
              </w:rPr>
              <w:noBreakHyphen/>
              <w:t>D.</w:t>
            </w:r>
          </w:p>
          <w:p w14:paraId="2B78B3C7" w14:textId="77777777" w:rsidR="00BD155E" w:rsidRPr="00E71B56" w:rsidRDefault="00BD155E" w:rsidP="00A372FB">
            <w:pPr>
              <w:rPr>
                <w:lang w:val="es-ES"/>
              </w:rPr>
            </w:pPr>
            <w:r w:rsidRPr="00E71B56">
              <w:rPr>
                <w:lang w:val="es-ES"/>
              </w:rPr>
              <w:t xml:space="preserve">La </w:t>
            </w:r>
            <w:hyperlink r:id="rId172" w:history="1">
              <w:r w:rsidRPr="00E71B56">
                <w:rPr>
                  <w:rStyle w:val="Hyperlink"/>
                  <w:lang w:val="es-ES"/>
                </w:rPr>
                <w:t>Plataforma de Reglamentación Digital</w:t>
              </w:r>
            </w:hyperlink>
            <w:r w:rsidRPr="00E71B56">
              <w:rPr>
                <w:lang w:val="es-ES"/>
              </w:rPr>
              <w:t xml:space="preserve"> de la UIT y el Banco Mundial ofrece orientaciones prácticas y buenas prácticas a los responsables de políticas y los organismos reguladores de todo el mundo sobre políticas temáticas y cuestiones reglamentarias. Algunas de las últimas adiciones son la guía para elaborar marcos colaborativos de IA, la herramienta orientativa para organismos reguladores sobre la cuestión de navegar por la gobernanza de datos, una guía para llevar a cabo consultas públicas pertinentes y artículos sobre la gobernanza colaborativa, la formulación de políticas con base empírica, la supervisión de la sostenibilidad y la incorporación de los aspectos ambientales, sociales y de gobernanza en la formulación de políticas y la reglamentación de las TIC, la reseña de la 6G (IMT</w:t>
            </w:r>
            <w:r w:rsidRPr="00E71B56">
              <w:rPr>
                <w:lang w:val="es-ES"/>
              </w:rPr>
              <w:noBreakHyphen/>
              <w:t>2030) y los servicios por satélites directos a dispositivo, así como las actualizaciones de los módulos "Acceso para todos" y "Gestión del espectro".</w:t>
            </w:r>
            <w:hyperlink r:id="rId173"/>
          </w:p>
          <w:p w14:paraId="50959EAD" w14:textId="77777777" w:rsidR="00BD155E" w:rsidRPr="00E71B56" w:rsidRDefault="00BD155E" w:rsidP="00A372FB">
            <w:pPr>
              <w:rPr>
                <w:bCs/>
                <w:u w:val="single"/>
                <w:lang w:val="es-ES"/>
              </w:rPr>
            </w:pPr>
            <w:r w:rsidRPr="00E71B56">
              <w:rPr>
                <w:lang w:val="es-ES"/>
              </w:rPr>
              <w:t xml:space="preserve">En paralelo, el </w:t>
            </w:r>
            <w:hyperlink r:id="rId174" w:history="1">
              <w:r w:rsidRPr="00E71B56">
                <w:rPr>
                  <w:rStyle w:val="Hyperlink"/>
                  <w:lang w:val="es-ES"/>
                </w:rPr>
                <w:t>Conjunto de herramientas para la eficiencia de la financiación del servicio universal</w:t>
              </w:r>
            </w:hyperlink>
            <w:r w:rsidRPr="00E71B56">
              <w:rPr>
                <w:lang w:val="es-ES"/>
              </w:rPr>
              <w:t xml:space="preserve"> se puso en marcha en febrero de 2023, con el apoyo del Proyecto de Acceso Digital financiado por el FCDO del Reino Unido. El Conjunto de herramientas constituye una guía práctica para que los países exploren modelos de negocio con el fin de impulsar los efectos en los planos local, municipal y nacional. Para mejorar su utilidad, se puso a disposición un curso autodirigido en línea por conducto de la Academia de la UIT, y se impartió formación presencial a las partes interesadas nacionales en</w:t>
            </w:r>
            <w:r w:rsidRPr="00E71B56">
              <w:rPr>
                <w:b/>
                <w:bCs/>
                <w:lang w:val="es-ES"/>
              </w:rPr>
              <w:t xml:space="preserve"> Indonesia</w:t>
            </w:r>
            <w:r w:rsidRPr="00E71B56">
              <w:rPr>
                <w:lang w:val="es-ES"/>
              </w:rPr>
              <w:t xml:space="preserve">, </w:t>
            </w:r>
            <w:r w:rsidRPr="00E71B56">
              <w:rPr>
                <w:b/>
                <w:bCs/>
                <w:lang w:val="es-ES"/>
              </w:rPr>
              <w:t>Kenya</w:t>
            </w:r>
            <w:r w:rsidRPr="00E71B56">
              <w:rPr>
                <w:lang w:val="es-ES"/>
              </w:rPr>
              <w:t xml:space="preserve">, </w:t>
            </w:r>
            <w:r w:rsidRPr="00E71B56">
              <w:rPr>
                <w:b/>
                <w:bCs/>
                <w:lang w:val="es-ES"/>
              </w:rPr>
              <w:t xml:space="preserve">Nigeria </w:t>
            </w:r>
            <w:r w:rsidRPr="00E71B56">
              <w:rPr>
                <w:lang w:val="es-ES"/>
              </w:rPr>
              <w:t>y</w:t>
            </w:r>
            <w:r w:rsidRPr="00E71B56">
              <w:rPr>
                <w:b/>
                <w:bCs/>
                <w:lang w:val="es-ES"/>
              </w:rPr>
              <w:t xml:space="preserve"> Sudáfrica</w:t>
            </w:r>
            <w:r w:rsidRPr="00E71B56">
              <w:rPr>
                <w:lang w:val="es-ES"/>
              </w:rPr>
              <w:t>,</w:t>
            </w:r>
            <w:r w:rsidRPr="00E71B56">
              <w:rPr>
                <w:b/>
                <w:bCs/>
                <w:lang w:val="es-ES"/>
              </w:rPr>
              <w:t xml:space="preserve"> </w:t>
            </w:r>
            <w:r w:rsidRPr="00E71B56">
              <w:rPr>
                <w:lang w:val="es-ES"/>
              </w:rPr>
              <w:t>que dotó a los organismos reguladores de información útil y buenas prácticas. Además, se impartió formación presencial basada en el Conjunto de herramientas a los decisores de la ASEAN sobre la reglamentación de la transformación digital en 2025.</w:t>
            </w:r>
            <w:hyperlink r:id="rId175" w:history="1"/>
          </w:p>
          <w:p w14:paraId="16F53455" w14:textId="77777777" w:rsidR="00BD155E" w:rsidRPr="00E71B56" w:rsidRDefault="00BD155E" w:rsidP="00A372FB">
            <w:pPr>
              <w:rPr>
                <w:lang w:val="es-ES"/>
              </w:rPr>
            </w:pPr>
            <w:r w:rsidRPr="00E71B56">
              <w:rPr>
                <w:lang w:val="es-ES"/>
              </w:rPr>
              <w:t xml:space="preserve">Una serie de formaciones sobre reglamentación digital impartidas por conducto de la Academia de la UIT permitieron a los participantes adquirir un mayor entendimiento y conocimientos más avanzados sobre aspectos específicos de la política y la reglamentación en el mundo digital. Durante el periodo, la formación </w:t>
            </w:r>
            <w:r w:rsidRPr="00E71B56">
              <w:rPr>
                <w:lang w:val="es-ES"/>
              </w:rPr>
              <w:lastRenderedPageBreak/>
              <w:t xml:space="preserve">mundial se centró principalmente en las estrategias de transformación digital, la gobernanza reglamentaria, la toma de decisiones con base empírica y la experimentación reglamentaria. Otros cursos diversos sobre temas reglamentarios se impartieron tanto en línea por conducto de la Academia de la UIT como de manera presencial, con adaptaciones regionales que reflejaban las prioridades políticas específicas. En la </w:t>
            </w:r>
            <w:r w:rsidRPr="00E71B56">
              <w:rPr>
                <w:b/>
                <w:bCs/>
                <w:lang w:val="es-ES"/>
              </w:rPr>
              <w:t>región de Asia-Pacífico</w:t>
            </w:r>
            <w:r w:rsidRPr="00E71B56">
              <w:rPr>
                <w:lang w:val="es-ES"/>
              </w:rPr>
              <w:t xml:space="preserve">, el programa hizo énfasis en los flujos de datos transfronterizos y el comercio digital; en </w:t>
            </w:r>
            <w:r w:rsidRPr="00E71B56">
              <w:rPr>
                <w:b/>
                <w:bCs/>
                <w:lang w:val="es-ES"/>
              </w:rPr>
              <w:t>África</w:t>
            </w:r>
            <w:r w:rsidRPr="00E71B56">
              <w:rPr>
                <w:lang w:val="es-ES"/>
              </w:rPr>
              <w:t xml:space="preserve">, se centró en la reglamentación digital, las normas sobre los satélites, la gobernanza de datos y la gestión del espectro; y en la </w:t>
            </w:r>
            <w:r w:rsidRPr="00E71B56">
              <w:rPr>
                <w:b/>
                <w:bCs/>
                <w:lang w:val="es-ES"/>
              </w:rPr>
              <w:t>región de la</w:t>
            </w:r>
            <w:r w:rsidRPr="00E71B56">
              <w:rPr>
                <w:lang w:val="es-ES"/>
              </w:rPr>
              <w:t> </w:t>
            </w:r>
            <w:r w:rsidRPr="00E71B56">
              <w:rPr>
                <w:b/>
                <w:bCs/>
                <w:lang w:val="es-ES"/>
              </w:rPr>
              <w:t>CEI</w:t>
            </w:r>
            <w:r w:rsidRPr="00E71B56">
              <w:rPr>
                <w:lang w:val="es-ES"/>
              </w:rPr>
              <w:t>, la formación abordó las obligaciones relativas al servicio universal y la conectividad rural.</w:t>
            </w:r>
          </w:p>
          <w:p w14:paraId="57E5606B" w14:textId="77777777" w:rsidR="00BD155E" w:rsidRPr="00E71B56" w:rsidRDefault="00BD155E" w:rsidP="00A372FB">
            <w:pPr>
              <w:rPr>
                <w:lang w:val="es-ES"/>
              </w:rPr>
            </w:pPr>
            <w:r w:rsidRPr="00E71B56">
              <w:rPr>
                <w:lang w:val="es-ES"/>
              </w:rPr>
              <w:t xml:space="preserve">Las mediciones políticas y reglamentarias de la UIT siguieron supervisando las tendencias mundiales y regionales en 194 países. En 2023, la UIT introdujo un marco de referencia unificado para evaluar el nivel de preparación de los marcos jurídicos, políticos y de gobernanza nacionales para la transformación digital. El </w:t>
            </w:r>
            <w:hyperlink r:id="rId176" w:history="1">
              <w:r w:rsidRPr="00E71B56">
                <w:rPr>
                  <w:rStyle w:val="Hyperlink"/>
                  <w:lang w:val="es-ES"/>
                </w:rPr>
                <w:t>Marco de referencia unificado</w:t>
              </w:r>
            </w:hyperlink>
            <w:r w:rsidRPr="00E71B56">
              <w:rPr>
                <w:lang w:val="es-ES"/>
              </w:rPr>
              <w:t xml:space="preserve">, el </w:t>
            </w:r>
            <w:hyperlink r:id="rId177" w:history="1">
              <w:r w:rsidRPr="00E71B56">
                <w:rPr>
                  <w:rStyle w:val="Hyperlink"/>
                  <w:lang w:val="es-ES"/>
                </w:rPr>
                <w:t>Rastreador de Reglamentación de las TIC</w:t>
              </w:r>
            </w:hyperlink>
            <w:r w:rsidRPr="00E71B56">
              <w:rPr>
                <w:lang w:val="es-ES"/>
              </w:rPr>
              <w:t xml:space="preserve"> y las herramientas del </w:t>
            </w:r>
            <w:hyperlink r:id="rId178" w:history="1">
              <w:r w:rsidRPr="00E71B56">
                <w:rPr>
                  <w:rStyle w:val="Hyperlink"/>
                  <w:lang w:val="es-ES"/>
                </w:rPr>
                <w:t>Marco de referencia de la 5G</w:t>
              </w:r>
            </w:hyperlink>
            <w:r w:rsidRPr="00E71B56">
              <w:rPr>
                <w:lang w:val="es-ES"/>
              </w:rPr>
              <w:t xml:space="preserve"> están recogidos en la plataforma del </w:t>
            </w:r>
            <w:hyperlink r:id="rId179" w:history="1">
              <w:r w:rsidRPr="00E71B56">
                <w:rPr>
                  <w:rStyle w:val="Hyperlink"/>
                  <w:lang w:val="es-ES"/>
                </w:rPr>
                <w:t>Acelerador de la 5G</w:t>
              </w:r>
            </w:hyperlink>
            <w:r w:rsidRPr="00E71B56">
              <w:rPr>
                <w:lang w:val="es-ES"/>
              </w:rPr>
              <w:t>, que proporciona los perfiles de los países en función de su madurez reglamentaria en materia de TIC y la gobernanza digital, así como análisis interactivos y mapas temáticos. El Rastreador de Reglamentación de las TIC de 2024 y el Marco de referencia de la 5G de 2025 pusieron de manifiesto las tendencias mundiales y regionales que conforman entornos propicios para las TIC y las tecnologías digitales en general. Colectivamente, estas herramientas ofrecen un modelo práctico para la reforma, que respalda la toma de decisiones con base empírica y propicia una evaluación mundial de las capacidades y el nivel de preparación de los países para conseguir la transformación digital.</w:t>
            </w:r>
            <w:hyperlink r:id="rId180"/>
            <w:hyperlink r:id="rId181"/>
            <w:hyperlink r:id="rId182"/>
            <w:hyperlink r:id="rId183"/>
          </w:p>
          <w:p w14:paraId="15B0C3E9" w14:textId="77777777" w:rsidR="00BD155E" w:rsidRPr="00E71B56" w:rsidRDefault="00BD155E" w:rsidP="00A372FB">
            <w:pPr>
              <w:rPr>
                <w:bCs/>
                <w:lang w:val="es-ES"/>
              </w:rPr>
            </w:pPr>
            <w:r w:rsidRPr="00E71B56">
              <w:rPr>
                <w:lang w:val="es-ES"/>
              </w:rPr>
              <w:t xml:space="preserve">La puesta en marcha del informe </w:t>
            </w:r>
            <w:hyperlink r:id="rId184" w:history="1">
              <w:r w:rsidRPr="00E71B56">
                <w:rPr>
                  <w:rStyle w:val="Hyperlink"/>
                  <w:b/>
                  <w:bCs/>
                  <w:lang w:val="es-ES"/>
                </w:rPr>
                <w:t>Global Digital Regulatory Outlook (GDRO)</w:t>
              </w:r>
            </w:hyperlink>
            <w:r w:rsidRPr="00E71B56">
              <w:rPr>
                <w:lang w:val="es-ES"/>
              </w:rPr>
              <w:t xml:space="preserve"> en 2023 ofreció una evaluación exhaustiva de las tendencias reglamentarias en todo el mundo, comparando a más de 190 economías, ofreciendo pruebas sobre el nivel de madurez del mercado y modelos políticos, y propiciando condiciones para el crecimiento de los mercados digitales. El informe confirmó que los países que operan en marcos de gobernanza colaborativa registraron una expansión más rápida de la banda ancha y tenían servicios más asequibles. Al documentar los enfoques reglamentarios de las regiones, el análisis ofreció a los Estados Miembros un punto de referencia para adaptarse a las prácticas idóneas internacionales y destacó la función de la agilidad reglamentaria para acelerar la transformación digital.</w:t>
            </w:r>
            <w:hyperlink r:id="rId185" w:history="1"/>
          </w:p>
          <w:p w14:paraId="39588FB8" w14:textId="77777777" w:rsidR="00BD155E" w:rsidRPr="00E71B56" w:rsidRDefault="00BD155E" w:rsidP="00A372FB">
            <w:pPr>
              <w:rPr>
                <w:lang w:val="es-ES"/>
              </w:rPr>
            </w:pPr>
            <w:r w:rsidRPr="00E71B56">
              <w:rPr>
                <w:lang w:val="es-ES"/>
              </w:rPr>
              <w:lastRenderedPageBreak/>
              <w:t xml:space="preserve">La </w:t>
            </w:r>
            <w:hyperlink r:id="rId186" w:history="1">
              <w:r w:rsidRPr="00E71B56">
                <w:rPr>
                  <w:rStyle w:val="Hyperlink"/>
                  <w:b/>
                  <w:bCs/>
                  <w:lang w:val="es-ES"/>
                </w:rPr>
                <w:t>serie de exámenes nacionales de países sobre la reglamentación digital colaborativa</w:t>
              </w:r>
            </w:hyperlink>
            <w:r w:rsidRPr="00E71B56">
              <w:rPr>
                <w:lang w:val="es-ES"/>
              </w:rPr>
              <w:t xml:space="preserve"> ofrece evaluaciones específicas de los marcos reglamentarios y de gobernanza, las políticas y las prácticas en los sectores digital y de las TIC. Los exámenes se realizaron con autoridades públicas, partes interesadas nacionales y expertos reconocidos, aprovechando las herramientas con base empírica y los marcos reglamentarios de la UIT. Desde 2023, la BDT ha publicado exámenes de países respecto de </w:t>
            </w:r>
            <w:r w:rsidRPr="00E71B56">
              <w:rPr>
                <w:b/>
                <w:bCs/>
                <w:lang w:val="es-ES"/>
              </w:rPr>
              <w:t>Brasil</w:t>
            </w:r>
            <w:r w:rsidRPr="00E71B56">
              <w:rPr>
                <w:lang w:val="es-ES"/>
              </w:rPr>
              <w:t xml:space="preserve">, </w:t>
            </w:r>
            <w:r w:rsidRPr="00E71B56">
              <w:rPr>
                <w:b/>
                <w:bCs/>
                <w:lang w:val="es-ES"/>
              </w:rPr>
              <w:t>Colombia</w:t>
            </w:r>
            <w:r w:rsidRPr="00E71B56">
              <w:rPr>
                <w:lang w:val="es-ES"/>
              </w:rPr>
              <w:t xml:space="preserve">, </w:t>
            </w:r>
            <w:r w:rsidRPr="00E71B56">
              <w:rPr>
                <w:b/>
                <w:bCs/>
                <w:lang w:val="es-ES"/>
              </w:rPr>
              <w:t>Egipto</w:t>
            </w:r>
            <w:r w:rsidRPr="00E71B56">
              <w:rPr>
                <w:lang w:val="es-ES"/>
              </w:rPr>
              <w:t xml:space="preserve">, </w:t>
            </w:r>
            <w:r w:rsidRPr="00E71B56">
              <w:rPr>
                <w:b/>
                <w:bCs/>
                <w:lang w:val="es-ES"/>
              </w:rPr>
              <w:t>Kenya</w:t>
            </w:r>
            <w:r w:rsidRPr="00E71B56">
              <w:rPr>
                <w:lang w:val="es-ES"/>
              </w:rPr>
              <w:t xml:space="preserve">, </w:t>
            </w:r>
            <w:r w:rsidRPr="00E71B56">
              <w:rPr>
                <w:b/>
                <w:bCs/>
                <w:lang w:val="es-ES"/>
              </w:rPr>
              <w:t>Nigeria</w:t>
            </w:r>
            <w:r w:rsidRPr="00E71B56">
              <w:rPr>
                <w:lang w:val="es-ES"/>
              </w:rPr>
              <w:t xml:space="preserve">, </w:t>
            </w:r>
            <w:r w:rsidRPr="00E71B56">
              <w:rPr>
                <w:b/>
                <w:bCs/>
                <w:lang w:val="es-ES"/>
              </w:rPr>
              <w:t xml:space="preserve">Omán </w:t>
            </w:r>
            <w:r w:rsidRPr="00E71B56">
              <w:rPr>
                <w:lang w:val="es-ES"/>
              </w:rPr>
              <w:t>y</w:t>
            </w:r>
            <w:r w:rsidRPr="00E71B56">
              <w:rPr>
                <w:b/>
                <w:bCs/>
                <w:lang w:val="es-ES"/>
              </w:rPr>
              <w:t xml:space="preserve"> Sudáfrica, </w:t>
            </w:r>
            <w:r w:rsidRPr="00E71B56">
              <w:rPr>
                <w:lang w:val="es-ES"/>
              </w:rPr>
              <w:t>y la labor sobre Qatar se encuentra en su etapa final.</w:t>
            </w:r>
            <w:hyperlink r:id="rId187"/>
          </w:p>
          <w:p w14:paraId="158E6A07" w14:textId="77777777" w:rsidR="00BD155E" w:rsidRPr="00E71B56" w:rsidRDefault="00BD155E" w:rsidP="00A372FB">
            <w:pPr>
              <w:rPr>
                <w:lang w:val="es-ES"/>
              </w:rPr>
            </w:pPr>
            <w:r w:rsidRPr="00E71B56">
              <w:rPr>
                <w:lang w:val="es-ES"/>
              </w:rPr>
              <w:t xml:space="preserve">Sobre la base de la serie establecida de estudios econométricos, la BDT publicó </w:t>
            </w:r>
            <w:hyperlink r:id="rId188" w:history="1">
              <w:r w:rsidRPr="00E71B56">
                <w:rPr>
                  <w:rStyle w:val="Hyperlink"/>
                  <w:b/>
                  <w:bCs/>
                  <w:i/>
                  <w:iCs/>
                  <w:lang w:val="es-ES"/>
                </w:rPr>
                <w:t>El efecto de la trasformación digital en la economía – Modelización econométrica de 2025</w:t>
              </w:r>
            </w:hyperlink>
            <w:r w:rsidRPr="00E71B56">
              <w:rPr>
                <w:lang w:val="es-ES"/>
              </w:rPr>
              <w:t>. El estudio revela los efectos de las TIC en la innovación, la productividad y la inclusión digital. Aunque el crecimiento se ha ralentizado, el sector de las TIC sigue siendo un impulsor fundamental de la transformación económica, y se espera que los continuos avances en la conectividad sostengan su influencia a largo plazo.</w:t>
            </w:r>
            <w:hyperlink r:id="rId189" w:tgtFrame="_blank" w:tooltip="https://www.itu.int/hub/publication/d-pref-econ.mod-2025/" w:history="1"/>
          </w:p>
          <w:p w14:paraId="13863C67" w14:textId="77777777" w:rsidR="00BD155E" w:rsidRPr="00E71B56" w:rsidRDefault="00BD155E" w:rsidP="00A372FB">
            <w:pPr>
              <w:rPr>
                <w:lang w:val="es-ES"/>
              </w:rPr>
            </w:pPr>
            <w:r w:rsidRPr="00E71B56">
              <w:rPr>
                <w:lang w:val="es-ES"/>
              </w:rPr>
              <w:t xml:space="preserve">Otro estudio de referencia, titulado </w:t>
            </w:r>
            <w:hyperlink r:id="rId190" w:history="1">
              <w:r w:rsidRPr="00E71B56">
                <w:rPr>
                  <w:rStyle w:val="Hyperlink"/>
                  <w:b/>
                  <w:bCs/>
                  <w:i/>
                  <w:iCs/>
                  <w:lang w:val="es-ES"/>
                </w:rPr>
                <w:t>Panorama general de la fiscalidad de los servicios digitales de 2025</w:t>
              </w:r>
            </w:hyperlink>
            <w:r w:rsidRPr="00E71B56">
              <w:rPr>
                <w:lang w:val="es-ES"/>
              </w:rPr>
              <w:t>, procuró desmitificar el complejo mundo de la fiscalidad de los servicios digitales, ofreciendo un análisis comparativo exhaustivo de los países y regiones. El estudio examina los impuestos aplicados a los operadores de la economía digital, así como los que afectan al consumo de los servicios digitales por parte de las empresas y los consumidores.</w:t>
            </w:r>
            <w:hyperlink r:id="rId191"/>
          </w:p>
          <w:p w14:paraId="1FC7F531" w14:textId="77777777" w:rsidR="00BD155E" w:rsidRPr="00E71B56" w:rsidRDefault="00BD155E" w:rsidP="00A372FB">
            <w:pPr>
              <w:rPr>
                <w:lang w:val="es-ES"/>
              </w:rPr>
            </w:pPr>
            <w:r w:rsidRPr="00E71B56">
              <w:rPr>
                <w:lang w:val="es-ES"/>
              </w:rPr>
              <w:t xml:space="preserve">En </w:t>
            </w:r>
            <w:r w:rsidRPr="00E71B56">
              <w:rPr>
                <w:b/>
                <w:bCs/>
                <w:lang w:val="es-ES"/>
              </w:rPr>
              <w:t>África</w:t>
            </w:r>
            <w:r w:rsidRPr="00E71B56">
              <w:rPr>
                <w:lang w:val="es-ES"/>
              </w:rPr>
              <w:t>, en un esfuerzo por crear capacidades y reforzar las capacidades de los Estados Miembros en materia de gestión del espectro y tecnologías incipientes, se han impartido talleres y cursos de formación en beneficio de más de 43 países en el marco del proyecto PRIDA (</w:t>
            </w:r>
            <w:r w:rsidRPr="00E71B56">
              <w:rPr>
                <w:b/>
                <w:bCs/>
                <w:lang w:val="es-ES"/>
              </w:rPr>
              <w:t>Angola</w:t>
            </w:r>
            <w:r w:rsidRPr="00E71B56">
              <w:rPr>
                <w:lang w:val="es-ES"/>
              </w:rPr>
              <w:t xml:space="preserve">, </w:t>
            </w:r>
            <w:r w:rsidRPr="00E71B56">
              <w:rPr>
                <w:b/>
                <w:bCs/>
                <w:lang w:val="es-ES"/>
              </w:rPr>
              <w:t>Benin</w:t>
            </w:r>
            <w:r w:rsidRPr="00E71B56">
              <w:rPr>
                <w:lang w:val="es-ES"/>
              </w:rPr>
              <w:t xml:space="preserve">, </w:t>
            </w:r>
            <w:r w:rsidRPr="00E71B56">
              <w:rPr>
                <w:b/>
                <w:bCs/>
                <w:lang w:val="es-ES"/>
              </w:rPr>
              <w:t>Botswana</w:t>
            </w:r>
            <w:r w:rsidRPr="00E71B56">
              <w:rPr>
                <w:lang w:val="es-ES"/>
              </w:rPr>
              <w:t xml:space="preserve">, </w:t>
            </w:r>
            <w:r w:rsidRPr="00E71B56">
              <w:rPr>
                <w:b/>
                <w:bCs/>
                <w:lang w:val="es-ES"/>
              </w:rPr>
              <w:t>Burkina Faso</w:t>
            </w:r>
            <w:r w:rsidRPr="00E71B56">
              <w:rPr>
                <w:lang w:val="es-ES"/>
              </w:rPr>
              <w:t xml:space="preserve">, </w:t>
            </w:r>
            <w:r w:rsidRPr="00E71B56">
              <w:rPr>
                <w:b/>
                <w:bCs/>
                <w:lang w:val="es-ES"/>
              </w:rPr>
              <w:t>Burundi</w:t>
            </w:r>
            <w:r w:rsidRPr="00E71B56">
              <w:rPr>
                <w:lang w:val="es-ES"/>
              </w:rPr>
              <w:t xml:space="preserve">, </w:t>
            </w:r>
            <w:r w:rsidRPr="00E71B56">
              <w:rPr>
                <w:b/>
                <w:bCs/>
                <w:lang w:val="es-ES"/>
              </w:rPr>
              <w:t>Cabo Verde</w:t>
            </w:r>
            <w:r w:rsidRPr="00E71B56">
              <w:rPr>
                <w:lang w:val="es-ES"/>
              </w:rPr>
              <w:t xml:space="preserve">, </w:t>
            </w:r>
            <w:r w:rsidRPr="00E71B56">
              <w:rPr>
                <w:b/>
                <w:bCs/>
                <w:lang w:val="es-ES"/>
              </w:rPr>
              <w:t>Camerún</w:t>
            </w:r>
            <w:r w:rsidRPr="00E71B56">
              <w:rPr>
                <w:lang w:val="es-ES"/>
              </w:rPr>
              <w:t xml:space="preserve">, </w:t>
            </w:r>
            <w:r w:rsidRPr="00E71B56">
              <w:rPr>
                <w:b/>
                <w:bCs/>
                <w:lang w:val="es-ES"/>
              </w:rPr>
              <w:t>República Centroafricana</w:t>
            </w:r>
            <w:r w:rsidRPr="00E71B56">
              <w:rPr>
                <w:lang w:val="es-ES"/>
              </w:rPr>
              <w:t xml:space="preserve">, </w:t>
            </w:r>
            <w:r w:rsidRPr="00E71B56">
              <w:rPr>
                <w:b/>
                <w:bCs/>
                <w:lang w:val="es-ES"/>
              </w:rPr>
              <w:t>Chad</w:t>
            </w:r>
            <w:r w:rsidRPr="00E71B56">
              <w:rPr>
                <w:lang w:val="es-ES"/>
              </w:rPr>
              <w:t xml:space="preserve">, </w:t>
            </w:r>
            <w:r w:rsidRPr="00E71B56">
              <w:rPr>
                <w:b/>
                <w:bCs/>
                <w:lang w:val="es-ES"/>
              </w:rPr>
              <w:t>República del Congo</w:t>
            </w:r>
            <w:r w:rsidRPr="00E71B56">
              <w:rPr>
                <w:lang w:val="es-ES"/>
              </w:rPr>
              <w:t xml:space="preserve">, </w:t>
            </w:r>
            <w:r w:rsidRPr="00E71B56">
              <w:rPr>
                <w:b/>
                <w:bCs/>
                <w:lang w:val="es-ES"/>
              </w:rPr>
              <w:t>Côte d'Ivoire</w:t>
            </w:r>
            <w:r w:rsidRPr="00E71B56">
              <w:rPr>
                <w:lang w:val="es-ES"/>
              </w:rPr>
              <w:t xml:space="preserve">, </w:t>
            </w:r>
            <w:r w:rsidRPr="00E71B56">
              <w:rPr>
                <w:b/>
                <w:bCs/>
                <w:lang w:val="es-ES"/>
              </w:rPr>
              <w:t>República Democrática del Congo</w:t>
            </w:r>
            <w:r w:rsidRPr="00E71B56">
              <w:rPr>
                <w:lang w:val="es-ES"/>
              </w:rPr>
              <w:t xml:space="preserve">, </w:t>
            </w:r>
            <w:r w:rsidRPr="00E71B56">
              <w:rPr>
                <w:b/>
                <w:bCs/>
                <w:lang w:val="es-ES"/>
              </w:rPr>
              <w:t>Guinea Ecuatorial</w:t>
            </w:r>
            <w:r w:rsidRPr="00E71B56">
              <w:rPr>
                <w:lang w:val="es-ES"/>
              </w:rPr>
              <w:t xml:space="preserve">, </w:t>
            </w:r>
            <w:r w:rsidRPr="00E71B56">
              <w:rPr>
                <w:b/>
                <w:bCs/>
                <w:lang w:val="es-ES"/>
              </w:rPr>
              <w:t>Eswatini</w:t>
            </w:r>
            <w:r w:rsidRPr="00E71B56">
              <w:rPr>
                <w:lang w:val="es-ES"/>
              </w:rPr>
              <w:t xml:space="preserve">, </w:t>
            </w:r>
            <w:r w:rsidRPr="00E71B56">
              <w:rPr>
                <w:b/>
                <w:bCs/>
                <w:lang w:val="es-ES"/>
              </w:rPr>
              <w:t>Etiopía</w:t>
            </w:r>
            <w:r w:rsidRPr="00E71B56">
              <w:rPr>
                <w:lang w:val="es-ES"/>
              </w:rPr>
              <w:t xml:space="preserve">, </w:t>
            </w:r>
            <w:r w:rsidRPr="00E71B56">
              <w:rPr>
                <w:b/>
                <w:bCs/>
                <w:lang w:val="es-ES"/>
              </w:rPr>
              <w:t>Gabón</w:t>
            </w:r>
            <w:r w:rsidRPr="00E71B56">
              <w:rPr>
                <w:lang w:val="es-ES"/>
              </w:rPr>
              <w:t xml:space="preserve">, </w:t>
            </w:r>
            <w:r w:rsidRPr="00E71B56">
              <w:rPr>
                <w:b/>
                <w:bCs/>
                <w:lang w:val="es-ES"/>
              </w:rPr>
              <w:t>Gambia</w:t>
            </w:r>
            <w:r w:rsidRPr="00E71B56">
              <w:rPr>
                <w:lang w:val="es-ES"/>
              </w:rPr>
              <w:t xml:space="preserve">, </w:t>
            </w:r>
            <w:r w:rsidRPr="00E71B56">
              <w:rPr>
                <w:b/>
                <w:bCs/>
                <w:lang w:val="es-ES"/>
              </w:rPr>
              <w:t>Ghana</w:t>
            </w:r>
            <w:r w:rsidRPr="00E71B56">
              <w:rPr>
                <w:lang w:val="es-ES"/>
              </w:rPr>
              <w:t xml:space="preserve">, </w:t>
            </w:r>
            <w:r w:rsidRPr="00E71B56">
              <w:rPr>
                <w:b/>
                <w:bCs/>
                <w:lang w:val="es-ES"/>
              </w:rPr>
              <w:t>Guinea</w:t>
            </w:r>
            <w:r w:rsidRPr="00E71B56">
              <w:rPr>
                <w:lang w:val="es-ES"/>
              </w:rPr>
              <w:t xml:space="preserve">, </w:t>
            </w:r>
            <w:r w:rsidRPr="00E71B56">
              <w:rPr>
                <w:b/>
                <w:bCs/>
                <w:lang w:val="es-ES"/>
              </w:rPr>
              <w:t>Guinea</w:t>
            </w:r>
            <w:r w:rsidRPr="00E71B56">
              <w:rPr>
                <w:b/>
                <w:bCs/>
                <w:lang w:val="es-ES"/>
              </w:rPr>
              <w:noBreakHyphen/>
              <w:t>Bissau</w:t>
            </w:r>
            <w:r w:rsidRPr="00E71B56">
              <w:rPr>
                <w:lang w:val="es-ES"/>
              </w:rPr>
              <w:t xml:space="preserve">, </w:t>
            </w:r>
            <w:r w:rsidRPr="00E71B56">
              <w:rPr>
                <w:b/>
                <w:bCs/>
                <w:lang w:val="es-ES"/>
              </w:rPr>
              <w:t>Kenya</w:t>
            </w:r>
            <w:r w:rsidRPr="00E71B56">
              <w:rPr>
                <w:lang w:val="es-ES"/>
              </w:rPr>
              <w:t xml:space="preserve">, </w:t>
            </w:r>
            <w:r w:rsidRPr="00E71B56">
              <w:rPr>
                <w:b/>
                <w:bCs/>
                <w:lang w:val="es-ES"/>
              </w:rPr>
              <w:t>Lesotho</w:t>
            </w:r>
            <w:r w:rsidRPr="00E71B56">
              <w:rPr>
                <w:lang w:val="es-ES"/>
              </w:rPr>
              <w:t xml:space="preserve">, </w:t>
            </w:r>
            <w:r w:rsidRPr="00E71B56">
              <w:rPr>
                <w:b/>
                <w:bCs/>
                <w:lang w:val="es-ES"/>
              </w:rPr>
              <w:t>Liberia</w:t>
            </w:r>
            <w:r w:rsidRPr="00E71B56">
              <w:rPr>
                <w:lang w:val="es-ES"/>
              </w:rPr>
              <w:t xml:space="preserve">, </w:t>
            </w:r>
            <w:r w:rsidRPr="00E71B56">
              <w:rPr>
                <w:b/>
                <w:bCs/>
                <w:lang w:val="es-ES"/>
              </w:rPr>
              <w:t>Madagascar</w:t>
            </w:r>
            <w:r w:rsidRPr="00E71B56">
              <w:rPr>
                <w:lang w:val="es-ES"/>
              </w:rPr>
              <w:t xml:space="preserve">, </w:t>
            </w:r>
            <w:r w:rsidRPr="00E71B56">
              <w:rPr>
                <w:b/>
                <w:bCs/>
                <w:lang w:val="es-ES"/>
              </w:rPr>
              <w:t>Malawi</w:t>
            </w:r>
            <w:r w:rsidRPr="00E71B56">
              <w:rPr>
                <w:lang w:val="es-ES"/>
              </w:rPr>
              <w:t xml:space="preserve">, </w:t>
            </w:r>
            <w:r w:rsidRPr="00E71B56">
              <w:rPr>
                <w:b/>
                <w:bCs/>
                <w:lang w:val="es-ES"/>
              </w:rPr>
              <w:t>Malí</w:t>
            </w:r>
            <w:r w:rsidRPr="00E71B56">
              <w:rPr>
                <w:lang w:val="es-ES"/>
              </w:rPr>
              <w:t xml:space="preserve">, </w:t>
            </w:r>
            <w:r w:rsidRPr="00E71B56">
              <w:rPr>
                <w:b/>
                <w:bCs/>
                <w:lang w:val="es-ES"/>
              </w:rPr>
              <w:t>Mauricio</w:t>
            </w:r>
            <w:r w:rsidRPr="00E71B56">
              <w:rPr>
                <w:lang w:val="es-ES"/>
              </w:rPr>
              <w:t xml:space="preserve">, </w:t>
            </w:r>
            <w:r w:rsidRPr="00E71B56">
              <w:rPr>
                <w:b/>
                <w:bCs/>
                <w:lang w:val="es-ES"/>
              </w:rPr>
              <w:t>Mozambique</w:t>
            </w:r>
            <w:r w:rsidRPr="00E71B56">
              <w:rPr>
                <w:lang w:val="es-ES"/>
              </w:rPr>
              <w:t xml:space="preserve">, </w:t>
            </w:r>
            <w:r w:rsidRPr="00E71B56">
              <w:rPr>
                <w:b/>
                <w:bCs/>
                <w:lang w:val="es-ES"/>
              </w:rPr>
              <w:t>Namibia</w:t>
            </w:r>
            <w:r w:rsidRPr="00E71B56">
              <w:rPr>
                <w:lang w:val="es-ES"/>
              </w:rPr>
              <w:t xml:space="preserve">, </w:t>
            </w:r>
            <w:r w:rsidRPr="00E71B56">
              <w:rPr>
                <w:b/>
                <w:bCs/>
                <w:lang w:val="es-ES"/>
              </w:rPr>
              <w:t>Nigeria</w:t>
            </w:r>
            <w:r w:rsidRPr="00E71B56">
              <w:rPr>
                <w:lang w:val="es-ES"/>
              </w:rPr>
              <w:t xml:space="preserve">, </w:t>
            </w:r>
            <w:r w:rsidRPr="00E71B56">
              <w:rPr>
                <w:b/>
                <w:bCs/>
                <w:lang w:val="es-ES"/>
              </w:rPr>
              <w:t>Níger</w:t>
            </w:r>
            <w:r w:rsidRPr="00E71B56">
              <w:rPr>
                <w:lang w:val="es-ES"/>
              </w:rPr>
              <w:t xml:space="preserve">, </w:t>
            </w:r>
            <w:r w:rsidRPr="00E71B56">
              <w:rPr>
                <w:b/>
                <w:bCs/>
                <w:lang w:val="es-ES"/>
              </w:rPr>
              <w:t>Rwanda</w:t>
            </w:r>
            <w:r w:rsidRPr="00E71B56">
              <w:rPr>
                <w:lang w:val="es-ES"/>
              </w:rPr>
              <w:t xml:space="preserve">, </w:t>
            </w:r>
            <w:r w:rsidRPr="00E71B56">
              <w:rPr>
                <w:b/>
                <w:bCs/>
                <w:lang w:val="es-ES"/>
              </w:rPr>
              <w:t>Santo Tomé y Príncipe</w:t>
            </w:r>
            <w:r w:rsidRPr="00E71B56">
              <w:rPr>
                <w:lang w:val="es-ES"/>
              </w:rPr>
              <w:t xml:space="preserve">, </w:t>
            </w:r>
            <w:r w:rsidRPr="00E71B56">
              <w:rPr>
                <w:b/>
                <w:bCs/>
                <w:lang w:val="es-ES"/>
              </w:rPr>
              <w:t>Senegal</w:t>
            </w:r>
            <w:r w:rsidRPr="00E71B56">
              <w:rPr>
                <w:lang w:val="es-ES"/>
              </w:rPr>
              <w:t xml:space="preserve">, </w:t>
            </w:r>
            <w:r w:rsidRPr="00E71B56">
              <w:rPr>
                <w:b/>
                <w:bCs/>
                <w:lang w:val="es-ES"/>
              </w:rPr>
              <w:t>Seychelles</w:t>
            </w:r>
            <w:r w:rsidRPr="00E71B56">
              <w:rPr>
                <w:lang w:val="es-ES"/>
              </w:rPr>
              <w:t xml:space="preserve">, </w:t>
            </w:r>
            <w:r w:rsidRPr="00E71B56">
              <w:rPr>
                <w:b/>
                <w:bCs/>
                <w:lang w:val="es-ES"/>
              </w:rPr>
              <w:t>Sierra Leona</w:t>
            </w:r>
            <w:r w:rsidRPr="00E71B56">
              <w:rPr>
                <w:lang w:val="es-ES"/>
              </w:rPr>
              <w:t xml:space="preserve">, </w:t>
            </w:r>
            <w:r w:rsidRPr="00E71B56">
              <w:rPr>
                <w:b/>
                <w:bCs/>
                <w:lang w:val="es-ES"/>
              </w:rPr>
              <w:t>Sudáfrica</w:t>
            </w:r>
            <w:r w:rsidRPr="00E71B56">
              <w:rPr>
                <w:lang w:val="es-ES"/>
              </w:rPr>
              <w:t xml:space="preserve">, </w:t>
            </w:r>
            <w:r w:rsidRPr="00E71B56">
              <w:rPr>
                <w:b/>
                <w:bCs/>
                <w:lang w:val="es-ES"/>
              </w:rPr>
              <w:t>Sudán del Sur</w:t>
            </w:r>
            <w:r w:rsidRPr="00E71B56">
              <w:rPr>
                <w:lang w:val="es-ES"/>
              </w:rPr>
              <w:t xml:space="preserve">, </w:t>
            </w:r>
            <w:r w:rsidRPr="00E71B56">
              <w:rPr>
                <w:b/>
                <w:bCs/>
                <w:lang w:val="es-ES"/>
              </w:rPr>
              <w:t>Tanzanía</w:t>
            </w:r>
            <w:r w:rsidRPr="00E71B56">
              <w:rPr>
                <w:lang w:val="es-ES"/>
              </w:rPr>
              <w:t xml:space="preserve">, </w:t>
            </w:r>
            <w:r w:rsidRPr="00E71B56">
              <w:rPr>
                <w:b/>
                <w:bCs/>
                <w:lang w:val="es-ES"/>
              </w:rPr>
              <w:t>Togo</w:t>
            </w:r>
            <w:r w:rsidRPr="00E71B56">
              <w:rPr>
                <w:lang w:val="es-ES"/>
              </w:rPr>
              <w:t xml:space="preserve">, </w:t>
            </w:r>
            <w:r w:rsidRPr="00E71B56">
              <w:rPr>
                <w:b/>
                <w:bCs/>
                <w:lang w:val="es-ES"/>
              </w:rPr>
              <w:t>Uganda</w:t>
            </w:r>
            <w:r w:rsidRPr="00E71B56">
              <w:rPr>
                <w:lang w:val="es-ES"/>
              </w:rPr>
              <w:t xml:space="preserve">, </w:t>
            </w:r>
            <w:r w:rsidRPr="00E71B56">
              <w:rPr>
                <w:b/>
                <w:bCs/>
                <w:lang w:val="es-ES"/>
              </w:rPr>
              <w:t xml:space="preserve">Zambia </w:t>
            </w:r>
            <w:r w:rsidRPr="00E71B56">
              <w:rPr>
                <w:lang w:val="es-ES"/>
              </w:rPr>
              <w:t>y</w:t>
            </w:r>
            <w:r w:rsidRPr="00E71B56">
              <w:rPr>
                <w:b/>
                <w:bCs/>
                <w:lang w:val="es-ES"/>
              </w:rPr>
              <w:t xml:space="preserve"> Zimbabwe</w:t>
            </w:r>
            <w:r w:rsidRPr="00E71B56">
              <w:rPr>
                <w:lang w:val="es-ES"/>
              </w:rPr>
              <w:t xml:space="preserve">). Nueve países de la región de los Estados Árabes participaron en las actividades, a saber: </w:t>
            </w:r>
            <w:r w:rsidRPr="00E71B56">
              <w:rPr>
                <w:b/>
                <w:bCs/>
                <w:lang w:val="es-ES"/>
              </w:rPr>
              <w:t>Argelia</w:t>
            </w:r>
            <w:r w:rsidRPr="00E71B56">
              <w:rPr>
                <w:lang w:val="es-ES"/>
              </w:rPr>
              <w:t xml:space="preserve">, </w:t>
            </w:r>
            <w:r w:rsidRPr="00E71B56">
              <w:rPr>
                <w:b/>
                <w:bCs/>
                <w:lang w:val="es-ES"/>
              </w:rPr>
              <w:t>Comoras</w:t>
            </w:r>
            <w:r w:rsidRPr="00E71B56">
              <w:rPr>
                <w:lang w:val="es-ES"/>
              </w:rPr>
              <w:t xml:space="preserve">, </w:t>
            </w:r>
            <w:r w:rsidRPr="00E71B56">
              <w:rPr>
                <w:b/>
                <w:bCs/>
                <w:lang w:val="es-ES"/>
              </w:rPr>
              <w:t>Djibouti</w:t>
            </w:r>
            <w:r w:rsidRPr="00E71B56">
              <w:rPr>
                <w:lang w:val="es-ES"/>
              </w:rPr>
              <w:t xml:space="preserve">, </w:t>
            </w:r>
            <w:r w:rsidRPr="00E71B56">
              <w:rPr>
                <w:b/>
                <w:bCs/>
                <w:lang w:val="es-ES"/>
              </w:rPr>
              <w:t>Egipto</w:t>
            </w:r>
            <w:r w:rsidRPr="00E71B56">
              <w:rPr>
                <w:lang w:val="es-ES"/>
              </w:rPr>
              <w:t xml:space="preserve">, </w:t>
            </w:r>
            <w:r w:rsidRPr="00E71B56">
              <w:rPr>
                <w:b/>
                <w:bCs/>
                <w:lang w:val="es-ES"/>
              </w:rPr>
              <w:t>Libia</w:t>
            </w:r>
            <w:r w:rsidRPr="00E71B56">
              <w:rPr>
                <w:lang w:val="es-ES"/>
              </w:rPr>
              <w:t xml:space="preserve">, </w:t>
            </w:r>
            <w:r w:rsidRPr="00E71B56">
              <w:rPr>
                <w:b/>
                <w:bCs/>
                <w:lang w:val="es-ES"/>
              </w:rPr>
              <w:t>Mauritania</w:t>
            </w:r>
            <w:r w:rsidRPr="00E71B56">
              <w:rPr>
                <w:lang w:val="es-ES"/>
              </w:rPr>
              <w:t xml:space="preserve">, </w:t>
            </w:r>
            <w:r w:rsidRPr="00E71B56">
              <w:rPr>
                <w:b/>
                <w:bCs/>
                <w:lang w:val="es-ES"/>
              </w:rPr>
              <w:t>Marruecos</w:t>
            </w:r>
            <w:r w:rsidRPr="00E71B56">
              <w:rPr>
                <w:lang w:val="es-ES"/>
              </w:rPr>
              <w:t xml:space="preserve">, </w:t>
            </w:r>
            <w:r w:rsidRPr="00E71B56">
              <w:rPr>
                <w:b/>
                <w:bCs/>
                <w:lang w:val="es-ES"/>
              </w:rPr>
              <w:t xml:space="preserve">Somalia </w:t>
            </w:r>
            <w:r w:rsidRPr="00E71B56">
              <w:rPr>
                <w:lang w:val="es-ES"/>
              </w:rPr>
              <w:t>y</w:t>
            </w:r>
            <w:r w:rsidRPr="00E71B56">
              <w:rPr>
                <w:b/>
                <w:bCs/>
                <w:lang w:val="es-ES"/>
              </w:rPr>
              <w:t xml:space="preserve"> Sudán.</w:t>
            </w:r>
            <w:r w:rsidRPr="00E71B56">
              <w:rPr>
                <w:lang w:val="es-ES"/>
              </w:rPr>
              <w:t xml:space="preserve"> En el marco del proyecto PRIDA, 20 países recibieron asistencia técnica. En este contexto, se ha impartido formación sobre gestión del espectro para países en desarrollo, servicios de comunicaciones aeronáuticas y marítimas, banda ancha por satélite y normas relativas a las redes radioeléctricas de área local, </w:t>
            </w:r>
            <w:r w:rsidRPr="00E71B56">
              <w:rPr>
                <w:lang w:val="es-ES"/>
              </w:rPr>
              <w:lastRenderedPageBreak/>
              <w:t>planificación empresarial para el desarrollo de redes de banda ancha, aspectos del espectro relacionados con la IoT y una formación específica sobre gestión del espectro para mujeres jóvenes.</w:t>
            </w:r>
          </w:p>
          <w:p w14:paraId="55160E00" w14:textId="77777777" w:rsidR="00BD155E" w:rsidRPr="00E71B56" w:rsidRDefault="00BD155E" w:rsidP="00A372FB">
            <w:pPr>
              <w:rPr>
                <w:bCs/>
                <w:lang w:val="es-ES"/>
              </w:rPr>
            </w:pPr>
            <w:r w:rsidRPr="00E71B56">
              <w:rPr>
                <w:lang w:val="es-ES"/>
              </w:rPr>
              <w:t xml:space="preserve">En la </w:t>
            </w:r>
            <w:r w:rsidRPr="00E71B56">
              <w:rPr>
                <w:b/>
                <w:bCs/>
                <w:lang w:val="es-ES"/>
              </w:rPr>
              <w:t>región de Asia-Pacífico</w:t>
            </w:r>
            <w:r w:rsidRPr="00E71B56">
              <w:rPr>
                <w:lang w:val="es-ES"/>
              </w:rPr>
              <w:t xml:space="preserve">, la BDT siguió prestando asistencia técnica específica y apoyo para la creación de capacidad a sus Estados Miembros de la región, impulsando la transformación digital inclusiva por conducto de intervenciones políticas, reglamentarias y estratégicas adaptadas. Orientados por las Iniciativas Regionales para la ASP (IR), en particular la IR 1 </w:t>
            </w:r>
            <w:r w:rsidRPr="00E71B56">
              <w:rPr>
                <w:i/>
                <w:iCs/>
                <w:lang w:val="es-ES"/>
              </w:rPr>
              <w:t>Hacer frente a las necesidades especiales de los PMA, los PEID, los países insulares del Pacífico y los PDSL</w:t>
            </w:r>
            <w:r w:rsidRPr="00E71B56">
              <w:rPr>
                <w:lang w:val="es-ES"/>
              </w:rPr>
              <w:t xml:space="preserve">, y la IR 4 </w:t>
            </w:r>
            <w:r w:rsidRPr="00E71B56">
              <w:rPr>
                <w:i/>
                <w:iCs/>
                <w:lang w:val="es-ES"/>
              </w:rPr>
              <w:t xml:space="preserve">Crear entornos políticos y reglamentarios propicios para acelerar la transformación digital, </w:t>
            </w:r>
            <w:r w:rsidRPr="00E71B56">
              <w:rPr>
                <w:lang w:val="es-ES"/>
              </w:rPr>
              <w:t>estos esfuerzos se centraron en reducir las brechas digitales fortaleciendo los marcos políticos y reglamentarios e impulsando los objetivos estratégicos de la UIT.</w:t>
            </w:r>
          </w:p>
          <w:p w14:paraId="4A23EE7D" w14:textId="77777777" w:rsidR="00BD155E" w:rsidRPr="00E71B56" w:rsidRDefault="00BD155E" w:rsidP="00A372FB">
            <w:pPr>
              <w:rPr>
                <w:bCs/>
                <w:lang w:val="es-ES"/>
              </w:rPr>
            </w:pPr>
            <w:r w:rsidRPr="00E71B56">
              <w:rPr>
                <w:lang w:val="es-ES"/>
              </w:rPr>
              <w:t xml:space="preserve">Entre 2024 y 2025, la BDT prestó apoyo a </w:t>
            </w:r>
            <w:r w:rsidRPr="00E71B56">
              <w:rPr>
                <w:b/>
                <w:bCs/>
                <w:lang w:val="es-ES"/>
              </w:rPr>
              <w:t>Fiji</w:t>
            </w:r>
            <w:r w:rsidRPr="00E71B56">
              <w:rPr>
                <w:lang w:val="es-ES"/>
              </w:rPr>
              <w:t xml:space="preserve">, </w:t>
            </w:r>
            <w:r w:rsidRPr="00E71B56">
              <w:rPr>
                <w:b/>
                <w:bCs/>
                <w:lang w:val="es-ES"/>
              </w:rPr>
              <w:t>Kiribati</w:t>
            </w:r>
            <w:r w:rsidRPr="00E71B56">
              <w:rPr>
                <w:lang w:val="es-ES"/>
              </w:rPr>
              <w:t xml:space="preserve">, </w:t>
            </w:r>
            <w:r w:rsidRPr="00E71B56">
              <w:rPr>
                <w:b/>
                <w:bCs/>
                <w:lang w:val="es-ES"/>
              </w:rPr>
              <w:t>Micronesia</w:t>
            </w:r>
            <w:r w:rsidRPr="00E71B56">
              <w:rPr>
                <w:lang w:val="es-ES"/>
              </w:rPr>
              <w:t xml:space="preserve">, </w:t>
            </w:r>
            <w:r w:rsidRPr="00E71B56">
              <w:rPr>
                <w:b/>
                <w:bCs/>
                <w:lang w:val="es-ES"/>
              </w:rPr>
              <w:t>Nauru</w:t>
            </w:r>
            <w:r w:rsidRPr="00E71B56">
              <w:rPr>
                <w:lang w:val="es-ES"/>
              </w:rPr>
              <w:t xml:space="preserve"> y las </w:t>
            </w:r>
            <w:r w:rsidRPr="00E71B56">
              <w:rPr>
                <w:b/>
                <w:bCs/>
                <w:lang w:val="es-ES"/>
              </w:rPr>
              <w:t>Islas Salomón</w:t>
            </w:r>
            <w:r w:rsidRPr="00E71B56">
              <w:rPr>
                <w:lang w:val="es-ES"/>
              </w:rPr>
              <w:t xml:space="preserve"> para formular las Estrategias Digitales Nacionales, con financiación del Fondo Conjunto para los ODS, mientras que </w:t>
            </w:r>
            <w:r w:rsidRPr="00E71B56">
              <w:rPr>
                <w:b/>
                <w:bCs/>
                <w:lang w:val="es-ES"/>
              </w:rPr>
              <w:t xml:space="preserve">Vanuatu </w:t>
            </w:r>
            <w:r w:rsidRPr="00E71B56">
              <w:rPr>
                <w:lang w:val="es-ES"/>
              </w:rPr>
              <w:t xml:space="preserve">recibió asistencia para preparar un Plan Maestro en asociación con el Departamento de Infraestructura, Transporte, Desarrollo Regional, Comunicaciones, Deportes y Artes (DITRDCSA) de Australia y el Departamento de Asuntos Exteriores y Comercio (DFAT). </w:t>
            </w:r>
            <w:r w:rsidRPr="00E71B56">
              <w:rPr>
                <w:b/>
                <w:bCs/>
                <w:lang w:val="es-ES"/>
              </w:rPr>
              <w:t>Fiji</w:t>
            </w:r>
            <w:r w:rsidRPr="00E71B56">
              <w:rPr>
                <w:lang w:val="es-ES"/>
              </w:rPr>
              <w:t xml:space="preserve"> y </w:t>
            </w:r>
            <w:r w:rsidRPr="00E71B56">
              <w:rPr>
                <w:b/>
                <w:bCs/>
                <w:lang w:val="es-ES"/>
              </w:rPr>
              <w:t>Nauru</w:t>
            </w:r>
            <w:r w:rsidRPr="00E71B56">
              <w:rPr>
                <w:lang w:val="es-ES"/>
              </w:rPr>
              <w:t xml:space="preserve"> adoptaron sus estrategias digitales nacionales, marcando hitos clave en el gobierno digital. En la </w:t>
            </w:r>
            <w:r w:rsidRPr="00E71B56">
              <w:rPr>
                <w:b/>
                <w:bCs/>
                <w:lang w:val="es-ES"/>
              </w:rPr>
              <w:t>R.D.P. Lao</w:t>
            </w:r>
            <w:r w:rsidRPr="00E71B56">
              <w:rPr>
                <w:lang w:val="es-ES"/>
              </w:rPr>
              <w:t>, la BDT prestó asistencia técnica para la Estrategia de Desarrollo de las Telecomunicaciones e Internet (2026</w:t>
            </w:r>
            <w:r w:rsidRPr="00E71B56">
              <w:rPr>
                <w:lang w:val="es-ES"/>
              </w:rPr>
              <w:noBreakHyphen/>
              <w:t xml:space="preserve">2040) con un plan de trabajo de apoyo, mientras que </w:t>
            </w:r>
            <w:r w:rsidRPr="00E71B56">
              <w:rPr>
                <w:b/>
                <w:bCs/>
                <w:lang w:val="es-ES"/>
              </w:rPr>
              <w:t>Tonga</w:t>
            </w:r>
            <w:r w:rsidRPr="00E71B56">
              <w:rPr>
                <w:lang w:val="es-ES"/>
              </w:rPr>
              <w:t xml:space="preserve"> recibió una nota de políticas sobre las deficiencias y oportunidades de la transformación digital, que se está trasladando actualmente a la etapa de implementación. Otra ayuda prestada por la BDT fue la asistencia técnica a </w:t>
            </w:r>
            <w:r w:rsidRPr="00E71B56">
              <w:rPr>
                <w:b/>
                <w:bCs/>
                <w:lang w:val="es-ES"/>
              </w:rPr>
              <w:t xml:space="preserve">Vanuatu </w:t>
            </w:r>
            <w:r w:rsidRPr="00E71B56">
              <w:rPr>
                <w:lang w:val="es-ES"/>
              </w:rPr>
              <w:t xml:space="preserve">sobre la compartición de infraestructuras, y los servicios universales en 2024. Además, en noviembre de 2023, con el apoyo del FCDO (Reino Unido), la BDT organizó la Formación sobre redes comunitarias y herramientas para la eficiencia de las obligaciones del servicio universal (USO 2.0) en </w:t>
            </w:r>
            <w:r w:rsidRPr="00E71B56">
              <w:rPr>
                <w:b/>
                <w:bCs/>
                <w:lang w:val="es-ES"/>
              </w:rPr>
              <w:t>Indonesia</w:t>
            </w:r>
            <w:r w:rsidRPr="00E71B56">
              <w:rPr>
                <w:lang w:val="es-ES"/>
              </w:rPr>
              <w:t>, dotando a los equipos encargados de las obligaciones del servicio universal de la capacidad para fortalecer los marcos del servicio universal y ampliar la conectividad hasta las zonas insuficientemente atendidas.</w:t>
            </w:r>
          </w:p>
          <w:p w14:paraId="5F811F1B" w14:textId="77777777" w:rsidR="00BD155E" w:rsidRPr="00E71B56" w:rsidRDefault="00BD155E" w:rsidP="00A372FB">
            <w:pPr>
              <w:rPr>
                <w:bCs/>
                <w:lang w:val="es-ES"/>
              </w:rPr>
            </w:pPr>
            <w:r w:rsidRPr="00E71B56">
              <w:rPr>
                <w:lang w:val="es-ES"/>
              </w:rPr>
              <w:t xml:space="preserve">A nivel regional, la UIT se asoció con </w:t>
            </w:r>
            <w:r w:rsidRPr="00E71B56">
              <w:rPr>
                <w:b/>
                <w:lang w:val="es-ES"/>
              </w:rPr>
              <w:t>Malasia</w:t>
            </w:r>
            <w:r w:rsidRPr="00E71B56">
              <w:rPr>
                <w:lang w:val="es-ES"/>
              </w:rPr>
              <w:t xml:space="preserve"> para llevar a cabo </w:t>
            </w:r>
            <w:hyperlink r:id="rId192" w:history="1">
              <w:r w:rsidRPr="00E71B56">
                <w:rPr>
                  <w:rStyle w:val="Hyperlink"/>
                  <w:lang w:val="es-ES"/>
                </w:rPr>
                <w:t>una evaluación en toda la región de la ASEAN sobre el nivel de preparación para la transformación digital de cara al Plan Maestro Digital de la ASEAN de 2025</w:t>
              </w:r>
            </w:hyperlink>
            <w:r w:rsidRPr="00E71B56">
              <w:rPr>
                <w:lang w:val="es-ES"/>
              </w:rPr>
              <w:t xml:space="preserve">, que también incluyó un </w:t>
            </w:r>
            <w:r w:rsidRPr="00E71B56">
              <w:rPr>
                <w:b/>
                <w:bCs/>
                <w:lang w:val="es-ES"/>
              </w:rPr>
              <w:t>plan de acción regional para la armonización reglamentaria.</w:t>
            </w:r>
            <w:r w:rsidRPr="00E71B56">
              <w:rPr>
                <w:lang w:val="es-ES"/>
              </w:rPr>
              <w:t xml:space="preserve"> La UIT organizó también una serie de webinarios regionales en tres sesiones, de marzo a abril de 2024, sobre el </w:t>
            </w:r>
            <w:r w:rsidRPr="00E71B56">
              <w:rPr>
                <w:lang w:val="es-ES"/>
              </w:rPr>
              <w:lastRenderedPageBreak/>
              <w:t xml:space="preserve">despliegue de la 5G y los servicios, coorganizada con </w:t>
            </w:r>
            <w:r w:rsidRPr="00E71B56">
              <w:rPr>
                <w:b/>
                <w:bCs/>
                <w:lang w:val="es-ES"/>
              </w:rPr>
              <w:t>Camboya</w:t>
            </w:r>
            <w:r w:rsidRPr="00E71B56">
              <w:rPr>
                <w:lang w:val="es-ES"/>
              </w:rPr>
              <w:t xml:space="preserve">, </w:t>
            </w:r>
            <w:r w:rsidRPr="00E71B56">
              <w:rPr>
                <w:b/>
                <w:bCs/>
                <w:lang w:val="es-ES"/>
              </w:rPr>
              <w:t xml:space="preserve">China </w:t>
            </w:r>
            <w:r w:rsidRPr="00E71B56">
              <w:rPr>
                <w:lang w:val="es-ES"/>
              </w:rPr>
              <w:t>y la</w:t>
            </w:r>
            <w:r w:rsidRPr="00E71B56">
              <w:rPr>
                <w:b/>
                <w:bCs/>
                <w:lang w:val="es-ES"/>
              </w:rPr>
              <w:t xml:space="preserve"> India</w:t>
            </w:r>
            <w:r w:rsidRPr="00E71B56">
              <w:rPr>
                <w:lang w:val="es-ES"/>
              </w:rPr>
              <w:t xml:space="preserve">, en la que participaron responsables de formular políticas de 18 Estados Miembros. Más recientemente en septiembre de 2025, la BDT puso en marcha una Formación Subregional sobre Reglamentación de la Transformación Digital en </w:t>
            </w:r>
            <w:r w:rsidRPr="00E71B56">
              <w:rPr>
                <w:b/>
                <w:bCs/>
                <w:lang w:val="es-ES"/>
              </w:rPr>
              <w:t>Indonesia</w:t>
            </w:r>
            <w:r w:rsidRPr="00E71B56">
              <w:rPr>
                <w:lang w:val="es-ES"/>
              </w:rPr>
              <w:t xml:space="preserve">, con la participación de seis países de la región de Asia Sudoriental respaldados por el FCDO (Reino Unido) el Ministerio de Ciencia y TIC (República de Corea) y KomDigi (Indonesia). Como complemento de estos esfuerzos, la BDT creó el </w:t>
            </w:r>
            <w:hyperlink r:id="rId193" w:history="1">
              <w:r w:rsidRPr="00E71B56">
                <w:rPr>
                  <w:rStyle w:val="Hyperlink"/>
                  <w:lang w:val="es-ES"/>
                </w:rPr>
                <w:t>repositorio de políticas de Asia-Pacífico</w:t>
              </w:r>
            </w:hyperlink>
            <w:r w:rsidRPr="00E71B56">
              <w:rPr>
                <w:lang w:val="es-ES"/>
              </w:rPr>
              <w:t xml:space="preserve"> como una herramienta que ofrece una visión rápida del panorama político y reglamentario de la región de Asia</w:t>
            </w:r>
            <w:r w:rsidRPr="00E71B56">
              <w:rPr>
                <w:lang w:val="es-ES"/>
              </w:rPr>
              <w:noBreakHyphen/>
              <w:t>Pacífico para promover la colaboración. Además, la BDT colaboró con la ASEAN para formalizar el Marco de la UIT y la ASEAN sobre las Esferas de Cooperación Prioritarias (2024-2026), fortaleciendo aún más la cooperación regional y el intercambio de conocimientos.</w:t>
            </w:r>
            <w:hyperlink r:id="rId194" w:history="1"/>
            <w:hyperlink r:id="rId195"/>
          </w:p>
          <w:p w14:paraId="779325A6" w14:textId="77777777" w:rsidR="00BD155E" w:rsidRPr="00E71B56" w:rsidRDefault="00BD155E" w:rsidP="00A372FB">
            <w:pPr>
              <w:rPr>
                <w:lang w:val="es-ES"/>
              </w:rPr>
            </w:pPr>
            <w:r w:rsidRPr="00E71B56">
              <w:rPr>
                <w:lang w:val="es-ES"/>
              </w:rPr>
              <w:t xml:space="preserve">En la </w:t>
            </w:r>
            <w:r w:rsidRPr="00E71B56">
              <w:rPr>
                <w:b/>
                <w:bCs/>
                <w:lang w:val="es-ES"/>
              </w:rPr>
              <w:t>región de las Américas</w:t>
            </w:r>
            <w:r w:rsidRPr="00E71B56">
              <w:rPr>
                <w:lang w:val="es-ES"/>
              </w:rPr>
              <w:t xml:space="preserve">, la labor de la BDT puso de manifiesto la integración de los marcos reglamentarios con la inclusión digital y las estrategias de inversión. Uno de los éxitos fundamentales fue el ejercicio de establecimiento de modelos de costes de la banda ancha en </w:t>
            </w:r>
            <w:r w:rsidRPr="00E71B56">
              <w:rPr>
                <w:b/>
                <w:bCs/>
                <w:lang w:val="es-ES"/>
              </w:rPr>
              <w:t xml:space="preserve">Brasil </w:t>
            </w:r>
            <w:r w:rsidRPr="00E71B56">
              <w:rPr>
                <w:lang w:val="es-ES"/>
              </w:rPr>
              <w:t xml:space="preserve">llevado a cabo por la BDT. Los resultados mejoraron los conocimientos de la política nacional sobre los servicios mayoristas de acceso y la asequibilidad. En </w:t>
            </w:r>
            <w:r w:rsidRPr="00E71B56">
              <w:rPr>
                <w:b/>
                <w:bCs/>
                <w:lang w:val="es-ES"/>
              </w:rPr>
              <w:t>Colombia</w:t>
            </w:r>
            <w:r w:rsidRPr="00E71B56">
              <w:rPr>
                <w:lang w:val="es-ES"/>
              </w:rPr>
              <w:t xml:space="preserve">, la BDT está prestando asistencia técnica al país en relación con la actualización del plan general para el cese de las emisiones de televisión analógica y el acceso universal a la televisión digital terrenal. Se prestó asistencia técnica al </w:t>
            </w:r>
            <w:r w:rsidRPr="00E71B56">
              <w:rPr>
                <w:b/>
                <w:bCs/>
                <w:lang w:val="es-ES"/>
              </w:rPr>
              <w:t xml:space="preserve">Gobierno de Honduras </w:t>
            </w:r>
            <w:r w:rsidRPr="00E71B56">
              <w:rPr>
                <w:lang w:val="es-ES"/>
              </w:rPr>
              <w:t xml:space="preserve">para elaborar una nueva ley de telecomunicaciones, que se presentó oficialmente en septiembre de 2024. De manera análoga, se prestó asistencia técnica a </w:t>
            </w:r>
            <w:r w:rsidRPr="00E71B56">
              <w:rPr>
                <w:b/>
                <w:bCs/>
                <w:lang w:val="es-ES"/>
              </w:rPr>
              <w:t xml:space="preserve">Paraguay </w:t>
            </w:r>
            <w:r w:rsidRPr="00E71B56">
              <w:rPr>
                <w:lang w:val="es-ES"/>
              </w:rPr>
              <w:t xml:space="preserve">respecto de la implementación de metodologías de análisis del impacto reglamentario. El Proyecto de Implementación de Mecanismos para la Innovación Reglamentaria se está llevando a cabo en siete países, a saber, </w:t>
            </w:r>
            <w:r w:rsidRPr="00E71B56">
              <w:rPr>
                <w:b/>
                <w:bCs/>
                <w:lang w:val="es-ES"/>
              </w:rPr>
              <w:t>Belice</w:t>
            </w:r>
            <w:r w:rsidRPr="00E71B56">
              <w:rPr>
                <w:lang w:val="es-ES"/>
              </w:rPr>
              <w:t xml:space="preserve">, </w:t>
            </w:r>
            <w:r w:rsidRPr="00E71B56">
              <w:rPr>
                <w:b/>
                <w:bCs/>
                <w:lang w:val="es-ES"/>
              </w:rPr>
              <w:t>Costa Rica</w:t>
            </w:r>
            <w:r w:rsidRPr="00E71B56">
              <w:rPr>
                <w:lang w:val="es-ES"/>
              </w:rPr>
              <w:t>, la</w:t>
            </w:r>
            <w:r w:rsidRPr="00E71B56">
              <w:rPr>
                <w:b/>
                <w:bCs/>
                <w:lang w:val="es-ES"/>
              </w:rPr>
              <w:t xml:space="preserve"> República Dominicana</w:t>
            </w:r>
            <w:r w:rsidRPr="00E71B56">
              <w:rPr>
                <w:lang w:val="es-ES"/>
              </w:rPr>
              <w:t xml:space="preserve">, </w:t>
            </w:r>
            <w:r w:rsidRPr="00E71B56">
              <w:rPr>
                <w:b/>
                <w:bCs/>
                <w:lang w:val="es-ES"/>
              </w:rPr>
              <w:t>El Salvador</w:t>
            </w:r>
            <w:r w:rsidRPr="00E71B56">
              <w:rPr>
                <w:lang w:val="es-ES"/>
              </w:rPr>
              <w:t xml:space="preserve">, </w:t>
            </w:r>
            <w:r w:rsidRPr="00E71B56">
              <w:rPr>
                <w:b/>
                <w:bCs/>
                <w:lang w:val="es-ES"/>
              </w:rPr>
              <w:t>Guatemala</w:t>
            </w:r>
            <w:r w:rsidRPr="00E71B56">
              <w:rPr>
                <w:lang w:val="es-ES"/>
              </w:rPr>
              <w:t xml:space="preserve">, </w:t>
            </w:r>
            <w:r w:rsidRPr="00E71B56">
              <w:rPr>
                <w:b/>
                <w:bCs/>
                <w:lang w:val="es-ES"/>
              </w:rPr>
              <w:t xml:space="preserve">Honduras </w:t>
            </w:r>
            <w:r w:rsidRPr="00E71B56">
              <w:rPr>
                <w:lang w:val="es-ES"/>
              </w:rPr>
              <w:t>y</w:t>
            </w:r>
            <w:r w:rsidRPr="00E71B56">
              <w:rPr>
                <w:b/>
                <w:bCs/>
                <w:lang w:val="es-ES"/>
              </w:rPr>
              <w:t xml:space="preserve"> Panamá</w:t>
            </w:r>
            <w:r w:rsidRPr="00E71B56">
              <w:rPr>
                <w:lang w:val="es-ES"/>
              </w:rPr>
              <w:t xml:space="preserve">, abarcando 13 organismos estatales. Este proyecto incluye la formación destinada a las autoridades reglamentarias y de política pública. Se han realizado estudios técnicos para implementar mecanismos como los bancos de pruebas reglamentarias, y se ha creado una escuela de innovación para 30 directores de departamentos de diseño jurídico y reglamentario. Se han definido 13 planes de trabajo para implementar proyectos pilotos específicos en materia de innovación reglamentaria en los sectores digital y de las telecomunicaciones. En el </w:t>
            </w:r>
            <w:r w:rsidRPr="00E71B56">
              <w:rPr>
                <w:b/>
                <w:bCs/>
                <w:lang w:val="es-ES"/>
              </w:rPr>
              <w:t>Caribe</w:t>
            </w:r>
            <w:r w:rsidRPr="00E71B56">
              <w:rPr>
                <w:lang w:val="es-ES"/>
              </w:rPr>
              <w:t xml:space="preserve">, ha avanzado un estudio de viabilidad sobre la creación de una única autoridad reglamentaria, con el objetivo de establecer un marco regional armonizado para 12 países, que beneficiaría a numerosos suscriptores al eliminar los obstáculos al acceso al mercado y fomentar la </w:t>
            </w:r>
            <w:r w:rsidRPr="00E71B56">
              <w:rPr>
                <w:lang w:val="es-ES"/>
              </w:rPr>
              <w:lastRenderedPageBreak/>
              <w:t xml:space="preserve">innovación digital. En </w:t>
            </w:r>
            <w:r w:rsidRPr="00E71B56">
              <w:rPr>
                <w:b/>
                <w:bCs/>
                <w:lang w:val="es-ES"/>
              </w:rPr>
              <w:t>Trinidad y Tabago</w:t>
            </w:r>
            <w:r w:rsidRPr="00E71B56">
              <w:rPr>
                <w:lang w:val="es-ES"/>
              </w:rPr>
              <w:t>, se prestó asistencia para fortalecer el marco político y legislativo del país sobre la identificación electrónica (ID-E), lo que aumentó la confianza de la población en los servicios digitales. En</w:t>
            </w:r>
            <w:r w:rsidRPr="00E71B56">
              <w:rPr>
                <w:b/>
                <w:bCs/>
                <w:lang w:val="es-ES"/>
              </w:rPr>
              <w:t xml:space="preserve"> Santa Lucía</w:t>
            </w:r>
            <w:r w:rsidRPr="00E71B56">
              <w:rPr>
                <w:lang w:val="es-ES"/>
              </w:rPr>
              <w:t xml:space="preserve">, se prestó apoyo para revisar la política nacional de TIC a fin de aumentar la conciencia pública y acelerar el sentimiento de propiedad de las partes interesadas. En la </w:t>
            </w:r>
            <w:r w:rsidRPr="00E71B56">
              <w:rPr>
                <w:b/>
                <w:bCs/>
                <w:lang w:val="es-ES"/>
              </w:rPr>
              <w:t>República Dominicana</w:t>
            </w:r>
            <w:r w:rsidRPr="00E71B56">
              <w:rPr>
                <w:lang w:val="es-ES"/>
              </w:rPr>
              <w:t>, se llevó a cabo una revisión del marco jurídico de las telecomunicaciones y se prestó apoyo para la implementación de evaluaciones del impacto reglamentario en los procesos reglamentarios.</w:t>
            </w:r>
          </w:p>
          <w:p w14:paraId="63183F26" w14:textId="77777777" w:rsidR="00BD155E" w:rsidRPr="00E71B56" w:rsidRDefault="00BD155E" w:rsidP="00A372FB">
            <w:pPr>
              <w:rPr>
                <w:lang w:val="es-ES"/>
              </w:rPr>
            </w:pPr>
            <w:r w:rsidRPr="00E71B56">
              <w:rPr>
                <w:lang w:val="es-ES"/>
              </w:rPr>
              <w:t xml:space="preserve">El </w:t>
            </w:r>
            <w:hyperlink r:id="rId196" w:history="1">
              <w:r w:rsidRPr="00E71B56">
                <w:rPr>
                  <w:rStyle w:val="Hyperlink"/>
                  <w:lang w:val="es-ES"/>
                </w:rPr>
                <w:t>IPEC para las Américas</w:t>
              </w:r>
            </w:hyperlink>
            <w:r w:rsidRPr="00E71B56">
              <w:rPr>
                <w:lang w:val="es-ES"/>
              </w:rPr>
              <w:t xml:space="preserve"> se organiza todos los años y es la única plataforma de la UIT dedicada a abordar cuestiones de política económica, reuniendo a los tres sectores de la Unión en un único foro. Cada año, el IPEC ha presentado un amplio programa de eventos de las tres Oficinas.</w:t>
            </w:r>
            <w:hyperlink r:id="rId197" w:tgtFrame="_blank" w:tooltip="https://www.itu.int/en/itu-d/regional-presence/americas/pages/events/2025/ipec-2025.aspx" w:history="1"/>
          </w:p>
          <w:p w14:paraId="343B79BC" w14:textId="77777777" w:rsidR="00BD155E" w:rsidRPr="00E71B56" w:rsidRDefault="00BD155E" w:rsidP="00A372FB">
            <w:pPr>
              <w:rPr>
                <w:lang w:val="es-ES"/>
              </w:rPr>
            </w:pPr>
            <w:r w:rsidRPr="00E71B56">
              <w:rPr>
                <w:lang w:val="es-ES"/>
              </w:rPr>
              <w:t>La colaboración en la región se reforzó por conducto de la CITEL, con la que la BDT organizó conjuntamente talleres sobre las licencias 5G y los fondos del servicio universal. Estos talleres permitieron a los organismos reguladores comparar experiencias y adoptar las prácticas idóneas, dando lugar a una mayor coherencia en la región.</w:t>
            </w:r>
          </w:p>
          <w:p w14:paraId="68B9EE79" w14:textId="77777777" w:rsidR="00BD155E" w:rsidRPr="00E71B56" w:rsidRDefault="00BD155E" w:rsidP="00A372FB">
            <w:pPr>
              <w:rPr>
                <w:lang w:val="es-ES"/>
              </w:rPr>
            </w:pPr>
            <w:r w:rsidRPr="00E71B56">
              <w:rPr>
                <w:lang w:val="es-ES"/>
              </w:rPr>
              <w:t xml:space="preserve">La </w:t>
            </w:r>
            <w:r w:rsidRPr="00E71B56">
              <w:rPr>
                <w:b/>
                <w:bCs/>
                <w:lang w:val="es-ES"/>
              </w:rPr>
              <w:t>región de las Américas</w:t>
            </w:r>
            <w:r w:rsidRPr="00E71B56">
              <w:rPr>
                <w:lang w:val="es-ES"/>
              </w:rPr>
              <w:t xml:space="preserve"> también se benefició de las actividades de formación respaldadas por la BDT. Los cursos sobre el SIG impartidos en </w:t>
            </w:r>
            <w:r w:rsidRPr="00E71B56">
              <w:rPr>
                <w:b/>
                <w:bCs/>
                <w:lang w:val="es-ES"/>
              </w:rPr>
              <w:t xml:space="preserve">Uruguay </w:t>
            </w:r>
            <w:r w:rsidRPr="00E71B56">
              <w:rPr>
                <w:lang w:val="es-ES"/>
              </w:rPr>
              <w:t xml:space="preserve">y los talleres de planificación de la banda ancha en América Central dotaron a los organismos reguladores de herramientas para la toma de decisiones con base empírica. Hasta el año 2025, más de </w:t>
            </w:r>
            <w:r w:rsidRPr="00E71B56">
              <w:rPr>
                <w:b/>
                <w:bCs/>
                <w:lang w:val="es-ES"/>
              </w:rPr>
              <w:t>500 miembros del personal de los organismos reguladores y responsables de formular políticas de la región de las Américas</w:t>
            </w:r>
            <w:r w:rsidRPr="00E71B56">
              <w:rPr>
                <w:lang w:val="es-ES"/>
              </w:rPr>
              <w:t xml:space="preserve"> habían participado en actividades de formación respaldadas por la BDT.</w:t>
            </w:r>
          </w:p>
          <w:p w14:paraId="3FFE753E" w14:textId="77777777" w:rsidR="00BD155E" w:rsidRPr="00E71B56" w:rsidRDefault="00BD155E" w:rsidP="00A372FB">
            <w:pPr>
              <w:rPr>
                <w:lang w:val="es-ES"/>
              </w:rPr>
            </w:pPr>
            <w:r w:rsidRPr="00E71B56">
              <w:rPr>
                <w:lang w:val="es-ES"/>
              </w:rPr>
              <w:t xml:space="preserve">En la </w:t>
            </w:r>
            <w:r w:rsidRPr="00E71B56">
              <w:rPr>
                <w:b/>
                <w:bCs/>
                <w:lang w:val="es-ES"/>
              </w:rPr>
              <w:t>región de los Estados Árabes</w:t>
            </w:r>
            <w:r w:rsidRPr="00E71B56">
              <w:rPr>
                <w:lang w:val="es-ES"/>
              </w:rPr>
              <w:t xml:space="preserve">, el taller regional para la </w:t>
            </w:r>
            <w:r w:rsidRPr="00E71B56">
              <w:rPr>
                <w:i/>
                <w:iCs/>
                <w:lang w:val="es-ES"/>
              </w:rPr>
              <w:t>Conectividad Universal y Efectiva en la Región Árabe,</w:t>
            </w:r>
            <w:r w:rsidRPr="00E71B56">
              <w:rPr>
                <w:lang w:val="es-ES"/>
              </w:rPr>
              <w:t xml:space="preserve"> organizado conjuntamente con Algérie Télécom en Argel en 2024, reunió a 278 participantes, de los cuales el 24 % eran mujeres, reflejando el compromiso de la UIT con abordar el desarrollo de infraestructuras y las deficiencias de conectividad persistentes en la región. El taller abordó la cartografía de la banda ancha, la colaboración reglamentaria y las estrategias de inversión, y de él se desprendieron recomendaciones prácticas para los organismos reguladores.</w:t>
            </w:r>
          </w:p>
          <w:p w14:paraId="1FE4AAD6" w14:textId="77777777" w:rsidR="00BD155E" w:rsidRPr="00E71B56" w:rsidRDefault="00BD155E" w:rsidP="00A372FB">
            <w:pPr>
              <w:rPr>
                <w:lang w:val="es-ES"/>
              </w:rPr>
            </w:pPr>
            <w:r w:rsidRPr="00E71B56">
              <w:rPr>
                <w:lang w:val="es-ES"/>
              </w:rPr>
              <w:t xml:space="preserve">Además de los diálogos regionales, el apoyo se adaptó a las necesidades nacionales. En el </w:t>
            </w:r>
            <w:r w:rsidRPr="00E71B56">
              <w:rPr>
                <w:b/>
                <w:bCs/>
                <w:lang w:val="es-ES"/>
              </w:rPr>
              <w:t>Estado de Palestina</w:t>
            </w:r>
            <w:r w:rsidRPr="00E71B56">
              <w:rPr>
                <w:lang w:val="es-ES"/>
              </w:rPr>
              <w:t xml:space="preserve">, los esfuerzos se dirigieron hacia la formulación de un marco de planificación de la numeración nacional y un reglamento conexo en asociación con el Ministerio de TI y Comunicaciones; en la </w:t>
            </w:r>
            <w:r w:rsidRPr="00E71B56">
              <w:rPr>
                <w:b/>
                <w:bCs/>
                <w:lang w:val="es-ES"/>
              </w:rPr>
              <w:t>República Árabe Siria</w:t>
            </w:r>
            <w:r w:rsidRPr="00E71B56">
              <w:rPr>
                <w:lang w:val="es-ES"/>
              </w:rPr>
              <w:t xml:space="preserve">, se elaboró un informe exhaustivo de revisión y análisis del mercado de las TIC con el Ministerio </w:t>
            </w:r>
            <w:r w:rsidRPr="00E71B56">
              <w:rPr>
                <w:lang w:val="es-ES"/>
              </w:rPr>
              <w:lastRenderedPageBreak/>
              <w:t xml:space="preserve">de Comunicaciones y la Autoridad de Reglamentación de las Telecomunicaciones y los Servicios Postales (SyTPRA), seguido, en 2024, de la ultimación de un </w:t>
            </w:r>
            <w:r w:rsidRPr="00E71B56">
              <w:rPr>
                <w:b/>
                <w:bCs/>
                <w:lang w:val="es-ES"/>
              </w:rPr>
              <w:t xml:space="preserve">marco reglamentario de los precios de los servicios de TIC </w:t>
            </w:r>
            <w:r w:rsidRPr="00E71B56">
              <w:rPr>
                <w:lang w:val="es-ES"/>
              </w:rPr>
              <w:t xml:space="preserve">para orientar los procesos de consulta. La reglamentación colaborativa siguió avanzando por conducto de talleres nacionales celebrados en </w:t>
            </w:r>
            <w:r w:rsidRPr="00E71B56">
              <w:rPr>
                <w:b/>
                <w:bCs/>
                <w:lang w:val="es-ES"/>
              </w:rPr>
              <w:t xml:space="preserve">Omán </w:t>
            </w:r>
            <w:r w:rsidRPr="00E71B56">
              <w:rPr>
                <w:lang w:val="es-ES"/>
              </w:rPr>
              <w:t xml:space="preserve">(febrero de 2024) y </w:t>
            </w:r>
            <w:r w:rsidRPr="00E71B56">
              <w:rPr>
                <w:b/>
                <w:bCs/>
                <w:lang w:val="es-ES"/>
              </w:rPr>
              <w:t xml:space="preserve">Qatar </w:t>
            </w:r>
            <w:r w:rsidRPr="00E71B56">
              <w:rPr>
                <w:lang w:val="es-ES"/>
              </w:rPr>
              <w:t xml:space="preserve">(julio de 2024), dotando al personal de los organismos reguladores de herramientas para impulsar la coordinación entre sectores. Otras actividades se han llevado a cabo mediante la realización de </w:t>
            </w:r>
            <w:r w:rsidRPr="00E71B56">
              <w:rPr>
                <w:b/>
                <w:bCs/>
                <w:lang w:val="es-ES"/>
              </w:rPr>
              <w:t xml:space="preserve">exámenes de la reglamentación digital colaborativa a escala nacional </w:t>
            </w:r>
            <w:r w:rsidRPr="00E71B56">
              <w:rPr>
                <w:lang w:val="es-ES"/>
              </w:rPr>
              <w:t xml:space="preserve">para </w:t>
            </w:r>
            <w:r w:rsidRPr="00E71B56">
              <w:rPr>
                <w:b/>
                <w:bCs/>
                <w:lang w:val="es-ES"/>
              </w:rPr>
              <w:t xml:space="preserve">Omán </w:t>
            </w:r>
            <w:r w:rsidRPr="00E71B56">
              <w:rPr>
                <w:lang w:val="es-ES"/>
              </w:rPr>
              <w:t xml:space="preserve">y </w:t>
            </w:r>
            <w:r w:rsidRPr="00E71B56">
              <w:rPr>
                <w:b/>
                <w:bCs/>
                <w:lang w:val="es-ES"/>
              </w:rPr>
              <w:t>Qatar</w:t>
            </w:r>
            <w:r w:rsidRPr="00E71B56">
              <w:rPr>
                <w:lang w:val="es-ES"/>
              </w:rPr>
              <w:t xml:space="preserve">. Además, </w:t>
            </w:r>
            <w:r w:rsidRPr="00E71B56">
              <w:rPr>
                <w:b/>
                <w:bCs/>
                <w:lang w:val="es-ES"/>
              </w:rPr>
              <w:t xml:space="preserve">Comoras </w:t>
            </w:r>
            <w:r w:rsidRPr="00E71B56">
              <w:rPr>
                <w:lang w:val="es-ES"/>
              </w:rPr>
              <w:t xml:space="preserve">ha recibido apoyo para preparar un </w:t>
            </w:r>
            <w:r w:rsidRPr="00E71B56">
              <w:rPr>
                <w:b/>
                <w:bCs/>
                <w:lang w:val="es-ES"/>
              </w:rPr>
              <w:t>estudio de viabilidad sobre la reglamentación basada en datos</w:t>
            </w:r>
            <w:r w:rsidRPr="00E71B56">
              <w:rPr>
                <w:lang w:val="es-ES"/>
              </w:rPr>
              <w:t xml:space="preserve">, mientras que </w:t>
            </w:r>
            <w:r w:rsidRPr="00E71B56">
              <w:rPr>
                <w:b/>
                <w:bCs/>
                <w:lang w:val="es-ES"/>
              </w:rPr>
              <w:t xml:space="preserve">Somalia </w:t>
            </w:r>
            <w:r w:rsidRPr="00E71B56">
              <w:rPr>
                <w:lang w:val="es-ES"/>
              </w:rPr>
              <w:t xml:space="preserve">ha recibido asistencia para formular su </w:t>
            </w:r>
            <w:r w:rsidRPr="00E71B56">
              <w:rPr>
                <w:b/>
                <w:bCs/>
                <w:lang w:val="es-ES"/>
              </w:rPr>
              <w:t>Estrategia Nacional de Transformación Digital.</w:t>
            </w:r>
          </w:p>
          <w:p w14:paraId="227A8905" w14:textId="77777777" w:rsidR="00BD155E" w:rsidRPr="00E71B56" w:rsidRDefault="00BD155E" w:rsidP="00A372FB">
            <w:pPr>
              <w:rPr>
                <w:lang w:val="es-ES"/>
              </w:rPr>
            </w:pPr>
            <w:r w:rsidRPr="00E71B56">
              <w:rPr>
                <w:lang w:val="es-ES"/>
              </w:rPr>
              <w:t xml:space="preserve">En 2025, los países de la </w:t>
            </w:r>
            <w:r w:rsidRPr="00E71B56">
              <w:rPr>
                <w:b/>
                <w:bCs/>
                <w:lang w:val="es-ES"/>
              </w:rPr>
              <w:t>región de los</w:t>
            </w:r>
            <w:r w:rsidRPr="00E71B56">
              <w:rPr>
                <w:lang w:val="es-ES"/>
              </w:rPr>
              <w:t xml:space="preserve"> </w:t>
            </w:r>
            <w:r w:rsidRPr="00E71B56">
              <w:rPr>
                <w:b/>
                <w:bCs/>
                <w:lang w:val="es-ES"/>
              </w:rPr>
              <w:t>Estados Árabes</w:t>
            </w:r>
            <w:r w:rsidRPr="00E71B56">
              <w:rPr>
                <w:lang w:val="es-ES"/>
              </w:rPr>
              <w:t xml:space="preserve"> habían conseguido avances significativos; muchos de ellos habían establecido organismos reguladores independientes y la cooperación regional sobre la gestión del espectro y las licencias había aumentado. La función de la BDT respecto de la reunión de las partes interesadas y la aportación de conocimientos técnicos fue esencial para estos resultados.</w:t>
            </w:r>
          </w:p>
          <w:p w14:paraId="51E73DE9" w14:textId="77777777" w:rsidR="00BD155E" w:rsidRPr="00E71B56" w:rsidRDefault="00BD155E" w:rsidP="00A372FB">
            <w:pPr>
              <w:rPr>
                <w:lang w:val="es-ES"/>
              </w:rPr>
            </w:pPr>
            <w:r w:rsidRPr="00E71B56">
              <w:rPr>
                <w:lang w:val="es-ES"/>
              </w:rPr>
              <w:t xml:space="preserve">Los avances realizados en la </w:t>
            </w:r>
            <w:r w:rsidRPr="00E71B56">
              <w:rPr>
                <w:b/>
                <w:bCs/>
                <w:lang w:val="es-ES"/>
              </w:rPr>
              <w:t>región de Europa</w:t>
            </w:r>
            <w:r w:rsidRPr="00E71B56">
              <w:rPr>
                <w:lang w:val="es-ES"/>
              </w:rPr>
              <w:t xml:space="preserve"> estuvieron conformados por la armonización reglamentaria con los marcos de la Unión Europea y la cooperación regional en el marco de las plataformas de la UIT. En </w:t>
            </w:r>
            <w:r w:rsidRPr="00E71B56">
              <w:rPr>
                <w:b/>
                <w:bCs/>
                <w:lang w:val="es-ES"/>
              </w:rPr>
              <w:t>Ucrania</w:t>
            </w:r>
            <w:r w:rsidRPr="00E71B56">
              <w:rPr>
                <w:lang w:val="es-ES"/>
              </w:rPr>
              <w:t xml:space="preserve">, la BDT prestó apoyo a la rehabilitación de </w:t>
            </w:r>
            <w:r w:rsidRPr="00E71B56">
              <w:rPr>
                <w:b/>
                <w:bCs/>
                <w:lang w:val="es-ES"/>
              </w:rPr>
              <w:t xml:space="preserve">diez estaciones de radiodifusión </w:t>
            </w:r>
            <w:r w:rsidRPr="00E71B56">
              <w:rPr>
                <w:lang w:val="es-ES"/>
              </w:rPr>
              <w:t xml:space="preserve">y facilitó una iniciativa de modernización de las redes de 4G/5G con Vodafone Ucrania, Nokia y Finnvera, de un valor de 30 millones EUR. Esta iniciativa demostró la manera en la que los marcos reglamentarios podían ir acompañados de la movilización de inversiones tras un conflicto. En </w:t>
            </w:r>
            <w:r w:rsidRPr="00E71B56">
              <w:rPr>
                <w:b/>
                <w:bCs/>
                <w:lang w:val="es-ES"/>
              </w:rPr>
              <w:t>Montenegro</w:t>
            </w:r>
            <w:r w:rsidRPr="00E71B56">
              <w:rPr>
                <w:lang w:val="es-ES"/>
              </w:rPr>
              <w:t>, la BDT ayudó a elaborar un plan de banda ancha para 2025</w:t>
            </w:r>
            <w:r w:rsidRPr="00E71B56">
              <w:rPr>
                <w:lang w:val="es-ES"/>
              </w:rPr>
              <w:noBreakHyphen/>
              <w:t xml:space="preserve">2029, centrado en la cobertura rural. En </w:t>
            </w:r>
            <w:r w:rsidRPr="00E71B56">
              <w:rPr>
                <w:b/>
                <w:bCs/>
                <w:lang w:val="es-ES"/>
              </w:rPr>
              <w:t>Albania</w:t>
            </w:r>
            <w:r w:rsidRPr="00E71B56">
              <w:rPr>
                <w:lang w:val="es-ES"/>
              </w:rPr>
              <w:t>, la BDT apoyó la actualización del sistema de cartografía de la banda ancha, conocido como "Atlas".</w:t>
            </w:r>
          </w:p>
          <w:p w14:paraId="2F3EFD38" w14:textId="77777777" w:rsidR="00BD155E" w:rsidRPr="00E71B56" w:rsidRDefault="00BD155E" w:rsidP="00A372FB">
            <w:pPr>
              <w:rPr>
                <w:lang w:val="es-ES"/>
              </w:rPr>
            </w:pPr>
            <w:r w:rsidRPr="00E71B56">
              <w:rPr>
                <w:lang w:val="es-ES"/>
              </w:rPr>
              <w:t xml:space="preserve">A nivel regional, la BDT trabajó con EMERG y EaPeReg, para impartir formación sobre la toma de decisiones con base empírica. La Escuela de Verano sobre tecnologías de vanguardia, celebrada en Maastricht en 2025, presentó a los organismos reguladores metodologías para reglamentar la IA, la IoT y otras tecnologías emergentes. Hasta 2025, más de </w:t>
            </w:r>
            <w:r w:rsidRPr="00E71B56">
              <w:rPr>
                <w:b/>
                <w:bCs/>
                <w:lang w:val="es-ES"/>
              </w:rPr>
              <w:t xml:space="preserve">300 miembros del personal de los organismos reguladores europeos </w:t>
            </w:r>
            <w:r w:rsidRPr="00E71B56">
              <w:rPr>
                <w:lang w:val="es-ES"/>
              </w:rPr>
              <w:t>habían participado en iniciativas de creación de capacidad respaldadas por la BDT.</w:t>
            </w:r>
          </w:p>
          <w:p w14:paraId="1E852490" w14:textId="77777777" w:rsidR="00BD155E" w:rsidRPr="00E71B56" w:rsidRDefault="00BD155E" w:rsidP="00A372FB">
            <w:pPr>
              <w:rPr>
                <w:lang w:val="es-ES"/>
              </w:rPr>
            </w:pPr>
            <w:r w:rsidRPr="00E71B56">
              <w:rPr>
                <w:lang w:val="es-ES"/>
              </w:rPr>
              <w:t xml:space="preserve">La </w:t>
            </w:r>
            <w:r w:rsidRPr="00E71B56">
              <w:rPr>
                <w:b/>
                <w:bCs/>
                <w:lang w:val="es-ES"/>
              </w:rPr>
              <w:t xml:space="preserve">región de la CEI </w:t>
            </w:r>
            <w:r w:rsidRPr="00E71B56">
              <w:rPr>
                <w:lang w:val="es-ES"/>
              </w:rPr>
              <w:t xml:space="preserve">hizo avances importantes respecto de la integración de los marcos reglamentarios en estrategias digitales más amplias. En </w:t>
            </w:r>
            <w:r w:rsidRPr="00E71B56">
              <w:rPr>
                <w:b/>
                <w:bCs/>
                <w:lang w:val="es-ES"/>
              </w:rPr>
              <w:t>Armenia</w:t>
            </w:r>
            <w:r w:rsidRPr="00E71B56">
              <w:rPr>
                <w:lang w:val="es-ES"/>
              </w:rPr>
              <w:t xml:space="preserve">, la BDT puso en marcha el programa "Futuro de la </w:t>
            </w:r>
            <w:r w:rsidRPr="00E71B56">
              <w:rPr>
                <w:lang w:val="es-ES"/>
              </w:rPr>
              <w:lastRenderedPageBreak/>
              <w:t xml:space="preserve">Conectividad" en 2025, centrado en el despliegue de la 5G y la preparación reglamentaria. En </w:t>
            </w:r>
            <w:r w:rsidRPr="00E71B56">
              <w:rPr>
                <w:b/>
                <w:bCs/>
                <w:lang w:val="es-ES"/>
              </w:rPr>
              <w:t>Tayikistán</w:t>
            </w:r>
            <w:r w:rsidRPr="00E71B56">
              <w:rPr>
                <w:lang w:val="es-ES"/>
              </w:rPr>
              <w:t xml:space="preserve">, la BDT impartió formación en materia de cartografía de las TIC y apoyó la armonización de los cuadros nacionales de atribución de frecuencias con las normas regionales. En </w:t>
            </w:r>
            <w:r w:rsidRPr="00E71B56">
              <w:rPr>
                <w:b/>
                <w:bCs/>
                <w:lang w:val="es-ES"/>
              </w:rPr>
              <w:t>Uzbekistán</w:t>
            </w:r>
            <w:r w:rsidRPr="00E71B56">
              <w:rPr>
                <w:lang w:val="es-ES"/>
              </w:rPr>
              <w:t xml:space="preserve">, la BDT organizó una mesa redonda sobre la reglamentación de la voz a través de redes LTE, que permitió a los organismos reguladores y operadores móviles prepararse de cara a los servicios móviles de próxima generación. Con el apoyo de expertos dirigidos por la BDT, </w:t>
            </w:r>
            <w:r w:rsidRPr="00E71B56">
              <w:rPr>
                <w:b/>
                <w:bCs/>
                <w:lang w:val="es-ES"/>
              </w:rPr>
              <w:t xml:space="preserve">Uzbekistán </w:t>
            </w:r>
            <w:r w:rsidRPr="00E71B56">
              <w:rPr>
                <w:lang w:val="es-ES"/>
              </w:rPr>
              <w:t xml:space="preserve">elevó la calificación de su país en el Rastreador de Reglamentación de la UIT y sigue realizando avances reglamentarios por conducto de su legislación nacional. En </w:t>
            </w:r>
            <w:r w:rsidRPr="00E71B56">
              <w:rPr>
                <w:b/>
                <w:bCs/>
                <w:lang w:val="es-ES"/>
              </w:rPr>
              <w:t>Turkmenistán</w:t>
            </w:r>
            <w:r w:rsidRPr="00E71B56">
              <w:rPr>
                <w:lang w:val="es-ES"/>
              </w:rPr>
              <w:t>, la BDT prestó apoyo a las consultas nacionales sobre transformación digital, vinculando los marcos reglamentarios con el desarrollo de infraestructuras.</w:t>
            </w:r>
          </w:p>
          <w:p w14:paraId="74D86C45" w14:textId="77777777" w:rsidR="00BD155E" w:rsidRPr="00E71B56" w:rsidRDefault="00BD155E" w:rsidP="00A372FB">
            <w:pPr>
              <w:rPr>
                <w:lang w:val="es-ES"/>
              </w:rPr>
            </w:pPr>
            <w:r w:rsidRPr="00E71B56">
              <w:rPr>
                <w:lang w:val="es-ES"/>
              </w:rPr>
              <w:t xml:space="preserve">En 2025, muchos países de la </w:t>
            </w:r>
            <w:r w:rsidRPr="00E71B56">
              <w:rPr>
                <w:b/>
                <w:bCs/>
                <w:lang w:val="es-ES"/>
              </w:rPr>
              <w:t>región de la CEI</w:t>
            </w:r>
            <w:r w:rsidRPr="00E71B56">
              <w:rPr>
                <w:lang w:val="es-ES"/>
              </w:rPr>
              <w:t xml:space="preserve"> habían integrado la preparación para la 5G en los marcos reglamentarios nacionales. Las intervenciones específicas de la BDT, junto con la cooperación regional llevada a cabo por conducto de la Comisión Económica Eurasiática, sentaron las bases para lograr mercados digitales armonizados en toda la subregión.</w:t>
            </w:r>
            <w:bookmarkEnd w:id="37"/>
            <w:bookmarkEnd w:id="38"/>
          </w:p>
        </w:tc>
        <w:tc>
          <w:tcPr>
            <w:tcW w:w="3323" w:type="dxa"/>
          </w:tcPr>
          <w:p w14:paraId="2DBE899B" w14:textId="77777777" w:rsidR="00BD155E" w:rsidRPr="00E71B56" w:rsidRDefault="00BD155E" w:rsidP="00A372FB">
            <w:pPr>
              <w:rPr>
                <w:b/>
                <w:bCs/>
                <w:color w:val="0070C0"/>
                <w:lang w:val="es-ES"/>
              </w:rPr>
            </w:pPr>
            <w:r w:rsidRPr="00E71B56">
              <w:rPr>
                <w:b/>
                <w:bCs/>
                <w:color w:val="0070C0"/>
                <w:lang w:val="es-ES"/>
              </w:rPr>
              <w:lastRenderedPageBreak/>
              <w:t>Mejorar las políticas y la normativa nacionales:</w:t>
            </w:r>
          </w:p>
          <w:p w14:paraId="01B1C093" w14:textId="77777777" w:rsidR="00BD155E" w:rsidRPr="00E71B56" w:rsidRDefault="00BD155E" w:rsidP="00A372FB">
            <w:pPr>
              <w:rPr>
                <w:b/>
                <w:bCs/>
                <w:color w:val="0070C0"/>
                <w:lang w:val="es-ES"/>
              </w:rPr>
            </w:pPr>
            <w:r w:rsidRPr="00E71B56">
              <w:rPr>
                <w:b/>
                <w:bCs/>
                <w:color w:val="0070C0"/>
                <w:lang w:val="es-ES"/>
              </w:rPr>
              <w:t>GSR:</w:t>
            </w:r>
          </w:p>
          <w:p w14:paraId="1B3582E6"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Más de 1 200 participantes</w:t>
            </w:r>
          </w:p>
          <w:p w14:paraId="6EEB6D92"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Más de 100 países</w:t>
            </w:r>
          </w:p>
          <w:p w14:paraId="58D77DD6"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3 ediciones de las directrices de prácticas idóneas del GSR</w:t>
            </w:r>
          </w:p>
          <w:p w14:paraId="5E036810"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Publicación de recursos de conocimiento en la plataforma de reglamentación digital</w:t>
            </w:r>
          </w:p>
          <w:p w14:paraId="43BC082D" w14:textId="77777777" w:rsidR="00BD155E" w:rsidRPr="00E71B56" w:rsidRDefault="00BD155E" w:rsidP="00A372FB">
            <w:pPr>
              <w:rPr>
                <w:b/>
                <w:bCs/>
                <w:color w:val="0070C0"/>
                <w:lang w:val="es-ES"/>
              </w:rPr>
            </w:pPr>
            <w:r w:rsidRPr="00E71B56">
              <w:rPr>
                <w:b/>
                <w:bCs/>
                <w:color w:val="0070C0"/>
                <w:lang w:val="es-ES"/>
              </w:rPr>
              <w:lastRenderedPageBreak/>
              <w:t>Exámenes de la reglamentación digital colaborativa a escala nacional:</w:t>
            </w:r>
          </w:p>
          <w:p w14:paraId="1F928270" w14:textId="77777777" w:rsidR="00BD155E" w:rsidRPr="00E71B56" w:rsidRDefault="00BD155E" w:rsidP="00A372FB">
            <w:pPr>
              <w:pStyle w:val="enumlev1"/>
              <w:tabs>
                <w:tab w:val="clear" w:pos="1134"/>
                <w:tab w:val="left" w:pos="330"/>
              </w:tabs>
              <w:ind w:left="330" w:hanging="330"/>
              <w:rPr>
                <w:bCs/>
                <w:lang w:val="es-ES"/>
              </w:rPr>
            </w:pPr>
            <w:r w:rsidRPr="00E71B56">
              <w:rPr>
                <w:lang w:val="es-ES"/>
              </w:rPr>
              <w:t>○</w:t>
            </w:r>
            <w:r w:rsidRPr="00E71B56">
              <w:rPr>
                <w:lang w:val="es-ES"/>
              </w:rPr>
              <w:tab/>
              <w:t>Brasil, Colombia, Egipto, Kenya, Nigeria, Omán, Qatar y Sudáfrica</w:t>
            </w:r>
          </w:p>
          <w:p w14:paraId="52A2BF3B" w14:textId="77777777" w:rsidR="00BD155E" w:rsidRPr="00E71B56" w:rsidRDefault="00BD155E" w:rsidP="00A372FB">
            <w:pPr>
              <w:rPr>
                <w:b/>
                <w:bCs/>
                <w:color w:val="0070C0"/>
                <w:lang w:val="es-ES"/>
              </w:rPr>
            </w:pPr>
            <w:r w:rsidRPr="00E71B56">
              <w:rPr>
                <w:b/>
                <w:bCs/>
                <w:color w:val="0070C0"/>
                <w:lang w:val="es-ES"/>
              </w:rPr>
              <w:t>África:</w:t>
            </w:r>
          </w:p>
          <w:p w14:paraId="488F0B48"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En total, 43 países se sumaron a las actividades</w:t>
            </w:r>
          </w:p>
          <w:p w14:paraId="32B0A29F"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Proyecto de evaluación comparativa de las TIC llevado a cabo por la UIT y la UE en África Central</w:t>
            </w:r>
          </w:p>
          <w:p w14:paraId="3D5B82F5"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Colaboración entre la UIT, la Delegación de la Unión Europea en Mozambique y el Gobierno de Mozambique para sentar las bases del proyecto de VaMoz Digital!</w:t>
            </w:r>
          </w:p>
          <w:p w14:paraId="7ABBB8A2"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 xml:space="preserve">Colaboración entre la UIT, China, GDF y el Gobierno de Uganda para la prestación de </w:t>
            </w:r>
            <w:r w:rsidRPr="00E71B56">
              <w:rPr>
                <w:lang w:val="es-ES"/>
              </w:rPr>
              <w:lastRenderedPageBreak/>
              <w:t>asistencia técnica y formación a Uganda sobre el proyecto de la Estrategia Nacional de Desarrollo de las TIC</w:t>
            </w:r>
          </w:p>
          <w:p w14:paraId="0EA71192" w14:textId="77777777" w:rsidR="00BD155E" w:rsidRPr="00E71B56" w:rsidRDefault="00BD155E" w:rsidP="00A372FB">
            <w:pPr>
              <w:keepNext/>
              <w:keepLines/>
              <w:rPr>
                <w:b/>
                <w:bCs/>
                <w:color w:val="0070C0"/>
                <w:lang w:val="es-ES"/>
              </w:rPr>
            </w:pPr>
            <w:r w:rsidRPr="00E71B56">
              <w:rPr>
                <w:b/>
                <w:bCs/>
                <w:color w:val="0070C0"/>
                <w:lang w:val="es-ES"/>
              </w:rPr>
              <w:t>Américas:</w:t>
            </w:r>
          </w:p>
          <w:p w14:paraId="3A59C51D" w14:textId="77777777" w:rsidR="00BD155E" w:rsidRPr="00E71B56" w:rsidRDefault="00BD155E" w:rsidP="00A372FB">
            <w:pPr>
              <w:rPr>
                <w:lang w:val="es-ES"/>
              </w:rPr>
            </w:pPr>
            <w:r w:rsidRPr="00E71B56">
              <w:rPr>
                <w:lang w:val="es-ES"/>
              </w:rPr>
              <w:t>Belice, Brasil, Colombia, Costa Rica, República Dominicana, El Salvador, Guatemala, Honduras, Panamá, Paraguay, Santa Lucía, Trinidad y Tabago y Uruguay</w:t>
            </w:r>
          </w:p>
          <w:p w14:paraId="20EBB06B" w14:textId="77777777" w:rsidR="00BD155E" w:rsidRPr="00E71B56" w:rsidRDefault="00BD155E" w:rsidP="00A372FB">
            <w:pPr>
              <w:keepNext/>
              <w:keepLines/>
              <w:rPr>
                <w:b/>
                <w:bCs/>
                <w:color w:val="0070C0"/>
                <w:lang w:val="es-ES"/>
              </w:rPr>
            </w:pPr>
            <w:r w:rsidRPr="00E71B56">
              <w:rPr>
                <w:b/>
                <w:bCs/>
                <w:color w:val="0070C0"/>
                <w:lang w:val="es-ES"/>
              </w:rPr>
              <w:t>Estados Árabes:</w:t>
            </w:r>
          </w:p>
          <w:p w14:paraId="0CDBCC45"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Exámenes de la reglamentación digital colaborativa a escala nacional para Omán y Qatar</w:t>
            </w:r>
          </w:p>
          <w:p w14:paraId="67382CE9"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Asistencia técnica al país a Comoras sobre la reglamentación basada en datos y la estrategia de transformación digital para Somalia</w:t>
            </w:r>
          </w:p>
          <w:p w14:paraId="711FC92C"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 xml:space="preserve">Examen del mercado de las TIC, análisis y marco </w:t>
            </w:r>
            <w:r w:rsidRPr="00E71B56">
              <w:rPr>
                <w:lang w:val="es-ES"/>
              </w:rPr>
              <w:lastRenderedPageBreak/>
              <w:t>de regulación de precios para Siria</w:t>
            </w:r>
          </w:p>
          <w:p w14:paraId="6B7597B7" w14:textId="77777777" w:rsidR="00BD155E" w:rsidRPr="00E71B56" w:rsidRDefault="00BD155E" w:rsidP="00A372FB">
            <w:pPr>
              <w:keepNext/>
              <w:keepLines/>
              <w:rPr>
                <w:b/>
                <w:bCs/>
                <w:color w:val="0070C0"/>
                <w:lang w:val="es-ES"/>
              </w:rPr>
            </w:pPr>
            <w:r w:rsidRPr="00E71B56">
              <w:rPr>
                <w:b/>
                <w:bCs/>
                <w:color w:val="0070C0"/>
                <w:lang w:val="es-ES"/>
              </w:rPr>
              <w:t>Asia-Pacífico:</w:t>
            </w:r>
          </w:p>
          <w:p w14:paraId="194A35B4"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Esferas de intervención de la política digital para una ASEAN conectada</w:t>
            </w:r>
          </w:p>
          <w:p w14:paraId="4EFAF55C" w14:textId="5FFD49A3"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Se prestó asistencia técnica en relación con las estrategias digitales nacionales a Fiji, Kiribati, Nauru, los Estados Federados de Micronesia, Islas Salomón y Vanuatu</w:t>
            </w:r>
          </w:p>
          <w:p w14:paraId="0CA3A264"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Se prestó asistencia técnica en relación con la elaboración de notas de política sobre las deficiencias y oportunidades para Tonga y la Estrategia Nacional de Desarrollo de las Telecomunicaciones e Internet para la R.D.P. Lao</w:t>
            </w:r>
          </w:p>
          <w:p w14:paraId="7C99933E" w14:textId="77777777" w:rsidR="00BD155E" w:rsidRPr="00E71B56" w:rsidRDefault="00BD155E" w:rsidP="00A372FB">
            <w:pPr>
              <w:rPr>
                <w:lang w:val="es-ES"/>
              </w:rPr>
            </w:pPr>
            <w:r w:rsidRPr="00E71B56">
              <w:rPr>
                <w:b/>
                <w:bCs/>
                <w:color w:val="0070C0"/>
                <w:lang w:val="es-ES"/>
              </w:rPr>
              <w:t>CEI:</w:t>
            </w:r>
            <w:r w:rsidRPr="00E71B56">
              <w:rPr>
                <w:lang w:val="es-ES"/>
              </w:rPr>
              <w:t xml:space="preserve"> Armenia, Tayikistán, Turkmenistán y Uzbekistán</w:t>
            </w:r>
          </w:p>
        </w:tc>
      </w:tr>
      <w:tr w:rsidR="00BD155E" w:rsidRPr="00E71B56" w14:paraId="5409B25F" w14:textId="77777777" w:rsidTr="00A372FB">
        <w:trPr>
          <w:jc w:val="center"/>
        </w:trPr>
        <w:tc>
          <w:tcPr>
            <w:tcW w:w="15384" w:type="dxa"/>
            <w:gridSpan w:val="3"/>
            <w:shd w:val="clear" w:color="auto" w:fill="E5DFEC"/>
          </w:tcPr>
          <w:p w14:paraId="2278F3D7" w14:textId="77777777" w:rsidR="00BD155E" w:rsidRPr="00E71B56" w:rsidRDefault="00BD155E" w:rsidP="00A372FB">
            <w:pPr>
              <w:pStyle w:val="Heading3"/>
              <w:rPr>
                <w:color w:val="0070C0"/>
                <w:lang w:val="es-ES"/>
              </w:rPr>
            </w:pPr>
            <w:bookmarkStart w:id="39" w:name="_Toc212728824"/>
            <w:bookmarkStart w:id="40" w:name="_Toc213427972"/>
            <w:r w:rsidRPr="00E71B56">
              <w:rPr>
                <w:color w:val="0070C0"/>
                <w:lang w:val="es-ES"/>
              </w:rPr>
              <w:lastRenderedPageBreak/>
              <w:t>Estadísticas</w:t>
            </w:r>
            <w:bookmarkEnd w:id="39"/>
            <w:bookmarkEnd w:id="40"/>
          </w:p>
          <w:p w14:paraId="152F562D" w14:textId="77777777" w:rsidR="00BD155E" w:rsidRPr="00E71B56" w:rsidRDefault="00BD155E" w:rsidP="00A372FB">
            <w:pPr>
              <w:rPr>
                <w:b/>
                <w:bCs/>
                <w:i/>
                <w:iCs/>
                <w:lang w:val="es-ES"/>
              </w:rPr>
            </w:pPr>
            <w:r w:rsidRPr="00E71B56">
              <w:rPr>
                <w:b/>
                <w:bCs/>
                <w:i/>
                <w:iCs/>
                <w:lang w:val="es-ES"/>
              </w:rPr>
              <w:t>Realización:</w:t>
            </w:r>
            <w:r w:rsidRPr="00E71B56">
              <w:rPr>
                <w:i/>
                <w:iCs/>
                <w:lang w:val="es-ES"/>
              </w:rPr>
              <w:t xml:space="preserve"> Fortalecimiento de las capacidades de los Estados Miembros para producir y recopilar estadísticas de alta calidad y comparables a escala internacional, que reflejen la evolución y las tendencias de las telecomunicaciones/TIC, impulsadas por las tecnologías y los servicios nuevos y emergentes, partiendo de unas normas y unas metodologías acordadas</w:t>
            </w:r>
          </w:p>
        </w:tc>
      </w:tr>
      <w:tr w:rsidR="00BD155E" w:rsidRPr="00E71B56" w14:paraId="4AC6299D" w14:textId="77777777" w:rsidTr="00A372FB">
        <w:trPr>
          <w:jc w:val="center"/>
        </w:trPr>
        <w:tc>
          <w:tcPr>
            <w:tcW w:w="12061" w:type="dxa"/>
            <w:gridSpan w:val="2"/>
          </w:tcPr>
          <w:p w14:paraId="130CBEEE" w14:textId="77777777" w:rsidR="00BD155E" w:rsidRPr="00E71B56" w:rsidRDefault="00BD155E" w:rsidP="00A372FB">
            <w:pPr>
              <w:keepNext/>
              <w:keepLines/>
              <w:jc w:val="center"/>
              <w:rPr>
                <w:b/>
                <w:bCs/>
                <w:color w:val="0070C0"/>
                <w:lang w:val="es-ES"/>
              </w:rPr>
            </w:pPr>
            <w:r w:rsidRPr="00E71B56">
              <w:rPr>
                <w:b/>
                <w:bCs/>
                <w:color w:val="0070C0"/>
                <w:lang w:val="es-ES"/>
              </w:rPr>
              <w:t>Productos</w:t>
            </w:r>
          </w:p>
        </w:tc>
        <w:tc>
          <w:tcPr>
            <w:tcW w:w="3323" w:type="dxa"/>
          </w:tcPr>
          <w:p w14:paraId="6B0570D2" w14:textId="77777777" w:rsidR="00BD155E" w:rsidRPr="00E71B56" w:rsidRDefault="00BD155E" w:rsidP="00A372FB">
            <w:pPr>
              <w:keepNext/>
              <w:keepLines/>
              <w:jc w:val="center"/>
              <w:rPr>
                <w:b/>
                <w:bCs/>
                <w:color w:val="0070C0"/>
                <w:lang w:val="es-ES"/>
              </w:rPr>
            </w:pPr>
            <w:r w:rsidRPr="00E71B56">
              <w:rPr>
                <w:b/>
                <w:bCs/>
                <w:color w:val="0070C0"/>
                <w:lang w:val="es-ES"/>
              </w:rPr>
              <w:t>Aspectos destacados</w:t>
            </w:r>
          </w:p>
        </w:tc>
      </w:tr>
      <w:tr w:rsidR="00BD155E" w:rsidRPr="00E71B56" w14:paraId="73DA6AA5" w14:textId="77777777" w:rsidTr="00A372FB">
        <w:trPr>
          <w:jc w:val="center"/>
        </w:trPr>
        <w:tc>
          <w:tcPr>
            <w:tcW w:w="12061" w:type="dxa"/>
            <w:gridSpan w:val="2"/>
          </w:tcPr>
          <w:p w14:paraId="2F3759A8" w14:textId="77777777" w:rsidR="00BD155E" w:rsidRPr="00E71B56" w:rsidRDefault="00BD155E" w:rsidP="00A372FB">
            <w:pPr>
              <w:rPr>
                <w:lang w:val="es-ES"/>
              </w:rPr>
            </w:pPr>
            <w:r w:rsidRPr="00E71B56">
              <w:rPr>
                <w:lang w:val="es-ES"/>
              </w:rPr>
              <w:t xml:space="preserve">En consonancia con la aplicación de la </w:t>
            </w:r>
            <w:hyperlink r:id="rId198" w:history="1">
              <w:r w:rsidRPr="00E71B56">
                <w:rPr>
                  <w:rStyle w:val="Hyperlink"/>
                  <w:lang w:val="es-ES"/>
                </w:rPr>
                <w:t>Resolución 8 (Rev. Kigali, 2022) de la CMDT-22</w:t>
              </w:r>
            </w:hyperlink>
            <w:r w:rsidRPr="00E71B56">
              <w:rPr>
                <w:lang w:val="es-ES"/>
              </w:rPr>
              <w:t xml:space="preserve"> sobre la recopilación y difusión de información y estadísticas</w:t>
            </w:r>
            <w:r w:rsidRPr="00E71B56">
              <w:rPr>
                <w:i/>
                <w:iCs/>
                <w:lang w:val="es-ES"/>
              </w:rPr>
              <w:t xml:space="preserve">, </w:t>
            </w:r>
            <w:r w:rsidRPr="00E71B56">
              <w:rPr>
                <w:lang w:val="es-ES"/>
              </w:rPr>
              <w:t>a partir de 2023, la BDT intensificó sus esfuerzos para mejorar la calidad, la pertinencia y la accesibilidad de las estadísticas de TIC, fortaleciendo al mismo tiempo la capacidad de los Estados Miembros para recopilar, analizar y difundir datos de gran calidad. Durante este periodo, la BDT encabezó el desarrollo de indicadores clave, probó metodologías innovadoras y modernizó las plataformas estadísticas, aumentando la diversidad de los puntos de datos validados a disposición del público para su uso. Por conducto de la formación, la asistencia técnica y la organización de talleres regionales, la BDT veló por que los Estados Miembros estuviesen dotados de herramientas prácticas para supervisar los avances, reducir las brechas digitales y acelerar la transformación digital nacional.</w:t>
            </w:r>
            <w:hyperlink r:id="rId199"/>
          </w:p>
          <w:p w14:paraId="797751E7" w14:textId="77777777" w:rsidR="00BD155E" w:rsidRPr="00E71B56" w:rsidRDefault="00BD155E" w:rsidP="00A372FB">
            <w:pPr>
              <w:rPr>
                <w:lang w:val="es-ES"/>
              </w:rPr>
            </w:pPr>
            <w:r w:rsidRPr="00E71B56">
              <w:rPr>
                <w:lang w:val="es-ES"/>
              </w:rPr>
              <w:lastRenderedPageBreak/>
              <w:t xml:space="preserve">El </w:t>
            </w:r>
            <w:hyperlink r:id="rId200" w:history="1">
              <w:r w:rsidRPr="00E71B56">
                <w:rPr>
                  <w:rStyle w:val="Hyperlink"/>
                  <w:lang w:val="es-ES"/>
                </w:rPr>
                <w:t>Grupo de Expertos en Indicadores de Telecomunicaciones/TIC (GEIT)</w:t>
              </w:r>
            </w:hyperlink>
            <w:r w:rsidRPr="00E71B56">
              <w:rPr>
                <w:lang w:val="es-ES"/>
              </w:rPr>
              <w:t xml:space="preserve"> y el </w:t>
            </w:r>
            <w:hyperlink r:id="rId201" w:anchor="EGH" w:history="1">
              <w:r w:rsidRPr="00E71B56">
                <w:rPr>
                  <w:rStyle w:val="Hyperlink"/>
                  <w:lang w:val="es-ES"/>
                </w:rPr>
                <w:t>Grupo de Expertos en Indicadores de TIC en el Hogar (GEH)</w:t>
              </w:r>
            </w:hyperlink>
            <w:r w:rsidRPr="00E71B56">
              <w:rPr>
                <w:lang w:val="es-ES"/>
              </w:rPr>
              <w:t xml:space="preserve"> siguieron desempeñando una función esencial respecto de la elaboración de métodos y la definición de normas. Sobre la base de las pautas de la Resolución 131 (Rev. Bucarest, 2022) de la PP. Dirigieron conjuntamente la preparación del </w:t>
            </w:r>
            <w:hyperlink r:id="rId202" w:history="1">
              <w:r w:rsidRPr="00E71B56">
                <w:rPr>
                  <w:rStyle w:val="Hyperlink"/>
                  <w:lang w:val="es-ES"/>
                </w:rPr>
                <w:t>Índice de Desarrollo de las TIC (IDT)</w:t>
              </w:r>
            </w:hyperlink>
            <w:r w:rsidRPr="00E71B56">
              <w:rPr>
                <w:lang w:val="es-ES"/>
              </w:rPr>
              <w:t xml:space="preserve">. La nueva metodología, cuyo elemento central es la conectividad universal y efectiva, fue aprobada por los Estados Miembros en 2023. En 2024, los grupos adoptaron los </w:t>
            </w:r>
            <w:hyperlink r:id="rId203" w:history="1">
              <w:r w:rsidRPr="00E71B56">
                <w:rPr>
                  <w:rStyle w:val="Hyperlink"/>
                  <w:lang w:val="es-ES"/>
                </w:rPr>
                <w:t>nuevos indicadores de competencias en materia de TIC</w:t>
              </w:r>
            </w:hyperlink>
            <w:r w:rsidRPr="00E71B56">
              <w:rPr>
                <w:lang w:val="es-ES"/>
              </w:rPr>
              <w:t xml:space="preserve"> y las </w:t>
            </w:r>
            <w:hyperlink r:id="rId204" w:history="1">
              <w:r w:rsidRPr="00E71B56">
                <w:rPr>
                  <w:rStyle w:val="Hyperlink"/>
                  <w:lang w:val="es-ES"/>
                </w:rPr>
                <w:t>cestas de precios revisados de las TIC</w:t>
              </w:r>
            </w:hyperlink>
            <w:r w:rsidRPr="00E71B56">
              <w:rPr>
                <w:lang w:val="es-ES"/>
              </w:rPr>
              <w:t xml:space="preserve"> para garantizar la pertinencia continua, teniendo presente que las competencias digitales y la asequibilidad constituyen la piedra angular de la conectividad universal y efectiva. La recopilación de datos basada en estas metodologías comenzó en 2025. Al mismo tiempo, dos grupos de expertos han avanzado en su labor relativa a nuevas esferas como la medición del uso de la IA mediante encuestas a los hogares y el desarrollo de indicadores sobre el impacto ambiental del sector de las TIC, a la vez que han revisado la metodología del IDT para el próximo periodo de validez.</w:t>
            </w:r>
            <w:hyperlink r:id="rId205"/>
            <w:hyperlink r:id="rId206" w:anchor="EGH"/>
            <w:hyperlink r:id="rId207"/>
            <w:hyperlink r:id="rId208"/>
            <w:hyperlink r:id="rId209"/>
          </w:p>
          <w:p w14:paraId="718DFCE2" w14:textId="77777777" w:rsidR="00BD155E" w:rsidRPr="00E71B56" w:rsidRDefault="00BD155E" w:rsidP="00A372FB">
            <w:pPr>
              <w:rPr>
                <w:lang w:val="es-ES"/>
              </w:rPr>
            </w:pPr>
            <w:r w:rsidRPr="00E71B56">
              <w:rPr>
                <w:lang w:val="es-ES"/>
              </w:rPr>
              <w:t xml:space="preserve">La BDT amplió la serie de publicaciones relacionadas con la </w:t>
            </w:r>
            <w:hyperlink r:id="rId210" w:history="1">
              <w:r w:rsidRPr="00E71B56">
                <w:rPr>
                  <w:rStyle w:val="Hyperlink"/>
                  <w:b/>
                  <w:bCs/>
                  <w:i/>
                  <w:iCs/>
                  <w:lang w:val="es-ES"/>
                </w:rPr>
                <w:t>Medición del desarrollo digital</w:t>
              </w:r>
            </w:hyperlink>
            <w:r w:rsidRPr="00E71B56">
              <w:rPr>
                <w:lang w:val="es-ES"/>
              </w:rPr>
              <w:t xml:space="preserve"> añadiendo otras nuevas que ofrecían pruebas y datos actualizados sobre el estado de la conectividad y sus habilitadores en todo el mundo, en todas las regiones, y para determinados grupos de países. Estas publicaciones también ayudaron a crear conciencia sobre la </w:t>
            </w:r>
            <w:hyperlink r:id="rId211" w:history="1">
              <w:r w:rsidRPr="00E71B56">
                <w:rPr>
                  <w:rStyle w:val="Hyperlink"/>
                  <w:lang w:val="es-ES"/>
                </w:rPr>
                <w:t>conectividad universal y efectiva</w:t>
              </w:r>
            </w:hyperlink>
            <w:r w:rsidRPr="00E71B56">
              <w:rPr>
                <w:lang w:val="es-ES"/>
              </w:rPr>
              <w:t xml:space="preserve"> como imperativo político, a la vez que fortalecieron la capacidad para actuar con base en ellas.</w:t>
            </w:r>
            <w:hyperlink r:id="rId212" w:history="1"/>
            <w:hyperlink r:id="rId213" w:history="1"/>
          </w:p>
          <w:p w14:paraId="6F2B4E94" w14:textId="77777777" w:rsidR="00BD155E" w:rsidRPr="00E71B56" w:rsidRDefault="00BD155E" w:rsidP="00A372FB">
            <w:pPr>
              <w:rPr>
                <w:lang w:val="es-ES"/>
              </w:rPr>
            </w:pPr>
            <w:r w:rsidRPr="00E71B56">
              <w:rPr>
                <w:lang w:val="es-ES"/>
              </w:rPr>
              <w:t xml:space="preserve">Como parte de esta serie, la publicación estadística anual emblemática de la UIT titulada </w:t>
            </w:r>
            <w:hyperlink r:id="rId214" w:history="1">
              <w:r w:rsidRPr="00E71B56">
                <w:rPr>
                  <w:rStyle w:val="Hyperlink"/>
                  <w:b/>
                  <w:bCs/>
                  <w:i/>
                  <w:iCs/>
                  <w:lang w:val="es-ES"/>
                </w:rPr>
                <w:t>Hechos y cifras</w:t>
              </w:r>
            </w:hyperlink>
            <w:r w:rsidRPr="00E71B56">
              <w:rPr>
                <w:lang w:val="es-ES"/>
              </w:rPr>
              <w:t xml:space="preserve"> siguió proporcionando la reseña más actualizada y oficial del estado de la conectividad en todo el mundo, con el desglose pertinente por región de la UIT, grupo de ingresos y grupo de países especiales de las Naciones Unidas, incluyendo estimaciones para el año en curso. La publicación fue completada por varias ediciones especiales dedicadas a los PMA, los PEID y los PDSL.</w:t>
            </w:r>
            <w:hyperlink r:id="rId215"/>
          </w:p>
          <w:p w14:paraId="6B7273EE" w14:textId="77777777" w:rsidR="00BD155E" w:rsidRPr="00E71B56" w:rsidRDefault="00BD155E" w:rsidP="00A372FB">
            <w:pPr>
              <w:rPr>
                <w:lang w:val="es-ES"/>
              </w:rPr>
            </w:pPr>
            <w:r w:rsidRPr="00E71B56">
              <w:rPr>
                <w:lang w:val="es-ES"/>
              </w:rPr>
              <w:t xml:space="preserve">En 2023, la publicación del informe sobre el </w:t>
            </w:r>
            <w:hyperlink r:id="rId216" w:history="1">
              <w:r w:rsidRPr="00E71B56">
                <w:rPr>
                  <w:rStyle w:val="Hyperlink"/>
                  <w:lang w:val="es-ES"/>
                </w:rPr>
                <w:t>Índice de Desarrollo de las TIC</w:t>
              </w:r>
            </w:hyperlink>
            <w:r w:rsidRPr="00E71B56">
              <w:rPr>
                <w:lang w:val="es-ES"/>
              </w:rPr>
              <w:t xml:space="preserve">, basada en la nueva metodología del índice, permitió a los países comparar los resultados y supervisar las tendencias. Como complemento, el </w:t>
            </w:r>
            <w:hyperlink r:id="rId217" w:history="1">
              <w:r w:rsidRPr="00E71B56">
                <w:rPr>
                  <w:rStyle w:val="Hyperlink"/>
                  <w:lang w:val="es-ES"/>
                </w:rPr>
                <w:t>Panel del IDT por países</w:t>
              </w:r>
            </w:hyperlink>
            <w:r w:rsidRPr="00E71B56">
              <w:rPr>
                <w:lang w:val="es-ES"/>
              </w:rPr>
              <w:t xml:space="preserve"> se puso en marcha en el Centro de Datos de la UIT en 2024.</w:t>
            </w:r>
            <w:hyperlink r:id="rId218" w:history="1"/>
            <w:hyperlink r:id="rId219" w:history="1"/>
          </w:p>
          <w:p w14:paraId="20D66E85" w14:textId="77777777" w:rsidR="00BD155E" w:rsidRPr="00E71B56" w:rsidRDefault="00BD155E" w:rsidP="00A372FB">
            <w:pPr>
              <w:rPr>
                <w:lang w:val="es-ES"/>
              </w:rPr>
            </w:pPr>
            <w:r w:rsidRPr="00E71B56">
              <w:rPr>
                <w:lang w:val="es-ES"/>
              </w:rPr>
              <w:t xml:space="preserve">En 2025, para las reuniones preparatorias regionales de la CMDT-25, la BDT publicó </w:t>
            </w:r>
            <w:hyperlink r:id="rId220" w:history="1">
              <w:r w:rsidRPr="00E71B56">
                <w:rPr>
                  <w:rStyle w:val="Hyperlink"/>
                  <w:lang w:val="es-ES"/>
                </w:rPr>
                <w:t>seis informes especiales</w:t>
              </w:r>
            </w:hyperlink>
            <w:r w:rsidRPr="00E71B56">
              <w:rPr>
                <w:lang w:val="es-ES"/>
              </w:rPr>
              <w:t>, en cada uno de los cuales se ofreció una reseña del estado de la conectividad digital en una región y se presentaron estudios de caso de esa región.</w:t>
            </w:r>
            <w:hyperlink r:id="rId221" w:history="1"/>
          </w:p>
          <w:p w14:paraId="5D5A9DEF" w14:textId="77777777" w:rsidR="00BD155E" w:rsidRPr="00E71B56" w:rsidRDefault="00BD155E" w:rsidP="00A372FB">
            <w:pPr>
              <w:rPr>
                <w:lang w:val="es-ES"/>
              </w:rPr>
            </w:pPr>
            <w:r w:rsidRPr="00E71B56">
              <w:rPr>
                <w:lang w:val="es-ES"/>
              </w:rPr>
              <w:lastRenderedPageBreak/>
              <w:t xml:space="preserve">La asequibilidad de las TIC siguió siendo una cuestión esencial para la labor estadística de la BDT. Los </w:t>
            </w:r>
            <w:r w:rsidRPr="00E71B56">
              <w:rPr>
                <w:b/>
                <w:bCs/>
                <w:lang w:val="es-ES"/>
              </w:rPr>
              <w:t>conjuntos de datos sobre los precios de las TIC</w:t>
            </w:r>
            <w:r w:rsidRPr="00E71B56">
              <w:rPr>
                <w:lang w:val="es-ES"/>
              </w:rPr>
              <w:t xml:space="preserve"> tuvieron una cobertura sin precedentes, al realizar la supervisión de 218 economías y cinco cestas de servicios para 2024. Los datos se publican en el Centro de Datos de la UIT y se analizan en diversas publicaciones, como las publicaciones anuales sobre la </w:t>
            </w:r>
            <w:hyperlink r:id="rId222" w:history="1">
              <w:r w:rsidRPr="00E71B56">
                <w:rPr>
                  <w:rStyle w:val="Hyperlink"/>
                  <w:i/>
                  <w:iCs/>
                  <w:lang w:val="es-ES"/>
                </w:rPr>
                <w:t>Asequibilidad de los Servicios de TIC</w:t>
              </w:r>
            </w:hyperlink>
            <w:r w:rsidRPr="00E71B56">
              <w:rPr>
                <w:lang w:val="es-ES"/>
              </w:rPr>
              <w:t>, que ofrecen a los organismos reguladores y analistas referencias concretas para elaborar estrategias de asequibilidad eficaces.</w:t>
            </w:r>
            <w:hyperlink r:id="rId223" w:history="1"/>
          </w:p>
          <w:p w14:paraId="7869CDCF" w14:textId="77777777" w:rsidR="00BD155E" w:rsidRPr="00E71B56" w:rsidRDefault="00BD155E" w:rsidP="00A372FB">
            <w:pPr>
              <w:rPr>
                <w:lang w:val="es-ES"/>
              </w:rPr>
            </w:pPr>
            <w:r w:rsidRPr="00E71B56">
              <w:rPr>
                <w:lang w:val="es-ES"/>
              </w:rPr>
              <w:t xml:space="preserve">La BDT desarrolló también el </w:t>
            </w:r>
            <w:hyperlink r:id="rId224" w:history="1">
              <w:r w:rsidRPr="00E71B56">
                <w:rPr>
                  <w:rStyle w:val="Hyperlink"/>
                  <w:lang w:val="es-ES"/>
                </w:rPr>
                <w:t>Centro de Datos de la UIT</w:t>
              </w:r>
            </w:hyperlink>
            <w:r w:rsidRPr="00E71B56">
              <w:rPr>
                <w:lang w:val="es-ES"/>
              </w:rPr>
              <w:t>, con nuevas visualizaciones, nuevas consultas y nuevas herramientas analíticas, y paneles temáticos, y lo enriqueció con más indicadores y datos. La transición de la base de datos sobre indicadores de las telecomunicaciones/TIC mundiales (WTI) con suscripción a una base de datos de acceso abierto demostró el compromiso de la UIT con la transparencia. A principios de 2025, el Centro de Datos contaba con más de</w:t>
            </w:r>
            <w:r w:rsidRPr="00E71B56">
              <w:rPr>
                <w:b/>
                <w:bCs/>
                <w:lang w:val="es-ES"/>
              </w:rPr>
              <w:t xml:space="preserve"> 660 000 puntos de datos</w:t>
            </w:r>
            <w:r w:rsidRPr="00E71B56">
              <w:rPr>
                <w:lang w:val="es-ES"/>
              </w:rPr>
              <w:t>, y el tráfico de la plataforma seguía creciendo exponencialmente.</w:t>
            </w:r>
            <w:hyperlink r:id="rId225"/>
          </w:p>
          <w:p w14:paraId="0E09854C" w14:textId="77777777" w:rsidR="00BD155E" w:rsidRPr="00E71B56" w:rsidRDefault="00BD155E" w:rsidP="00A372FB">
            <w:pPr>
              <w:rPr>
                <w:lang w:val="es-ES"/>
              </w:rPr>
            </w:pPr>
            <w:r w:rsidRPr="00E71B56">
              <w:rPr>
                <w:lang w:val="es-ES"/>
              </w:rPr>
              <w:t>La BDT también dirigió el camino de la integración de los</w:t>
            </w:r>
            <w:r w:rsidRPr="00E71B56">
              <w:rPr>
                <w:b/>
                <w:bCs/>
                <w:lang w:val="es-ES"/>
              </w:rPr>
              <w:t xml:space="preserve"> macrodatos en estadísticas oficiales en materia de TIC</w:t>
            </w:r>
            <w:r w:rsidRPr="00E71B56">
              <w:rPr>
                <w:lang w:val="es-ES"/>
              </w:rPr>
              <w:t>. En su condición de Presidenta del Grupo de Tareas Especiales sobre Datos de Telefonía Móvil del Comité de Expertos sobre los Macrodatos y la Ciencia de Datos en las Estadísticas Oficiales de las Naciones Unidas (UN</w:t>
            </w:r>
            <w:r w:rsidRPr="00E71B56">
              <w:rPr>
                <w:lang w:val="es-ES"/>
              </w:rPr>
              <w:noBreakHyphen/>
              <w:t xml:space="preserve">CEBD), la BDT elaboró metodologías para aprovechar los datos de telefonía móvil a fin de obtener estadísticas sobre la sociedad de la información y análisis de políticas. En asociación con el Banco Mundial, en 2024 la BDT puso en marcha el proyecto </w:t>
            </w:r>
            <w:hyperlink r:id="rId226" w:anchor=":~:text=The%20GDF%2DMPD%20program%20aims,use%20sophisticated%20data%20in%20policymaking." w:history="1">
              <w:r w:rsidRPr="00E71B56">
                <w:rPr>
                  <w:rStyle w:val="Hyperlink"/>
                  <w:lang w:val="es-ES"/>
                </w:rPr>
                <w:t>"Puesta de los macrodatos en materia de telefonía móvil al servicio de la política"</w:t>
              </w:r>
            </w:hyperlink>
            <w:r w:rsidRPr="00E71B56">
              <w:rPr>
                <w:lang w:val="es-ES"/>
              </w:rPr>
              <w:t>, que está poniendo a prueba en 18 países. Los talleres regionales de formación ofrecieron a los profesionales una experiencia práctica sobre el uso de los macrodatos para completar los estudios, orientar las inversiones en infraestructuras y mejorar la prestación de servicios.</w:t>
            </w:r>
            <w:hyperlink r:id="rId227" w:anchor=":~:text=The%20GDF%2DMPD%20program%20aims,use%20sophisticated%20data%20in%20policymaking."/>
          </w:p>
          <w:p w14:paraId="1E4B7B45" w14:textId="77777777" w:rsidR="00BD155E" w:rsidRPr="00E71B56" w:rsidRDefault="00BD155E" w:rsidP="00A372FB">
            <w:pPr>
              <w:rPr>
                <w:lang w:val="es-ES"/>
              </w:rPr>
            </w:pPr>
            <w:r w:rsidRPr="00E71B56">
              <w:rPr>
                <w:lang w:val="es-ES"/>
              </w:rPr>
              <w:t xml:space="preserve">La BDT invirtió considerablemente en el </w:t>
            </w:r>
            <w:hyperlink r:id="rId228" w:history="1">
              <w:r w:rsidRPr="00E71B56">
                <w:rPr>
                  <w:rStyle w:val="Hyperlink"/>
                  <w:b/>
                  <w:bCs/>
                  <w:lang w:val="es-ES"/>
                </w:rPr>
                <w:t>desarrollo de la capacidad y la asistencia técnica</w:t>
              </w:r>
            </w:hyperlink>
            <w:r w:rsidRPr="00E71B56">
              <w:rPr>
                <w:lang w:val="es-ES"/>
              </w:rPr>
              <w:t xml:space="preserve"> en materia de estadísticas. En la Academia de la UIT, se pusieron en marcha nuevos cursos de formación y programas de certificación sobre los indicadores de las TIC, las encuestas a los hogares y el uso de los datos de telefonía móvil. En 2024, la BDT empezó a impartir una serie de 11 </w:t>
            </w:r>
            <w:hyperlink r:id="rId229" w:history="1">
              <w:r w:rsidRPr="00E71B56">
                <w:rPr>
                  <w:rStyle w:val="Hyperlink"/>
                  <w:lang w:val="es-ES"/>
                </w:rPr>
                <w:t>talleres regionales y subregionales</w:t>
              </w:r>
            </w:hyperlink>
            <w:r w:rsidRPr="00E71B56">
              <w:rPr>
                <w:lang w:val="es-ES"/>
              </w:rPr>
              <w:t xml:space="preserve"> sobre la promoción y medición de la conectividad universal y efectiva destinados a los productores y usuarios de estadísticas de TIC. En los ocho primeros talleres participaron 393 personas de 125 países. En 2025, también se celebraron la primera </w:t>
            </w:r>
            <w:hyperlink r:id="rId230" w:history="1">
              <w:r w:rsidRPr="00E71B56">
                <w:rPr>
                  <w:rStyle w:val="Hyperlink"/>
                  <w:lang w:val="es-ES"/>
                </w:rPr>
                <w:t>Escuela de Verano sobre la elaboración de políticas de base empírica</w:t>
              </w:r>
            </w:hyperlink>
            <w:r w:rsidRPr="00E71B56">
              <w:rPr>
                <w:lang w:val="es-ES"/>
              </w:rPr>
              <w:t xml:space="preserve"> y un webinario </w:t>
            </w:r>
            <w:r w:rsidRPr="00E71B56">
              <w:rPr>
                <w:lang w:val="es-ES"/>
              </w:rPr>
              <w:lastRenderedPageBreak/>
              <w:t>sobre la conectividad universal y efectiva para determinados equipos de las Naciones Unidas en los países. También en 2025, los primeros talleres prácticos de índole técnica para los coordinadores nacionales de estadísticas tuvieron lugar antes de las campañas de recopilación de datos, ofreciendo la oportunidad de aprender las innovaciones, mejoras y cambios metodológicos más recientes en los cuestionarios de datos enviados a los Estados Miembros.</w:t>
            </w:r>
            <w:hyperlink r:id="rId231"/>
            <w:hyperlink r:id="rId232"/>
            <w:hyperlink r:id="rId233"/>
          </w:p>
          <w:p w14:paraId="50C4C48E" w14:textId="77777777" w:rsidR="00BD155E" w:rsidRPr="00E71B56" w:rsidRDefault="00BD155E" w:rsidP="00A372FB">
            <w:pPr>
              <w:keepNext/>
              <w:keepLines/>
              <w:rPr>
                <w:lang w:val="es-ES"/>
              </w:rPr>
            </w:pPr>
            <w:r w:rsidRPr="00E71B56">
              <w:rPr>
                <w:lang w:val="es-ES"/>
              </w:rPr>
              <w:t xml:space="preserve">Las tres ediciones del </w:t>
            </w:r>
            <w:hyperlink r:id="rId234" w:history="1">
              <w:r w:rsidRPr="00E71B56">
                <w:rPr>
                  <w:rStyle w:val="Hyperlink"/>
                  <w:b/>
                  <w:bCs/>
                  <w:lang w:val="es-ES"/>
                </w:rPr>
                <w:t>Simposio sobre los Indicadores de las Telecomunicaciones/TIC Mundiales (WTIS)</w:t>
              </w:r>
            </w:hyperlink>
            <w:r w:rsidRPr="00E71B56">
              <w:rPr>
                <w:b/>
                <w:bCs/>
                <w:lang w:val="es-ES"/>
              </w:rPr>
              <w:t xml:space="preserve"> </w:t>
            </w:r>
            <w:r w:rsidRPr="00E71B56">
              <w:rPr>
                <w:lang w:val="es-ES"/>
              </w:rPr>
              <w:t>de 2023, 2024 y 2025 reforzaron aún más su condición de foro mundial rector para las estadísticas en materia de desarrollo digital. Reuniendo a responsables de formular políticas, organismos reguladores, estadísticos e investigadores de todo el mundo, el WTIS tiene por objeto promover la formulación de políticas de base empírica e impulsar la agenda mundial sobre estadísticas de las TIC al identificar las necesidades que se han de medir, desarrollar nuevos métodos de medición, explorar modelos de financiación y demostrar las buenas prácticas. Con motivo de su 20.º aniversario desde la primera edición en 1996, el </w:t>
            </w:r>
            <w:hyperlink r:id="rId235">
              <w:r w:rsidRPr="00E71B56">
                <w:rPr>
                  <w:rStyle w:val="Hyperlink"/>
                  <w:lang w:val="es-ES"/>
                </w:rPr>
                <w:t>WTIS</w:t>
              </w:r>
              <w:r w:rsidRPr="00E71B56">
                <w:rPr>
                  <w:rStyle w:val="Hyperlink"/>
                  <w:lang w:val="es-ES"/>
                </w:rPr>
                <w:noBreakHyphen/>
                <w:t>25</w:t>
              </w:r>
            </w:hyperlink>
            <w:r w:rsidRPr="00E71B56">
              <w:rPr>
                <w:u w:val="single"/>
                <w:lang w:val="es-ES"/>
              </w:rPr>
              <w:t xml:space="preserve"> </w:t>
            </w:r>
            <w:r w:rsidRPr="00E71B56">
              <w:rPr>
                <w:lang w:val="es-ES"/>
              </w:rPr>
              <w:t>se celebró con el tema "SMIT@20: pasado, presente y futuro de las estadísticas de desarrollo digital", y atrajo a 270 participantes de 85 países. En él se destacaron las actuales prioridades y las nuevas necesidades de datos en un panorama en constante evolución.</w:t>
            </w:r>
            <w:hyperlink r:id="rId236"/>
            <w:hyperlink r:id="rId237"/>
          </w:p>
          <w:p w14:paraId="27B56829" w14:textId="77777777" w:rsidR="00BD155E" w:rsidRPr="00E71B56" w:rsidRDefault="00BD155E" w:rsidP="00A372FB">
            <w:pPr>
              <w:rPr>
                <w:lang w:val="es-ES"/>
              </w:rPr>
            </w:pPr>
            <w:r w:rsidRPr="00E71B56">
              <w:rPr>
                <w:lang w:val="es-ES"/>
              </w:rPr>
              <w:t>Las tres ediciones del WTIS de 2023, 2024 y 2025 reforzaron aún más su condición de foro mundial rector para las estadísticas en materia de desarrollo digital. Reuniendo a responsables de formular políticas, organismos reguladores, estadísticos e investigadores de todo el mundo, el WTIS promueve el diálogo sobre la manera en la que los datos pueden impulsar la transformación digital inclusiva y sostenible.</w:t>
            </w:r>
          </w:p>
          <w:p w14:paraId="7569A7EF" w14:textId="77777777" w:rsidR="00BD155E" w:rsidRPr="00E71B56" w:rsidRDefault="00BD155E" w:rsidP="00A372FB">
            <w:pPr>
              <w:rPr>
                <w:lang w:val="es-ES"/>
              </w:rPr>
            </w:pPr>
            <w:r w:rsidRPr="00E71B56">
              <w:rPr>
                <w:lang w:val="es-ES"/>
              </w:rPr>
              <w:t>La contribución de la UIT como socio para el conocimiento al Grupo de Trabajo sobre Economía Digital del G20 también ilustró la relación entre los datos y la acción política, dado que el marco de la conectividad universal y efectiva se anexó a la Declaración Ministerial. El 20.º aniversario de la Asociación para la Medición de las TIC para el Desarrollo también demostró la importancia de la colaboración mundial, reafirmando el papel central de la BDT en la creación de estadísticas como base para la transformación digital inclusiva y sostenible.</w:t>
            </w:r>
          </w:p>
          <w:p w14:paraId="715C811E" w14:textId="77777777" w:rsidR="00BD155E" w:rsidRPr="00E71B56" w:rsidRDefault="00BD155E" w:rsidP="00A372FB">
            <w:pPr>
              <w:rPr>
                <w:lang w:val="es-ES"/>
              </w:rPr>
            </w:pPr>
            <w:r w:rsidRPr="00E71B56">
              <w:rPr>
                <w:lang w:val="es-ES"/>
              </w:rPr>
              <w:t xml:space="preserve">Puesto en marcha en 2023 y operativo hasta 2027, el proyecto sobre la </w:t>
            </w:r>
            <w:hyperlink r:id="rId238" w:history="1">
              <w:r w:rsidRPr="00E71B56">
                <w:rPr>
                  <w:rStyle w:val="Hyperlink"/>
                  <w:lang w:val="es-ES"/>
                </w:rPr>
                <w:t>promoción y medición de la conectividad universal y efectiva</w:t>
              </w:r>
            </w:hyperlink>
            <w:r w:rsidRPr="00E71B56">
              <w:rPr>
                <w:lang w:val="es-ES"/>
              </w:rPr>
              <w:t xml:space="preserve">, financiado por la Unión Europea, promueve la conectividad universal y efectiva como imperativo político, refuerza la medición y el uso de las estadísticas de TIC, respalda la </w:t>
            </w:r>
            <w:r w:rsidRPr="00E71B56">
              <w:rPr>
                <w:lang w:val="es-ES"/>
              </w:rPr>
              <w:lastRenderedPageBreak/>
              <w:t>formulación de políticas con base empírica y ayuda a los países a supervisar los avances hacia la conectividad universal y efectiva, mediante actividades de defensa, talleres, herramientas e investigación.</w:t>
            </w:r>
            <w:hyperlink r:id="rId239"/>
          </w:p>
          <w:p w14:paraId="04D26180" w14:textId="77777777" w:rsidR="00BD155E" w:rsidRPr="00E71B56" w:rsidRDefault="00BD155E" w:rsidP="00A372FB">
            <w:pPr>
              <w:rPr>
                <w:lang w:val="es-ES"/>
              </w:rPr>
            </w:pPr>
            <w:r w:rsidRPr="00E71B56">
              <w:rPr>
                <w:lang w:val="es-ES"/>
              </w:rPr>
              <w:t xml:space="preserve">En </w:t>
            </w:r>
            <w:r w:rsidRPr="00E71B56">
              <w:rPr>
                <w:b/>
                <w:bCs/>
                <w:lang w:val="es-ES"/>
              </w:rPr>
              <w:t>África</w:t>
            </w:r>
            <w:r w:rsidRPr="00E71B56">
              <w:rPr>
                <w:lang w:val="es-ES"/>
              </w:rPr>
              <w:t>, la BDT facilitó un taller consultivo de múltiples partes interesadas con la Asociación de Organismos Reguladores de las Comunicaciones de África Meridional (CRASA), bajo los auspicios de la SADC, donde se definieron nuevos objetivos en materia de banda ancha para el periodo 2025</w:t>
            </w:r>
            <w:r w:rsidRPr="00E71B56">
              <w:rPr>
                <w:lang w:val="es-ES"/>
              </w:rPr>
              <w:noBreakHyphen/>
              <w:t>2030. En el taller se examinaron los desafíos relacionados con el desarrollo de la banda ancha y la recopilación de datos y la UIT ofreció pautas para conseguir mejores datos para la medición de las TIC en la región.</w:t>
            </w:r>
          </w:p>
          <w:p w14:paraId="15F319E2" w14:textId="77777777" w:rsidR="00BD155E" w:rsidRPr="00E71B56" w:rsidRDefault="00BD155E" w:rsidP="00A372FB">
            <w:pPr>
              <w:keepNext/>
              <w:keepLines/>
              <w:rPr>
                <w:lang w:val="es-ES"/>
              </w:rPr>
            </w:pPr>
            <w:r w:rsidRPr="00E71B56">
              <w:rPr>
                <w:lang w:val="es-ES"/>
              </w:rPr>
              <w:t>La BDT, en colaboración con la Secretaría de la SADC y el Banco Mundial, organizaron conjuntamente en África un taller regional sobre el uso de los datos de telefonía móvil para las estadísticas oficiales y las aplicaciones de política. El taller congregó a oficinas nacionales de estadística, organismos reguladores, operadores de redes móviles y asociados para el desarrollo de toda la región con el fin de explorar el potencial de estos datos para respaldar la elaboración de información oportuna y detallada para la formulación de políticas. Los participantes recibieron una presentación sobre las buenas prácticas internacionales, las herramientas y los recursos de capacitación desarrollados en el marco de la alianza entre Global Data Facility y la UIT y se examinaron las oportunidades y desafíos relativos a la implementación de sistemas de datos de telefonía móvil en el contexto de la SADC. El evento fomentó el diálogo sobre los mecanismos de colaboración, el acceso a los datos y los marcos de gobernanza necesarios para desbloquear el valor de estos datos en favor del desarrollo sostenible.</w:t>
            </w:r>
          </w:p>
          <w:p w14:paraId="2A34B74A" w14:textId="77777777" w:rsidR="00BD155E" w:rsidRPr="00E71B56" w:rsidRDefault="00BD155E" w:rsidP="00A372FB">
            <w:pPr>
              <w:rPr>
                <w:lang w:val="es-ES"/>
              </w:rPr>
            </w:pPr>
            <w:r w:rsidRPr="00E71B56">
              <w:rPr>
                <w:lang w:val="es-ES"/>
              </w:rPr>
              <w:t>La Secretaría de la SADC organizó un taller regional sobre los indicadores de TIC en Kinshasa (</w:t>
            </w:r>
            <w:r w:rsidRPr="00E71B56">
              <w:rPr>
                <w:b/>
                <w:bCs/>
                <w:lang w:val="es-ES"/>
              </w:rPr>
              <w:t>República Democrática del Congo</w:t>
            </w:r>
            <w:r w:rsidRPr="00E71B56">
              <w:rPr>
                <w:lang w:val="es-ES"/>
              </w:rPr>
              <w:t>). El evento reunió a representantes de los Estados Miembros de la SADC para fortalecer la capacidad relativa a la recopilación, la armonización y el uso de las estadísticas de TIC para la formulación de políticas con base empírica. La UIT contribuyó mediante la presentación de su labor mundial en materia de estadísticas de TIC, destacando las iniciativas en curso en el marco de la Semana de las Estadísticas de TIC y proporcionando información actualizada sobre los avances y recursos metodológicos para respaldar la producción de estadísticas sobre las TIC en los hogares. El taller sirvió de plataforma para intercambiar experiencias, adaptar los enfoques regionales a las normas internacionales y reforzar el papel de los indicadores de TIC respecto de la supervisión de la transformación digital en toda la región de la SADC.</w:t>
            </w:r>
          </w:p>
          <w:p w14:paraId="43685099" w14:textId="77777777" w:rsidR="00BD155E" w:rsidRPr="00E71B56" w:rsidRDefault="00BD155E" w:rsidP="00A372FB">
            <w:pPr>
              <w:rPr>
                <w:lang w:val="es-ES"/>
              </w:rPr>
            </w:pPr>
            <w:r w:rsidRPr="00E71B56">
              <w:rPr>
                <w:lang w:val="es-ES"/>
              </w:rPr>
              <w:lastRenderedPageBreak/>
              <w:t xml:space="preserve">En la </w:t>
            </w:r>
            <w:r w:rsidRPr="00E71B56">
              <w:rPr>
                <w:b/>
                <w:bCs/>
                <w:lang w:val="es-ES"/>
              </w:rPr>
              <w:t>región de Asia-Pacífico</w:t>
            </w:r>
            <w:r w:rsidRPr="00E71B56">
              <w:rPr>
                <w:lang w:val="es-ES"/>
              </w:rPr>
              <w:t xml:space="preserve">, la BDT impartió una serie de talleres nacionales, que reforzaron la recopilación de datos tanto administrativos como de los hogares, integrando las prácticas idóneas internacionales en los sistemas públicos. Los PEID también recibieron apoyo, al abordar los desafíos específicos que estos experimentaban en el ámbito de la conectividad y la prestación de servicios. Asimismo, la BDT prestó apoyo en relación con los datos de telefonía móvil para las estadísticas en </w:t>
            </w:r>
            <w:r w:rsidRPr="00E71B56">
              <w:rPr>
                <w:b/>
                <w:bCs/>
                <w:lang w:val="es-ES"/>
              </w:rPr>
              <w:t xml:space="preserve">Malasia </w:t>
            </w:r>
            <w:r w:rsidRPr="00E71B56">
              <w:rPr>
                <w:lang w:val="es-ES"/>
              </w:rPr>
              <w:t xml:space="preserve">y </w:t>
            </w:r>
            <w:r w:rsidRPr="00E71B56">
              <w:rPr>
                <w:b/>
                <w:bCs/>
                <w:lang w:val="es-ES"/>
              </w:rPr>
              <w:t>Mongolia</w:t>
            </w:r>
            <w:r w:rsidRPr="00E71B56">
              <w:rPr>
                <w:lang w:val="es-ES"/>
              </w:rPr>
              <w:t xml:space="preserve">. La BDT organizó un taller sobre la promoción y medición de la conectividad universal y efectiva, celebrado en </w:t>
            </w:r>
            <w:r w:rsidRPr="00E71B56">
              <w:rPr>
                <w:b/>
                <w:bCs/>
                <w:lang w:val="es-ES"/>
              </w:rPr>
              <w:t>Tailandia</w:t>
            </w:r>
            <w:r w:rsidRPr="00E71B56">
              <w:rPr>
                <w:lang w:val="es-ES"/>
              </w:rPr>
              <w:t xml:space="preserve">, y un taller celebrado en </w:t>
            </w:r>
            <w:r w:rsidRPr="00E71B56">
              <w:rPr>
                <w:b/>
                <w:bCs/>
                <w:lang w:val="es-ES"/>
              </w:rPr>
              <w:t>Palau</w:t>
            </w:r>
            <w:r w:rsidRPr="00E71B56">
              <w:rPr>
                <w:lang w:val="es-ES"/>
              </w:rPr>
              <w:t>. Ambos talleres fueron respaldados por el proyecto de la Unión Europea sobre la promoción y medición de la conectividad digital universal y efectiva</w:t>
            </w:r>
            <w:r w:rsidRPr="00E71B56">
              <w:rPr>
                <w:i/>
                <w:iCs/>
                <w:lang w:val="es-ES"/>
              </w:rPr>
              <w:t>,</w:t>
            </w:r>
            <w:r w:rsidRPr="00E71B56">
              <w:rPr>
                <w:lang w:val="es-ES"/>
              </w:rPr>
              <w:t xml:space="preserve"> y el taller en </w:t>
            </w:r>
            <w:r w:rsidRPr="00E71B56">
              <w:rPr>
                <w:b/>
                <w:bCs/>
                <w:lang w:val="es-ES"/>
              </w:rPr>
              <w:t>Palau</w:t>
            </w:r>
            <w:r w:rsidRPr="00E71B56">
              <w:rPr>
                <w:lang w:val="es-ES"/>
              </w:rPr>
              <w:t xml:space="preserve"> también contó con el respaldo del proyecto del Fondo Conjunto para los ODS titulado "Acelerar el logro de los ODS mediante la transformación digital para reforzar la resiliencia de las comunidades en Micronesia"</w:t>
            </w:r>
            <w:r w:rsidRPr="00E71B56">
              <w:rPr>
                <w:i/>
                <w:iCs/>
                <w:lang w:val="es-ES"/>
              </w:rPr>
              <w:t>.</w:t>
            </w:r>
            <w:r w:rsidRPr="00E71B56">
              <w:rPr>
                <w:lang w:val="es-ES"/>
              </w:rPr>
              <w:t xml:space="preserve"> Estos talleres promovieron el concepto de la conectividad universal y efectiva, mejoraron la capacidad estadística de los países en las subregiones para producir y difundir datos estadísticos pertinentes, y destacaron la manera de utilizar los datos para identificar buenas prácticas y recomendaciones políticas.</w:t>
            </w:r>
          </w:p>
          <w:p w14:paraId="13E8D8B3" w14:textId="77777777" w:rsidR="00BD155E" w:rsidRPr="00E71B56" w:rsidRDefault="00BD155E" w:rsidP="00A372FB">
            <w:pPr>
              <w:rPr>
                <w:lang w:val="es-ES"/>
              </w:rPr>
            </w:pPr>
            <w:r w:rsidRPr="00E71B56">
              <w:rPr>
                <w:lang w:val="es-ES"/>
              </w:rPr>
              <w:t xml:space="preserve">En la </w:t>
            </w:r>
            <w:r w:rsidRPr="00E71B56">
              <w:rPr>
                <w:b/>
                <w:bCs/>
                <w:lang w:val="es-ES"/>
              </w:rPr>
              <w:t>región de las Américas</w:t>
            </w:r>
            <w:r w:rsidRPr="00E71B56">
              <w:rPr>
                <w:lang w:val="es-ES"/>
              </w:rPr>
              <w:t xml:space="preserve">, </w:t>
            </w:r>
            <w:r w:rsidRPr="00E71B56">
              <w:rPr>
                <w:b/>
                <w:bCs/>
                <w:lang w:val="es-ES"/>
              </w:rPr>
              <w:t>Brasil</w:t>
            </w:r>
            <w:r w:rsidRPr="00E71B56">
              <w:rPr>
                <w:lang w:val="es-ES"/>
              </w:rPr>
              <w:t xml:space="preserve">, en colaboración con la BDT, celebró sesiones de formación sobre los sistemas de información geográfica y la cartografía de la banda ancha, proporcionando a los organismos nacionales herramientas prácticas para supervisar y evaluar el despliegue de infraestructuras. En </w:t>
            </w:r>
            <w:r w:rsidRPr="00E71B56">
              <w:rPr>
                <w:b/>
                <w:bCs/>
                <w:lang w:val="es-ES"/>
              </w:rPr>
              <w:t xml:space="preserve">Colombia </w:t>
            </w:r>
            <w:r w:rsidRPr="00E71B56">
              <w:rPr>
                <w:lang w:val="es-ES"/>
              </w:rPr>
              <w:t xml:space="preserve">y la </w:t>
            </w:r>
            <w:r w:rsidRPr="00E71B56">
              <w:rPr>
                <w:b/>
                <w:bCs/>
                <w:lang w:val="es-ES"/>
              </w:rPr>
              <w:t>República Dominicana</w:t>
            </w:r>
            <w:r w:rsidRPr="00E71B56">
              <w:rPr>
                <w:lang w:val="es-ES"/>
              </w:rPr>
              <w:t xml:space="preserve">, la BDT prestó asistencia para ampliar sus correspondientes observatorios digitales nacionales, que permitían a los indicadores en tiempo real sentaran las bases de las decisiones políticas y reglamentarias. En el </w:t>
            </w:r>
            <w:r w:rsidRPr="00E71B56">
              <w:rPr>
                <w:b/>
                <w:bCs/>
                <w:lang w:val="es-ES"/>
              </w:rPr>
              <w:t>Caribe</w:t>
            </w:r>
            <w:r w:rsidRPr="00E71B56">
              <w:rPr>
                <w:lang w:val="es-ES"/>
              </w:rPr>
              <w:t xml:space="preserve">, la BDT coordinó los estudios de asequibilidad llevados a cabo de manera colectiva en varios países, que arrojaron resultados en los que se basaron directamente ajustes en los marcos reglamentarios, y las políticas del servicio universal. Los </w:t>
            </w:r>
            <w:hyperlink r:id="rId240" w:history="1">
              <w:r w:rsidRPr="00E71B56">
                <w:rPr>
                  <w:rStyle w:val="Hyperlink"/>
                  <w:lang w:val="es-ES"/>
                </w:rPr>
                <w:t>Coloquios de Política y Economía de la UIT</w:t>
              </w:r>
            </w:hyperlink>
            <w:r w:rsidRPr="00E71B56">
              <w:rPr>
                <w:lang w:val="es-ES"/>
              </w:rPr>
              <w:t xml:space="preserve">, facilitados por la BDT, incorporaron los conjuntos de datos de la UIT en los debates sobre los precios del espectro y las inversiones, garantizando la incorporación de las pruebas estadísticas en la formulación de las políticas económicas regionales. En la </w:t>
            </w:r>
            <w:r w:rsidRPr="00E71B56">
              <w:rPr>
                <w:b/>
                <w:bCs/>
                <w:lang w:val="es-ES"/>
              </w:rPr>
              <w:t>región de los Estados Árabes</w:t>
            </w:r>
            <w:r w:rsidRPr="00E71B56">
              <w:rPr>
                <w:lang w:val="es-ES"/>
              </w:rPr>
              <w:t xml:space="preserve">, la BDT prestó apoyo a la integración de las estadísticas de TIC en las prioridades nacionales generales. En </w:t>
            </w:r>
            <w:r w:rsidRPr="00E71B56">
              <w:rPr>
                <w:b/>
                <w:bCs/>
                <w:lang w:val="es-ES"/>
              </w:rPr>
              <w:t>Djibouti</w:t>
            </w:r>
            <w:r w:rsidRPr="00E71B56">
              <w:rPr>
                <w:lang w:val="es-ES"/>
              </w:rPr>
              <w:t xml:space="preserve"> y </w:t>
            </w:r>
            <w:r w:rsidRPr="00E71B56">
              <w:rPr>
                <w:b/>
                <w:bCs/>
                <w:lang w:val="es-ES"/>
              </w:rPr>
              <w:t>Somalia</w:t>
            </w:r>
            <w:r w:rsidRPr="00E71B56">
              <w:rPr>
                <w:lang w:val="es-ES"/>
              </w:rPr>
              <w:t xml:space="preserve">, la recopilación de datos de TIC se incorporó en los proyectos piloto de GovStack, garantizando que los servicios digitales, como los expedientes educativos y los sistemas administrativos, se pusieran en marcha con estadísticas de uso fiables. En la </w:t>
            </w:r>
            <w:r w:rsidRPr="00E71B56">
              <w:rPr>
                <w:b/>
                <w:bCs/>
                <w:lang w:val="es-ES"/>
              </w:rPr>
              <w:t>República Árabe Siria</w:t>
            </w:r>
            <w:r w:rsidRPr="00E71B56">
              <w:rPr>
                <w:lang w:val="es-ES"/>
              </w:rPr>
              <w:t xml:space="preserve">, se prestó asistencia para la finalización de un examen del mercado de las TIC, adaptando los parámetros de asequibilidad de la UIT a las políticas nacionales de precios. En </w:t>
            </w:r>
            <w:r w:rsidRPr="00E71B56">
              <w:rPr>
                <w:b/>
                <w:bCs/>
                <w:lang w:val="es-ES"/>
              </w:rPr>
              <w:t xml:space="preserve">Omán </w:t>
            </w:r>
            <w:r w:rsidRPr="00E71B56">
              <w:rPr>
                <w:lang w:val="es-ES"/>
              </w:rPr>
              <w:t xml:space="preserve">y </w:t>
            </w:r>
            <w:r w:rsidRPr="00E71B56">
              <w:rPr>
                <w:b/>
                <w:bCs/>
                <w:lang w:val="es-ES"/>
              </w:rPr>
              <w:t>Qatar</w:t>
            </w:r>
            <w:r w:rsidRPr="00E71B56">
              <w:rPr>
                <w:lang w:val="es-ES"/>
              </w:rPr>
              <w:t xml:space="preserve">, </w:t>
            </w:r>
            <w:r w:rsidRPr="00E71B56">
              <w:rPr>
                <w:lang w:val="es-ES"/>
              </w:rPr>
              <w:lastRenderedPageBreak/>
              <w:t xml:space="preserve">la BDT impartió a los organismos reguladores formación sobre las técnicas de encuesta a los hogares, mejorando la calidad de las estadísticas oficiales. En paralelo, </w:t>
            </w:r>
            <w:r w:rsidRPr="00E71B56">
              <w:rPr>
                <w:b/>
                <w:bCs/>
                <w:lang w:val="es-ES"/>
              </w:rPr>
              <w:t>Egipto</w:t>
            </w:r>
            <w:r w:rsidRPr="00E71B56">
              <w:rPr>
                <w:lang w:val="es-ES"/>
              </w:rPr>
              <w:t xml:space="preserve"> recibió apoyo respecto de la integración de análisis estadísticos en sus programas sobre ciudades inteligentes, demostrando la manera en la que los datos podían orientar la implementación de iniciativas digitales avanzadas. El Taller Regional para los Estados Árabes sobre la promoción y medición de la conectividad universal y efectiva celebrado en 2024 mejoró los conocimientos y capacidades de 86 participantes respecto de los indicadores de TIC relativos a la conectividad universal y efectiva y las metas de política, en particular los desafíos que afrontaban los Estados Miembros de la UIT en la esfera de la recopilación de datos para los indicadores de la conectividad universal y efectiva.</w:t>
            </w:r>
            <w:hyperlink r:id="rId241"/>
          </w:p>
          <w:p w14:paraId="66CDF9B5" w14:textId="77777777" w:rsidR="00BD155E" w:rsidRPr="00E71B56" w:rsidRDefault="00BD155E" w:rsidP="00A372FB">
            <w:pPr>
              <w:rPr>
                <w:lang w:val="es-ES"/>
              </w:rPr>
            </w:pPr>
            <w:r w:rsidRPr="00E71B56">
              <w:rPr>
                <w:lang w:val="es-ES"/>
              </w:rPr>
              <w:t xml:space="preserve">En la </w:t>
            </w:r>
            <w:r w:rsidRPr="00E71B56">
              <w:rPr>
                <w:b/>
                <w:bCs/>
                <w:lang w:val="es-ES"/>
              </w:rPr>
              <w:t>región de Europa</w:t>
            </w:r>
            <w:r w:rsidRPr="00E71B56">
              <w:rPr>
                <w:lang w:val="es-ES"/>
              </w:rPr>
              <w:t xml:space="preserve">, la BDT hizo énfasis en la innovación metodológica y el uso de los datos para impulsar el desarrollo de las TIC. </w:t>
            </w:r>
            <w:r w:rsidRPr="00E71B56">
              <w:rPr>
                <w:b/>
                <w:bCs/>
                <w:lang w:val="es-ES"/>
              </w:rPr>
              <w:t>Bosnia y Herzegovina</w:t>
            </w:r>
            <w:r w:rsidRPr="00E71B56">
              <w:rPr>
                <w:lang w:val="es-ES"/>
              </w:rPr>
              <w:t xml:space="preserve">, </w:t>
            </w:r>
            <w:r w:rsidRPr="00E71B56">
              <w:rPr>
                <w:b/>
                <w:bCs/>
                <w:lang w:val="es-ES"/>
              </w:rPr>
              <w:t xml:space="preserve">Montenegro </w:t>
            </w:r>
            <w:r w:rsidRPr="00E71B56">
              <w:rPr>
                <w:lang w:val="es-ES"/>
              </w:rPr>
              <w:t>y</w:t>
            </w:r>
            <w:r w:rsidRPr="00E71B56">
              <w:rPr>
                <w:b/>
                <w:bCs/>
                <w:lang w:val="es-ES"/>
              </w:rPr>
              <w:t xml:space="preserve"> Serbia </w:t>
            </w:r>
            <w:r w:rsidRPr="00E71B56">
              <w:rPr>
                <w:lang w:val="es-ES"/>
              </w:rPr>
              <w:t>se beneficiaron de los Perfiles Nacionales de Desarrollo Digital preparados con el apoyo de la BDT, que consolidaban los datos relativos a la asequibilidad, las evaluaciones de políticas y los indicadores nacionales en informes exhaustivos. Por conducto del proyecto UIT</w:t>
            </w:r>
            <w:r w:rsidRPr="00E71B56">
              <w:rPr>
                <w:lang w:val="es-ES"/>
              </w:rPr>
              <w:noBreakHyphen/>
              <w:t xml:space="preserve">EMERG-EAPEREG, la BDT formó a más de 100 profesionales sobre la formulación de políticas con base empírica, fortaleciendo los conocimientos técnicos regionales. En colaboración con la Universidad de Maastricht, la BDT puso en marcha la primera Escuela de Verano sobre la elaboración de políticas de base empírica en 2025, que presentó nuevos enfoques para medir las tecnologías emergentes, incluida la inteligencia artificial. Ese mismo año, la BDT ayudó a </w:t>
            </w:r>
            <w:r w:rsidRPr="00E71B56">
              <w:rPr>
                <w:b/>
                <w:bCs/>
                <w:lang w:val="es-ES"/>
              </w:rPr>
              <w:t>Montenegro</w:t>
            </w:r>
            <w:r w:rsidRPr="00E71B56">
              <w:rPr>
                <w:lang w:val="es-ES"/>
              </w:rPr>
              <w:t xml:space="preserve"> a acoger al </w:t>
            </w:r>
            <w:hyperlink r:id="rId242" w:history="1">
              <w:r w:rsidRPr="00E71B56">
                <w:rPr>
                  <w:rStyle w:val="Hyperlink"/>
                  <w:lang w:val="es-ES"/>
                </w:rPr>
                <w:t>Acelerador de Iniciativas Regionales</w:t>
              </w:r>
            </w:hyperlink>
            <w:r w:rsidRPr="00E71B56">
              <w:rPr>
                <w:lang w:val="es-ES"/>
              </w:rPr>
              <w:t xml:space="preserve">, en cuyo marco se aplicaron las estadísticas de TIC para dar forma a conceptos de proyectos de un valor de 20 millones USD para los </w:t>
            </w:r>
            <w:r w:rsidRPr="00E71B56">
              <w:rPr>
                <w:b/>
                <w:bCs/>
                <w:lang w:val="es-ES"/>
              </w:rPr>
              <w:t>Balcanes Occidentales</w:t>
            </w:r>
            <w:r w:rsidRPr="00E71B56">
              <w:rPr>
                <w:lang w:val="es-ES"/>
              </w:rPr>
              <w:t>, vinculando directamente los datos con las prioridades de inversión.</w:t>
            </w:r>
            <w:hyperlink r:id="rId243"/>
          </w:p>
          <w:p w14:paraId="06F174D1" w14:textId="77777777" w:rsidR="00BD155E" w:rsidRPr="00E71B56" w:rsidRDefault="00BD155E" w:rsidP="00A372FB">
            <w:pPr>
              <w:keepNext/>
              <w:keepLines/>
              <w:spacing w:after="120"/>
              <w:rPr>
                <w:lang w:val="es-ES"/>
              </w:rPr>
            </w:pPr>
            <w:r w:rsidRPr="00E71B56">
              <w:rPr>
                <w:lang w:val="es-ES"/>
              </w:rPr>
              <w:lastRenderedPageBreak/>
              <w:t>En la</w:t>
            </w:r>
            <w:r w:rsidRPr="00E71B56">
              <w:rPr>
                <w:b/>
                <w:bCs/>
                <w:lang w:val="es-ES"/>
              </w:rPr>
              <w:t xml:space="preserve"> región de la CEI</w:t>
            </w:r>
            <w:r w:rsidRPr="00E71B56">
              <w:rPr>
                <w:lang w:val="es-ES"/>
              </w:rPr>
              <w:t xml:space="preserve">, la BDT se centró en integrar las estadísticas en la gobernanza, en el plano tanto nacional como local. En 2024, </w:t>
            </w:r>
            <w:r w:rsidRPr="00E71B56">
              <w:rPr>
                <w:b/>
                <w:bCs/>
                <w:lang w:val="es-ES"/>
              </w:rPr>
              <w:t xml:space="preserve">Kirguistán </w:t>
            </w:r>
            <w:r w:rsidRPr="00E71B56">
              <w:rPr>
                <w:lang w:val="es-ES"/>
              </w:rPr>
              <w:t xml:space="preserve">celebró un taller respaldado por la BDT sobre el desarrollo impulsado por los datos, en cuyo marco formó a funcionarios públicos sobre la aplicación de los indicadores de TIC a los procesos de planificación. </w:t>
            </w:r>
            <w:r w:rsidRPr="00E71B56">
              <w:rPr>
                <w:b/>
                <w:bCs/>
                <w:lang w:val="es-ES"/>
              </w:rPr>
              <w:t xml:space="preserve">Armenia </w:t>
            </w:r>
            <w:r w:rsidRPr="00E71B56">
              <w:rPr>
                <w:lang w:val="es-ES"/>
              </w:rPr>
              <w:t xml:space="preserve">lo siguió en 2025 con la celebración de un taller sobre las evaluaciones de la calidad de servicio, que mejoró la capacidad de supervisión nacional. </w:t>
            </w:r>
            <w:r w:rsidRPr="00E71B56">
              <w:rPr>
                <w:b/>
                <w:bCs/>
                <w:lang w:val="es-ES"/>
              </w:rPr>
              <w:t xml:space="preserve">Belarús </w:t>
            </w:r>
            <w:r w:rsidRPr="00E71B56">
              <w:rPr>
                <w:lang w:val="es-ES"/>
              </w:rPr>
              <w:t xml:space="preserve">amplió la formación de funcionarios municipales, con el apoyo de la BDT, permitiendo que la recopilación de datos locales alimentase los sistemas nacionales, mejorando con ello la fiabilidad y el nivel de detalle de los datos. Un taller llevado a cabo en toda la región sobre las estadísticas de TIC permitió impulsar las capacidades de una serie de países respecto de la recopilación y el análisis de datos, y mejoró las presentaciones y las actualizaciones metodológicas dando lugar a una mejora de la calidad de los datos para la toma de decisiones. A nivel local, el concurso Batken 4.0 en </w:t>
            </w:r>
            <w:r w:rsidRPr="00E71B56">
              <w:rPr>
                <w:b/>
                <w:bCs/>
                <w:lang w:val="es-ES"/>
              </w:rPr>
              <w:t xml:space="preserve">Kirguistán </w:t>
            </w:r>
            <w:r w:rsidRPr="00E71B56">
              <w:rPr>
                <w:lang w:val="es-ES"/>
              </w:rPr>
              <w:t>reflejó la manera en la que se podían aplicar marcos estadísticos contundentes para respaldar las soluciones digitales innovadoras diseñadas para atender las necesidades comunitarias, demostrando la relación entre la práctica local y la estrategia nacional.</w:t>
            </w:r>
          </w:p>
        </w:tc>
        <w:tc>
          <w:tcPr>
            <w:tcW w:w="3323" w:type="dxa"/>
          </w:tcPr>
          <w:p w14:paraId="781B2427" w14:textId="77777777" w:rsidR="00BD155E" w:rsidRPr="00E71B56" w:rsidRDefault="00BD155E" w:rsidP="00A372FB">
            <w:pPr>
              <w:keepNext/>
              <w:keepLines/>
              <w:rPr>
                <w:b/>
                <w:bCs/>
                <w:color w:val="0070C0"/>
                <w:lang w:val="es-ES"/>
              </w:rPr>
            </w:pPr>
            <w:r w:rsidRPr="00E71B56">
              <w:rPr>
                <w:b/>
                <w:bCs/>
                <w:color w:val="0070C0"/>
                <w:lang w:val="es-ES"/>
              </w:rPr>
              <w:lastRenderedPageBreak/>
              <w:t>Serie de medición del desarrollo digital:</w:t>
            </w:r>
          </w:p>
          <w:p w14:paraId="4446EF25"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 xml:space="preserve">Se publicó un nuevo Índice de Desarrollo de las TIC, con una metodología desarrollada por conducto del GEIT y </w:t>
            </w:r>
            <w:r w:rsidRPr="00E71B56">
              <w:rPr>
                <w:lang w:val="es-ES"/>
              </w:rPr>
              <w:lastRenderedPageBreak/>
              <w:t>el GEH en consulta con los Estados Miembros.</w:t>
            </w:r>
          </w:p>
          <w:p w14:paraId="70512565"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 xml:space="preserve">Se amplió la publicación </w:t>
            </w:r>
            <w:r w:rsidRPr="00E71B56">
              <w:rPr>
                <w:i/>
                <w:iCs/>
                <w:lang w:val="es-ES"/>
              </w:rPr>
              <w:t>Hechos y cifras</w:t>
            </w:r>
            <w:r w:rsidRPr="00E71B56">
              <w:rPr>
                <w:lang w:val="es-ES"/>
              </w:rPr>
              <w:t xml:space="preserve"> con las ediciones de los PMA, los PEID y los PDSL.</w:t>
            </w:r>
          </w:p>
          <w:p w14:paraId="7414946A"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Se publicó una serie de seis volúmenes titulada "Situación del desarrollo digital y tendencias" para las RPR de la CMDT-25.</w:t>
            </w:r>
          </w:p>
          <w:p w14:paraId="548EA91B" w14:textId="77777777" w:rsidR="00BD155E" w:rsidRPr="00E71B56" w:rsidRDefault="00BD155E" w:rsidP="00A372FB">
            <w:pPr>
              <w:keepNext/>
              <w:keepLines/>
              <w:rPr>
                <w:b/>
                <w:bCs/>
                <w:color w:val="0070C0"/>
                <w:lang w:val="es-ES"/>
              </w:rPr>
            </w:pPr>
            <w:r w:rsidRPr="00E71B56">
              <w:rPr>
                <w:b/>
                <w:bCs/>
                <w:color w:val="0070C0"/>
                <w:lang w:val="es-ES"/>
              </w:rPr>
              <w:t>Presencia digital y herramientas de productividad:</w:t>
            </w:r>
          </w:p>
          <w:p w14:paraId="7FFA61B9"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Se mejoró y enriqueció continuamente el Centro de Datos de la UIT con más datos, paneles temáticos, visualizaciones y herramientas de consulta.</w:t>
            </w:r>
          </w:p>
          <w:p w14:paraId="4383EC25" w14:textId="77777777" w:rsidR="00BD155E" w:rsidRPr="00E71B56" w:rsidRDefault="00BD155E" w:rsidP="00A372FB">
            <w:pPr>
              <w:keepNext/>
              <w:keepLines/>
              <w:rPr>
                <w:b/>
                <w:bCs/>
                <w:color w:val="0070C0"/>
                <w:lang w:val="es-ES"/>
              </w:rPr>
            </w:pPr>
            <w:r w:rsidRPr="00E71B56">
              <w:rPr>
                <w:b/>
                <w:bCs/>
                <w:color w:val="0070C0"/>
                <w:lang w:val="es-ES"/>
              </w:rPr>
              <w:t>Recopilación de datos y elaboración de estadísticas:</w:t>
            </w:r>
          </w:p>
          <w:p w14:paraId="37071DAF"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 xml:space="preserve">Se ampliaron los conjuntos de datos sobre precios de las TIC para </w:t>
            </w:r>
            <w:r w:rsidRPr="00E71B56">
              <w:rPr>
                <w:lang w:val="es-ES"/>
              </w:rPr>
              <w:lastRenderedPageBreak/>
              <w:t>registrar 218 economías y 5 cestas de servicios.</w:t>
            </w:r>
          </w:p>
          <w:p w14:paraId="270A9F0A"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En el Centro de Datos de la UIT figuraron más de 660 000 puntos de datos (primer trimestre de 2025).</w:t>
            </w:r>
          </w:p>
          <w:p w14:paraId="5D83FBA7" w14:textId="77777777" w:rsidR="00BD155E" w:rsidRPr="00E71B56" w:rsidRDefault="00BD155E" w:rsidP="00A372FB">
            <w:pPr>
              <w:keepNext/>
              <w:keepLines/>
              <w:rPr>
                <w:b/>
                <w:bCs/>
                <w:color w:val="0070C0"/>
                <w:lang w:val="es-ES"/>
              </w:rPr>
            </w:pPr>
            <w:r w:rsidRPr="00E71B56">
              <w:rPr>
                <w:b/>
                <w:bCs/>
                <w:color w:val="0070C0"/>
                <w:lang w:val="es-ES"/>
              </w:rPr>
              <w:t>Ciencia de datos para estadísticas oficiales:</w:t>
            </w:r>
          </w:p>
          <w:p w14:paraId="2B5A1846"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Dirección del Grupo de Tareas Especiales sobre metodologías de Datos de Telefonía Móvil del UN</w:t>
            </w:r>
            <w:r w:rsidRPr="00E71B56">
              <w:rPr>
                <w:lang w:val="es-ES"/>
              </w:rPr>
              <w:noBreakHyphen/>
              <w:t>CEBD.</w:t>
            </w:r>
          </w:p>
          <w:p w14:paraId="3A6210C5" w14:textId="77777777" w:rsidR="00BD155E" w:rsidRPr="00E71B56" w:rsidRDefault="00BD155E" w:rsidP="00A372FB">
            <w:pPr>
              <w:pStyle w:val="enumlev1"/>
              <w:keepNext/>
              <w:keepLines/>
              <w:tabs>
                <w:tab w:val="clear" w:pos="1134"/>
                <w:tab w:val="left" w:pos="330"/>
              </w:tabs>
              <w:ind w:left="329" w:hanging="329"/>
              <w:rPr>
                <w:lang w:val="es-ES"/>
              </w:rPr>
            </w:pPr>
            <w:r w:rsidRPr="00E71B56">
              <w:rPr>
                <w:lang w:val="es-ES"/>
              </w:rPr>
              <w:t>○</w:t>
            </w:r>
            <w:r w:rsidRPr="00E71B56">
              <w:rPr>
                <w:lang w:val="es-ES"/>
              </w:rPr>
              <w:tab/>
              <w:t>Se puso en marcha el proyecto de macrodatos móviles (2024) con el Banco Mundial.</w:t>
            </w:r>
          </w:p>
          <w:p w14:paraId="5F2A1926"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Proyecto piloto iniciado en 18 países con talleres de formación regionales.</w:t>
            </w:r>
          </w:p>
          <w:p w14:paraId="6D13C0DC" w14:textId="77777777" w:rsidR="00BD155E" w:rsidRPr="00E71B56" w:rsidRDefault="00BD155E" w:rsidP="00A372FB">
            <w:pPr>
              <w:keepNext/>
              <w:keepLines/>
              <w:rPr>
                <w:b/>
                <w:bCs/>
                <w:color w:val="0070C0"/>
                <w:lang w:val="es-ES"/>
              </w:rPr>
            </w:pPr>
            <w:r w:rsidRPr="00E71B56">
              <w:rPr>
                <w:b/>
                <w:bCs/>
                <w:color w:val="0070C0"/>
                <w:lang w:val="es-ES"/>
              </w:rPr>
              <w:t>Capacitación y normas estadísticas (GEIT y GEH):</w:t>
            </w:r>
          </w:p>
          <w:p w14:paraId="29DAB401"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Organización en ocho regiones</w:t>
            </w:r>
          </w:p>
          <w:p w14:paraId="46385C69"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 xml:space="preserve">Introducción de nuevos cursos de la Academia de </w:t>
            </w:r>
            <w:r w:rsidRPr="00E71B56">
              <w:rPr>
                <w:lang w:val="es-ES"/>
              </w:rPr>
              <w:lastRenderedPageBreak/>
              <w:t>la UIT sobre indicadores de TIC, encuestas y datos móviles</w:t>
            </w:r>
          </w:p>
          <w:p w14:paraId="7B3DFE02"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Publicación del Manual de Cestas de Precios de las TIC revisado y organización de talleres prácticos de índole técnica</w:t>
            </w:r>
          </w:p>
          <w:p w14:paraId="14469913" w14:textId="77777777" w:rsidR="00BD155E" w:rsidRPr="00E71B56" w:rsidRDefault="00BD155E" w:rsidP="00A372FB">
            <w:pPr>
              <w:keepNext/>
              <w:keepLines/>
              <w:rPr>
                <w:b/>
                <w:bCs/>
                <w:color w:val="0070C0"/>
                <w:lang w:val="es-ES"/>
              </w:rPr>
            </w:pPr>
            <w:r w:rsidRPr="00E71B56">
              <w:rPr>
                <w:b/>
                <w:bCs/>
                <w:color w:val="0070C0"/>
                <w:lang w:val="es-ES"/>
              </w:rPr>
              <w:t>Cooperación internacional (GEIT y GEH):</w:t>
            </w:r>
          </w:p>
          <w:p w14:paraId="736B3B9A" w14:textId="77777777" w:rsidR="00BD155E" w:rsidRPr="00E71B56" w:rsidRDefault="00BD155E" w:rsidP="00A372FB">
            <w:pPr>
              <w:pStyle w:val="enumlev1"/>
              <w:keepNext/>
              <w:keepLines/>
              <w:tabs>
                <w:tab w:val="clear" w:pos="1134"/>
                <w:tab w:val="left" w:pos="330"/>
              </w:tabs>
              <w:ind w:left="330" w:hanging="330"/>
              <w:rPr>
                <w:lang w:val="es-ES"/>
              </w:rPr>
            </w:pPr>
            <w:r w:rsidRPr="00E71B56">
              <w:rPr>
                <w:lang w:val="es-ES"/>
              </w:rPr>
              <w:t>○</w:t>
            </w:r>
            <w:r w:rsidRPr="00E71B56">
              <w:rPr>
                <w:lang w:val="es-ES"/>
              </w:rPr>
              <w:tab/>
              <w:t>El WTIS-24/25 reforzó las normas y vinculó los datos con la intervención política.</w:t>
            </w:r>
          </w:p>
        </w:tc>
      </w:tr>
      <w:tr w:rsidR="00BD155E" w:rsidRPr="00E71B56" w14:paraId="79C1E8E8" w14:textId="77777777" w:rsidTr="00A372FB">
        <w:trPr>
          <w:jc w:val="center"/>
        </w:trPr>
        <w:tc>
          <w:tcPr>
            <w:tcW w:w="3173" w:type="dxa"/>
          </w:tcPr>
          <w:p w14:paraId="1D3A24C5" w14:textId="77777777" w:rsidR="00BD155E" w:rsidRPr="00E71B56" w:rsidRDefault="00BD155E" w:rsidP="00A372FB">
            <w:pPr>
              <w:rPr>
                <w:lang w:val="es-ES"/>
              </w:rPr>
            </w:pPr>
            <w:r w:rsidRPr="00E71B56">
              <w:rPr>
                <w:b/>
                <w:bCs/>
                <w:lang w:val="es-ES"/>
              </w:rPr>
              <w:lastRenderedPageBreak/>
              <w:t>Contribución a las metas de los ODS</w:t>
            </w:r>
          </w:p>
        </w:tc>
        <w:tc>
          <w:tcPr>
            <w:tcW w:w="12211" w:type="dxa"/>
            <w:gridSpan w:val="2"/>
          </w:tcPr>
          <w:p w14:paraId="5AA15189" w14:textId="77777777" w:rsidR="00BD155E" w:rsidRPr="00E71B56" w:rsidRDefault="00BD155E" w:rsidP="00A372FB">
            <w:pPr>
              <w:rPr>
                <w:lang w:val="es-ES"/>
              </w:rPr>
            </w:pPr>
            <w:r w:rsidRPr="00E71B56">
              <w:rPr>
                <w:lang w:val="es-ES"/>
              </w:rPr>
              <w:t>1, 3, 4, 5, 8, 9, 10, 11, 16 y 17</w:t>
            </w:r>
          </w:p>
        </w:tc>
      </w:tr>
      <w:tr w:rsidR="00BD155E" w:rsidRPr="00E71B56" w14:paraId="4098FBB0" w14:textId="77777777" w:rsidTr="00A372FB">
        <w:trPr>
          <w:jc w:val="center"/>
        </w:trPr>
        <w:tc>
          <w:tcPr>
            <w:tcW w:w="3173" w:type="dxa"/>
          </w:tcPr>
          <w:p w14:paraId="1F10FAF4" w14:textId="77777777" w:rsidR="00BD155E" w:rsidRPr="00E71B56" w:rsidRDefault="00BD155E" w:rsidP="00A372FB">
            <w:pPr>
              <w:rPr>
                <w:b/>
                <w:bCs/>
                <w:lang w:val="es-ES"/>
              </w:rPr>
            </w:pPr>
            <w:r w:rsidRPr="00E71B56">
              <w:rPr>
                <w:b/>
                <w:bCs/>
                <w:lang w:val="es-ES"/>
              </w:rPr>
              <w:t>Líneas de Acción de la CMSI</w:t>
            </w:r>
          </w:p>
        </w:tc>
        <w:tc>
          <w:tcPr>
            <w:tcW w:w="12211" w:type="dxa"/>
            <w:gridSpan w:val="2"/>
          </w:tcPr>
          <w:p w14:paraId="6978210E" w14:textId="77777777" w:rsidR="00BD155E" w:rsidRPr="00E71B56" w:rsidRDefault="00BD155E" w:rsidP="00A372FB">
            <w:pPr>
              <w:rPr>
                <w:lang w:val="es-ES"/>
              </w:rPr>
            </w:pPr>
            <w:r w:rsidRPr="00E71B56">
              <w:rPr>
                <w:lang w:val="es-ES"/>
              </w:rPr>
              <w:t>C1, C2, C3, C4, C5, C6, C7 y C11</w:t>
            </w:r>
          </w:p>
        </w:tc>
      </w:tr>
      <w:tr w:rsidR="00BD155E" w:rsidRPr="00E71B56" w14:paraId="76BF430F" w14:textId="77777777" w:rsidTr="00A372FB">
        <w:trPr>
          <w:jc w:val="center"/>
        </w:trPr>
        <w:tc>
          <w:tcPr>
            <w:tcW w:w="3173" w:type="dxa"/>
          </w:tcPr>
          <w:p w14:paraId="47FC7477" w14:textId="77777777" w:rsidR="00BD155E" w:rsidRPr="00E71B56" w:rsidRDefault="00BD155E" w:rsidP="00A372FB">
            <w:pPr>
              <w:rPr>
                <w:lang w:val="es-ES"/>
              </w:rPr>
            </w:pPr>
            <w:r w:rsidRPr="00E71B56">
              <w:rPr>
                <w:b/>
                <w:bCs/>
                <w:lang w:val="es-ES"/>
              </w:rPr>
              <w:t>Resoluciones</w:t>
            </w:r>
          </w:p>
        </w:tc>
        <w:tc>
          <w:tcPr>
            <w:tcW w:w="12211" w:type="dxa"/>
            <w:gridSpan w:val="2"/>
          </w:tcPr>
          <w:p w14:paraId="3B0CD7CA" w14:textId="77777777" w:rsidR="00BD155E" w:rsidRPr="00E71B56" w:rsidRDefault="00BD155E" w:rsidP="00A372FB">
            <w:pPr>
              <w:rPr>
                <w:lang w:val="es-ES"/>
              </w:rPr>
            </w:pPr>
            <w:r w:rsidRPr="00E71B56">
              <w:rPr>
                <w:lang w:val="es-ES"/>
              </w:rPr>
              <w:t>2, 8, 10, 18, 21, 22, 131, 135, 138, 139, 174, 191, 195, 196 y 201 de la PP; 8, 16, 17, 22, 23, 25, 30, 37, 48, 64, 71, 77, 78, 79, 80, 84 y 85 de la CMDT</w:t>
            </w:r>
          </w:p>
        </w:tc>
      </w:tr>
      <w:tr w:rsidR="00BD155E" w:rsidRPr="00E71B56" w14:paraId="3B8DDEA4" w14:textId="77777777" w:rsidTr="00A372FB">
        <w:trPr>
          <w:jc w:val="center"/>
        </w:trPr>
        <w:tc>
          <w:tcPr>
            <w:tcW w:w="3173" w:type="dxa"/>
          </w:tcPr>
          <w:p w14:paraId="227C9F1F" w14:textId="77777777" w:rsidR="00BD155E" w:rsidRPr="00E71B56" w:rsidRDefault="00BD155E" w:rsidP="00A372FB">
            <w:pPr>
              <w:rPr>
                <w:lang w:val="es-ES"/>
              </w:rPr>
            </w:pPr>
            <w:r w:rsidRPr="00E71B56">
              <w:rPr>
                <w:b/>
                <w:bCs/>
                <w:lang w:val="es-ES"/>
              </w:rPr>
              <w:t>Cuestiones de las Comisiones de Estudio del UIT</w:t>
            </w:r>
            <w:r w:rsidRPr="00E71B56">
              <w:rPr>
                <w:b/>
                <w:bCs/>
                <w:lang w:val="es-ES"/>
              </w:rPr>
              <w:noBreakHyphen/>
              <w:t>D</w:t>
            </w:r>
          </w:p>
        </w:tc>
        <w:tc>
          <w:tcPr>
            <w:tcW w:w="12211" w:type="dxa"/>
            <w:gridSpan w:val="2"/>
          </w:tcPr>
          <w:p w14:paraId="21F127BA" w14:textId="77777777" w:rsidR="00BD155E" w:rsidRPr="00E71B56" w:rsidRDefault="00BD155E" w:rsidP="00A372FB">
            <w:pPr>
              <w:rPr>
                <w:lang w:val="es-ES"/>
              </w:rPr>
            </w:pPr>
            <w:r w:rsidRPr="00E71B56">
              <w:rPr>
                <w:lang w:val="es-ES"/>
              </w:rPr>
              <w:t>Cuestiones 1/1 (Banda ancha), 4/1 (Aspectos económicos), 6/1 (Protección del consumidor) y 5/2 (Competencias digitales)</w:t>
            </w:r>
          </w:p>
        </w:tc>
      </w:tr>
    </w:tbl>
    <w:p w14:paraId="4CA30BC6" w14:textId="77777777" w:rsidR="00BD155E" w:rsidRPr="00E71B56" w:rsidRDefault="00BD155E" w:rsidP="00BD155E">
      <w:pPr>
        <w:rPr>
          <w:lang w:val="es-ES"/>
        </w:rPr>
      </w:pPr>
      <w:r w:rsidRPr="00E71B56">
        <w:rPr>
          <w:lang w:val="es-ES"/>
        </w:rPr>
        <w:br w:type="page"/>
      </w:r>
    </w:p>
    <w:tbl>
      <w:tblPr>
        <w:tblStyle w:val="TableGridLight"/>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2899"/>
        <w:gridCol w:w="8060"/>
        <w:gridCol w:w="3035"/>
      </w:tblGrid>
      <w:tr w:rsidR="00BD155E" w:rsidRPr="00E71B56" w14:paraId="71514001" w14:textId="77777777" w:rsidTr="00A372FB">
        <w:trPr>
          <w:jc w:val="center"/>
        </w:trPr>
        <w:tc>
          <w:tcPr>
            <w:tcW w:w="15384" w:type="dxa"/>
            <w:gridSpan w:val="3"/>
            <w:shd w:val="clear" w:color="auto" w:fill="2F5496"/>
          </w:tcPr>
          <w:p w14:paraId="26078EBC" w14:textId="77777777" w:rsidR="00BD155E" w:rsidRPr="00E71B56" w:rsidRDefault="00BD155E" w:rsidP="00A372FB">
            <w:pPr>
              <w:pStyle w:val="Heading2"/>
              <w:jc w:val="center"/>
              <w:rPr>
                <w:color w:val="FFFFFF" w:themeColor="background1"/>
                <w:lang w:val="es-ES"/>
              </w:rPr>
            </w:pPr>
            <w:bookmarkStart w:id="41" w:name="_Toc212728825"/>
            <w:bookmarkStart w:id="42" w:name="_Toc213427973"/>
            <w:r w:rsidRPr="00E71B56">
              <w:rPr>
                <w:color w:val="FFFFFF" w:themeColor="background1"/>
                <w:lang w:val="es-ES"/>
              </w:rPr>
              <w:lastRenderedPageBreak/>
              <w:t>Prioridad 4 del UIT</w:t>
            </w:r>
            <w:r w:rsidRPr="00E71B56">
              <w:rPr>
                <w:color w:val="FFFFFF" w:themeColor="background1"/>
                <w:lang w:val="es-ES"/>
              </w:rPr>
              <w:noBreakHyphen/>
              <w:t>D: Movilización de recursos, asociaciones y cooperación internacional</w:t>
            </w:r>
            <w:bookmarkEnd w:id="41"/>
            <w:bookmarkEnd w:id="42"/>
          </w:p>
          <w:p w14:paraId="0AFB9A0B" w14:textId="77777777" w:rsidR="00BD155E" w:rsidRPr="00E71B56" w:rsidRDefault="00BD155E" w:rsidP="00A372FB">
            <w:pPr>
              <w:spacing w:after="120"/>
              <w:jc w:val="center"/>
              <w:rPr>
                <w:b/>
                <w:bCs/>
                <w:i/>
                <w:iCs/>
                <w:color w:val="FFFFFF" w:themeColor="background1"/>
                <w:lang w:val="es-ES"/>
              </w:rPr>
            </w:pPr>
            <w:r w:rsidRPr="00E71B56">
              <w:rPr>
                <w:b/>
                <w:bCs/>
                <w:i/>
                <w:iCs/>
                <w:color w:val="FFFFFF" w:themeColor="background1"/>
                <w:lang w:val="es-ES"/>
              </w:rPr>
              <w:t>Reforzar la estrategia de movilización de recursos mediante la cooperación internacional</w:t>
            </w:r>
          </w:p>
        </w:tc>
      </w:tr>
      <w:tr w:rsidR="00BD155E" w:rsidRPr="00E71B56" w14:paraId="1792DAAF" w14:textId="77777777" w:rsidTr="00A372FB">
        <w:trPr>
          <w:jc w:val="center"/>
        </w:trPr>
        <w:tc>
          <w:tcPr>
            <w:tcW w:w="15384" w:type="dxa"/>
            <w:gridSpan w:val="3"/>
            <w:shd w:val="clear" w:color="auto" w:fill="E5DFEC"/>
          </w:tcPr>
          <w:p w14:paraId="5511666A" w14:textId="77777777" w:rsidR="00BD155E" w:rsidRPr="00E71B56" w:rsidRDefault="00BD155E" w:rsidP="00A372FB">
            <w:pPr>
              <w:rPr>
                <w:b/>
                <w:bCs/>
                <w:i/>
                <w:iCs/>
                <w:lang w:val="es-ES"/>
              </w:rPr>
            </w:pPr>
            <w:r w:rsidRPr="00E71B56">
              <w:rPr>
                <w:b/>
                <w:bCs/>
                <w:i/>
                <w:iCs/>
                <w:lang w:val="es-ES"/>
              </w:rPr>
              <w:t>Realización:</w:t>
            </w:r>
            <w:r w:rsidRPr="00E71B56">
              <w:rPr>
                <w:i/>
                <w:iCs/>
                <w:lang w:val="es-ES"/>
              </w:rPr>
              <w:t xml:space="preserve"> Refuerzo de la cooperación y coordinación con las Naciones Unidas y sus organismos especializados, otras organizaciones internacionales, organizaciones regionales de telecomunicaciones, e instituciones de desarrollo regionales y mundiales en la aplicación de las prioridades del UIT</w:t>
            </w:r>
            <w:r w:rsidRPr="00E71B56">
              <w:rPr>
                <w:i/>
                <w:iCs/>
                <w:lang w:val="es-ES"/>
              </w:rPr>
              <w:noBreakHyphen/>
              <w:t>D</w:t>
            </w:r>
          </w:p>
        </w:tc>
      </w:tr>
      <w:tr w:rsidR="00BD155E" w:rsidRPr="00E71B56" w14:paraId="3C78039E" w14:textId="77777777" w:rsidTr="00A372FB">
        <w:trPr>
          <w:jc w:val="center"/>
        </w:trPr>
        <w:tc>
          <w:tcPr>
            <w:tcW w:w="12061" w:type="dxa"/>
            <w:gridSpan w:val="2"/>
          </w:tcPr>
          <w:p w14:paraId="77DC2DCF" w14:textId="77777777" w:rsidR="00BD155E" w:rsidRPr="00E71B56" w:rsidRDefault="00BD155E" w:rsidP="00A372FB">
            <w:pPr>
              <w:jc w:val="center"/>
              <w:rPr>
                <w:b/>
                <w:bCs/>
                <w:color w:val="0070C0"/>
                <w:lang w:val="es-ES"/>
              </w:rPr>
            </w:pPr>
            <w:r w:rsidRPr="00E71B56">
              <w:rPr>
                <w:b/>
                <w:bCs/>
                <w:color w:val="0070C0"/>
                <w:lang w:val="es-ES"/>
              </w:rPr>
              <w:t>Productos</w:t>
            </w:r>
          </w:p>
        </w:tc>
        <w:tc>
          <w:tcPr>
            <w:tcW w:w="3323" w:type="dxa"/>
          </w:tcPr>
          <w:p w14:paraId="54D64DEB" w14:textId="77777777" w:rsidR="00BD155E" w:rsidRPr="00E71B56" w:rsidRDefault="00BD155E" w:rsidP="00A372FB">
            <w:pPr>
              <w:jc w:val="center"/>
              <w:rPr>
                <w:b/>
                <w:bCs/>
                <w:color w:val="0070C0"/>
                <w:lang w:val="es-ES"/>
              </w:rPr>
            </w:pPr>
            <w:r w:rsidRPr="00E71B56">
              <w:rPr>
                <w:b/>
                <w:bCs/>
                <w:color w:val="0070C0"/>
                <w:lang w:val="es-ES"/>
              </w:rPr>
              <w:t>Aspectos destacados</w:t>
            </w:r>
          </w:p>
        </w:tc>
      </w:tr>
      <w:tr w:rsidR="00BD155E" w:rsidRPr="00E71B56" w14:paraId="30790DC7" w14:textId="77777777" w:rsidTr="00A372FB">
        <w:trPr>
          <w:jc w:val="center"/>
        </w:trPr>
        <w:tc>
          <w:tcPr>
            <w:tcW w:w="12061" w:type="dxa"/>
            <w:gridSpan w:val="2"/>
          </w:tcPr>
          <w:p w14:paraId="632F96AB" w14:textId="77777777" w:rsidR="00BD155E" w:rsidRPr="00E71B56" w:rsidRDefault="00BD155E" w:rsidP="00A372FB">
            <w:pPr>
              <w:rPr>
                <w:lang w:val="es-ES"/>
              </w:rPr>
            </w:pPr>
            <w:r w:rsidRPr="00E71B56">
              <w:rPr>
                <w:lang w:val="es-ES"/>
              </w:rPr>
              <w:t xml:space="preserve">Desde enero de 2023, la BDT ha firmado más de 200 acuerdos de asociación, que representan </w:t>
            </w:r>
            <w:r w:rsidRPr="00E71B56">
              <w:rPr>
                <w:b/>
                <w:bCs/>
                <w:lang w:val="es-ES"/>
              </w:rPr>
              <w:t>60,8</w:t>
            </w:r>
            <w:r w:rsidRPr="00E71B56">
              <w:rPr>
                <w:lang w:val="es-ES"/>
              </w:rPr>
              <w:t> </w:t>
            </w:r>
            <w:r w:rsidRPr="00E71B56">
              <w:rPr>
                <w:b/>
                <w:bCs/>
                <w:lang w:val="es-ES"/>
              </w:rPr>
              <w:t>millones USD</w:t>
            </w:r>
            <w:r w:rsidRPr="00E71B56">
              <w:rPr>
                <w:lang w:val="es-ES"/>
              </w:rPr>
              <w:t xml:space="preserve"> en concepto de compromisos, y ha puesto en marcha 78 proyectos nuevos de desarrollo digital.</w:t>
            </w:r>
          </w:p>
          <w:p w14:paraId="33B408E5" w14:textId="77777777" w:rsidR="00BD155E" w:rsidRPr="00E71B56" w:rsidRDefault="00BD155E" w:rsidP="00A372FB">
            <w:pPr>
              <w:rPr>
                <w:lang w:val="es-ES"/>
              </w:rPr>
            </w:pPr>
            <w:r w:rsidRPr="00E71B56">
              <w:rPr>
                <w:lang w:val="es-ES"/>
              </w:rPr>
              <w:t>La BDT siguió consolidando las asociaciones y la movilización de recursos como impulsores centrales de la transformación digital. Además de los acuerdos bilaterales, este periodo se caracterizó por alianzas entre múltiples partes interesadas que unían a los gobiernos, los organismos de las Naciones Unidas, los bancos de desarrollo, las instituciones académicas y el sector privado en torno a una agenda común sobre la aceleración de la conectividad universal y efectiva y la transformación digital. El enfoque de la BDT integró la defensa política y la prestación técnica, utilizando las asociaciones como vehículos para expandir los modelos probados, replicar los proyectos pilotos exitosos y garantizar la sostenibilidad de las iniciativas digitales. La movilización de recursos siguió el mismo principio, pasando desde el apoyo basado en los proyectos a marcos de mayor duración capaces de atraer financiación de donantes y doméstica. Juntos, estos esfuerzos hicieron que las alianzas fuesen no solo un complemento del mandato de la UIT sino parte integrante de la capacidad de la Unión para tener efectos en los planos nacional, regional y mundial.</w:t>
            </w:r>
          </w:p>
          <w:p w14:paraId="1CC60CD0" w14:textId="77777777" w:rsidR="00BD155E" w:rsidRPr="00E71B56" w:rsidRDefault="00BD155E" w:rsidP="00A372FB">
            <w:pPr>
              <w:rPr>
                <w:lang w:val="es-ES"/>
              </w:rPr>
            </w:pPr>
            <w:r w:rsidRPr="00E71B56">
              <w:rPr>
                <w:lang w:val="es-ES"/>
              </w:rPr>
              <w:t>En 2024, la BDT siguió apoyando a los países a desarrollar proyectos pilotos de conectividad escolar diseñados para recibir inversiones que podían atraer fondos mixtos de donantes, operadores privados y presupuestos nacionales. Esto demuestra cómo las alianzas bien estructuradas, construidas en torno a un objetivo claro, pueden ofrecer bienes públicos globales y promover a la vez las estrategias de educación nacionales.</w:t>
            </w:r>
            <w:hyperlink r:id="rId244"/>
          </w:p>
          <w:p w14:paraId="74E6564F" w14:textId="77777777" w:rsidR="00BD155E" w:rsidRPr="00E71B56" w:rsidRDefault="00BD155E" w:rsidP="00A372FB">
            <w:pPr>
              <w:rPr>
                <w:lang w:val="es-ES"/>
              </w:rPr>
            </w:pPr>
            <w:r w:rsidRPr="00E71B56">
              <w:rPr>
                <w:lang w:val="es-ES"/>
              </w:rPr>
              <w:t xml:space="preserve">Otro paso importante vino de las </w:t>
            </w:r>
            <w:r w:rsidRPr="00E71B56">
              <w:rPr>
                <w:b/>
                <w:bCs/>
                <w:lang w:val="es-ES"/>
              </w:rPr>
              <w:t>colaboraciones estratégicas con los asociados con las Naciones Unidas</w:t>
            </w:r>
            <w:r w:rsidRPr="00E71B56">
              <w:rPr>
                <w:lang w:val="es-ES"/>
              </w:rPr>
              <w:t xml:space="preserve">, incluida la Oficina de Tecnología de la Información y las Comunicaciones de las Naciones Unidas (OICT), </w:t>
            </w:r>
            <w:r w:rsidRPr="00E71B56">
              <w:rPr>
                <w:lang w:val="es-ES"/>
              </w:rPr>
              <w:lastRenderedPageBreak/>
              <w:t>el PNUD, UNICEF y el Banco Mundial. Estas alianzas fueron más allá de las actividades conjuntas de creación de la imagen abarcando la implementación compartida de las iniciativas de desarrollo de las TIC. La iniciativa GovStack, respalda por la GIZ, con una financiación de 1,24 millones EUR en 2023, comenzó las fases operativas en el Cuerno de África, y</w:t>
            </w:r>
            <w:r w:rsidRPr="00E71B56">
              <w:rPr>
                <w:b/>
                <w:bCs/>
                <w:lang w:val="es-ES"/>
              </w:rPr>
              <w:t xml:space="preserve"> Djibouti</w:t>
            </w:r>
            <w:r w:rsidRPr="00E71B56">
              <w:rPr>
                <w:lang w:val="es-ES"/>
              </w:rPr>
              <w:t xml:space="preserve">, </w:t>
            </w:r>
            <w:r w:rsidRPr="00E71B56">
              <w:rPr>
                <w:b/>
                <w:bCs/>
                <w:lang w:val="es-ES"/>
              </w:rPr>
              <w:t>Etiopía</w:t>
            </w:r>
            <w:r w:rsidRPr="00E71B56">
              <w:rPr>
                <w:lang w:val="es-ES"/>
              </w:rPr>
              <w:t xml:space="preserve"> y </w:t>
            </w:r>
            <w:r w:rsidRPr="00E71B56">
              <w:rPr>
                <w:b/>
                <w:bCs/>
                <w:lang w:val="es-ES"/>
              </w:rPr>
              <w:t xml:space="preserve">Somalia </w:t>
            </w:r>
            <w:r w:rsidRPr="00E71B56">
              <w:rPr>
                <w:lang w:val="es-ES"/>
              </w:rPr>
              <w:t xml:space="preserve">integraron los "elementos constitutivos" reutilizables del gobierno digital en sus sistemas nacionales. La colaboración Digital para el Desarrollo (D4D) sobre el gobierno digital y la ciberseguridad, cofinanciada por la Unión Europea, respalda el Pilar 1 "Infraestructuras" de la iniciativa del Cuerno de África y, en particular, la esfera de intervención sobre "estrategia y servicios del gobierno electrónico". El componente 1 sobre "Gobierno digital" se está implementando en </w:t>
            </w:r>
            <w:r w:rsidRPr="00E71B56">
              <w:rPr>
                <w:b/>
                <w:bCs/>
                <w:lang w:val="es-ES"/>
              </w:rPr>
              <w:t>Djibouti</w:t>
            </w:r>
            <w:r w:rsidRPr="00E71B56">
              <w:rPr>
                <w:lang w:val="es-ES"/>
              </w:rPr>
              <w:t xml:space="preserve">, </w:t>
            </w:r>
            <w:r w:rsidRPr="00E71B56">
              <w:rPr>
                <w:b/>
                <w:bCs/>
                <w:lang w:val="es-ES"/>
              </w:rPr>
              <w:t xml:space="preserve">Etiopía </w:t>
            </w:r>
            <w:r w:rsidRPr="00E71B56">
              <w:rPr>
                <w:lang w:val="es-ES"/>
              </w:rPr>
              <w:t>y</w:t>
            </w:r>
            <w:r w:rsidRPr="00E71B56">
              <w:rPr>
                <w:b/>
                <w:bCs/>
                <w:lang w:val="es-ES"/>
              </w:rPr>
              <w:t xml:space="preserve"> Somalia</w:t>
            </w:r>
            <w:r w:rsidRPr="00E71B56">
              <w:rPr>
                <w:lang w:val="es-ES"/>
              </w:rPr>
              <w:t xml:space="preserve">. En </w:t>
            </w:r>
            <w:r w:rsidRPr="00E71B56">
              <w:rPr>
                <w:b/>
                <w:bCs/>
                <w:lang w:val="es-ES"/>
              </w:rPr>
              <w:t>Mozambique</w:t>
            </w:r>
            <w:r w:rsidRPr="00E71B56">
              <w:rPr>
                <w:lang w:val="es-ES"/>
              </w:rPr>
              <w:t xml:space="preserve">, el proyecto </w:t>
            </w:r>
            <w:r w:rsidRPr="00E71B56">
              <w:rPr>
                <w:b/>
                <w:bCs/>
                <w:lang w:val="es-ES"/>
              </w:rPr>
              <w:t>VaMoz Digital!</w:t>
            </w:r>
            <w:r w:rsidRPr="00E71B56">
              <w:rPr>
                <w:lang w:val="es-ES"/>
              </w:rPr>
              <w:t>, financiado por la Comisión Europea, apoyó el examen de instrumentos nacionales para el desarrollo de una estrategia de transformación digital nacional, garantizando que las necesidades locales conformen el despliegue de marcos globales. Estas colaboraciones ilustran la manera en la que la UIT aprovecha su función convocadora para integrar la innovación en la prestación de servicios públicos.</w:t>
            </w:r>
          </w:p>
          <w:p w14:paraId="438A113B" w14:textId="77777777" w:rsidR="00BD155E" w:rsidRPr="00E71B56" w:rsidRDefault="00BD155E" w:rsidP="00A372FB">
            <w:pPr>
              <w:rPr>
                <w:lang w:val="es-ES"/>
              </w:rPr>
            </w:pPr>
            <w:r w:rsidRPr="00E71B56">
              <w:rPr>
                <w:lang w:val="es-ES"/>
              </w:rPr>
              <w:t xml:space="preserve">En paralelo, con arreglo a la </w:t>
            </w:r>
            <w:hyperlink r:id="rId245" w:history="1">
              <w:r w:rsidRPr="00E71B56">
                <w:rPr>
                  <w:rStyle w:val="Hyperlink"/>
                  <w:lang w:val="es-ES"/>
                </w:rPr>
                <w:t>Resolución 73 (Rev. Kigali, 2022) de la CMDT-22</w:t>
              </w:r>
            </w:hyperlink>
            <w:r w:rsidRPr="00E71B56">
              <w:rPr>
                <w:lang w:val="es-ES"/>
              </w:rPr>
              <w:t>, se crearon los CFA de la UIT en asociación con las universidades y los centros de investigación, integrando el desarrollo de competencias digitales en los programas académicos. Estas asociaciones movilizaron recursos financieros y crearon bases institucionales para el desarrollo de la capacidad sostenible, garantizando que la inclusión digital se persiguiese con especial atención en la equidad y el impacto intergeneracional.</w:t>
            </w:r>
            <w:hyperlink r:id="rId246" w:history="1"/>
          </w:p>
          <w:p w14:paraId="22C3DA14" w14:textId="77777777" w:rsidR="00BD155E" w:rsidRPr="00E71B56" w:rsidRDefault="00BD155E" w:rsidP="00A372FB">
            <w:pPr>
              <w:rPr>
                <w:lang w:val="es-ES"/>
              </w:rPr>
            </w:pPr>
            <w:r w:rsidRPr="00E71B56">
              <w:rPr>
                <w:lang w:val="es-ES"/>
              </w:rPr>
              <w:t>La función de la UIT en la defensa política global se reforzó por conducto de asociaciones con procesos multilaterales. Como socia para el conocimiento en las consultas del Pacto Digital Global del Secretario General de las Naciones Unidas, la UIT veló por que las pruebas de su trabajo relativo a la medición y la conectividad alimentasen las negociaciones intergubernamentales. Además, las asociaciones con el G20, los bancos de desarrollo regional y la Unión Europea posicionaron a la UIT en la intersección de la financiación mundial y el desarrollo digital. Estas colaboraciones confirmaron que las asociaciones no se limitaban a la ejecución de proyectos sino que se ampliaban a la conformación de normas y prioridades que definen la transformación digital adaptada.</w:t>
            </w:r>
          </w:p>
          <w:p w14:paraId="4E91FC58" w14:textId="77777777" w:rsidR="00BD155E" w:rsidRPr="00E71B56" w:rsidRDefault="00BD155E" w:rsidP="00A372FB">
            <w:pPr>
              <w:rPr>
                <w:lang w:val="es-ES"/>
              </w:rPr>
            </w:pPr>
            <w:r w:rsidRPr="00E71B56">
              <w:rPr>
                <w:lang w:val="es-ES"/>
              </w:rPr>
              <w:t xml:space="preserve">En </w:t>
            </w:r>
            <w:r w:rsidRPr="00E71B56">
              <w:rPr>
                <w:b/>
                <w:bCs/>
                <w:lang w:val="es-ES"/>
              </w:rPr>
              <w:t>África</w:t>
            </w:r>
            <w:r w:rsidRPr="00E71B56">
              <w:rPr>
                <w:lang w:val="es-ES"/>
              </w:rPr>
              <w:t xml:space="preserve">, en el marco de la alianza entre la UIT y la UE, se puso en marcha el "Proyecto de evaluación comparativa de las TIC en África Central" para mejorar la gobernanza de las TIC en la región de África Central </w:t>
            </w:r>
            <w:r w:rsidRPr="00E71B56">
              <w:rPr>
                <w:lang w:val="es-ES"/>
              </w:rPr>
              <w:lastRenderedPageBreak/>
              <w:t>y promover la elaboración de políticas con base empírica. La evaluación de los marcos reglamentarios y de políticas en materia de TIC, cuyo objetivo era, entre otras cosas, evaluar su eficacia, identificar las deficiencias y destacar las áreas de mejora, se completó en los 11 países (</w:t>
            </w:r>
            <w:r w:rsidRPr="00E71B56">
              <w:rPr>
                <w:b/>
                <w:bCs/>
                <w:lang w:val="es-ES"/>
              </w:rPr>
              <w:t>Angola</w:t>
            </w:r>
            <w:r w:rsidRPr="00E71B56">
              <w:rPr>
                <w:lang w:val="es-ES"/>
              </w:rPr>
              <w:t xml:space="preserve">, </w:t>
            </w:r>
            <w:r w:rsidRPr="00E71B56">
              <w:rPr>
                <w:b/>
                <w:bCs/>
                <w:lang w:val="es-ES"/>
              </w:rPr>
              <w:t>Burundi</w:t>
            </w:r>
            <w:r w:rsidRPr="00E71B56">
              <w:rPr>
                <w:lang w:val="es-ES"/>
              </w:rPr>
              <w:t>, </w:t>
            </w:r>
            <w:r w:rsidRPr="00E71B56">
              <w:rPr>
                <w:b/>
                <w:bCs/>
                <w:lang w:val="es-ES"/>
              </w:rPr>
              <w:t>Camerún</w:t>
            </w:r>
            <w:r w:rsidRPr="00E71B56">
              <w:rPr>
                <w:lang w:val="es-ES"/>
              </w:rPr>
              <w:t>, </w:t>
            </w:r>
            <w:r w:rsidRPr="00E71B56">
              <w:rPr>
                <w:b/>
                <w:bCs/>
                <w:lang w:val="es-ES"/>
              </w:rPr>
              <w:t>República Centroafricana</w:t>
            </w:r>
            <w:r w:rsidRPr="00E71B56">
              <w:rPr>
                <w:lang w:val="es-ES"/>
              </w:rPr>
              <w:t>, </w:t>
            </w:r>
            <w:r w:rsidRPr="00E71B56">
              <w:rPr>
                <w:b/>
                <w:bCs/>
                <w:lang w:val="es-ES"/>
              </w:rPr>
              <w:t>Chad</w:t>
            </w:r>
            <w:r w:rsidRPr="00E71B56">
              <w:rPr>
                <w:lang w:val="es-ES"/>
              </w:rPr>
              <w:t>, </w:t>
            </w:r>
            <w:r w:rsidRPr="00E71B56">
              <w:rPr>
                <w:b/>
                <w:bCs/>
                <w:lang w:val="es-ES"/>
              </w:rPr>
              <w:t>República Democrática del Congo</w:t>
            </w:r>
            <w:r w:rsidRPr="00E71B56">
              <w:rPr>
                <w:lang w:val="es-ES"/>
              </w:rPr>
              <w:t>, </w:t>
            </w:r>
            <w:r w:rsidRPr="00E71B56">
              <w:rPr>
                <w:b/>
                <w:bCs/>
                <w:lang w:val="es-ES"/>
              </w:rPr>
              <w:t>Guinea Ecuatorial</w:t>
            </w:r>
            <w:r w:rsidRPr="00E71B56">
              <w:rPr>
                <w:lang w:val="es-ES"/>
              </w:rPr>
              <w:t>, </w:t>
            </w:r>
            <w:r w:rsidRPr="00E71B56">
              <w:rPr>
                <w:b/>
                <w:bCs/>
                <w:lang w:val="es-ES"/>
              </w:rPr>
              <w:t>Gabón</w:t>
            </w:r>
            <w:r w:rsidRPr="00E71B56">
              <w:rPr>
                <w:lang w:val="es-ES"/>
              </w:rPr>
              <w:t>, </w:t>
            </w:r>
            <w:r w:rsidRPr="00E71B56">
              <w:rPr>
                <w:b/>
                <w:bCs/>
                <w:lang w:val="es-ES"/>
              </w:rPr>
              <w:t>República del Congo</w:t>
            </w:r>
            <w:r w:rsidRPr="00E71B56">
              <w:rPr>
                <w:lang w:val="es-ES"/>
              </w:rPr>
              <w:t>, </w:t>
            </w:r>
            <w:r w:rsidRPr="00E71B56">
              <w:rPr>
                <w:b/>
                <w:bCs/>
                <w:lang w:val="es-ES"/>
              </w:rPr>
              <w:t>Rwanda</w:t>
            </w:r>
            <w:r w:rsidRPr="00E71B56">
              <w:rPr>
                <w:lang w:val="es-ES"/>
              </w:rPr>
              <w:t xml:space="preserve"> y </w:t>
            </w:r>
            <w:r w:rsidRPr="00E71B56">
              <w:rPr>
                <w:b/>
                <w:bCs/>
                <w:lang w:val="es-ES"/>
              </w:rPr>
              <w:t>Santo Tomé y Príncipe</w:t>
            </w:r>
            <w:r w:rsidRPr="00E71B56">
              <w:rPr>
                <w:lang w:val="es-ES"/>
              </w:rPr>
              <w:t xml:space="preserve">) de la Comunidad Económica de los Estados de África Central (CEEAC). Las principales conclusiones, las hojas de ruta personalizadas y las recomendaciones se presentaron a las partes interesadas en un taller celebrado en Guinea Ecuatorial en noviembre de 2024. En la región del Cuerno de África, la asociación GovStack permitió a </w:t>
            </w:r>
            <w:r w:rsidRPr="00E71B56">
              <w:rPr>
                <w:b/>
                <w:bCs/>
                <w:lang w:val="es-ES"/>
              </w:rPr>
              <w:t>Djibouti</w:t>
            </w:r>
            <w:r w:rsidRPr="00E71B56">
              <w:rPr>
                <w:lang w:val="es-ES"/>
              </w:rPr>
              <w:t xml:space="preserve">, </w:t>
            </w:r>
            <w:r w:rsidRPr="00E71B56">
              <w:rPr>
                <w:b/>
                <w:bCs/>
                <w:lang w:val="es-ES"/>
              </w:rPr>
              <w:t>Etiopía</w:t>
            </w:r>
            <w:r w:rsidRPr="00E71B56">
              <w:rPr>
                <w:lang w:val="es-ES"/>
              </w:rPr>
              <w:t xml:space="preserve"> y </w:t>
            </w:r>
            <w:r w:rsidRPr="00E71B56">
              <w:rPr>
                <w:b/>
                <w:bCs/>
                <w:lang w:val="es-ES"/>
              </w:rPr>
              <w:t xml:space="preserve">Somalia </w:t>
            </w:r>
            <w:r w:rsidRPr="00E71B56">
              <w:rPr>
                <w:lang w:val="es-ES"/>
              </w:rPr>
              <w:t xml:space="preserve">empezar a desplegar plataformas digitales interoperables para los servicios públicos, respaldadas por actividades de formación compartidas y asistencia técnica. Estas iniciativas demostraron la manera en la que las </w:t>
            </w:r>
            <w:r w:rsidRPr="00E71B56">
              <w:rPr>
                <w:b/>
                <w:bCs/>
                <w:lang w:val="es-ES"/>
              </w:rPr>
              <w:t>asociaciones adaptadas a los contextos regionales podían solventar las deficiencias sistémicas</w:t>
            </w:r>
            <w:r w:rsidRPr="00E71B56">
              <w:rPr>
                <w:lang w:val="es-ES"/>
              </w:rPr>
              <w:t xml:space="preserve"> y fortalecer el sentimiento de propiedad de la agenda digital en la región de África.</w:t>
            </w:r>
          </w:p>
          <w:p w14:paraId="518A95F5" w14:textId="77777777" w:rsidR="00BD155E" w:rsidRPr="00E71B56" w:rsidRDefault="00BD155E" w:rsidP="00A372FB">
            <w:pPr>
              <w:rPr>
                <w:lang w:val="es-ES"/>
              </w:rPr>
            </w:pPr>
            <w:r w:rsidRPr="00E71B56">
              <w:rPr>
                <w:lang w:val="es-ES"/>
              </w:rPr>
              <w:t xml:space="preserve">En la </w:t>
            </w:r>
            <w:r w:rsidRPr="00E71B56">
              <w:rPr>
                <w:b/>
                <w:bCs/>
                <w:lang w:val="es-ES"/>
              </w:rPr>
              <w:t>región de Asia-Pacífico</w:t>
            </w:r>
            <w:r w:rsidRPr="00E71B56">
              <w:rPr>
                <w:lang w:val="es-ES"/>
              </w:rPr>
              <w:t xml:space="preserve">, las asociaciones respaldaron tanto programas a gran escala como iniciativas comunitarias. La iniciativa </w:t>
            </w:r>
            <w:r w:rsidRPr="00E71B56">
              <w:rPr>
                <w:b/>
                <w:bCs/>
                <w:lang w:val="es-ES"/>
              </w:rPr>
              <w:t>Aldeas Inteligentes e Islas Inteligentes</w:t>
            </w:r>
            <w:r w:rsidRPr="00E71B56">
              <w:rPr>
                <w:lang w:val="es-ES"/>
              </w:rPr>
              <w:t>,</w:t>
            </w:r>
            <w:r w:rsidRPr="00E71B56">
              <w:rPr>
                <w:b/>
                <w:bCs/>
                <w:lang w:val="es-ES"/>
              </w:rPr>
              <w:t xml:space="preserve"> </w:t>
            </w:r>
            <w:r w:rsidRPr="00E71B56">
              <w:rPr>
                <w:lang w:val="es-ES"/>
              </w:rPr>
              <w:t xml:space="preserve">implementada con universidades regionales y gobiernos locales, conectó a las comunidades de </w:t>
            </w:r>
            <w:r w:rsidRPr="00E71B56">
              <w:rPr>
                <w:b/>
                <w:bCs/>
                <w:lang w:val="es-ES"/>
              </w:rPr>
              <w:t>Kiribati</w:t>
            </w:r>
            <w:r w:rsidRPr="00E71B56">
              <w:rPr>
                <w:lang w:val="es-ES"/>
              </w:rPr>
              <w:t xml:space="preserve">, </w:t>
            </w:r>
            <w:r w:rsidRPr="00E71B56">
              <w:rPr>
                <w:b/>
                <w:bCs/>
                <w:lang w:val="es-ES"/>
              </w:rPr>
              <w:t>Nauru</w:t>
            </w:r>
            <w:r w:rsidRPr="00E71B56">
              <w:rPr>
                <w:lang w:val="es-ES"/>
              </w:rPr>
              <w:t xml:space="preserve"> y otras naciones del Pacífico con paquetes de servicios en el sector de la salud, la educación y las finanzas. El diseño del proyecto reflejó sólidas alianzas comunitarias, garantizando que la tecnología estuviese adaptada a las realidades culturales y geográficas. Paralelamente, la colaboración de la UIT con la Telecomunidad de Asia</w:t>
            </w:r>
            <w:r w:rsidRPr="00E71B56">
              <w:rPr>
                <w:lang w:val="es-ES"/>
              </w:rPr>
              <w:noBreakHyphen/>
              <w:t xml:space="preserve">Pacífico y los asociados para el desarrollo amplió las actividades de formación reglamentaria y los ejercicios de previsión, dotando a los gobiernos de herramientas políticas para la gestión de la economía digital. En la </w:t>
            </w:r>
            <w:r w:rsidRPr="00E71B56">
              <w:rPr>
                <w:b/>
                <w:bCs/>
                <w:lang w:val="es-ES"/>
              </w:rPr>
              <w:t>región de Asia meridional y sudoriental</w:t>
            </w:r>
            <w:r w:rsidRPr="00E71B56">
              <w:rPr>
                <w:lang w:val="es-ES"/>
              </w:rPr>
              <w:t>, las asociaciones facilitaron la creación de capacidad en materia de GovStack y los estudios de asequibilidad, reflejando el doble enfoque de la región en los marcos de gobernanza y la prestación de servicios.</w:t>
            </w:r>
          </w:p>
          <w:p w14:paraId="4CA7B79D" w14:textId="77777777" w:rsidR="00BD155E" w:rsidRPr="00E71B56" w:rsidRDefault="00BD155E" w:rsidP="00A372FB">
            <w:pPr>
              <w:rPr>
                <w:lang w:val="es-ES"/>
              </w:rPr>
            </w:pPr>
            <w:r w:rsidRPr="00E71B56">
              <w:rPr>
                <w:lang w:val="es-ES"/>
              </w:rPr>
              <w:t xml:space="preserve">En la </w:t>
            </w:r>
            <w:r w:rsidRPr="00E71B56">
              <w:rPr>
                <w:b/>
                <w:bCs/>
                <w:lang w:val="es-ES"/>
              </w:rPr>
              <w:t>región de las Américas</w:t>
            </w:r>
            <w:r w:rsidRPr="00E71B56">
              <w:rPr>
                <w:lang w:val="es-ES"/>
              </w:rPr>
              <w:t xml:space="preserve">, con el apoyo del Banco Mundial y los asociados regionales, la BDT prestó apoyo a </w:t>
            </w:r>
            <w:r w:rsidRPr="00E71B56">
              <w:rPr>
                <w:b/>
                <w:bCs/>
                <w:lang w:val="es-ES"/>
              </w:rPr>
              <w:t xml:space="preserve">Argentina </w:t>
            </w:r>
            <w:r w:rsidRPr="00E71B56">
              <w:rPr>
                <w:lang w:val="es-ES"/>
              </w:rPr>
              <w:t>y la</w:t>
            </w:r>
            <w:r w:rsidRPr="00E71B56">
              <w:rPr>
                <w:b/>
                <w:bCs/>
                <w:lang w:val="es-ES"/>
              </w:rPr>
              <w:t xml:space="preserve"> República Dominicana</w:t>
            </w:r>
            <w:r w:rsidRPr="00E71B56">
              <w:rPr>
                <w:lang w:val="es-ES"/>
              </w:rPr>
              <w:t xml:space="preserve"> para impulsar estrategias digitales nacionales, mientras que </w:t>
            </w:r>
            <w:r w:rsidRPr="00E71B56">
              <w:rPr>
                <w:b/>
                <w:bCs/>
                <w:lang w:val="es-ES"/>
              </w:rPr>
              <w:t>Colombia</w:t>
            </w:r>
            <w:r w:rsidRPr="00E71B56">
              <w:rPr>
                <w:lang w:val="es-ES"/>
              </w:rPr>
              <w:t xml:space="preserve"> adaptó sus marcos a las iniciativas regionales. En el Caribe, las asociaciones con la OECO y los organismos reguladores facilitaron las encuestas de asequibilidad y los estudios de viabilidad respecto de una posible "Autoridad Reglamentaria Única", y un avance hacia la supervisión armonizada. Los </w:t>
            </w:r>
            <w:r w:rsidRPr="00E71B56">
              <w:rPr>
                <w:b/>
                <w:bCs/>
                <w:lang w:val="es-ES"/>
              </w:rPr>
              <w:t>Coloquios de Política y Economía</w:t>
            </w:r>
            <w:r w:rsidRPr="00E71B56">
              <w:rPr>
                <w:lang w:val="es-ES"/>
              </w:rPr>
              <w:t xml:space="preserve">, coorganizados con universidades y grupos de reflexión, crearon plataformas en las que los datos </w:t>
            </w:r>
            <w:r w:rsidRPr="00E71B56">
              <w:rPr>
                <w:lang w:val="es-ES"/>
              </w:rPr>
              <w:lastRenderedPageBreak/>
              <w:t>estadísticos y las experiencias reglamentarias estaban directamente vinculados con los debates sobre financiación e inversiones. Estas asociaciones reflejaron el énfasis en la adaptación de las prioridades nacionales a las prioridades económicas regionales más amplias de la región de las Américas.</w:t>
            </w:r>
          </w:p>
          <w:p w14:paraId="593BD32E" w14:textId="77777777" w:rsidR="00BD155E" w:rsidRPr="00E71B56" w:rsidRDefault="00BD155E" w:rsidP="00A372FB">
            <w:pPr>
              <w:rPr>
                <w:lang w:val="es-ES"/>
              </w:rPr>
            </w:pPr>
            <w:r w:rsidRPr="00E71B56">
              <w:rPr>
                <w:lang w:val="es-ES"/>
              </w:rPr>
              <w:t xml:space="preserve">En la </w:t>
            </w:r>
            <w:r w:rsidRPr="00E71B56">
              <w:rPr>
                <w:b/>
                <w:bCs/>
                <w:lang w:val="es-ES"/>
              </w:rPr>
              <w:t>región de los Estados Árabes</w:t>
            </w:r>
            <w:r w:rsidRPr="00E71B56">
              <w:rPr>
                <w:lang w:val="es-ES"/>
              </w:rPr>
              <w:t xml:space="preserve">, </w:t>
            </w:r>
            <w:r w:rsidRPr="00E71B56">
              <w:rPr>
                <w:b/>
                <w:bCs/>
                <w:lang w:val="es-ES"/>
              </w:rPr>
              <w:t xml:space="preserve">Djibouti </w:t>
            </w:r>
            <w:r w:rsidRPr="00E71B56">
              <w:rPr>
                <w:lang w:val="es-ES"/>
              </w:rPr>
              <w:t>y</w:t>
            </w:r>
            <w:r w:rsidRPr="00E71B56">
              <w:rPr>
                <w:b/>
                <w:bCs/>
                <w:lang w:val="es-ES"/>
              </w:rPr>
              <w:t xml:space="preserve"> Somalia</w:t>
            </w:r>
            <w:r w:rsidRPr="00E71B56">
              <w:rPr>
                <w:lang w:val="es-ES"/>
              </w:rPr>
              <w:t xml:space="preserve"> fueron los primeros adoptantes de GovStack en el marco de la iniciativa del Cuerno de África, mientras que en </w:t>
            </w:r>
            <w:r w:rsidRPr="00E71B56">
              <w:rPr>
                <w:b/>
                <w:bCs/>
                <w:lang w:val="es-ES"/>
              </w:rPr>
              <w:t>Mauritania</w:t>
            </w:r>
            <w:r w:rsidRPr="00E71B56">
              <w:rPr>
                <w:lang w:val="es-ES"/>
              </w:rPr>
              <w:t xml:space="preserve">, como parte del proyecto GovStack, las partes interesadas locales diseñaron y desarrollaron conjuntamente tres prototipos de servicios digitales. Además, </w:t>
            </w:r>
            <w:r w:rsidRPr="00E71B56">
              <w:rPr>
                <w:b/>
                <w:bCs/>
                <w:lang w:val="es-ES"/>
              </w:rPr>
              <w:t xml:space="preserve">Egipto </w:t>
            </w:r>
            <w:r w:rsidRPr="00E71B56">
              <w:rPr>
                <w:lang w:val="es-ES"/>
              </w:rPr>
              <w:t xml:space="preserve">organizó actividades de creación de capacidad relacionadas con las estrategias de ciudades inteligentes. Los </w:t>
            </w:r>
            <w:r w:rsidRPr="00E71B56">
              <w:rPr>
                <w:b/>
                <w:bCs/>
                <w:lang w:val="es-ES"/>
              </w:rPr>
              <w:t>Emiratos Árabes Unidos</w:t>
            </w:r>
            <w:r w:rsidRPr="00E71B56">
              <w:rPr>
                <w:lang w:val="es-ES"/>
              </w:rPr>
              <w:t xml:space="preserve">, por conducto de asociaciones con el </w:t>
            </w:r>
            <w:hyperlink r:id="rId247" w:history="1">
              <w:r w:rsidRPr="00E71B56">
                <w:rPr>
                  <w:rStyle w:val="Hyperlink"/>
                  <w:lang w:val="es-ES"/>
                </w:rPr>
                <w:t>programa iCodi de la UIT</w:t>
              </w:r>
            </w:hyperlink>
            <w:r w:rsidRPr="00E71B56">
              <w:rPr>
                <w:lang w:val="es-ES"/>
              </w:rPr>
              <w:t xml:space="preserve">, prestaron apoyo a talleres mundiales y regionales anuales que se centraron en actividades de creación de capacidad colaborativas e innovadoras para los miembros de la iniciativa </w:t>
            </w:r>
            <w:bookmarkStart w:id="43" w:name="_Hlk213337091"/>
            <w:r w:rsidRPr="00E71B56">
              <w:rPr>
                <w:lang w:val="es-ES"/>
              </w:rPr>
              <w:fldChar w:fldCharType="begin"/>
            </w:r>
            <w:r w:rsidRPr="00E71B56">
              <w:rPr>
                <w:lang w:val="es-ES"/>
              </w:rPr>
              <w:instrText>HYPERLINK "https://www.itu.int/itu-d/sites/innovation-alliance/"</w:instrText>
            </w:r>
            <w:r w:rsidRPr="00E71B56">
              <w:rPr>
                <w:lang w:val="es-ES"/>
              </w:rPr>
              <w:fldChar w:fldCharType="separate"/>
            </w:r>
            <w:r w:rsidRPr="00E71B56">
              <w:rPr>
                <w:rStyle w:val="Hyperlink"/>
                <w:lang w:val="es-ES"/>
              </w:rPr>
              <w:t>Alianza para la innovación y el emprendimiento para el desarrollo digital</w:t>
            </w:r>
            <w:r w:rsidRPr="00E71B56">
              <w:rPr>
                <w:rStyle w:val="Hyperlink"/>
                <w:lang w:val="es-ES"/>
              </w:rPr>
              <w:fldChar w:fldCharType="end"/>
            </w:r>
            <w:bookmarkEnd w:id="43"/>
            <w:r w:rsidRPr="00E71B56">
              <w:rPr>
                <w:lang w:val="es-ES"/>
              </w:rPr>
              <w:t>, y que, a nivel regional, tenían por objeto desarrollar un análisis de supervisión estratégica regional e identificar prioridades regionales al respecto. Estas colaboraciones pusieron de relieve el compromiso de la región con considerar a las alianzas digitales motores de la modernización económica y la diversificación.</w:t>
            </w:r>
            <w:hyperlink r:id="rId248"/>
            <w:hyperlink r:id="rId249" w:history="1"/>
          </w:p>
          <w:p w14:paraId="6721810C" w14:textId="77777777" w:rsidR="00BD155E" w:rsidRPr="00E71B56" w:rsidRDefault="00BD155E" w:rsidP="00A372FB">
            <w:pPr>
              <w:rPr>
                <w:lang w:val="es-ES"/>
              </w:rPr>
            </w:pPr>
            <w:r w:rsidRPr="00E71B56">
              <w:rPr>
                <w:lang w:val="es-ES"/>
              </w:rPr>
              <w:t xml:space="preserve">En la </w:t>
            </w:r>
            <w:r w:rsidRPr="00E71B56">
              <w:rPr>
                <w:b/>
                <w:bCs/>
                <w:lang w:val="es-ES"/>
              </w:rPr>
              <w:t>región de Europa</w:t>
            </w:r>
            <w:r w:rsidRPr="00E71B56">
              <w:rPr>
                <w:lang w:val="es-ES"/>
              </w:rPr>
              <w:t xml:space="preserve">, las alianzas estuvieron estrechamente vinculadas con las agendas nacionales y armonizadas con las estrategias digitales de la Unión Europea. </w:t>
            </w:r>
            <w:r w:rsidRPr="00E71B56">
              <w:rPr>
                <w:b/>
                <w:bCs/>
                <w:lang w:val="es-ES"/>
              </w:rPr>
              <w:t>Albania</w:t>
            </w:r>
            <w:r w:rsidRPr="00E71B56">
              <w:rPr>
                <w:lang w:val="es-ES"/>
              </w:rPr>
              <w:t xml:space="preserve">, </w:t>
            </w:r>
            <w:r w:rsidRPr="00E71B56">
              <w:rPr>
                <w:b/>
                <w:bCs/>
                <w:lang w:val="es-ES"/>
              </w:rPr>
              <w:t xml:space="preserve">Montenegro </w:t>
            </w:r>
            <w:r w:rsidRPr="00E71B56">
              <w:rPr>
                <w:lang w:val="es-ES"/>
              </w:rPr>
              <w:t>y</w:t>
            </w:r>
            <w:r w:rsidRPr="00E71B56">
              <w:rPr>
                <w:b/>
                <w:bCs/>
                <w:lang w:val="es-ES"/>
              </w:rPr>
              <w:t xml:space="preserve"> Serbia</w:t>
            </w:r>
            <w:r w:rsidRPr="00E71B56">
              <w:rPr>
                <w:lang w:val="es-ES"/>
              </w:rPr>
              <w:t xml:space="preserve"> desarrollaron perfiles nacionales de desarrollo digital con el apoyo de la BDT, que integraron la asequibilidad, las infraestructuras y la gobernanza en hojas de ruta nacionales prácticas. La organización en </w:t>
            </w:r>
            <w:r w:rsidRPr="00E71B56">
              <w:rPr>
                <w:b/>
                <w:bCs/>
                <w:lang w:val="es-ES"/>
              </w:rPr>
              <w:t xml:space="preserve">Montenegro </w:t>
            </w:r>
            <w:r w:rsidRPr="00E71B56">
              <w:rPr>
                <w:lang w:val="es-ES"/>
              </w:rPr>
              <w:t xml:space="preserve">del Acelerador de Iniciativas Regionales en 2025, creado en colaboración con la UNOPS y otros asociados, arrojó 20 millones USD en conceptos de proyectos para los </w:t>
            </w:r>
            <w:r w:rsidRPr="00E71B56">
              <w:rPr>
                <w:b/>
                <w:bCs/>
                <w:lang w:val="es-ES"/>
              </w:rPr>
              <w:t>Balcanes Occidentales</w:t>
            </w:r>
            <w:r w:rsidRPr="00E71B56">
              <w:rPr>
                <w:lang w:val="es-ES"/>
              </w:rPr>
              <w:t xml:space="preserve">, demostrando la manera en la que las asociaciones podían movilizar directamente recursos para la implementación. El </w:t>
            </w:r>
            <w:hyperlink r:id="rId250" w:history="1">
              <w:r w:rsidRPr="00E71B56">
                <w:rPr>
                  <w:rStyle w:val="Hyperlink"/>
                  <w:lang w:val="es-ES"/>
                </w:rPr>
                <w:t>Informe sobre el Panorama de la Innovación</w:t>
              </w:r>
            </w:hyperlink>
            <w:r w:rsidRPr="00E71B56">
              <w:rPr>
                <w:lang w:val="es-ES"/>
              </w:rPr>
              <w:t xml:space="preserve"> de </w:t>
            </w:r>
            <w:r w:rsidRPr="00E71B56">
              <w:rPr>
                <w:b/>
                <w:bCs/>
                <w:lang w:val="es-ES"/>
              </w:rPr>
              <w:t>Malta</w:t>
            </w:r>
            <w:r w:rsidRPr="00E71B56">
              <w:rPr>
                <w:lang w:val="es-ES"/>
              </w:rPr>
              <w:t xml:space="preserve">, publicado en el </w:t>
            </w:r>
            <w:hyperlink r:id="rId251" w:history="1">
              <w:r w:rsidRPr="00E71B56">
                <w:rPr>
                  <w:rStyle w:val="Hyperlink"/>
                  <w:lang w:val="es-ES"/>
                </w:rPr>
                <w:t>Foro Mundial de la Innovación</w:t>
              </w:r>
            </w:hyperlink>
            <w:r w:rsidRPr="00E71B56">
              <w:rPr>
                <w:lang w:val="es-ES"/>
              </w:rPr>
              <w:t>, demostró además la manera en la que las pruebas y las asociaciones pueden convertir a los pequeños estados en modelos de integración de ecosistemas. Estos ejemplos destacan la función de Europa como terreno de prueba para las alianzas digitales estructuradas y con base empírica.</w:t>
            </w:r>
            <w:hyperlink r:id="rId252"/>
            <w:hyperlink r:id="rId253"/>
            <w:hyperlink r:id="rId254"/>
          </w:p>
          <w:p w14:paraId="0B60946F" w14:textId="77777777" w:rsidR="00BD155E" w:rsidRPr="00E71B56" w:rsidRDefault="00BD155E" w:rsidP="00A372FB">
            <w:pPr>
              <w:spacing w:after="120"/>
              <w:rPr>
                <w:lang w:val="es-ES"/>
              </w:rPr>
            </w:pPr>
            <w:r w:rsidRPr="00E71B56">
              <w:rPr>
                <w:lang w:val="es-ES"/>
              </w:rPr>
              <w:t xml:space="preserve">En la </w:t>
            </w:r>
            <w:r w:rsidRPr="00E71B56">
              <w:rPr>
                <w:b/>
                <w:bCs/>
                <w:lang w:val="es-ES"/>
              </w:rPr>
              <w:t>región de la CEI</w:t>
            </w:r>
            <w:r w:rsidRPr="00E71B56">
              <w:rPr>
                <w:lang w:val="es-ES"/>
              </w:rPr>
              <w:t xml:space="preserve">, las asociaciones dieron prioridad al desarrollo de infraestructuras, el emprendimiento digital y la participación de los jóvenes. El concurso Batken 4.0 en </w:t>
            </w:r>
            <w:r w:rsidRPr="00E71B56">
              <w:rPr>
                <w:b/>
                <w:bCs/>
                <w:lang w:val="es-ES"/>
              </w:rPr>
              <w:t>Kirguistán</w:t>
            </w:r>
            <w:r w:rsidRPr="00E71B56">
              <w:rPr>
                <w:lang w:val="es-ES"/>
              </w:rPr>
              <w:t xml:space="preserve">, respaldado por programas para la innovación de la UIT, conectó a municipios, universidades y emprendedores para la creación conjunta de </w:t>
            </w:r>
            <w:r w:rsidRPr="00E71B56">
              <w:rPr>
                <w:lang w:val="es-ES"/>
              </w:rPr>
              <w:lastRenderedPageBreak/>
              <w:t xml:space="preserve">soluciones digitales para los desafíos locales. </w:t>
            </w:r>
            <w:r w:rsidRPr="00E71B56">
              <w:rPr>
                <w:b/>
                <w:bCs/>
                <w:lang w:val="es-ES"/>
              </w:rPr>
              <w:t>Armenia</w:t>
            </w:r>
            <w:r w:rsidRPr="00E71B56">
              <w:rPr>
                <w:lang w:val="es-ES"/>
              </w:rPr>
              <w:t xml:space="preserve"> celebró talleres sobre las evaluaciones de la calidad del servicio, adaptando las capacidades estadísticas a las necesidades reglamentarias, mientras que </w:t>
            </w:r>
            <w:r w:rsidRPr="00E71B56">
              <w:rPr>
                <w:b/>
                <w:bCs/>
                <w:lang w:val="es-ES"/>
              </w:rPr>
              <w:t>Azerbaiyán</w:t>
            </w:r>
            <w:r w:rsidRPr="00E71B56">
              <w:rPr>
                <w:lang w:val="es-ES"/>
              </w:rPr>
              <w:t xml:space="preserve"> llevó a cabo evaluaciones del grado de preparación para las alianzas en materia de ciberseguridad. Los foros regionales facilitaron la colaboración relativa a las plataformas de gobierno digital, respaldada por el despliegue de un proyecto regional. Estos esfuerzos ilustraron la manera en la que las alianzas en la </w:t>
            </w:r>
            <w:r w:rsidRPr="00E71B56">
              <w:rPr>
                <w:b/>
                <w:bCs/>
                <w:lang w:val="es-ES"/>
              </w:rPr>
              <w:t xml:space="preserve">región de la CEI </w:t>
            </w:r>
            <w:r w:rsidRPr="00E71B56">
              <w:rPr>
                <w:lang w:val="es-ES"/>
              </w:rPr>
              <w:t>se adaptaron para reforzar tanto la resiliencia nacional como la cooperación transfronteriza, integrando la colaboración en los sistemas de innovación locales y los marcos de gobernanza regionales.</w:t>
            </w:r>
          </w:p>
        </w:tc>
        <w:tc>
          <w:tcPr>
            <w:tcW w:w="3323" w:type="dxa"/>
          </w:tcPr>
          <w:p w14:paraId="132B2F75" w14:textId="77777777" w:rsidR="00BD155E" w:rsidRPr="00E71B56" w:rsidRDefault="00BD155E" w:rsidP="00A372FB">
            <w:pPr>
              <w:keepNext/>
              <w:keepLines/>
              <w:rPr>
                <w:b/>
                <w:bCs/>
                <w:color w:val="0070C0"/>
                <w:lang w:val="es-ES"/>
              </w:rPr>
            </w:pPr>
            <w:r w:rsidRPr="00E71B56">
              <w:rPr>
                <w:b/>
                <w:bCs/>
                <w:color w:val="0070C0"/>
                <w:lang w:val="es-ES"/>
              </w:rPr>
              <w:lastRenderedPageBreak/>
              <w:t>2023-2025:</w:t>
            </w:r>
          </w:p>
          <w:p w14:paraId="7AC859C4"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Más de 200 acuerdos nuevos; por un valor de 60,8 millones USD</w:t>
            </w:r>
          </w:p>
          <w:p w14:paraId="7328B23B"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27 Marcos de Cooperación de las Naciones Unidas para el Desarrollo Sostenible firmados</w:t>
            </w:r>
          </w:p>
          <w:p w14:paraId="7B4A6F5A"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78 proyectos de desarrollo digital nuevos</w:t>
            </w:r>
          </w:p>
          <w:p w14:paraId="719EBB84" w14:textId="77777777" w:rsidR="00BD155E" w:rsidRPr="00E71B56" w:rsidDel="00E029EF" w:rsidRDefault="00BD155E" w:rsidP="00A372FB">
            <w:pPr>
              <w:keepNext/>
              <w:keepLines/>
              <w:rPr>
                <w:b/>
                <w:bCs/>
                <w:color w:val="0070C0"/>
                <w:lang w:val="es-ES"/>
              </w:rPr>
            </w:pPr>
            <w:r w:rsidRPr="00E71B56">
              <w:rPr>
                <w:b/>
                <w:bCs/>
                <w:color w:val="0070C0"/>
                <w:lang w:val="es-ES"/>
              </w:rPr>
              <w:t>PMA, PDSL y PEID participantes/asistidos:</w:t>
            </w:r>
          </w:p>
          <w:p w14:paraId="718C9F7A"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6 países participantes</w:t>
            </w:r>
          </w:p>
          <w:p w14:paraId="3ACEF425"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4 países habían participado a nivel nacional con el sistema de desarrollo de las Naciones Unidas</w:t>
            </w:r>
          </w:p>
        </w:tc>
      </w:tr>
      <w:tr w:rsidR="00BD155E" w:rsidRPr="00E71B56" w14:paraId="2405762D" w14:textId="77777777" w:rsidTr="00A372FB">
        <w:trPr>
          <w:jc w:val="center"/>
        </w:trPr>
        <w:tc>
          <w:tcPr>
            <w:tcW w:w="3173" w:type="dxa"/>
          </w:tcPr>
          <w:p w14:paraId="2F125912" w14:textId="77777777" w:rsidR="00BD155E" w:rsidRPr="00E71B56" w:rsidRDefault="00BD155E" w:rsidP="00A372FB">
            <w:pPr>
              <w:rPr>
                <w:lang w:val="es-ES"/>
              </w:rPr>
            </w:pPr>
            <w:r w:rsidRPr="00E71B56">
              <w:rPr>
                <w:b/>
                <w:bCs/>
                <w:lang w:val="es-ES"/>
              </w:rPr>
              <w:lastRenderedPageBreak/>
              <w:t>Contribución a las metas de los ODS</w:t>
            </w:r>
          </w:p>
        </w:tc>
        <w:tc>
          <w:tcPr>
            <w:tcW w:w="12211" w:type="dxa"/>
            <w:gridSpan w:val="2"/>
          </w:tcPr>
          <w:p w14:paraId="6DEFCFD8" w14:textId="77777777" w:rsidR="00BD155E" w:rsidRPr="00E71B56" w:rsidRDefault="00BD155E" w:rsidP="00A372FB">
            <w:pPr>
              <w:rPr>
                <w:lang w:val="es-ES"/>
              </w:rPr>
            </w:pPr>
            <w:r w:rsidRPr="00E71B56">
              <w:rPr>
                <w:lang w:val="es-ES"/>
              </w:rPr>
              <w:t>ODS 1, 3, 4, 5, 8, 9, 10, 11, 16 y 17</w:t>
            </w:r>
          </w:p>
        </w:tc>
      </w:tr>
      <w:tr w:rsidR="00BD155E" w:rsidRPr="00E71B56" w14:paraId="4A74798C" w14:textId="77777777" w:rsidTr="00A372FB">
        <w:trPr>
          <w:jc w:val="center"/>
        </w:trPr>
        <w:tc>
          <w:tcPr>
            <w:tcW w:w="3173" w:type="dxa"/>
          </w:tcPr>
          <w:p w14:paraId="0093549F" w14:textId="77777777" w:rsidR="00BD155E" w:rsidRPr="00E71B56" w:rsidRDefault="00BD155E" w:rsidP="00A372FB">
            <w:pPr>
              <w:rPr>
                <w:b/>
                <w:bCs/>
                <w:lang w:val="es-ES"/>
              </w:rPr>
            </w:pPr>
            <w:r w:rsidRPr="00E71B56">
              <w:rPr>
                <w:b/>
                <w:bCs/>
                <w:lang w:val="es-ES"/>
              </w:rPr>
              <w:t>Líneas de Acción de la CMSI</w:t>
            </w:r>
          </w:p>
        </w:tc>
        <w:tc>
          <w:tcPr>
            <w:tcW w:w="12211" w:type="dxa"/>
            <w:gridSpan w:val="2"/>
          </w:tcPr>
          <w:p w14:paraId="2F221B0C" w14:textId="77777777" w:rsidR="00BD155E" w:rsidRPr="00E71B56" w:rsidRDefault="00BD155E" w:rsidP="00A372FB">
            <w:pPr>
              <w:rPr>
                <w:lang w:val="es-ES"/>
              </w:rPr>
            </w:pPr>
            <w:r w:rsidRPr="00E71B56">
              <w:rPr>
                <w:lang w:val="es-ES"/>
              </w:rPr>
              <w:t>C1, C2, C3, C4, C5, C6, C7 y C11</w:t>
            </w:r>
          </w:p>
        </w:tc>
      </w:tr>
      <w:tr w:rsidR="00BD155E" w:rsidRPr="00E71B56" w14:paraId="218D97CA" w14:textId="77777777" w:rsidTr="00A372FB">
        <w:trPr>
          <w:jc w:val="center"/>
        </w:trPr>
        <w:tc>
          <w:tcPr>
            <w:tcW w:w="3173" w:type="dxa"/>
          </w:tcPr>
          <w:p w14:paraId="7167BB32" w14:textId="77777777" w:rsidR="00BD155E" w:rsidRPr="00E71B56" w:rsidRDefault="00BD155E" w:rsidP="00A372FB">
            <w:pPr>
              <w:rPr>
                <w:b/>
                <w:lang w:val="es-ES"/>
              </w:rPr>
            </w:pPr>
            <w:r w:rsidRPr="00E71B56">
              <w:rPr>
                <w:b/>
                <w:bCs/>
                <w:lang w:val="es-ES"/>
              </w:rPr>
              <w:t>Resoluciones</w:t>
            </w:r>
          </w:p>
        </w:tc>
        <w:tc>
          <w:tcPr>
            <w:tcW w:w="12211" w:type="dxa"/>
            <w:gridSpan w:val="2"/>
          </w:tcPr>
          <w:p w14:paraId="338572B0" w14:textId="77777777" w:rsidR="00BD155E" w:rsidRPr="00E71B56" w:rsidRDefault="00BD155E" w:rsidP="00A372FB">
            <w:pPr>
              <w:rPr>
                <w:lang w:val="es-ES"/>
              </w:rPr>
            </w:pPr>
            <w:r w:rsidRPr="00E71B56">
              <w:rPr>
                <w:lang w:val="es-ES"/>
              </w:rPr>
              <w:t>1, 2, 24, 25, 52 y 58 de la CMDT</w:t>
            </w:r>
          </w:p>
        </w:tc>
      </w:tr>
    </w:tbl>
    <w:p w14:paraId="5004EFA8" w14:textId="77777777" w:rsidR="00BD155E" w:rsidRPr="00E71B56" w:rsidRDefault="00BD155E" w:rsidP="00BD155E">
      <w:pPr>
        <w:rPr>
          <w:lang w:val="es-ES"/>
        </w:rPr>
      </w:pPr>
      <w:r w:rsidRPr="00E71B56">
        <w:rPr>
          <w:lang w:val="es-ES"/>
        </w:rPr>
        <w:br w:type="page"/>
      </w:r>
    </w:p>
    <w:tbl>
      <w:tblPr>
        <w:tblStyle w:val="TableGridLight"/>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2899"/>
        <w:gridCol w:w="8060"/>
        <w:gridCol w:w="3035"/>
      </w:tblGrid>
      <w:tr w:rsidR="00BD155E" w:rsidRPr="00E71B56" w14:paraId="61B57A1F" w14:textId="77777777" w:rsidTr="00A372FB">
        <w:trPr>
          <w:jc w:val="center"/>
        </w:trPr>
        <w:tc>
          <w:tcPr>
            <w:tcW w:w="15384" w:type="dxa"/>
            <w:gridSpan w:val="3"/>
            <w:shd w:val="clear" w:color="auto" w:fill="2F5496"/>
          </w:tcPr>
          <w:p w14:paraId="686AE09D" w14:textId="77777777" w:rsidR="00BD155E" w:rsidRPr="00E71B56" w:rsidRDefault="00BD155E" w:rsidP="00A372FB">
            <w:pPr>
              <w:pStyle w:val="Heading2"/>
              <w:keepNext w:val="0"/>
              <w:keepLines w:val="0"/>
              <w:jc w:val="center"/>
              <w:rPr>
                <w:color w:val="FFFFFF" w:themeColor="background1"/>
                <w:lang w:val="es-ES"/>
              </w:rPr>
            </w:pPr>
            <w:bookmarkStart w:id="44" w:name="_Toc212728826"/>
            <w:bookmarkStart w:id="45" w:name="_Toc213427974"/>
            <w:r w:rsidRPr="00E71B56">
              <w:rPr>
                <w:color w:val="FFFFFF" w:themeColor="background1"/>
                <w:lang w:val="es-ES"/>
              </w:rPr>
              <w:lastRenderedPageBreak/>
              <w:t>Prioridad 5 del UIT</w:t>
            </w:r>
            <w:r w:rsidRPr="00E71B56">
              <w:rPr>
                <w:color w:val="FFFFFF" w:themeColor="background1"/>
                <w:lang w:val="es-ES"/>
              </w:rPr>
              <w:noBreakHyphen/>
              <w:t>D: Telecomunicaciones/TIC inclusivas y seguras para el desarrollo sostenible</w:t>
            </w:r>
            <w:bookmarkEnd w:id="44"/>
            <w:bookmarkEnd w:id="45"/>
          </w:p>
          <w:p w14:paraId="6737C60B" w14:textId="77777777" w:rsidR="00BD155E" w:rsidRPr="00E71B56" w:rsidRDefault="00BD155E" w:rsidP="00A372FB">
            <w:pPr>
              <w:spacing w:after="120"/>
              <w:jc w:val="center"/>
              <w:rPr>
                <w:b/>
                <w:bCs/>
                <w:i/>
                <w:iCs/>
                <w:color w:val="FFFFFF" w:themeColor="background1"/>
                <w:lang w:val="es-ES"/>
              </w:rPr>
            </w:pPr>
            <w:r w:rsidRPr="00E71B56">
              <w:rPr>
                <w:b/>
                <w:bCs/>
                <w:i/>
                <w:iCs/>
                <w:color w:val="FFFFFF" w:themeColor="background1"/>
                <w:lang w:val="es-ES"/>
              </w:rPr>
              <w:t>Fomento de estrategias nacionales de ciberseguridad y refuerzo de las competencias digitales</w:t>
            </w:r>
          </w:p>
        </w:tc>
      </w:tr>
      <w:tr w:rsidR="00BD155E" w:rsidRPr="00E71B56" w14:paraId="45249DF7" w14:textId="77777777" w:rsidTr="00A372FB">
        <w:trPr>
          <w:jc w:val="center"/>
        </w:trPr>
        <w:tc>
          <w:tcPr>
            <w:tcW w:w="15384" w:type="dxa"/>
            <w:gridSpan w:val="3"/>
            <w:shd w:val="clear" w:color="auto" w:fill="E5DFEC"/>
          </w:tcPr>
          <w:p w14:paraId="0A1AE735" w14:textId="77777777" w:rsidR="00BD155E" w:rsidRPr="00E71B56" w:rsidRDefault="00BD155E" w:rsidP="00A372FB">
            <w:pPr>
              <w:rPr>
                <w:b/>
                <w:bCs/>
                <w:i/>
                <w:iCs/>
                <w:lang w:val="es-ES"/>
              </w:rPr>
            </w:pPr>
            <w:r w:rsidRPr="00E71B56">
              <w:rPr>
                <w:b/>
                <w:bCs/>
                <w:i/>
                <w:iCs/>
                <w:lang w:val="es-ES"/>
              </w:rPr>
              <w:t>Realización:</w:t>
            </w:r>
            <w:r w:rsidRPr="00E71B56">
              <w:rPr>
                <w:i/>
                <w:iCs/>
                <w:lang w:val="es-ES"/>
              </w:rPr>
              <w:t xml:space="preserve"> Apoyo a los Estados Miembros en la elaboración de estrategias nacionales de ciberseguridad y EIII.</w:t>
            </w:r>
            <w:r w:rsidRPr="00E71B56">
              <w:rPr>
                <w:lang w:val="es-ES"/>
              </w:rPr>
              <w:t xml:space="preserve"> </w:t>
            </w:r>
            <w:r w:rsidRPr="00E71B56">
              <w:rPr>
                <w:i/>
                <w:iCs/>
                <w:lang w:val="es-ES"/>
              </w:rPr>
              <w:t>Aumento de los servicios seguros en línea, incluida la Protección de la Infancia en Línea, y movilización de recursos para los grupos marginados y las personas con necesidades especiales.</w:t>
            </w:r>
          </w:p>
        </w:tc>
      </w:tr>
      <w:tr w:rsidR="00BD155E" w:rsidRPr="00E71B56" w14:paraId="6DF2A8C7" w14:textId="77777777" w:rsidTr="00A372FB">
        <w:trPr>
          <w:jc w:val="center"/>
        </w:trPr>
        <w:tc>
          <w:tcPr>
            <w:tcW w:w="12061" w:type="dxa"/>
            <w:gridSpan w:val="2"/>
          </w:tcPr>
          <w:p w14:paraId="28CCF209" w14:textId="77777777" w:rsidR="00BD155E" w:rsidRPr="00E71B56" w:rsidRDefault="00BD155E" w:rsidP="00A372FB">
            <w:pPr>
              <w:jc w:val="center"/>
              <w:rPr>
                <w:b/>
                <w:bCs/>
                <w:color w:val="0070C0"/>
                <w:lang w:val="es-ES"/>
              </w:rPr>
            </w:pPr>
            <w:r w:rsidRPr="00E71B56">
              <w:rPr>
                <w:b/>
                <w:bCs/>
                <w:color w:val="0070C0"/>
                <w:lang w:val="es-ES"/>
              </w:rPr>
              <w:t>Productos</w:t>
            </w:r>
          </w:p>
        </w:tc>
        <w:tc>
          <w:tcPr>
            <w:tcW w:w="3323" w:type="dxa"/>
          </w:tcPr>
          <w:p w14:paraId="596E0CEC" w14:textId="77777777" w:rsidR="00BD155E" w:rsidRPr="00E71B56" w:rsidRDefault="00BD155E" w:rsidP="00A372FB">
            <w:pPr>
              <w:jc w:val="center"/>
              <w:rPr>
                <w:b/>
                <w:bCs/>
                <w:color w:val="0070C0"/>
                <w:lang w:val="es-ES"/>
              </w:rPr>
            </w:pPr>
            <w:r w:rsidRPr="00E71B56">
              <w:rPr>
                <w:b/>
                <w:bCs/>
                <w:color w:val="0070C0"/>
                <w:lang w:val="es-ES"/>
              </w:rPr>
              <w:t>Aspectos destacados</w:t>
            </w:r>
          </w:p>
        </w:tc>
      </w:tr>
      <w:tr w:rsidR="00BD155E" w:rsidRPr="00E71B56" w14:paraId="72B3F0E1" w14:textId="77777777" w:rsidTr="00A372FB">
        <w:trPr>
          <w:jc w:val="center"/>
        </w:trPr>
        <w:tc>
          <w:tcPr>
            <w:tcW w:w="12061" w:type="dxa"/>
            <w:gridSpan w:val="2"/>
          </w:tcPr>
          <w:p w14:paraId="1141BB7A" w14:textId="77777777" w:rsidR="00BD155E" w:rsidRPr="00E71B56" w:rsidRDefault="00BD155E" w:rsidP="00A372FB">
            <w:pPr>
              <w:pStyle w:val="Heading3"/>
              <w:keepNext w:val="0"/>
              <w:keepLines w:val="0"/>
              <w:rPr>
                <w:color w:val="0070C0"/>
                <w:lang w:val="es-ES"/>
              </w:rPr>
            </w:pPr>
            <w:bookmarkStart w:id="46" w:name="_Toc212728827"/>
            <w:bookmarkStart w:id="47" w:name="_Toc213427975"/>
            <w:r w:rsidRPr="00E71B56">
              <w:rPr>
                <w:color w:val="0070C0"/>
                <w:lang w:val="es-ES"/>
              </w:rPr>
              <w:t>Ciberseguridad</w:t>
            </w:r>
            <w:bookmarkEnd w:id="46"/>
            <w:bookmarkEnd w:id="47"/>
          </w:p>
          <w:p w14:paraId="21C2016D" w14:textId="77777777" w:rsidR="00BD155E" w:rsidRPr="00E71B56" w:rsidRDefault="00BD155E" w:rsidP="00A372FB">
            <w:pPr>
              <w:rPr>
                <w:lang w:val="es-ES"/>
              </w:rPr>
            </w:pPr>
            <w:r w:rsidRPr="00E71B56">
              <w:rPr>
                <w:lang w:val="es-ES"/>
              </w:rPr>
              <w:t xml:space="preserve">A partir de 2023, la BDT consolidó la ciberseguridad como un pilar central del desarrollo digital. Reconociendo que los ecosistemas digitales son esenciales para la confianza, la resiliencia y el crecimiento, la BDT combinó las plataformas mundiales, la colaboración regional y las intervenciones nacionales para fortalecer la capacidad de los Estados Miembros para hacer frente a las ciberamenazas. La labor emprendida ha contribuido a la aplicación de la </w:t>
            </w:r>
            <w:hyperlink r:id="rId255" w:history="1">
              <w:r w:rsidRPr="00E71B56">
                <w:rPr>
                  <w:rStyle w:val="Hyperlink"/>
                  <w:lang w:val="es-ES"/>
                </w:rPr>
                <w:t>Resolución 45 (Rev. Kigali, 2022) de la CMDT-22</w:t>
              </w:r>
            </w:hyperlink>
            <w:r w:rsidRPr="00E71B56">
              <w:rPr>
                <w:lang w:val="es-ES"/>
              </w:rPr>
              <w:t xml:space="preserve"> sobre</w:t>
            </w:r>
            <w:r w:rsidRPr="00E71B56">
              <w:rPr>
                <w:i/>
                <w:iCs/>
                <w:lang w:val="es-ES"/>
              </w:rPr>
              <w:t xml:space="preserve"> </w:t>
            </w:r>
            <w:r w:rsidRPr="00E71B56">
              <w:rPr>
                <w:lang w:val="es-ES"/>
              </w:rPr>
              <w:t>mecanismos para mejorar la cooperación en materia de ciberseguridad, incluida la lucha contra el correo basura</w:t>
            </w:r>
            <w:r w:rsidRPr="00E71B56">
              <w:rPr>
                <w:i/>
                <w:iCs/>
                <w:lang w:val="es-ES"/>
              </w:rPr>
              <w:t>.</w:t>
            </w:r>
            <w:hyperlink r:id="rId256"/>
          </w:p>
          <w:p w14:paraId="2ABD7EBA" w14:textId="77777777" w:rsidR="00BD155E" w:rsidRPr="00E71B56" w:rsidRDefault="00BD155E" w:rsidP="00A372FB">
            <w:pPr>
              <w:rPr>
                <w:lang w:val="es-ES"/>
              </w:rPr>
            </w:pPr>
            <w:r w:rsidRPr="00E71B56">
              <w:rPr>
                <w:lang w:val="es-ES"/>
              </w:rPr>
              <w:t xml:space="preserve">Una de las principales iniciativas de este periodo fue la ejecución de los </w:t>
            </w:r>
            <w:hyperlink r:id="rId257" w:history="1">
              <w:r w:rsidRPr="00E71B56">
                <w:rPr>
                  <w:rStyle w:val="Hyperlink"/>
                  <w:lang w:val="es-ES"/>
                </w:rPr>
                <w:t>Cibersimulacros</w:t>
              </w:r>
            </w:hyperlink>
            <w:r w:rsidRPr="00E71B56">
              <w:rPr>
                <w:lang w:val="es-ES"/>
              </w:rPr>
              <w:t xml:space="preserve">, que simulan incidentes en tiempo real y permiten a los gobiernos, organismos reguladores y operadores poner a prueba el nivel de preparación en contextos coordinados. El </w:t>
            </w:r>
            <w:r w:rsidRPr="00E71B56">
              <w:rPr>
                <w:b/>
                <w:bCs/>
                <w:lang w:val="es-ES"/>
              </w:rPr>
              <w:t>proyecto Cyber for Good</w:t>
            </w:r>
            <w:r w:rsidRPr="00E71B56">
              <w:rPr>
                <w:lang w:val="es-ES"/>
              </w:rPr>
              <w:t xml:space="preserve"> prestó asistencia específica a los países vulnerables, apoyando la creación de </w:t>
            </w:r>
            <w:hyperlink r:id="rId258" w:history="1">
              <w:r w:rsidRPr="00E71B56">
                <w:rPr>
                  <w:rStyle w:val="Hyperlink"/>
                  <w:lang w:val="es-ES"/>
                </w:rPr>
                <w:t>equipos de intervención en caso de incidente informático (EIII)</w:t>
              </w:r>
            </w:hyperlink>
            <w:r w:rsidRPr="00E71B56">
              <w:rPr>
                <w:lang w:val="es-ES"/>
              </w:rPr>
              <w:t xml:space="preserve">, haciendo que estos adquiriesen madurez y sentando las bases de estrategias nacionales en materia de ciberseguridad. La BDT promueve una cultura en la que la ciberseguridad se considere un proceso continuo e iterativo, integrado en los productos desde el principio y durante toda su vida útil, de forma accesible y comprensible para los usuarios. Asimismo, la BDT impulsó las comparativas a nivel mundial por conducto del </w:t>
            </w:r>
            <w:hyperlink r:id="rId259" w:history="1">
              <w:r w:rsidRPr="00E71B56">
                <w:rPr>
                  <w:rStyle w:val="Hyperlink"/>
                  <w:lang w:val="es-ES"/>
                </w:rPr>
                <w:t>Índice de Ciberseguridad Global (ICG)</w:t>
              </w:r>
            </w:hyperlink>
            <w:r w:rsidRPr="00E71B56">
              <w:rPr>
                <w:lang w:val="es-ES"/>
              </w:rPr>
              <w:t>, que permitía a los Estados Miembros evaluar el grado de preparación. El ICG es una referencia fiable que mide el compromiso de los países con la ciberseguridad a escala mundial para sensibilizar acerca de la importancia y las diferentes dimensiones de la cuestión.</w:t>
            </w:r>
            <w:hyperlink r:id="rId260"/>
            <w:hyperlink r:id="rId261"/>
            <w:hyperlink r:id="rId262"/>
          </w:p>
          <w:p w14:paraId="42B36E07" w14:textId="77777777" w:rsidR="00BD155E" w:rsidRPr="00E71B56" w:rsidRDefault="00BD155E" w:rsidP="00A372FB">
            <w:pPr>
              <w:keepNext/>
              <w:keepLines/>
              <w:rPr>
                <w:lang w:val="es-ES"/>
              </w:rPr>
            </w:pPr>
            <w:r w:rsidRPr="00E71B56">
              <w:rPr>
                <w:b/>
                <w:bCs/>
                <w:lang w:val="es-ES"/>
              </w:rPr>
              <w:lastRenderedPageBreak/>
              <w:t>Cibersimulacros</w:t>
            </w:r>
          </w:p>
          <w:p w14:paraId="7890CED1" w14:textId="77777777" w:rsidR="00BD155E" w:rsidRPr="00E71B56" w:rsidRDefault="00BD155E" w:rsidP="00A372FB">
            <w:pPr>
              <w:rPr>
                <w:lang w:val="es-ES"/>
              </w:rPr>
            </w:pPr>
            <w:r w:rsidRPr="00E71B56">
              <w:rPr>
                <w:lang w:val="es-ES"/>
              </w:rPr>
              <w:t xml:space="preserve">El programa de Cibersimulacros fue una de las plataformas operativas de la UIT más visibles durante este periodo. Entre 2023 y 2025, la UIT llevó a cabo 22 Cibersimulacros en los planos nacional, regional y mundial, logrando la participación de más de 140 países. Los Cibersimulacros simulan las presiones dimanantes de los ciberataques reales y requieren coordinación respecto de los aspectos técnicos, jurídicos y diplomáticos. El </w:t>
            </w:r>
            <w:hyperlink r:id="rId263" w:history="1">
              <w:r w:rsidRPr="00E71B56">
                <w:rPr>
                  <w:rStyle w:val="Hyperlink"/>
                  <w:lang w:val="es-ES"/>
                </w:rPr>
                <w:t>Cibersmimulacro Mundial de 2024</w:t>
              </w:r>
            </w:hyperlink>
            <w:r w:rsidRPr="00E71B56">
              <w:rPr>
                <w:lang w:val="es-ES"/>
              </w:rPr>
              <w:t>, organizado en abril en Dubái (</w:t>
            </w:r>
            <w:r w:rsidRPr="00E71B56">
              <w:rPr>
                <w:b/>
                <w:bCs/>
                <w:lang w:val="es-ES"/>
              </w:rPr>
              <w:t>Emiratos Árabes Unidos</w:t>
            </w:r>
            <w:r w:rsidRPr="00E71B56">
              <w:rPr>
                <w:lang w:val="es-ES"/>
              </w:rPr>
              <w:t xml:space="preserve">), con la participación de 104 países, hizo que la UIT y el Consejo de Ciberseguridad de los Emiratos Árabes Unidos lograsen tres récords mundiales Guinness, mientras que en el </w:t>
            </w:r>
            <w:hyperlink r:id="rId264" w:history="1">
              <w:r w:rsidRPr="00E71B56">
                <w:rPr>
                  <w:rStyle w:val="Hyperlink"/>
                  <w:lang w:val="es-ES"/>
                </w:rPr>
                <w:t>Cibersmimulacro Mundial de 2025</w:t>
              </w:r>
            </w:hyperlink>
            <w:r w:rsidRPr="00E71B56">
              <w:rPr>
                <w:lang w:val="es-ES"/>
              </w:rPr>
              <w:t>, celebrado también en Dubái del 6 al 8 de mayo y organizado por el Consejo de Ciberseguridad del país, participaron más de 126 países y se lograron 11 récords mundiales Guinness, entre ellos el récord al mayor número de nacionalidades participantes en un concurso de ese tipo (126 países). Estos niveles de asistencia sin precedentes en los eventos de Cibersimulacros demuestran la creciente confianza de los Estados Miembros en la UIT como asociado clave para abordar las ciberamenazas y la preparación.</w:t>
            </w:r>
            <w:hyperlink r:id="rId265" w:history="1"/>
            <w:hyperlink r:id="rId266" w:history="1"/>
          </w:p>
          <w:p w14:paraId="665B24AE" w14:textId="77777777" w:rsidR="00BD155E" w:rsidRPr="00E71B56" w:rsidRDefault="00BD155E" w:rsidP="00A372FB">
            <w:pPr>
              <w:rPr>
                <w:i/>
                <w:lang w:val="es-ES"/>
              </w:rPr>
            </w:pPr>
            <w:r w:rsidRPr="00E71B56">
              <w:rPr>
                <w:lang w:val="es-ES"/>
              </w:rPr>
              <w:t>Estos Cibersimulacros ofrecieron oportunidades para que los equipos técnicos, los organismos reguladores, los EIII/EIEI/EIISI, los organismos nacionales de ciberseguridad y otras entidades nacionales encargadas de la ciberseguridad practicaran la coordinación de incidentes en tiempo real. En paralelo, la BDT organizó</w:t>
            </w:r>
            <w:r w:rsidRPr="00E71B56">
              <w:rPr>
                <w:b/>
                <w:bCs/>
                <w:lang w:val="es-ES"/>
              </w:rPr>
              <w:t xml:space="preserve"> programas de formación especializada</w:t>
            </w:r>
            <w:r w:rsidRPr="00E71B56">
              <w:rPr>
                <w:lang w:val="es-ES"/>
              </w:rPr>
              <w:t xml:space="preserve">. En un curso mundial sobre el ciclo de vida de las estrategias nacionales de ciberseguridad participaron más de </w:t>
            </w:r>
            <w:r w:rsidRPr="00E71B56">
              <w:rPr>
                <w:b/>
                <w:bCs/>
                <w:lang w:val="es-ES"/>
              </w:rPr>
              <w:t>700 participantes de 130 países</w:t>
            </w:r>
            <w:r w:rsidRPr="00E71B56">
              <w:rPr>
                <w:lang w:val="es-ES"/>
              </w:rPr>
              <w:t xml:space="preserve">, ofreciendo orientaciones sobre la elaboración, la implementación y la revisión de estrategias nacionales. Se celebraron talleres regionales adicionales en </w:t>
            </w:r>
            <w:r w:rsidRPr="00E71B56">
              <w:rPr>
                <w:b/>
                <w:bCs/>
                <w:lang w:val="es-ES"/>
              </w:rPr>
              <w:t>Bahrein</w:t>
            </w:r>
            <w:r w:rsidRPr="00E71B56">
              <w:rPr>
                <w:lang w:val="es-ES"/>
              </w:rPr>
              <w:t xml:space="preserve">, </w:t>
            </w:r>
            <w:r w:rsidRPr="00E71B56">
              <w:rPr>
                <w:b/>
                <w:bCs/>
                <w:lang w:val="es-ES"/>
              </w:rPr>
              <w:t xml:space="preserve">Maldivas </w:t>
            </w:r>
            <w:r w:rsidRPr="00E71B56">
              <w:rPr>
                <w:lang w:val="es-ES"/>
              </w:rPr>
              <w:t>y los</w:t>
            </w:r>
            <w:r w:rsidRPr="00E71B56">
              <w:rPr>
                <w:b/>
                <w:bCs/>
                <w:lang w:val="es-ES"/>
              </w:rPr>
              <w:t xml:space="preserve"> Emiratos Árabes Unidos</w:t>
            </w:r>
            <w:r w:rsidRPr="00E71B56">
              <w:rPr>
                <w:lang w:val="es-ES"/>
              </w:rPr>
              <w:t xml:space="preserve">, en los que los participantes aplicaron estos conocimientos en contextos nacionales, centrándose en esferas como la comunicación de información sobre incidentes y la evaluación del riesgo. Esta labor también ha contribuido a la aplicación de la </w:t>
            </w:r>
            <w:hyperlink r:id="rId267" w:history="1">
              <w:r w:rsidRPr="00E71B56">
                <w:rPr>
                  <w:rStyle w:val="Hyperlink"/>
                  <w:lang w:val="es-ES"/>
                </w:rPr>
                <w:t>Resolución 69 (Rev. Kigali, 2022) de la CMDT-22</w:t>
              </w:r>
            </w:hyperlink>
            <w:r w:rsidRPr="00E71B56">
              <w:rPr>
                <w:lang w:val="es-ES"/>
              </w:rPr>
              <w:t xml:space="preserve"> sobre facilitación de la creación de equipos de intervención en caso de incidente informático a escala nacional, especialmente para los países en desarrollo, y cooperación entre los mismos</w:t>
            </w:r>
            <w:r w:rsidRPr="00E71B56">
              <w:rPr>
                <w:i/>
                <w:iCs/>
                <w:lang w:val="es-ES"/>
              </w:rPr>
              <w:t>.</w:t>
            </w:r>
            <w:hyperlink r:id="rId268" w:history="1"/>
          </w:p>
          <w:p w14:paraId="519B11AF" w14:textId="77777777" w:rsidR="00BD155E" w:rsidRPr="00E71B56" w:rsidRDefault="00BD155E" w:rsidP="00A372FB">
            <w:pPr>
              <w:rPr>
                <w:lang w:val="es-ES"/>
              </w:rPr>
            </w:pPr>
            <w:r w:rsidRPr="00E71B56">
              <w:rPr>
                <w:lang w:val="es-ES"/>
              </w:rPr>
              <w:t xml:space="preserve">Para impulsar la inclusión digital, la BDT ha ejecutado programas para realizar mentorías, formar y empoderar a las mujeres. En 2023, la iniciativa </w:t>
            </w:r>
            <w:hyperlink r:id="rId269" w:history="1">
              <w:r w:rsidRPr="00E71B56">
                <w:rPr>
                  <w:rStyle w:val="Hyperlink"/>
                  <w:lang w:val="es-ES"/>
                </w:rPr>
                <w:t>Women in Cyber</w:t>
              </w:r>
            </w:hyperlink>
            <w:r w:rsidRPr="00E71B56">
              <w:rPr>
                <w:lang w:val="es-ES"/>
              </w:rPr>
              <w:t xml:space="preserve"> llegó a más de 300 mujeres. La UIT y GIZ pusieron en marcha actividades de formación y mentoría específicas en el marco del programa </w:t>
            </w:r>
            <w:hyperlink r:id="rId270" w:history="1">
              <w:r w:rsidRPr="00E71B56">
                <w:rPr>
                  <w:rStyle w:val="Hyperlink"/>
                  <w:lang w:val="es-ES"/>
                </w:rPr>
                <w:t>HerCyberTracks</w:t>
              </w:r>
            </w:hyperlink>
            <w:r w:rsidRPr="00E71B56">
              <w:rPr>
                <w:lang w:val="es-ES"/>
              </w:rPr>
              <w:t xml:space="preserve">, que </w:t>
            </w:r>
            <w:r w:rsidRPr="00E71B56">
              <w:rPr>
                <w:lang w:val="es-ES"/>
              </w:rPr>
              <w:lastRenderedPageBreak/>
              <w:t>preparaba a las mujeres para asumir funciones técnicas, políticas y directivas, y se amplió para incluir contenidos de la UNODC. Desde 2024, todas las actividades de desarrollo de capacidades en ciberseguridad destinadas a las mujeres se han consolidado en el marco de HerCyberTracks. En 2025, la tercera edición del programa incluyó a participantes, entre ellos mujeres de la región de África, los Estados Árabes, Asia</w:t>
            </w:r>
            <w:r w:rsidRPr="00E71B56">
              <w:rPr>
                <w:lang w:val="es-ES"/>
              </w:rPr>
              <w:noBreakHyphen/>
              <w:t>Pacífico, las Américas y Europa.</w:t>
            </w:r>
            <w:hyperlink r:id="rId271" w:history="1"/>
            <w:hyperlink r:id="rId272"/>
          </w:p>
          <w:p w14:paraId="450244AF" w14:textId="77777777" w:rsidR="00BD155E" w:rsidRPr="00E71B56" w:rsidRDefault="00BD155E" w:rsidP="00A372FB">
            <w:pPr>
              <w:rPr>
                <w:lang w:val="es-ES"/>
              </w:rPr>
            </w:pPr>
            <w:r w:rsidRPr="00E71B56">
              <w:rPr>
                <w:lang w:val="es-ES"/>
              </w:rPr>
              <w:t xml:space="preserve">Se prestó apoyo a los países con recursos institucionales limitados por conducto del </w:t>
            </w:r>
            <w:r w:rsidRPr="00E71B56">
              <w:rPr>
                <w:b/>
                <w:bCs/>
                <w:lang w:val="es-ES"/>
              </w:rPr>
              <w:t>proyecto Cyber for Good</w:t>
            </w:r>
            <w:r w:rsidRPr="00E71B56">
              <w:rPr>
                <w:lang w:val="es-ES"/>
              </w:rPr>
              <w:t xml:space="preserve">. En 2024, un total de 33 PMA habían recibido dicho apoyo: </w:t>
            </w:r>
            <w:r w:rsidRPr="00E71B56">
              <w:rPr>
                <w:b/>
                <w:bCs/>
                <w:lang w:val="es-ES"/>
              </w:rPr>
              <w:t>Benin</w:t>
            </w:r>
            <w:r w:rsidRPr="00E71B56">
              <w:rPr>
                <w:lang w:val="es-ES"/>
              </w:rPr>
              <w:t xml:space="preserve">, </w:t>
            </w:r>
            <w:r w:rsidRPr="00E71B56">
              <w:rPr>
                <w:b/>
                <w:bCs/>
                <w:lang w:val="es-ES"/>
              </w:rPr>
              <w:t>Burkina Faso</w:t>
            </w:r>
            <w:r w:rsidRPr="00E71B56">
              <w:rPr>
                <w:lang w:val="es-ES"/>
              </w:rPr>
              <w:t xml:space="preserve">, </w:t>
            </w:r>
            <w:r w:rsidRPr="00E71B56">
              <w:rPr>
                <w:b/>
                <w:bCs/>
                <w:lang w:val="es-ES"/>
              </w:rPr>
              <w:t>Camboya</w:t>
            </w:r>
            <w:r w:rsidRPr="00E71B56">
              <w:rPr>
                <w:lang w:val="es-ES"/>
              </w:rPr>
              <w:t xml:space="preserve">, </w:t>
            </w:r>
            <w:r w:rsidRPr="00E71B56">
              <w:rPr>
                <w:b/>
                <w:bCs/>
                <w:lang w:val="es-ES"/>
              </w:rPr>
              <w:t>Chad</w:t>
            </w:r>
            <w:r w:rsidRPr="00E71B56">
              <w:rPr>
                <w:lang w:val="es-ES"/>
              </w:rPr>
              <w:t xml:space="preserve">, </w:t>
            </w:r>
            <w:r w:rsidRPr="00E71B56">
              <w:rPr>
                <w:b/>
                <w:bCs/>
                <w:lang w:val="es-ES"/>
              </w:rPr>
              <w:t>Djibouti</w:t>
            </w:r>
            <w:r w:rsidRPr="00E71B56">
              <w:rPr>
                <w:lang w:val="es-ES"/>
              </w:rPr>
              <w:t xml:space="preserve">, </w:t>
            </w:r>
            <w:r w:rsidRPr="00E71B56">
              <w:rPr>
                <w:b/>
                <w:bCs/>
                <w:lang w:val="es-ES"/>
              </w:rPr>
              <w:t>Etiopía</w:t>
            </w:r>
            <w:r w:rsidRPr="00E71B56">
              <w:rPr>
                <w:lang w:val="es-ES"/>
              </w:rPr>
              <w:t xml:space="preserve">, </w:t>
            </w:r>
            <w:r w:rsidRPr="00E71B56">
              <w:rPr>
                <w:b/>
                <w:bCs/>
                <w:lang w:val="es-ES"/>
              </w:rPr>
              <w:t>Gambia</w:t>
            </w:r>
            <w:r w:rsidRPr="00E71B56">
              <w:rPr>
                <w:lang w:val="es-ES"/>
              </w:rPr>
              <w:t xml:space="preserve">, </w:t>
            </w:r>
            <w:r w:rsidRPr="00E71B56">
              <w:rPr>
                <w:b/>
                <w:bCs/>
                <w:lang w:val="es-ES"/>
              </w:rPr>
              <w:t>Guinea</w:t>
            </w:r>
            <w:r w:rsidRPr="00E71B56">
              <w:rPr>
                <w:lang w:val="es-ES"/>
              </w:rPr>
              <w:t xml:space="preserve">, </w:t>
            </w:r>
            <w:r w:rsidRPr="00E71B56">
              <w:rPr>
                <w:b/>
                <w:bCs/>
                <w:lang w:val="es-ES"/>
              </w:rPr>
              <w:t>Guinea</w:t>
            </w:r>
            <w:r w:rsidRPr="00E71B56">
              <w:rPr>
                <w:b/>
                <w:bCs/>
                <w:lang w:val="es-ES"/>
              </w:rPr>
              <w:noBreakHyphen/>
              <w:t>Bissau</w:t>
            </w:r>
            <w:r w:rsidRPr="00E71B56">
              <w:rPr>
                <w:lang w:val="es-ES"/>
              </w:rPr>
              <w:t xml:space="preserve">, </w:t>
            </w:r>
            <w:r w:rsidRPr="00E71B56">
              <w:rPr>
                <w:b/>
                <w:bCs/>
                <w:lang w:val="es-ES"/>
              </w:rPr>
              <w:t>Jamaica</w:t>
            </w:r>
            <w:r w:rsidRPr="00E71B56">
              <w:rPr>
                <w:lang w:val="es-ES"/>
              </w:rPr>
              <w:t xml:space="preserve">, </w:t>
            </w:r>
            <w:r w:rsidRPr="00E71B56">
              <w:rPr>
                <w:b/>
                <w:bCs/>
                <w:lang w:val="es-ES"/>
              </w:rPr>
              <w:t>Kiribati</w:t>
            </w:r>
            <w:r w:rsidRPr="00E71B56">
              <w:rPr>
                <w:lang w:val="es-ES"/>
              </w:rPr>
              <w:t xml:space="preserve">, </w:t>
            </w:r>
            <w:r w:rsidRPr="00E71B56">
              <w:rPr>
                <w:b/>
                <w:bCs/>
                <w:lang w:val="es-ES"/>
              </w:rPr>
              <w:t>R.D.P. Lao</w:t>
            </w:r>
            <w:r w:rsidRPr="00E71B56">
              <w:rPr>
                <w:lang w:val="es-ES"/>
              </w:rPr>
              <w:t xml:space="preserve">, </w:t>
            </w:r>
            <w:r w:rsidRPr="00E71B56">
              <w:rPr>
                <w:b/>
                <w:bCs/>
                <w:lang w:val="es-ES"/>
              </w:rPr>
              <w:t>Lesotho</w:t>
            </w:r>
            <w:r w:rsidRPr="00E71B56">
              <w:rPr>
                <w:lang w:val="es-ES"/>
              </w:rPr>
              <w:t xml:space="preserve">, </w:t>
            </w:r>
            <w:r w:rsidRPr="00E71B56">
              <w:rPr>
                <w:b/>
                <w:bCs/>
                <w:lang w:val="es-ES"/>
              </w:rPr>
              <w:t>Liberia</w:t>
            </w:r>
            <w:r w:rsidRPr="00E71B56">
              <w:rPr>
                <w:lang w:val="es-ES"/>
              </w:rPr>
              <w:t xml:space="preserve">, </w:t>
            </w:r>
            <w:r w:rsidRPr="00E71B56">
              <w:rPr>
                <w:b/>
                <w:bCs/>
                <w:lang w:val="es-ES"/>
              </w:rPr>
              <w:t>Malawi</w:t>
            </w:r>
            <w:r w:rsidRPr="00E71B56">
              <w:rPr>
                <w:lang w:val="es-ES"/>
              </w:rPr>
              <w:t xml:space="preserve">, </w:t>
            </w:r>
            <w:r w:rsidRPr="00E71B56">
              <w:rPr>
                <w:b/>
                <w:bCs/>
                <w:lang w:val="es-ES"/>
              </w:rPr>
              <w:t>Malí</w:t>
            </w:r>
            <w:r w:rsidRPr="00E71B56">
              <w:rPr>
                <w:lang w:val="es-ES"/>
              </w:rPr>
              <w:t xml:space="preserve">, </w:t>
            </w:r>
            <w:r w:rsidRPr="00E71B56">
              <w:rPr>
                <w:b/>
                <w:bCs/>
                <w:lang w:val="es-ES"/>
              </w:rPr>
              <w:t>Mauritania</w:t>
            </w:r>
            <w:r w:rsidRPr="00E71B56">
              <w:rPr>
                <w:lang w:val="es-ES"/>
              </w:rPr>
              <w:t xml:space="preserve">, </w:t>
            </w:r>
            <w:r w:rsidRPr="00E71B56">
              <w:rPr>
                <w:b/>
                <w:bCs/>
                <w:lang w:val="es-ES"/>
              </w:rPr>
              <w:t>Mozambique</w:t>
            </w:r>
            <w:r w:rsidRPr="00E71B56">
              <w:rPr>
                <w:lang w:val="es-ES"/>
              </w:rPr>
              <w:t xml:space="preserve">, </w:t>
            </w:r>
            <w:r w:rsidRPr="00E71B56">
              <w:rPr>
                <w:b/>
                <w:bCs/>
                <w:lang w:val="es-ES"/>
              </w:rPr>
              <w:t>Nepal</w:t>
            </w:r>
            <w:r w:rsidRPr="00E71B56">
              <w:rPr>
                <w:lang w:val="es-ES"/>
              </w:rPr>
              <w:t xml:space="preserve">, </w:t>
            </w:r>
            <w:r w:rsidRPr="00E71B56">
              <w:rPr>
                <w:b/>
                <w:bCs/>
                <w:lang w:val="es-ES"/>
              </w:rPr>
              <w:t>Níger</w:t>
            </w:r>
            <w:r w:rsidRPr="00E71B56">
              <w:rPr>
                <w:lang w:val="es-ES"/>
              </w:rPr>
              <w:t xml:space="preserve">, </w:t>
            </w:r>
            <w:r w:rsidRPr="00E71B56">
              <w:rPr>
                <w:b/>
                <w:bCs/>
                <w:lang w:val="es-ES"/>
              </w:rPr>
              <w:t>Rwanda</w:t>
            </w:r>
            <w:r w:rsidRPr="00E71B56">
              <w:rPr>
                <w:lang w:val="es-ES"/>
              </w:rPr>
              <w:t xml:space="preserve">, </w:t>
            </w:r>
            <w:r w:rsidRPr="00E71B56">
              <w:rPr>
                <w:b/>
                <w:bCs/>
                <w:lang w:val="es-ES"/>
              </w:rPr>
              <w:t>Senegal</w:t>
            </w:r>
            <w:r w:rsidRPr="00E71B56">
              <w:rPr>
                <w:lang w:val="es-ES"/>
              </w:rPr>
              <w:t xml:space="preserve">, </w:t>
            </w:r>
            <w:r w:rsidRPr="00E71B56">
              <w:rPr>
                <w:b/>
                <w:bCs/>
                <w:lang w:val="es-ES"/>
              </w:rPr>
              <w:t>Sierra Leona</w:t>
            </w:r>
            <w:r w:rsidRPr="00E71B56">
              <w:rPr>
                <w:lang w:val="es-ES"/>
              </w:rPr>
              <w:t xml:space="preserve">, </w:t>
            </w:r>
            <w:r w:rsidRPr="00E71B56">
              <w:rPr>
                <w:b/>
                <w:bCs/>
                <w:lang w:val="es-ES"/>
              </w:rPr>
              <w:t>Islas Salomón</w:t>
            </w:r>
            <w:r w:rsidRPr="00E71B56">
              <w:rPr>
                <w:lang w:val="es-ES"/>
              </w:rPr>
              <w:t xml:space="preserve">, </w:t>
            </w:r>
            <w:r w:rsidRPr="00E71B56">
              <w:rPr>
                <w:b/>
                <w:bCs/>
                <w:lang w:val="es-ES"/>
              </w:rPr>
              <w:t>Somalia</w:t>
            </w:r>
            <w:r w:rsidRPr="00E71B56">
              <w:rPr>
                <w:lang w:val="es-ES"/>
              </w:rPr>
              <w:t xml:space="preserve">, </w:t>
            </w:r>
            <w:r w:rsidRPr="00E71B56">
              <w:rPr>
                <w:b/>
                <w:bCs/>
                <w:lang w:val="es-ES"/>
              </w:rPr>
              <w:t>Sudán del Sur</w:t>
            </w:r>
            <w:r w:rsidRPr="00E71B56">
              <w:rPr>
                <w:lang w:val="es-ES"/>
              </w:rPr>
              <w:t xml:space="preserve">, </w:t>
            </w:r>
            <w:r w:rsidRPr="00E71B56">
              <w:rPr>
                <w:b/>
                <w:bCs/>
                <w:lang w:val="es-ES"/>
              </w:rPr>
              <w:t>Suriname</w:t>
            </w:r>
            <w:r w:rsidRPr="00E71B56">
              <w:rPr>
                <w:lang w:val="es-ES"/>
              </w:rPr>
              <w:t xml:space="preserve">, </w:t>
            </w:r>
            <w:r w:rsidRPr="00E71B56">
              <w:rPr>
                <w:b/>
                <w:bCs/>
                <w:lang w:val="es-ES"/>
              </w:rPr>
              <w:t>Tanzanía</w:t>
            </w:r>
            <w:r w:rsidRPr="00E71B56">
              <w:rPr>
                <w:lang w:val="es-ES"/>
              </w:rPr>
              <w:t xml:space="preserve">, </w:t>
            </w:r>
            <w:r w:rsidRPr="00E71B56">
              <w:rPr>
                <w:b/>
                <w:bCs/>
                <w:lang w:val="es-ES"/>
              </w:rPr>
              <w:t>Timor</w:t>
            </w:r>
            <w:r w:rsidRPr="00E71B56">
              <w:rPr>
                <w:b/>
                <w:bCs/>
                <w:lang w:val="es-ES"/>
              </w:rPr>
              <w:noBreakHyphen/>
              <w:t>Leste</w:t>
            </w:r>
            <w:r w:rsidRPr="00E71B56">
              <w:rPr>
                <w:lang w:val="es-ES"/>
              </w:rPr>
              <w:t xml:space="preserve">, </w:t>
            </w:r>
            <w:r w:rsidRPr="00E71B56">
              <w:rPr>
                <w:b/>
                <w:bCs/>
                <w:lang w:val="es-ES"/>
              </w:rPr>
              <w:t>Togo</w:t>
            </w:r>
            <w:r w:rsidRPr="00E71B56">
              <w:rPr>
                <w:lang w:val="es-ES"/>
              </w:rPr>
              <w:t xml:space="preserve">, </w:t>
            </w:r>
            <w:r w:rsidRPr="00E71B56">
              <w:rPr>
                <w:b/>
                <w:bCs/>
                <w:lang w:val="es-ES"/>
              </w:rPr>
              <w:t>Uganda</w:t>
            </w:r>
            <w:r w:rsidRPr="00E71B56">
              <w:rPr>
                <w:lang w:val="es-ES"/>
              </w:rPr>
              <w:t xml:space="preserve">, </w:t>
            </w:r>
            <w:r w:rsidRPr="00E71B56">
              <w:rPr>
                <w:b/>
                <w:bCs/>
                <w:lang w:val="es-ES"/>
              </w:rPr>
              <w:t xml:space="preserve">Vanuatu </w:t>
            </w:r>
            <w:r w:rsidRPr="00E71B56">
              <w:rPr>
                <w:lang w:val="es-ES"/>
              </w:rPr>
              <w:t>y</w:t>
            </w:r>
            <w:r w:rsidRPr="00E71B56">
              <w:rPr>
                <w:b/>
                <w:bCs/>
                <w:lang w:val="es-ES"/>
              </w:rPr>
              <w:t xml:space="preserve"> Zambia</w:t>
            </w:r>
            <w:r w:rsidRPr="00E71B56">
              <w:rPr>
                <w:lang w:val="es-ES"/>
              </w:rPr>
              <w:t xml:space="preserve">. La asistencia incluyó evaluaciones, formación y acceso a herramientas del sector privado. </w:t>
            </w:r>
            <w:r w:rsidRPr="00E71B56">
              <w:rPr>
                <w:b/>
                <w:bCs/>
                <w:lang w:val="es-ES"/>
              </w:rPr>
              <w:t xml:space="preserve">Lesotho </w:t>
            </w:r>
            <w:r w:rsidRPr="00E71B56">
              <w:rPr>
                <w:lang w:val="es-ES"/>
              </w:rPr>
              <w:t xml:space="preserve">y </w:t>
            </w:r>
            <w:r w:rsidRPr="00E71B56">
              <w:rPr>
                <w:b/>
                <w:bCs/>
                <w:lang w:val="es-ES"/>
              </w:rPr>
              <w:t xml:space="preserve">Zimbabwe </w:t>
            </w:r>
            <w:r w:rsidRPr="00E71B56">
              <w:rPr>
                <w:lang w:val="es-ES"/>
              </w:rPr>
              <w:t>recibieron evaluaciones de análisis de deficiencias que dieron lugar a la elaboración de planes de acción para la respuesta a los incidentes y la formación de la fuerza de trabajo.</w:t>
            </w:r>
          </w:p>
          <w:p w14:paraId="0311CCD0" w14:textId="77777777" w:rsidR="00BD155E" w:rsidRPr="00E71B56" w:rsidRDefault="00BD155E" w:rsidP="00A372FB">
            <w:pPr>
              <w:rPr>
                <w:lang w:val="es-ES"/>
              </w:rPr>
            </w:pPr>
            <w:r w:rsidRPr="00E71B56">
              <w:rPr>
                <w:lang w:val="es-ES"/>
              </w:rPr>
              <w:t xml:space="preserve">La </w:t>
            </w:r>
            <w:hyperlink r:id="rId273" w:history="1">
              <w:r w:rsidRPr="00E71B56">
                <w:rPr>
                  <w:rStyle w:val="Hyperlink"/>
                  <w:lang w:val="es-ES"/>
                </w:rPr>
                <w:t>Protección de la Infancia en Línea (PIeL)</w:t>
              </w:r>
            </w:hyperlink>
            <w:r w:rsidRPr="00E71B56">
              <w:rPr>
                <w:lang w:val="es-ES"/>
              </w:rPr>
              <w:t xml:space="preserve"> siguió siendo un tema central y las estrategias, políticas y marcos para proteger a los niños en el entorno digital estuvieron en primera línea de la aplicación de la </w:t>
            </w:r>
            <w:hyperlink r:id="rId274" w:history="1">
              <w:r w:rsidRPr="00E71B56">
                <w:rPr>
                  <w:rStyle w:val="Hyperlink"/>
                  <w:lang w:val="es-ES"/>
                </w:rPr>
                <w:t>Resolución 67 (Rev. Kigali, 2022) de la CMDT-22</w:t>
              </w:r>
            </w:hyperlink>
            <w:r w:rsidRPr="00E71B56">
              <w:rPr>
                <w:lang w:val="es-ES"/>
              </w:rPr>
              <w:t xml:space="preserve"> sobre la función del Sector de Desarrollo de las Telecomunicaciones de la UIT en la Protección de la Infancia en Línea</w:t>
            </w:r>
            <w:r w:rsidRPr="00E71B56">
              <w:rPr>
                <w:i/>
                <w:iCs/>
                <w:lang w:val="es-ES"/>
              </w:rPr>
              <w:t>.</w:t>
            </w:r>
          </w:p>
          <w:p w14:paraId="5CEAF5DE" w14:textId="77777777" w:rsidR="00BD155E" w:rsidRPr="00E71B56" w:rsidRDefault="00BD155E" w:rsidP="00A372FB">
            <w:pPr>
              <w:rPr>
                <w:lang w:val="es-ES"/>
              </w:rPr>
            </w:pPr>
            <w:r w:rsidRPr="00E71B56">
              <w:rPr>
                <w:lang w:val="es-ES"/>
              </w:rPr>
              <w:t xml:space="preserve">Las nuevas </w:t>
            </w:r>
            <w:r w:rsidRPr="00E71B56">
              <w:rPr>
                <w:b/>
                <w:bCs/>
                <w:lang w:val="es-ES"/>
              </w:rPr>
              <w:t>Directrices para la PIeL</w:t>
            </w:r>
            <w:r w:rsidRPr="00E71B56">
              <w:rPr>
                <w:lang w:val="es-ES"/>
              </w:rPr>
              <w:t xml:space="preserve"> se tradujeron en </w:t>
            </w:r>
            <w:r w:rsidRPr="00E71B56">
              <w:rPr>
                <w:b/>
                <w:bCs/>
                <w:lang w:val="es-ES"/>
              </w:rPr>
              <w:t>26 lenguas</w:t>
            </w:r>
            <w:r w:rsidRPr="00E71B56">
              <w:rPr>
                <w:lang w:val="es-ES"/>
              </w:rPr>
              <w:t xml:space="preserve"> (incluidas lenguas regionales como el quechua o el suajili) y se adoptaron en múltiples países. En total, 16 países recibieron apoyo por conducto del desarrollo de proyectos de marcos, estrategias y/o informes de evaluación nacionales sobre la PIeL, a saber: </w:t>
            </w:r>
            <w:r w:rsidRPr="00E71B56">
              <w:rPr>
                <w:b/>
                <w:bCs/>
                <w:lang w:val="es-ES"/>
              </w:rPr>
              <w:t>Andorra</w:t>
            </w:r>
            <w:r w:rsidRPr="00E71B56">
              <w:rPr>
                <w:lang w:val="es-ES"/>
              </w:rPr>
              <w:t xml:space="preserve">, </w:t>
            </w:r>
            <w:r w:rsidRPr="00E71B56">
              <w:rPr>
                <w:b/>
                <w:bCs/>
                <w:lang w:val="es-ES"/>
              </w:rPr>
              <w:t>Armenia</w:t>
            </w:r>
            <w:r w:rsidRPr="00E71B56">
              <w:rPr>
                <w:lang w:val="es-ES"/>
              </w:rPr>
              <w:t xml:space="preserve">, </w:t>
            </w:r>
            <w:r w:rsidRPr="00E71B56">
              <w:rPr>
                <w:b/>
                <w:bCs/>
                <w:lang w:val="es-ES"/>
              </w:rPr>
              <w:t>Bahamas</w:t>
            </w:r>
            <w:r w:rsidRPr="00E71B56">
              <w:rPr>
                <w:lang w:val="es-ES"/>
              </w:rPr>
              <w:t xml:space="preserve">, </w:t>
            </w:r>
            <w:r w:rsidRPr="00E71B56">
              <w:rPr>
                <w:b/>
                <w:bCs/>
                <w:lang w:val="es-ES"/>
              </w:rPr>
              <w:t>Bhután</w:t>
            </w:r>
            <w:r w:rsidRPr="00E71B56">
              <w:rPr>
                <w:lang w:val="es-ES"/>
              </w:rPr>
              <w:t xml:space="preserve">, </w:t>
            </w:r>
            <w:r w:rsidRPr="00E71B56">
              <w:rPr>
                <w:b/>
                <w:bCs/>
                <w:lang w:val="es-ES"/>
              </w:rPr>
              <w:t>Camboya</w:t>
            </w:r>
            <w:r w:rsidRPr="00E71B56">
              <w:rPr>
                <w:lang w:val="es-ES"/>
              </w:rPr>
              <w:t xml:space="preserve">, </w:t>
            </w:r>
            <w:r w:rsidRPr="00E71B56">
              <w:rPr>
                <w:b/>
                <w:bCs/>
                <w:lang w:val="es-ES"/>
              </w:rPr>
              <w:t>Chile</w:t>
            </w:r>
            <w:r w:rsidRPr="00E71B56">
              <w:rPr>
                <w:lang w:val="es-ES"/>
              </w:rPr>
              <w:t xml:space="preserve">, </w:t>
            </w:r>
            <w:r w:rsidRPr="00E71B56">
              <w:rPr>
                <w:b/>
                <w:bCs/>
                <w:lang w:val="es-ES"/>
              </w:rPr>
              <w:t>Ecuador</w:t>
            </w:r>
            <w:r w:rsidRPr="00E71B56">
              <w:rPr>
                <w:lang w:val="es-ES"/>
              </w:rPr>
              <w:t xml:space="preserve">, </w:t>
            </w:r>
            <w:r w:rsidRPr="00E71B56">
              <w:rPr>
                <w:b/>
                <w:bCs/>
                <w:lang w:val="es-ES"/>
              </w:rPr>
              <w:t>Eswatini</w:t>
            </w:r>
            <w:r w:rsidRPr="00E71B56">
              <w:rPr>
                <w:lang w:val="es-ES"/>
              </w:rPr>
              <w:t xml:space="preserve">, </w:t>
            </w:r>
            <w:r w:rsidRPr="00E71B56">
              <w:rPr>
                <w:b/>
                <w:bCs/>
                <w:lang w:val="es-ES"/>
              </w:rPr>
              <w:t>Kazajstán</w:t>
            </w:r>
            <w:r w:rsidRPr="00E71B56">
              <w:rPr>
                <w:lang w:val="es-ES"/>
              </w:rPr>
              <w:t xml:space="preserve">, </w:t>
            </w:r>
            <w:r w:rsidRPr="00E71B56">
              <w:rPr>
                <w:b/>
                <w:bCs/>
                <w:lang w:val="es-ES"/>
              </w:rPr>
              <w:t>Líbano</w:t>
            </w:r>
            <w:r w:rsidRPr="00E71B56">
              <w:rPr>
                <w:lang w:val="es-ES"/>
              </w:rPr>
              <w:t xml:space="preserve">, </w:t>
            </w:r>
            <w:r w:rsidRPr="00E71B56">
              <w:rPr>
                <w:b/>
                <w:bCs/>
                <w:lang w:val="es-ES"/>
              </w:rPr>
              <w:t>Malawi</w:t>
            </w:r>
            <w:r w:rsidRPr="00E71B56">
              <w:rPr>
                <w:lang w:val="es-ES"/>
              </w:rPr>
              <w:t xml:space="preserve">, </w:t>
            </w:r>
            <w:r w:rsidRPr="00E71B56">
              <w:rPr>
                <w:b/>
                <w:bCs/>
                <w:lang w:val="es-ES"/>
              </w:rPr>
              <w:t>Mongolia</w:t>
            </w:r>
            <w:r w:rsidRPr="00E71B56">
              <w:rPr>
                <w:lang w:val="es-ES"/>
              </w:rPr>
              <w:t xml:space="preserve">, </w:t>
            </w:r>
            <w:r w:rsidRPr="00E71B56">
              <w:rPr>
                <w:b/>
                <w:bCs/>
                <w:lang w:val="es-ES"/>
              </w:rPr>
              <w:t>Marruecos</w:t>
            </w:r>
            <w:r w:rsidRPr="00E71B56">
              <w:rPr>
                <w:lang w:val="es-ES"/>
              </w:rPr>
              <w:t xml:space="preserve">, </w:t>
            </w:r>
            <w:r w:rsidRPr="00E71B56">
              <w:rPr>
                <w:b/>
                <w:bCs/>
                <w:lang w:val="es-ES"/>
              </w:rPr>
              <w:t>Pakistán</w:t>
            </w:r>
            <w:r w:rsidRPr="00E71B56">
              <w:rPr>
                <w:lang w:val="es-ES"/>
              </w:rPr>
              <w:t xml:space="preserve">, </w:t>
            </w:r>
            <w:r w:rsidRPr="00E71B56">
              <w:rPr>
                <w:b/>
                <w:bCs/>
                <w:lang w:val="es-ES"/>
              </w:rPr>
              <w:t>Suriname</w:t>
            </w:r>
            <w:r w:rsidRPr="00E71B56">
              <w:rPr>
                <w:lang w:val="es-ES"/>
              </w:rPr>
              <w:t xml:space="preserve"> y </w:t>
            </w:r>
            <w:r w:rsidRPr="00E71B56">
              <w:rPr>
                <w:b/>
                <w:bCs/>
                <w:lang w:val="es-ES"/>
              </w:rPr>
              <w:t>Tailandia</w:t>
            </w:r>
            <w:r w:rsidRPr="00E71B56">
              <w:rPr>
                <w:lang w:val="es-ES"/>
              </w:rPr>
              <w:t>. La colaboración regional también se prosiguió por conducto de la Unión Africana, que integró las Directrices para la PIeL en suajili.</w:t>
            </w:r>
          </w:p>
          <w:p w14:paraId="3CE7293B" w14:textId="77777777" w:rsidR="00BD155E" w:rsidRPr="00E71B56" w:rsidRDefault="00BD155E" w:rsidP="00A372FB">
            <w:pPr>
              <w:rPr>
                <w:lang w:val="es-ES"/>
              </w:rPr>
            </w:pPr>
            <w:r w:rsidRPr="00E71B56">
              <w:rPr>
                <w:lang w:val="es-ES"/>
              </w:rPr>
              <w:t>Se hizo mucho hincapié en la</w:t>
            </w:r>
            <w:r w:rsidRPr="00E71B56">
              <w:rPr>
                <w:b/>
                <w:bCs/>
                <w:lang w:val="es-ES"/>
              </w:rPr>
              <w:t xml:space="preserve"> creación de capacidad</w:t>
            </w:r>
            <w:r w:rsidRPr="00E71B56">
              <w:rPr>
                <w:lang w:val="es-ES"/>
              </w:rPr>
              <w:t>. El programa ha llegado a más de </w:t>
            </w:r>
            <w:r w:rsidRPr="00E71B56">
              <w:rPr>
                <w:b/>
                <w:bCs/>
                <w:lang w:val="es-ES"/>
              </w:rPr>
              <w:t>200 000 beneficiarios directos</w:t>
            </w:r>
            <w:r w:rsidRPr="00E71B56">
              <w:rPr>
                <w:lang w:val="es-ES"/>
              </w:rPr>
              <w:t>:</w:t>
            </w:r>
          </w:p>
          <w:p w14:paraId="0B259647"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170 000 niños participaron en actividades de formación en seguridad y competencias digitales en las seis lenguas oficiales de las Naciones Unidas;</w:t>
            </w:r>
          </w:p>
          <w:p w14:paraId="3C02CD1A" w14:textId="77777777" w:rsidR="00BD155E" w:rsidRPr="00E71B56" w:rsidRDefault="00BD155E" w:rsidP="00A372FB">
            <w:pPr>
              <w:pStyle w:val="enumlev1"/>
              <w:tabs>
                <w:tab w:val="clear" w:pos="1134"/>
                <w:tab w:val="left" w:pos="330"/>
              </w:tabs>
              <w:ind w:left="330" w:hanging="330"/>
              <w:rPr>
                <w:lang w:val="es-ES"/>
              </w:rPr>
            </w:pPr>
            <w:r w:rsidRPr="00E71B56">
              <w:rPr>
                <w:lang w:val="es-ES"/>
              </w:rPr>
              <w:lastRenderedPageBreak/>
              <w:t>•</w:t>
            </w:r>
            <w:r w:rsidRPr="00E71B56">
              <w:rPr>
                <w:lang w:val="es-ES"/>
              </w:rPr>
              <w:tab/>
              <w:t>más de 6 000 padres, cuidadores y educadores recibieron formación mediante módulos presenciales y en línea;</w:t>
            </w:r>
          </w:p>
          <w:p w14:paraId="528337D5"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2 900 profesionales de las TIC y trabajadores sociales recibieron formación;</w:t>
            </w:r>
          </w:p>
          <w:p w14:paraId="0F01DAF8"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1 000 responsables públicos encargados de formular políticas y organismos reguladores participaron en actividades de formación política y reglamentaria.</w:t>
            </w:r>
          </w:p>
          <w:p w14:paraId="553A27D8" w14:textId="77777777" w:rsidR="00BD155E" w:rsidRPr="00E71B56" w:rsidRDefault="00BD155E" w:rsidP="00A372FB">
            <w:pPr>
              <w:rPr>
                <w:lang w:val="es-ES"/>
              </w:rPr>
            </w:pPr>
            <w:r w:rsidRPr="00E71B56">
              <w:rPr>
                <w:lang w:val="es-ES"/>
              </w:rPr>
              <w:t xml:space="preserve">Se impartieron programas de </w:t>
            </w:r>
            <w:r w:rsidRPr="00E71B56">
              <w:rPr>
                <w:b/>
                <w:lang w:val="es-ES"/>
              </w:rPr>
              <w:t>formación de formadores</w:t>
            </w:r>
            <w:r w:rsidRPr="00E71B56">
              <w:rPr>
                <w:lang w:val="es-ES"/>
              </w:rPr>
              <w:t xml:space="preserve"> y se certificaron educadores en </w:t>
            </w:r>
            <w:r w:rsidRPr="00E71B56">
              <w:rPr>
                <w:b/>
                <w:bCs/>
                <w:lang w:val="es-ES"/>
              </w:rPr>
              <w:t>Armenia</w:t>
            </w:r>
            <w:r w:rsidRPr="00E71B56">
              <w:rPr>
                <w:lang w:val="es-ES"/>
              </w:rPr>
              <w:t xml:space="preserve">, </w:t>
            </w:r>
            <w:r w:rsidRPr="00E71B56">
              <w:rPr>
                <w:b/>
                <w:bCs/>
                <w:lang w:val="es-ES"/>
              </w:rPr>
              <w:t>Bahamas</w:t>
            </w:r>
            <w:r w:rsidRPr="00E71B56">
              <w:rPr>
                <w:lang w:val="es-ES"/>
              </w:rPr>
              <w:t xml:space="preserve">, </w:t>
            </w:r>
            <w:r w:rsidRPr="00E71B56">
              <w:rPr>
                <w:b/>
                <w:bCs/>
                <w:lang w:val="es-ES"/>
              </w:rPr>
              <w:t>Costa Rica</w:t>
            </w:r>
            <w:r w:rsidRPr="00E71B56">
              <w:rPr>
                <w:lang w:val="es-ES"/>
              </w:rPr>
              <w:t xml:space="preserve">, </w:t>
            </w:r>
            <w:r w:rsidRPr="00E71B56">
              <w:rPr>
                <w:b/>
                <w:bCs/>
                <w:lang w:val="es-ES"/>
              </w:rPr>
              <w:t>Ecuador</w:t>
            </w:r>
            <w:r w:rsidRPr="00E71B56">
              <w:rPr>
                <w:lang w:val="es-ES"/>
              </w:rPr>
              <w:t xml:space="preserve">, </w:t>
            </w:r>
            <w:r w:rsidRPr="00E71B56">
              <w:rPr>
                <w:b/>
                <w:bCs/>
                <w:lang w:val="es-ES"/>
              </w:rPr>
              <w:t>Malawi</w:t>
            </w:r>
            <w:r w:rsidRPr="00E71B56">
              <w:rPr>
                <w:lang w:val="es-ES"/>
              </w:rPr>
              <w:t xml:space="preserve">, </w:t>
            </w:r>
            <w:r w:rsidRPr="00E71B56">
              <w:rPr>
                <w:b/>
                <w:bCs/>
                <w:lang w:val="es-ES"/>
              </w:rPr>
              <w:t>Maldivas</w:t>
            </w:r>
            <w:r w:rsidRPr="00E71B56">
              <w:rPr>
                <w:lang w:val="es-ES"/>
              </w:rPr>
              <w:t xml:space="preserve">, </w:t>
            </w:r>
            <w:r w:rsidRPr="00E71B56">
              <w:rPr>
                <w:b/>
                <w:bCs/>
                <w:lang w:val="es-ES"/>
              </w:rPr>
              <w:t>Malta</w:t>
            </w:r>
            <w:r w:rsidRPr="00E71B56">
              <w:rPr>
                <w:lang w:val="es-ES"/>
              </w:rPr>
              <w:t xml:space="preserve">, </w:t>
            </w:r>
            <w:r w:rsidRPr="00E71B56">
              <w:rPr>
                <w:b/>
                <w:bCs/>
                <w:lang w:val="es-ES"/>
              </w:rPr>
              <w:t>Micronesia</w:t>
            </w:r>
            <w:r w:rsidRPr="00E71B56">
              <w:rPr>
                <w:lang w:val="es-ES"/>
              </w:rPr>
              <w:t xml:space="preserve">, </w:t>
            </w:r>
            <w:r w:rsidRPr="00E71B56">
              <w:rPr>
                <w:b/>
                <w:bCs/>
                <w:lang w:val="es-ES"/>
              </w:rPr>
              <w:t xml:space="preserve">Suriname </w:t>
            </w:r>
            <w:r w:rsidRPr="00E71B56">
              <w:rPr>
                <w:lang w:val="es-ES"/>
              </w:rPr>
              <w:t>y</w:t>
            </w:r>
            <w:r w:rsidRPr="00E71B56">
              <w:rPr>
                <w:b/>
                <w:bCs/>
                <w:lang w:val="es-ES"/>
              </w:rPr>
              <w:t xml:space="preserve"> Uzbekistán</w:t>
            </w:r>
            <w:r w:rsidRPr="00E71B56">
              <w:rPr>
                <w:lang w:val="es-ES"/>
              </w:rPr>
              <w:t>, creando un efecto multiplicador en las regiones.</w:t>
            </w:r>
          </w:p>
          <w:p w14:paraId="33177BCF" w14:textId="77777777" w:rsidR="00BD155E" w:rsidRPr="00E71B56" w:rsidRDefault="00BD155E" w:rsidP="00A372FB">
            <w:pPr>
              <w:keepNext/>
              <w:keepLines/>
              <w:rPr>
                <w:lang w:val="es-ES"/>
              </w:rPr>
            </w:pPr>
            <w:r w:rsidRPr="00E71B56">
              <w:rPr>
                <w:lang w:val="es-ES"/>
              </w:rPr>
              <w:t xml:space="preserve">Además de las iniciativas dirigidas por instructores, la UIT puso en marcha </w:t>
            </w:r>
            <w:hyperlink r:id="rId275" w:history="1">
              <w:r w:rsidRPr="00E71B56">
                <w:rPr>
                  <w:rStyle w:val="Hyperlink"/>
                  <w:b/>
                  <w:bCs/>
                  <w:lang w:val="es-ES"/>
                </w:rPr>
                <w:t>10 módulos de formación en línea autodirigida</w:t>
              </w:r>
              <w:r w:rsidRPr="00E71B56">
                <w:rPr>
                  <w:rStyle w:val="Hyperlink"/>
                  <w:lang w:val="es-ES"/>
                </w:rPr>
                <w:t xml:space="preserve"> para todos los públicos</w:t>
              </w:r>
            </w:hyperlink>
            <w:r w:rsidRPr="00E71B56">
              <w:rPr>
                <w:lang w:val="es-ES"/>
              </w:rPr>
              <w:t>, incluidos los padres/cuidadores (niveles de introducción e intermedio), educadores (niveles de introducción e intermedio), encargados de formular política y miembros del sector de las TIC para ampliar el alcance, garantizar un acceso flexible y sostener el aprendizaje a lo largo del tiempo.</w:t>
            </w:r>
            <w:hyperlink r:id="rId276"/>
          </w:p>
          <w:p w14:paraId="26F59515" w14:textId="77777777" w:rsidR="00BD155E" w:rsidRPr="00E71B56" w:rsidRDefault="00BD155E" w:rsidP="00A372FB">
            <w:pPr>
              <w:rPr>
                <w:lang w:val="es-ES"/>
              </w:rPr>
            </w:pPr>
            <w:r w:rsidRPr="00E71B56">
              <w:rPr>
                <w:lang w:val="es-ES"/>
              </w:rPr>
              <w:t xml:space="preserve">Se llevaron a cabo </w:t>
            </w:r>
            <w:r w:rsidRPr="00E71B56">
              <w:rPr>
                <w:b/>
                <w:bCs/>
                <w:lang w:val="es-ES"/>
              </w:rPr>
              <w:t xml:space="preserve">campañas de sensibilización </w:t>
            </w:r>
            <w:r w:rsidRPr="00E71B56">
              <w:rPr>
                <w:lang w:val="es-ES"/>
              </w:rPr>
              <w:t xml:space="preserve">en cinco países: </w:t>
            </w:r>
            <w:r w:rsidRPr="00E71B56">
              <w:rPr>
                <w:b/>
                <w:bCs/>
                <w:lang w:val="es-ES"/>
              </w:rPr>
              <w:t>Albania</w:t>
            </w:r>
            <w:r w:rsidRPr="00E71B56">
              <w:rPr>
                <w:lang w:val="es-ES"/>
              </w:rPr>
              <w:t xml:space="preserve">, </w:t>
            </w:r>
            <w:r w:rsidRPr="00E71B56">
              <w:rPr>
                <w:b/>
                <w:bCs/>
                <w:lang w:val="es-ES"/>
              </w:rPr>
              <w:t>Armenia</w:t>
            </w:r>
            <w:r w:rsidRPr="00E71B56">
              <w:rPr>
                <w:lang w:val="es-ES"/>
              </w:rPr>
              <w:t xml:space="preserve">, </w:t>
            </w:r>
            <w:r w:rsidRPr="00E71B56">
              <w:rPr>
                <w:b/>
                <w:bCs/>
                <w:lang w:val="es-ES"/>
              </w:rPr>
              <w:t>Marruecos</w:t>
            </w:r>
            <w:r w:rsidRPr="00E71B56">
              <w:rPr>
                <w:lang w:val="es-ES"/>
              </w:rPr>
              <w:t xml:space="preserve">, </w:t>
            </w:r>
            <w:r w:rsidRPr="00E71B56">
              <w:rPr>
                <w:b/>
                <w:bCs/>
                <w:lang w:val="es-ES"/>
              </w:rPr>
              <w:t xml:space="preserve">Uzbekistán </w:t>
            </w:r>
            <w:r w:rsidRPr="00E71B56">
              <w:rPr>
                <w:lang w:val="es-ES"/>
              </w:rPr>
              <w:t>y</w:t>
            </w:r>
            <w:r w:rsidRPr="00E71B56">
              <w:rPr>
                <w:b/>
                <w:bCs/>
                <w:lang w:val="es-ES"/>
              </w:rPr>
              <w:t xml:space="preserve"> Hungría</w:t>
            </w:r>
            <w:r w:rsidRPr="00E71B56">
              <w:rPr>
                <w:lang w:val="es-ES"/>
              </w:rPr>
              <w:t>. Estas incluyeron materiales adaptados a los niños, libros de relatos, folletos y vídeos como la campaña de Marruecos con la mascota Sango).</w:t>
            </w:r>
          </w:p>
          <w:p w14:paraId="36651B26" w14:textId="77777777" w:rsidR="00BD155E" w:rsidRPr="00E71B56" w:rsidRDefault="00BD155E" w:rsidP="00A372FB">
            <w:pPr>
              <w:rPr>
                <w:lang w:val="es-ES"/>
              </w:rPr>
            </w:pPr>
            <w:r w:rsidRPr="00E71B56">
              <w:rPr>
                <w:lang w:val="es-ES"/>
              </w:rPr>
              <w:t xml:space="preserve">A </w:t>
            </w:r>
            <w:r w:rsidRPr="00E71B56">
              <w:rPr>
                <w:b/>
                <w:bCs/>
                <w:lang w:val="es-ES"/>
              </w:rPr>
              <w:t>nivel mundial</w:t>
            </w:r>
            <w:r w:rsidRPr="00E71B56">
              <w:rPr>
                <w:lang w:val="es-ES"/>
              </w:rPr>
              <w:t xml:space="preserve">, se elaboraron recursos adaptados a los niños junto con estos, como </w:t>
            </w:r>
            <w:hyperlink r:id="rId277" w:history="1">
              <w:r w:rsidRPr="00E71B56">
                <w:rPr>
                  <w:rStyle w:val="Hyperlink"/>
                  <w:lang w:val="es-ES"/>
                </w:rPr>
                <w:t>"Askme – Tu amigo para la seguridad en línea"</w:t>
              </w:r>
            </w:hyperlink>
            <w:r w:rsidRPr="00E71B56">
              <w:rPr>
                <w:lang w:val="es-ES"/>
              </w:rPr>
              <w:t xml:space="preserve">, el juego en línea de </w:t>
            </w:r>
            <w:hyperlink r:id="rId278" w:history="1">
              <w:r w:rsidRPr="00E71B56">
                <w:rPr>
                  <w:rStyle w:val="Hyperlink"/>
                  <w:lang w:val="es-ES"/>
                </w:rPr>
                <w:t>"Las aventuras de Sango: Descubre la seguridad en línea"</w:t>
              </w:r>
            </w:hyperlink>
            <w:r w:rsidRPr="00E71B56">
              <w:rPr>
                <w:lang w:val="es-ES"/>
              </w:rPr>
              <w:t xml:space="preserve"> y las lecciones por vídeo de </w:t>
            </w:r>
            <w:hyperlink r:id="rId279" w:history="1">
              <w:r w:rsidRPr="00E71B56">
                <w:rPr>
                  <w:rStyle w:val="Hyperlink"/>
                  <w:lang w:val="es-ES"/>
                </w:rPr>
                <w:t>"La seguridad en línea con Sango"</w:t>
              </w:r>
            </w:hyperlink>
            <w:r w:rsidRPr="00E71B56">
              <w:rPr>
                <w:lang w:val="es-ES"/>
              </w:rPr>
              <w:t>.</w:t>
            </w:r>
            <w:hyperlink r:id="rId280" w:tgtFrame="_blank" w:tooltip="https://www.itu.int/cop/askme/" w:history="1"/>
            <w:hyperlink r:id="rId281" w:tgtFrame="_blank" w:tooltip="https://www.itu.int/cop/sangosadventures/" w:history="1"/>
            <w:hyperlink r:id="rId282" w:tgtFrame="_blank" w:tooltip="https://www.itu.int/cop/sangosadventures/" w:history="1"/>
            <w:hyperlink r:id="rId283" w:tgtFrame="_blank" w:tooltip="https://www.youtube.com/watch?v=javimzqdvv4&amp;list=plpoipnlf8p2or11ls6orauzur7ajhwp0x&amp;index=1&amp;pp=iaqb" w:history="1"/>
          </w:p>
          <w:p w14:paraId="5FCF5672" w14:textId="77777777" w:rsidR="00BD155E" w:rsidRPr="00E71B56" w:rsidRDefault="00BD155E" w:rsidP="00A372FB">
            <w:pPr>
              <w:rPr>
                <w:lang w:val="es-ES"/>
              </w:rPr>
            </w:pPr>
            <w:r w:rsidRPr="00E71B56">
              <w:rPr>
                <w:b/>
                <w:bCs/>
                <w:lang w:val="es-ES"/>
              </w:rPr>
              <w:t>Los niños y los jóvenes fueron contribuyentes activos</w:t>
            </w:r>
            <w:r w:rsidRPr="00E71B56">
              <w:rPr>
                <w:lang w:val="es-ES"/>
              </w:rPr>
              <w:t xml:space="preserve">. Una Junta Asesora de la Infancia para la PIeL, de composición mundial, cocreó materiales, mientras que se crearon grupos especiales sobre la infancia y la juventud en </w:t>
            </w:r>
            <w:r w:rsidRPr="00E71B56">
              <w:rPr>
                <w:b/>
                <w:bCs/>
                <w:lang w:val="es-ES"/>
              </w:rPr>
              <w:t>Indonesia</w:t>
            </w:r>
            <w:r w:rsidRPr="00E71B56">
              <w:rPr>
                <w:lang w:val="es-ES"/>
              </w:rPr>
              <w:t xml:space="preserve">, </w:t>
            </w:r>
            <w:r w:rsidRPr="00E71B56">
              <w:rPr>
                <w:b/>
                <w:bCs/>
                <w:lang w:val="es-ES"/>
              </w:rPr>
              <w:t xml:space="preserve">Líbano </w:t>
            </w:r>
            <w:r w:rsidRPr="00E71B56">
              <w:rPr>
                <w:lang w:val="es-ES"/>
              </w:rPr>
              <w:t>y</w:t>
            </w:r>
            <w:r w:rsidRPr="00E71B56">
              <w:rPr>
                <w:b/>
                <w:bCs/>
                <w:lang w:val="es-ES"/>
              </w:rPr>
              <w:t xml:space="preserve"> Malawi.</w:t>
            </w:r>
            <w:r w:rsidRPr="00E71B56">
              <w:rPr>
                <w:lang w:val="es-ES"/>
              </w:rPr>
              <w:t xml:space="preserve"> Se crearon más de 500 oportunidades para la participación de los niños y los jóvenes, entre otras cosas mediante encuestas, hackatones, consultas y la participación en la serie de debates </w:t>
            </w:r>
            <w:hyperlink r:id="rId284" w:history="1">
              <w:r w:rsidRPr="00E71B56">
                <w:rPr>
                  <w:rStyle w:val="Hyperlink"/>
                  <w:lang w:val="es-ES"/>
                </w:rPr>
                <w:t>Industry Connect</w:t>
              </w:r>
            </w:hyperlink>
            <w:r w:rsidRPr="00E71B56">
              <w:rPr>
                <w:lang w:val="es-ES"/>
              </w:rPr>
              <w:t xml:space="preserve"> de la UIT, iniciada en 2025. La serie de debates trimestrales en línea crea un espacio informal cerrado en el que la industria y los Estados Miembros pueden intercambiar buenas prácticas, desafíos y prioridades nacionales, mientras que la sociedad civil, los expertos de las Naciones Unidas y los niños aportan información para estructurar los debates. Las tres primeras sesiones abordaron la IA, los </w:t>
            </w:r>
            <w:r w:rsidRPr="00E71B56">
              <w:rPr>
                <w:lang w:val="es-ES"/>
              </w:rPr>
              <w:lastRenderedPageBreak/>
              <w:t>medios sociales y los juegos, y la cuarta sobre las tecnologías para la educación está prevista para diciembre de 2025.</w:t>
            </w:r>
            <w:hyperlink r:id="rId285"/>
          </w:p>
          <w:p w14:paraId="303444DB" w14:textId="77777777" w:rsidR="00BD155E" w:rsidRPr="00E71B56" w:rsidRDefault="00BD155E" w:rsidP="00A372FB">
            <w:pPr>
              <w:rPr>
                <w:lang w:val="es-ES"/>
              </w:rPr>
            </w:pPr>
            <w:r w:rsidRPr="00E71B56">
              <w:rPr>
                <w:lang w:val="es-ES"/>
              </w:rPr>
              <w:t xml:space="preserve">La </w:t>
            </w:r>
            <w:r w:rsidRPr="00E71B56">
              <w:rPr>
                <w:b/>
                <w:bCs/>
                <w:lang w:val="es-ES"/>
              </w:rPr>
              <w:t xml:space="preserve">colaboración </w:t>
            </w:r>
            <w:r w:rsidRPr="00E71B56">
              <w:rPr>
                <w:lang w:val="es-ES"/>
              </w:rPr>
              <w:t xml:space="preserve">con el Comité de los Derechos del Niño de las Naciones Unidas (iniciada en 2024), centrada en la </w:t>
            </w:r>
            <w:r w:rsidRPr="00E71B56">
              <w:rPr>
                <w:b/>
                <w:bCs/>
                <w:lang w:val="es-ES"/>
              </w:rPr>
              <w:t>PIeL en el contexto de la inteligencia artificial</w:t>
            </w:r>
            <w:r w:rsidRPr="00E71B56">
              <w:rPr>
                <w:lang w:val="es-ES"/>
              </w:rPr>
              <w:t>, ha dado lugar a la elaboración del proyecto de una Declaración Conjunta sobre los Derechos del niño en el contexto de la IA. En 2025, la BDT, junto con la OMS y la Universidad de New Hampshire (UNH), puso en marcha</w:t>
            </w:r>
            <w:r w:rsidRPr="00E71B56">
              <w:rPr>
                <w:b/>
                <w:bCs/>
                <w:lang w:val="es-ES"/>
              </w:rPr>
              <w:t xml:space="preserve"> GO</w:t>
            </w:r>
            <w:r w:rsidRPr="00E71B56">
              <w:rPr>
                <w:b/>
                <w:bCs/>
                <w:lang w:val="es-ES"/>
              </w:rPr>
              <w:noBreakHyphen/>
              <w:t>SAFER</w:t>
            </w:r>
            <w:r w:rsidRPr="00E71B56">
              <w:rPr>
                <w:lang w:val="es-ES"/>
              </w:rPr>
              <w:t xml:space="preserve"> (Alianza Mundial de Seguridad en Línea para los Recursos Educativos). Propiciado por conducto del apoyo del Fondo Mundial de Seguridad en Línea, este proyecto de dos años (2025-2026) fortaleció la educación en materia de prevención mundial sobre la explotación y el abuso sexuales de niños en línea (OCSEA). GO</w:t>
            </w:r>
            <w:r w:rsidRPr="00E71B56">
              <w:rPr>
                <w:lang w:val="es-ES"/>
              </w:rPr>
              <w:noBreakHyphen/>
              <w:t>SAFER ampliará la capacidad para ofrecer educación en materia de seguridad en línea con base empírica, desarrollar y compartir herramientas y programas de alta calidad y crear un punto centralizado de recursos mundiales.</w:t>
            </w:r>
          </w:p>
          <w:p w14:paraId="60425F8C" w14:textId="77777777" w:rsidR="00BD155E" w:rsidRPr="00E71B56" w:rsidRDefault="00BD155E" w:rsidP="00A372FB">
            <w:pPr>
              <w:keepNext/>
              <w:keepLines/>
              <w:rPr>
                <w:lang w:val="es-ES"/>
              </w:rPr>
            </w:pPr>
            <w:r w:rsidRPr="00E71B56">
              <w:rPr>
                <w:lang w:val="es-ES"/>
              </w:rPr>
              <w:t>Tras los debates mantenidos en el Grupo de Trabajo del Consejo de la UIT sobre la Protección de la Infancia en Línea, se creó un</w:t>
            </w:r>
            <w:r w:rsidRPr="00E71B56">
              <w:rPr>
                <w:b/>
                <w:bCs/>
                <w:lang w:val="es-ES"/>
              </w:rPr>
              <w:t xml:space="preserve"> Grupo por Correspondencia sobre la Protección de la Infancia en Línea (GC-PIeL) </w:t>
            </w:r>
            <w:r w:rsidRPr="00E71B56">
              <w:rPr>
                <w:lang w:val="es-ES"/>
              </w:rPr>
              <w:t>en el marco de la Cuestión 3/2 de la Comisión de Estudio 2 del UIT</w:t>
            </w:r>
            <w:r w:rsidRPr="00E71B56">
              <w:rPr>
                <w:lang w:val="es-ES"/>
              </w:rPr>
              <w:noBreakHyphen/>
              <w:t>D, que dio lugar a un análisis de deficiencias exhaustivo para sentar las bases de la acción nacional.</w:t>
            </w:r>
          </w:p>
          <w:p w14:paraId="6D585D77" w14:textId="77777777" w:rsidR="00BD155E" w:rsidRPr="00E71B56" w:rsidRDefault="00BD155E" w:rsidP="00A372FB">
            <w:pPr>
              <w:rPr>
                <w:lang w:val="es-ES"/>
              </w:rPr>
            </w:pPr>
            <w:r w:rsidRPr="00E71B56">
              <w:rPr>
                <w:lang w:val="es-ES"/>
              </w:rPr>
              <w:t xml:space="preserve">Se ampliaron considerablemente las </w:t>
            </w:r>
            <w:r w:rsidRPr="00E71B56">
              <w:rPr>
                <w:b/>
                <w:bCs/>
                <w:lang w:val="es-ES"/>
              </w:rPr>
              <w:t>asociaciones</w:t>
            </w:r>
            <w:r w:rsidRPr="00E71B56">
              <w:rPr>
                <w:lang w:val="es-ES"/>
              </w:rPr>
              <w:t xml:space="preserve">, con más de 50 asociados de instituciones académicas, el sector privado, los gobiernos, la sociedad civil y las organizaciones internacionales, comprometidos para desarrollar conjuntamente y promover recursos y campañas, compartir buenas prácticas, impartir formación conjunta y capacitación, crear conjuntamente iniciativas y coordinarse en los planos mundial, regional y nacional. La </w:t>
            </w:r>
            <w:r w:rsidRPr="00E71B56">
              <w:rPr>
                <w:b/>
                <w:bCs/>
                <w:lang w:val="es-ES"/>
              </w:rPr>
              <w:t xml:space="preserve">Autoridad Nacional de la Ciberseguridad de Arabia Saudita y el Foro Mundial sobre Ciberseguridad (GCF) </w:t>
            </w:r>
            <w:r w:rsidRPr="00E71B56">
              <w:rPr>
                <w:lang w:val="es-ES"/>
              </w:rPr>
              <w:t xml:space="preserve">apoyaron esta </w:t>
            </w:r>
            <w:hyperlink r:id="rId286" w:history="1">
              <w:r w:rsidRPr="00E71B56">
                <w:rPr>
                  <w:rStyle w:val="Hyperlink"/>
                  <w:lang w:val="es-ES"/>
                </w:rPr>
                <w:t>colaboración</w:t>
              </w:r>
            </w:hyperlink>
            <w:r w:rsidRPr="00E71B56">
              <w:rPr>
                <w:lang w:val="es-ES"/>
              </w:rPr>
              <w:t xml:space="preserve"> y la aplicación general de medidas de Protección de la Infancia en Línea.</w:t>
            </w:r>
            <w:hyperlink r:id="rId287"/>
          </w:p>
          <w:p w14:paraId="720695BD" w14:textId="77777777" w:rsidR="00BD155E" w:rsidRPr="00E71B56" w:rsidRDefault="00BD155E" w:rsidP="00A372FB">
            <w:pPr>
              <w:rPr>
                <w:lang w:val="es-ES"/>
              </w:rPr>
            </w:pPr>
            <w:r w:rsidRPr="00E71B56">
              <w:rPr>
                <w:lang w:val="es-ES"/>
              </w:rPr>
              <w:t xml:space="preserve">La Protección de la Infancia en Línea sigue reflejándose en el ICG, reforzando su pertinencia con mediciones más amplias de la seguridad digital. Se han llevado a cabo otras actividades de recopilación de datos por conducto de la </w:t>
            </w:r>
            <w:hyperlink r:id="rId288" w:history="1">
              <w:r w:rsidRPr="00E71B56">
                <w:rPr>
                  <w:rStyle w:val="Hyperlink"/>
                  <w:b/>
                  <w:bCs/>
                  <w:lang w:val="es-ES"/>
                </w:rPr>
                <w:t>asociación para la Protección mediante la Participación en Línea (PoP)</w:t>
              </w:r>
            </w:hyperlink>
            <w:r w:rsidRPr="00E71B56">
              <w:rPr>
                <w:lang w:val="es-ES"/>
              </w:rPr>
              <w:t xml:space="preserve">, utilizando encuestas, entrevistas y ejercicios de cartografía, que han proporcionado principios mundiales con base empírica a los gobiernos, los profesionales de la protección de la infancia y el sector de las TIC, sobre la manera de reforzar y </w:t>
            </w:r>
            <w:r w:rsidRPr="00E71B56">
              <w:rPr>
                <w:lang w:val="es-ES"/>
              </w:rPr>
              <w:lastRenderedPageBreak/>
              <w:t>mejorar los sistemas de apoyo en línea que permiten a los niños acceder de manera eficaz a la protección y la asistencia por conducto de Internet.</w:t>
            </w:r>
            <w:hyperlink r:id="rId289"/>
          </w:p>
          <w:p w14:paraId="01AB6914" w14:textId="77777777" w:rsidR="00BD155E" w:rsidRPr="00E71B56" w:rsidRDefault="00BD155E" w:rsidP="00A372FB">
            <w:pPr>
              <w:rPr>
                <w:lang w:val="es-ES"/>
              </w:rPr>
            </w:pPr>
            <w:r w:rsidRPr="00E71B56">
              <w:rPr>
                <w:lang w:val="es-ES"/>
              </w:rPr>
              <w:t xml:space="preserve">En </w:t>
            </w:r>
            <w:r w:rsidRPr="00E71B56">
              <w:rPr>
                <w:b/>
                <w:bCs/>
                <w:lang w:val="es-ES"/>
              </w:rPr>
              <w:t>África</w:t>
            </w:r>
            <w:r w:rsidRPr="00E71B56">
              <w:rPr>
                <w:lang w:val="es-ES"/>
              </w:rPr>
              <w:t xml:space="preserve">, la BDT llevó a cabo tres cibersimulacros regionales en la </w:t>
            </w:r>
            <w:r w:rsidRPr="00E71B56">
              <w:rPr>
                <w:b/>
                <w:bCs/>
                <w:lang w:val="es-ES"/>
              </w:rPr>
              <w:t>República del Congo</w:t>
            </w:r>
            <w:r w:rsidRPr="00E71B56">
              <w:rPr>
                <w:lang w:val="es-ES"/>
              </w:rPr>
              <w:t xml:space="preserve">, </w:t>
            </w:r>
            <w:r w:rsidRPr="00E71B56">
              <w:rPr>
                <w:b/>
                <w:bCs/>
                <w:lang w:val="es-ES"/>
              </w:rPr>
              <w:t xml:space="preserve">Ghana </w:t>
            </w:r>
            <w:r w:rsidRPr="00E71B56">
              <w:rPr>
                <w:lang w:val="es-ES"/>
              </w:rPr>
              <w:t>y</w:t>
            </w:r>
            <w:r w:rsidRPr="00E71B56">
              <w:rPr>
                <w:b/>
                <w:bCs/>
                <w:lang w:val="es-ES"/>
              </w:rPr>
              <w:t xml:space="preserve"> Malawi</w:t>
            </w:r>
            <w:r w:rsidRPr="00E71B56">
              <w:rPr>
                <w:lang w:val="es-ES"/>
              </w:rPr>
              <w:t>. El evento en Malawi mejoró las capacidades de los participantes para comunicarse y gestionar la respuesta a los incidentes, así como para reforzar la colaboración para hacer frente a las ciberamenazas. Más de 350 personas de 20 países africanos participaron en sesiones centradas en el intercambio de prácticas idóneas y experiencias. Durante el evento celebrado en Ghana en 2024, en colaboración con INTERPOL, la BDT mejoró las capacidades de los participantes para comunicarse y gestionar la respuesta a los incidentes, así como para reforzar la colaboración para hacer frente a las ciberamenazas. Más de 210 personas de 29 países africanos participaron en una sesión de un día de duración centrada en el intercambio de prácticas idóneas y experiencias. En 2025, más de 300 participantes de 23 países africanos se unieron al Cibersimulacro en la</w:t>
            </w:r>
            <w:r w:rsidRPr="00E71B56">
              <w:rPr>
                <w:b/>
                <w:bCs/>
                <w:lang w:val="es-ES"/>
              </w:rPr>
              <w:t xml:space="preserve"> República del Congo</w:t>
            </w:r>
            <w:r w:rsidRPr="00E71B56">
              <w:rPr>
                <w:lang w:val="es-ES"/>
              </w:rPr>
              <w:t>, mejorando las competencias y la cooperación regional.</w:t>
            </w:r>
          </w:p>
          <w:p w14:paraId="27EAC9A8" w14:textId="77777777" w:rsidR="00BD155E" w:rsidRPr="00E71B56" w:rsidRDefault="00BD155E" w:rsidP="00A372FB">
            <w:pPr>
              <w:rPr>
                <w:lang w:val="es-ES"/>
              </w:rPr>
            </w:pPr>
            <w:r w:rsidRPr="00E71B56">
              <w:rPr>
                <w:lang w:val="es-ES"/>
              </w:rPr>
              <w:t xml:space="preserve">En la </w:t>
            </w:r>
            <w:r w:rsidRPr="00E71B56">
              <w:rPr>
                <w:b/>
                <w:bCs/>
                <w:lang w:val="es-ES"/>
              </w:rPr>
              <w:t>región de Asia</w:t>
            </w:r>
            <w:r w:rsidRPr="00E71B56">
              <w:rPr>
                <w:b/>
                <w:bCs/>
                <w:lang w:val="es-ES"/>
              </w:rPr>
              <w:noBreakHyphen/>
              <w:t>Pacífico</w:t>
            </w:r>
            <w:r w:rsidRPr="00E71B56">
              <w:rPr>
                <w:lang w:val="es-ES"/>
              </w:rPr>
              <w:t xml:space="preserve">, la BDT trabajó con los Estados Miembros para fortalecer la capacidad institucional y mejorar la cooperación. </w:t>
            </w:r>
            <w:r w:rsidRPr="00E71B56">
              <w:rPr>
                <w:b/>
                <w:bCs/>
                <w:lang w:val="es-ES"/>
              </w:rPr>
              <w:t>Bhután</w:t>
            </w:r>
            <w:r w:rsidRPr="00E71B56">
              <w:rPr>
                <w:lang w:val="es-ES"/>
              </w:rPr>
              <w:t xml:space="preserve">, </w:t>
            </w:r>
            <w:r w:rsidRPr="00E71B56">
              <w:rPr>
                <w:b/>
                <w:bCs/>
                <w:lang w:val="es-ES"/>
              </w:rPr>
              <w:t xml:space="preserve">Mongolia </w:t>
            </w:r>
            <w:r w:rsidRPr="00E71B56">
              <w:rPr>
                <w:lang w:val="es-ES"/>
              </w:rPr>
              <w:t>y</w:t>
            </w:r>
            <w:r w:rsidRPr="00E71B56">
              <w:rPr>
                <w:b/>
                <w:bCs/>
                <w:lang w:val="es-ES"/>
              </w:rPr>
              <w:t xml:space="preserve"> Timor</w:t>
            </w:r>
            <w:r w:rsidRPr="00E71B56">
              <w:rPr>
                <w:b/>
                <w:bCs/>
                <w:lang w:val="es-ES"/>
              </w:rPr>
              <w:noBreakHyphen/>
              <w:t>Leste</w:t>
            </w:r>
            <w:r w:rsidRPr="00E71B56">
              <w:rPr>
                <w:lang w:val="es-ES"/>
              </w:rPr>
              <w:t xml:space="preserve"> llevaron a cabo </w:t>
            </w:r>
            <w:r w:rsidRPr="00E71B56">
              <w:rPr>
                <w:b/>
                <w:bCs/>
                <w:lang w:val="es-ES"/>
              </w:rPr>
              <w:t>evaluaciones del grado de madurez de sus EIII</w:t>
            </w:r>
            <w:r w:rsidRPr="00E71B56">
              <w:rPr>
                <w:lang w:val="es-ES"/>
              </w:rPr>
              <w:t xml:space="preserve">, produciendo diagnósticos y hojas de ruta, y sentando las bases para el fortalecimiento institucional. Por conducto del proyecto del Fondo Conjunto para los ODS sobre acelerar el logro de los ODS mediante la transformación digital para reforzar la resiliencia de las comunidades en Micronesia, se llevaron a cabo </w:t>
            </w:r>
            <w:r w:rsidRPr="00E71B56">
              <w:rPr>
                <w:b/>
                <w:bCs/>
                <w:lang w:val="es-ES"/>
              </w:rPr>
              <w:t xml:space="preserve">evaluaciones del grado de preparación de los EIII </w:t>
            </w:r>
            <w:r w:rsidRPr="00E71B56">
              <w:rPr>
                <w:lang w:val="es-ES"/>
              </w:rPr>
              <w:t xml:space="preserve">en </w:t>
            </w:r>
            <w:r w:rsidRPr="00E71B56">
              <w:rPr>
                <w:b/>
                <w:bCs/>
                <w:lang w:val="es-ES"/>
              </w:rPr>
              <w:t xml:space="preserve">Nauru </w:t>
            </w:r>
            <w:r w:rsidRPr="00E71B56">
              <w:rPr>
                <w:lang w:val="es-ES"/>
              </w:rPr>
              <w:t xml:space="preserve">y </w:t>
            </w:r>
            <w:r w:rsidRPr="00E71B56">
              <w:rPr>
                <w:b/>
                <w:bCs/>
                <w:lang w:val="es-ES"/>
              </w:rPr>
              <w:t>Palau</w:t>
            </w:r>
            <w:r w:rsidRPr="00E71B56">
              <w:rPr>
                <w:lang w:val="es-ES"/>
              </w:rPr>
              <w:t xml:space="preserve">. En </w:t>
            </w:r>
            <w:r w:rsidRPr="00E71B56">
              <w:rPr>
                <w:b/>
                <w:bCs/>
                <w:lang w:val="es-ES"/>
              </w:rPr>
              <w:t>Maldivas</w:t>
            </w:r>
            <w:r w:rsidRPr="00E71B56">
              <w:rPr>
                <w:lang w:val="es-ES"/>
              </w:rPr>
              <w:t xml:space="preserve">, un análisis de deficiencias en materia de ciberseguridad unido a una formación demostró la manera en la que podían impulsarse a la vez las capacidades técnicas y políticas. En </w:t>
            </w:r>
            <w:r w:rsidRPr="00E71B56">
              <w:rPr>
                <w:b/>
                <w:bCs/>
                <w:lang w:val="es-ES"/>
              </w:rPr>
              <w:t>Palau</w:t>
            </w:r>
            <w:r w:rsidRPr="00E71B56">
              <w:rPr>
                <w:lang w:val="es-ES"/>
              </w:rPr>
              <w:t xml:space="preserve">, la UIT reunió a las partes interesadas y ayudó al país a crear su Estrategia Nacional de Ciberseguridad. El </w:t>
            </w:r>
            <w:r w:rsidRPr="00E71B56">
              <w:rPr>
                <w:b/>
                <w:bCs/>
                <w:lang w:val="es-ES"/>
              </w:rPr>
              <w:t>proyecto de</w:t>
            </w:r>
            <w:r w:rsidRPr="00E71B56">
              <w:rPr>
                <w:lang w:val="es-ES"/>
              </w:rPr>
              <w:t xml:space="preserve"> </w:t>
            </w:r>
            <w:r w:rsidRPr="00E71B56">
              <w:rPr>
                <w:b/>
                <w:bCs/>
                <w:lang w:val="es-ES"/>
              </w:rPr>
              <w:t>Caminos hacia la ciberseguridad en el Pacífico</w:t>
            </w:r>
            <w:r w:rsidRPr="00E71B56">
              <w:rPr>
                <w:lang w:val="es-ES"/>
              </w:rPr>
              <w:t xml:space="preserve">, respaldado por </w:t>
            </w:r>
            <w:r w:rsidRPr="00E71B56">
              <w:rPr>
                <w:b/>
                <w:bCs/>
                <w:lang w:val="es-ES"/>
              </w:rPr>
              <w:t>Japón</w:t>
            </w:r>
            <w:r w:rsidRPr="00E71B56">
              <w:rPr>
                <w:lang w:val="es-ES"/>
              </w:rPr>
              <w:t>, reconoció las necesidades únicas de los pequeños estados isleños, ofreciendo certificaciones educativas adaptadas a sus circunstancias por conducto de un programa piloto en materia de ciberseguridad.</w:t>
            </w:r>
          </w:p>
          <w:p w14:paraId="7546FE02" w14:textId="77777777" w:rsidR="00BD155E" w:rsidRPr="00E71B56" w:rsidRDefault="00BD155E" w:rsidP="00A372FB">
            <w:pPr>
              <w:rPr>
                <w:lang w:val="es-ES"/>
              </w:rPr>
            </w:pPr>
            <w:r w:rsidRPr="00E71B56">
              <w:rPr>
                <w:lang w:val="es-ES"/>
              </w:rPr>
              <w:t xml:space="preserve">En asociación con la Agencia de Cooperación Internacional de Japón (JICA), la BDT impartió cursos de formación en ciberseguridad para </w:t>
            </w:r>
            <w:r w:rsidRPr="00E71B56">
              <w:rPr>
                <w:b/>
                <w:bCs/>
                <w:lang w:val="es-ES"/>
              </w:rPr>
              <w:t>Bhután</w:t>
            </w:r>
            <w:r w:rsidRPr="00E71B56">
              <w:rPr>
                <w:lang w:val="es-ES"/>
              </w:rPr>
              <w:t xml:space="preserve">, </w:t>
            </w:r>
            <w:r w:rsidRPr="00E71B56">
              <w:rPr>
                <w:b/>
                <w:bCs/>
                <w:lang w:val="es-ES"/>
              </w:rPr>
              <w:t xml:space="preserve">Camboya </w:t>
            </w:r>
            <w:r w:rsidRPr="00E71B56">
              <w:rPr>
                <w:lang w:val="es-ES"/>
              </w:rPr>
              <w:t>y</w:t>
            </w:r>
            <w:r w:rsidRPr="00E71B56">
              <w:rPr>
                <w:b/>
                <w:bCs/>
                <w:lang w:val="es-ES"/>
              </w:rPr>
              <w:t xml:space="preserve"> Filipinas</w:t>
            </w:r>
            <w:r w:rsidRPr="00E71B56">
              <w:rPr>
                <w:lang w:val="es-ES"/>
              </w:rPr>
              <w:t xml:space="preserve">, en particular mediante una formación ejecutiva sobre ciberseguridad en Bangkok para funcionarios públicos de </w:t>
            </w:r>
            <w:r w:rsidRPr="00E71B56">
              <w:rPr>
                <w:b/>
                <w:bCs/>
                <w:lang w:val="es-ES"/>
              </w:rPr>
              <w:t>Bhután</w:t>
            </w:r>
            <w:r w:rsidRPr="00E71B56">
              <w:rPr>
                <w:lang w:val="es-ES"/>
              </w:rPr>
              <w:t xml:space="preserve">. En asociación con el Instituto de las Naciones Unidas de Investigación sobre el Desarme (UNIDIR), la UIT impartió actividades de </w:t>
            </w:r>
            <w:r w:rsidRPr="00E71B56">
              <w:rPr>
                <w:lang w:val="es-ES"/>
              </w:rPr>
              <w:lastRenderedPageBreak/>
              <w:t xml:space="preserve">formación para </w:t>
            </w:r>
            <w:r w:rsidRPr="00E71B56">
              <w:rPr>
                <w:b/>
                <w:bCs/>
                <w:lang w:val="es-ES"/>
              </w:rPr>
              <w:t>Tailandia</w:t>
            </w:r>
            <w:r w:rsidRPr="00E71B56">
              <w:rPr>
                <w:lang w:val="es-ES"/>
              </w:rPr>
              <w:t xml:space="preserve">. Los </w:t>
            </w:r>
            <w:r w:rsidRPr="00E71B56">
              <w:rPr>
                <w:b/>
                <w:bCs/>
                <w:lang w:val="es-ES"/>
              </w:rPr>
              <w:t>Cibersimulacros Regionales de la UIT para Asia-Pacífico de 2024</w:t>
            </w:r>
            <w:r w:rsidRPr="00E71B56">
              <w:rPr>
                <w:lang w:val="es-ES"/>
              </w:rPr>
              <w:t xml:space="preserve">, acogidos por </w:t>
            </w:r>
            <w:r w:rsidRPr="00E71B56">
              <w:rPr>
                <w:b/>
                <w:bCs/>
                <w:lang w:val="es-ES"/>
              </w:rPr>
              <w:t>Brunei Darussalam</w:t>
            </w:r>
            <w:r w:rsidRPr="00E71B56">
              <w:rPr>
                <w:lang w:val="es-ES"/>
              </w:rPr>
              <w:t>, y los</w:t>
            </w:r>
            <w:r w:rsidRPr="00E71B56">
              <w:rPr>
                <w:b/>
                <w:bCs/>
                <w:lang w:val="es-ES"/>
              </w:rPr>
              <w:t xml:space="preserve"> Cibersimulacros Interregionales para Europa y Asia-Pacífico de 2023</w:t>
            </w:r>
            <w:r w:rsidRPr="00E71B56">
              <w:rPr>
                <w:lang w:val="es-ES"/>
              </w:rPr>
              <w:t>, confirmaron la capacidad de la región para organizar ejercicios colectivos de creación de la resiliencia. Juntas, estas iniciativas demostraron el enfoque de la región sobre la cuestión de abordar las prioridades nacionales en un marco de ciberseguridad compartido.</w:t>
            </w:r>
          </w:p>
          <w:p w14:paraId="3F8B8A9D" w14:textId="77777777" w:rsidR="00BD155E" w:rsidRPr="00E71B56" w:rsidRDefault="00BD155E" w:rsidP="00A372FB">
            <w:pPr>
              <w:rPr>
                <w:lang w:val="es-ES"/>
              </w:rPr>
            </w:pPr>
            <w:r w:rsidRPr="00E71B56">
              <w:rPr>
                <w:lang w:val="es-ES"/>
              </w:rPr>
              <w:t xml:space="preserve">En la </w:t>
            </w:r>
            <w:r w:rsidRPr="00E71B56">
              <w:rPr>
                <w:b/>
                <w:bCs/>
                <w:lang w:val="es-ES"/>
              </w:rPr>
              <w:t>región de las Américas</w:t>
            </w:r>
            <w:r w:rsidRPr="00E71B56">
              <w:rPr>
                <w:lang w:val="es-ES"/>
              </w:rPr>
              <w:t xml:space="preserve">, se organizaron Cibersimulacros a gran escala. Las actividades de formación organizadas en </w:t>
            </w:r>
            <w:r w:rsidRPr="00E71B56">
              <w:rPr>
                <w:b/>
                <w:bCs/>
                <w:lang w:val="es-ES"/>
              </w:rPr>
              <w:t>Costa Rica</w:t>
            </w:r>
            <w:r w:rsidRPr="00E71B56">
              <w:rPr>
                <w:lang w:val="es-ES"/>
              </w:rPr>
              <w:t xml:space="preserve">, la </w:t>
            </w:r>
            <w:r w:rsidRPr="00E71B56">
              <w:rPr>
                <w:b/>
                <w:bCs/>
                <w:lang w:val="es-ES"/>
              </w:rPr>
              <w:t>República Dominicana</w:t>
            </w:r>
            <w:r w:rsidRPr="00E71B56">
              <w:rPr>
                <w:lang w:val="es-ES"/>
              </w:rPr>
              <w:t xml:space="preserve">, </w:t>
            </w:r>
            <w:r w:rsidRPr="00E71B56">
              <w:rPr>
                <w:b/>
                <w:bCs/>
                <w:lang w:val="es-ES"/>
              </w:rPr>
              <w:t>Chile</w:t>
            </w:r>
            <w:r w:rsidRPr="00E71B56">
              <w:rPr>
                <w:lang w:val="es-ES"/>
              </w:rPr>
              <w:t xml:space="preserve">, </w:t>
            </w:r>
            <w:r w:rsidRPr="00E71B56">
              <w:rPr>
                <w:b/>
                <w:bCs/>
                <w:lang w:val="es-ES"/>
              </w:rPr>
              <w:t>Perú</w:t>
            </w:r>
            <w:r w:rsidRPr="00E71B56">
              <w:rPr>
                <w:lang w:val="es-ES"/>
              </w:rPr>
              <w:t xml:space="preserve"> y </w:t>
            </w:r>
            <w:r w:rsidRPr="00E71B56">
              <w:rPr>
                <w:b/>
                <w:bCs/>
                <w:lang w:val="es-ES"/>
              </w:rPr>
              <w:t xml:space="preserve">Venezuela </w:t>
            </w:r>
            <w:r w:rsidRPr="00E71B56">
              <w:rPr>
                <w:lang w:val="es-ES"/>
              </w:rPr>
              <w:t xml:space="preserve">contaron con más de </w:t>
            </w:r>
            <w:r w:rsidRPr="00E71B56">
              <w:rPr>
                <w:b/>
                <w:bCs/>
                <w:lang w:val="es-ES"/>
              </w:rPr>
              <w:t>530 participantes de 25 países</w:t>
            </w:r>
            <w:r w:rsidRPr="00E71B56">
              <w:rPr>
                <w:lang w:val="es-ES"/>
              </w:rPr>
              <w:t xml:space="preserve">, lo que representó una asistencia sin precedentes en la región. Estas reuniones permitieron crear competencias técnicas y mejorar la colaboración entre los gobiernos, los operadores del sector privado y las instituciones académicas. La PIeL pasó a ser parte de los Cibersimulacros. La BDT también ha ofrecido programas de formación de formadores sobre la PIeL, destinados a educadores y trabajadores del sistema judicial de </w:t>
            </w:r>
            <w:r w:rsidRPr="00E71B56">
              <w:rPr>
                <w:b/>
                <w:bCs/>
                <w:lang w:val="es-ES"/>
              </w:rPr>
              <w:t>Bahamas</w:t>
            </w:r>
            <w:r w:rsidRPr="00E71B56">
              <w:rPr>
                <w:lang w:val="es-ES"/>
              </w:rPr>
              <w:t xml:space="preserve">, </w:t>
            </w:r>
            <w:r w:rsidRPr="00E71B56">
              <w:rPr>
                <w:b/>
                <w:bCs/>
                <w:lang w:val="es-ES"/>
              </w:rPr>
              <w:t>Costa Rica</w:t>
            </w:r>
            <w:r w:rsidRPr="00E71B56">
              <w:rPr>
                <w:lang w:val="es-ES"/>
              </w:rPr>
              <w:t xml:space="preserve">, </w:t>
            </w:r>
            <w:r w:rsidRPr="00E71B56">
              <w:rPr>
                <w:b/>
                <w:bCs/>
                <w:lang w:val="es-ES"/>
              </w:rPr>
              <w:t>Ecuador</w:t>
            </w:r>
            <w:r w:rsidRPr="00E71B56">
              <w:rPr>
                <w:lang w:val="es-ES"/>
              </w:rPr>
              <w:t xml:space="preserve">, </w:t>
            </w:r>
            <w:r w:rsidRPr="00E71B56">
              <w:rPr>
                <w:b/>
                <w:bCs/>
                <w:lang w:val="es-ES"/>
              </w:rPr>
              <w:t>Perú</w:t>
            </w:r>
            <w:r w:rsidRPr="00E71B56">
              <w:rPr>
                <w:lang w:val="es-ES"/>
              </w:rPr>
              <w:t xml:space="preserve"> y </w:t>
            </w:r>
            <w:r w:rsidRPr="00E71B56">
              <w:rPr>
                <w:b/>
                <w:bCs/>
                <w:lang w:val="es-ES"/>
              </w:rPr>
              <w:t>Suriname</w:t>
            </w:r>
            <w:r w:rsidRPr="00E71B56">
              <w:rPr>
                <w:lang w:val="es-ES"/>
              </w:rPr>
              <w:t xml:space="preserve">, y se encargó también de la traducción de las Directrices para la PIeL de la UIT al aymara, quechua y holandés. En </w:t>
            </w:r>
            <w:r w:rsidRPr="00E71B56">
              <w:rPr>
                <w:b/>
                <w:bCs/>
                <w:lang w:val="es-ES"/>
              </w:rPr>
              <w:t>Barbados</w:t>
            </w:r>
            <w:r w:rsidRPr="00E71B56">
              <w:rPr>
                <w:lang w:val="es-ES"/>
              </w:rPr>
              <w:t xml:space="preserve">, un programa piloto permitió conectar a </w:t>
            </w:r>
            <w:r w:rsidRPr="00E71B56">
              <w:rPr>
                <w:b/>
                <w:bCs/>
                <w:lang w:val="es-ES"/>
              </w:rPr>
              <w:t xml:space="preserve">27 escuelas </w:t>
            </w:r>
            <w:r w:rsidRPr="00E71B56">
              <w:rPr>
                <w:lang w:val="es-ES"/>
              </w:rPr>
              <w:t xml:space="preserve">y llegar a </w:t>
            </w:r>
            <w:r w:rsidRPr="00E71B56">
              <w:rPr>
                <w:b/>
                <w:bCs/>
                <w:lang w:val="es-ES"/>
              </w:rPr>
              <w:t>18 000 alumnos</w:t>
            </w:r>
            <w:r w:rsidRPr="00E71B56">
              <w:rPr>
                <w:lang w:val="es-ES"/>
              </w:rPr>
              <w:t xml:space="preserve">, integrando la PIeL en los sistemas educativos. Los preparativos de un seminario regional sobre </w:t>
            </w:r>
            <w:hyperlink r:id="rId290" w:history="1">
              <w:r w:rsidRPr="00E71B56">
                <w:rPr>
                  <w:rStyle w:val="Hyperlink"/>
                  <w:lang w:val="es-ES"/>
                </w:rPr>
                <w:t>Ciberseguridad y Ciberdiplomacia</w:t>
              </w:r>
            </w:hyperlink>
            <w:r w:rsidRPr="00E71B56">
              <w:rPr>
                <w:lang w:val="es-ES"/>
              </w:rPr>
              <w:t xml:space="preserve"> en </w:t>
            </w:r>
            <w:r w:rsidRPr="00E71B56">
              <w:rPr>
                <w:b/>
                <w:bCs/>
                <w:lang w:val="es-ES"/>
              </w:rPr>
              <w:t xml:space="preserve">Panamá </w:t>
            </w:r>
            <w:r w:rsidRPr="00E71B56">
              <w:rPr>
                <w:lang w:val="es-ES"/>
              </w:rPr>
              <w:t>pusieron de relieve la necesidad de abordar las cuestiones cibernéticas desde las perspectivas técnica, de gobernanza y diplomática. En</w:t>
            </w:r>
            <w:r w:rsidRPr="00E71B56">
              <w:rPr>
                <w:b/>
                <w:bCs/>
                <w:lang w:val="es-ES"/>
              </w:rPr>
              <w:t xml:space="preserve"> Bahamas</w:t>
            </w:r>
            <w:r w:rsidRPr="00E71B56">
              <w:rPr>
                <w:lang w:val="es-ES"/>
              </w:rPr>
              <w:t xml:space="preserve">, la BDT apoyó la evaluación de las capacidades en materia de ciberseguridad, el desarrollo de una estrategia nacional de ciberseguridad y la creación de los equipos nacionales de intervención en caso de incidente informático (EN-EIII) como puntos de coordinación central para cuestiones de ciberseguridad. Esto incluyó la creación de capacidades técnicas y la formación continua, integrando la seguridad como un proceso a lo largo de toda la vida. La BDT también está apoyando la implementación de los EIII para </w:t>
            </w:r>
            <w:r w:rsidRPr="00E71B56">
              <w:rPr>
                <w:b/>
                <w:bCs/>
                <w:lang w:val="es-ES"/>
              </w:rPr>
              <w:t>Bermudas</w:t>
            </w:r>
            <w:r w:rsidRPr="00E71B56">
              <w:rPr>
                <w:lang w:val="es-ES"/>
              </w:rPr>
              <w:t xml:space="preserve">, </w:t>
            </w:r>
            <w:r w:rsidRPr="00E71B56">
              <w:rPr>
                <w:b/>
                <w:bCs/>
                <w:lang w:val="es-ES"/>
              </w:rPr>
              <w:t>Honduras</w:t>
            </w:r>
            <w:r w:rsidRPr="00E71B56">
              <w:rPr>
                <w:lang w:val="es-ES"/>
              </w:rPr>
              <w:t xml:space="preserve"> y </w:t>
            </w:r>
            <w:r w:rsidRPr="00E71B56">
              <w:rPr>
                <w:b/>
                <w:bCs/>
                <w:lang w:val="es-ES"/>
              </w:rPr>
              <w:t>Suriname</w:t>
            </w:r>
            <w:r w:rsidRPr="00E71B56">
              <w:rPr>
                <w:lang w:val="es-ES"/>
              </w:rPr>
              <w:t>.</w:t>
            </w:r>
            <w:hyperlink r:id="rId291" w:history="1"/>
          </w:p>
          <w:p w14:paraId="6751747C" w14:textId="77777777" w:rsidR="00BD155E" w:rsidRPr="00E71B56" w:rsidRDefault="00BD155E" w:rsidP="00A372FB">
            <w:pPr>
              <w:keepNext/>
              <w:keepLines/>
              <w:rPr>
                <w:lang w:val="es-ES"/>
              </w:rPr>
            </w:pPr>
            <w:r w:rsidRPr="00E71B56">
              <w:rPr>
                <w:lang w:val="es-ES"/>
              </w:rPr>
              <w:lastRenderedPageBreak/>
              <w:t xml:space="preserve">En la </w:t>
            </w:r>
            <w:r w:rsidRPr="00E71B56">
              <w:rPr>
                <w:b/>
                <w:bCs/>
                <w:lang w:val="es-ES"/>
              </w:rPr>
              <w:t>región de los Estados Árabes</w:t>
            </w:r>
            <w:r w:rsidRPr="00E71B56">
              <w:rPr>
                <w:lang w:val="es-ES"/>
              </w:rPr>
              <w:t xml:space="preserve">, </w:t>
            </w:r>
            <w:r w:rsidRPr="00E71B56">
              <w:rPr>
                <w:b/>
                <w:bCs/>
                <w:lang w:val="es-ES"/>
              </w:rPr>
              <w:t>Djibouti</w:t>
            </w:r>
            <w:r w:rsidRPr="00E71B56">
              <w:rPr>
                <w:lang w:val="es-ES"/>
              </w:rPr>
              <w:t xml:space="preserve"> y </w:t>
            </w:r>
            <w:r w:rsidRPr="00E71B56">
              <w:rPr>
                <w:b/>
                <w:bCs/>
                <w:lang w:val="es-ES"/>
              </w:rPr>
              <w:t>Mauritania</w:t>
            </w:r>
            <w:r w:rsidRPr="00E71B56">
              <w:rPr>
                <w:lang w:val="es-ES"/>
              </w:rPr>
              <w:t xml:space="preserve"> se beneficiaron de las evaluaciones "Cyber for Good", mientras que </w:t>
            </w:r>
            <w:r w:rsidRPr="00E71B56">
              <w:rPr>
                <w:b/>
                <w:bCs/>
                <w:lang w:val="es-ES"/>
              </w:rPr>
              <w:t>Marruecos</w:t>
            </w:r>
            <w:r w:rsidRPr="00E71B56">
              <w:rPr>
                <w:lang w:val="es-ES"/>
              </w:rPr>
              <w:t xml:space="preserve"> ultimó su estrategia nacional con el apoyo de la BDT. Las Directrices para la PIeL se integraron en los enfoques nacionales, demostrando un fuerte compromiso con la protección de la infancia. Los Emiratos Árabes Unidos tuvieron un poder convocatoria esencial, al celebrar los </w:t>
            </w:r>
            <w:hyperlink r:id="rId292" w:history="1">
              <w:r w:rsidRPr="00E71B56">
                <w:rPr>
                  <w:rStyle w:val="Hyperlink"/>
                  <w:b/>
                  <w:bCs/>
                  <w:lang w:val="es-ES"/>
                </w:rPr>
                <w:t>Cibersimulacros en Abu Dhabi en 2023</w:t>
              </w:r>
            </w:hyperlink>
            <w:r w:rsidRPr="00E71B56">
              <w:rPr>
                <w:lang w:val="es-ES"/>
              </w:rPr>
              <w:t xml:space="preserve">, a los que asistieron </w:t>
            </w:r>
            <w:r w:rsidRPr="00E71B56">
              <w:rPr>
                <w:b/>
                <w:bCs/>
                <w:lang w:val="es-ES"/>
              </w:rPr>
              <w:t>500 participantes de 60 países</w:t>
            </w:r>
            <w:r w:rsidRPr="00E71B56">
              <w:rPr>
                <w:lang w:val="es-ES"/>
              </w:rPr>
              <w:t>, convirtiéndose en un centro para la colaboración interregional. Los talleres regionales que conectaron a diplomáticas y encargadas de formular políticas con las cuestiones de seguridad, demostraron la manera en la que la región armonizaba la inclusividad con la ciberseguridad. En el marco del proyecto mundial de PIeL, y en asociación con la Agencia de Desarrollo Digital (ADD), la UIT implementó las Directrices para la PIeL en Marruecos durante el periodo 2023</w:t>
            </w:r>
            <w:r w:rsidRPr="00E71B56">
              <w:rPr>
                <w:lang w:val="es-ES"/>
              </w:rPr>
              <w:noBreakHyphen/>
              <w:t xml:space="preserve">2025, fortaleciendo las capacidades nacionales y creando conciencia pública sobre la seguridad de la infancia en línea. Se organizaron una serie de talleres específicos para profesionales de las TIC, educadores, niños parlamentarios y jóvenes para mejorar su entendimiento de los riesgos en línea y promover prácticas digitales seguras. A fin de garantizar la sostenibilidad, la UIT apoyó la elaboración de materiales de sensibilización, incluidos cuatro folletos para niños y padres en árabe y francés, y dos vídeos educativos de diseño de movimiento creados en árabe con subtítulos en francés. Paralelamente, la UIT está ayudando a </w:t>
            </w:r>
            <w:r w:rsidRPr="00E71B56">
              <w:rPr>
                <w:b/>
                <w:bCs/>
                <w:lang w:val="es-ES"/>
              </w:rPr>
              <w:t>Líbano</w:t>
            </w:r>
            <w:r w:rsidRPr="00E71B56">
              <w:rPr>
                <w:lang w:val="es-ES"/>
              </w:rPr>
              <w:t xml:space="preserve"> en la elaboración de una estrategia nacional en materia de PIeL que refleje el contexto social, político y tecnológico específico del país, respecto de lo que se ha previsto un informe final para diciembre de 2025. Estas iniciativas contribuyen a la creación de ecosistemas digitales más seguros y al refuerzo de los marcos nacionales para la Protección de la Infancia en Línea.</w:t>
            </w:r>
            <w:hyperlink r:id="rId293"/>
          </w:p>
          <w:p w14:paraId="3AEEB5E1" w14:textId="77777777" w:rsidR="00BD155E" w:rsidRPr="00E71B56" w:rsidRDefault="00BD155E" w:rsidP="00A372FB">
            <w:pPr>
              <w:rPr>
                <w:lang w:val="es-ES"/>
              </w:rPr>
            </w:pPr>
            <w:r w:rsidRPr="00E71B56">
              <w:rPr>
                <w:lang w:val="es-ES"/>
              </w:rPr>
              <w:t xml:space="preserve">En la </w:t>
            </w:r>
            <w:r w:rsidRPr="00E71B56">
              <w:rPr>
                <w:b/>
                <w:bCs/>
                <w:lang w:val="es-ES"/>
              </w:rPr>
              <w:t>región de Europa</w:t>
            </w:r>
            <w:r w:rsidRPr="00E71B56">
              <w:rPr>
                <w:lang w:val="es-ES"/>
              </w:rPr>
              <w:t xml:space="preserve">, las actividades reflejaron una transición de la sensibilización al refuerzo operativo. </w:t>
            </w:r>
            <w:r w:rsidRPr="00E71B56">
              <w:rPr>
                <w:b/>
                <w:bCs/>
                <w:lang w:val="es-ES"/>
              </w:rPr>
              <w:t xml:space="preserve">Malta </w:t>
            </w:r>
            <w:r w:rsidRPr="00E71B56">
              <w:rPr>
                <w:lang w:val="es-ES"/>
              </w:rPr>
              <w:t xml:space="preserve">se convirtió en un referente en materia de PIeL y ofreció actividades de formación para educadores y funcionarios encargados de hacer cumplir la ley. </w:t>
            </w:r>
            <w:r w:rsidRPr="00E71B56">
              <w:rPr>
                <w:b/>
                <w:bCs/>
                <w:lang w:val="es-ES"/>
              </w:rPr>
              <w:t>Serbia</w:t>
            </w:r>
            <w:r w:rsidRPr="00E71B56">
              <w:rPr>
                <w:lang w:val="es-ES"/>
              </w:rPr>
              <w:t xml:space="preserve"> y </w:t>
            </w:r>
            <w:r w:rsidRPr="00E71B56">
              <w:rPr>
                <w:b/>
                <w:bCs/>
                <w:lang w:val="es-ES"/>
              </w:rPr>
              <w:t xml:space="preserve">Armenia </w:t>
            </w:r>
            <w:r w:rsidRPr="00E71B56">
              <w:rPr>
                <w:lang w:val="es-ES"/>
              </w:rPr>
              <w:t xml:space="preserve">adaptaron las Directrices para la PIeL y las incorporaron en sus sistemas educativos. La celebración del Foro en </w:t>
            </w:r>
            <w:r w:rsidRPr="00E71B56">
              <w:rPr>
                <w:b/>
                <w:bCs/>
                <w:lang w:val="es-ES"/>
              </w:rPr>
              <w:t xml:space="preserve">Bulgaria </w:t>
            </w:r>
            <w:r w:rsidRPr="00E71B56">
              <w:rPr>
                <w:lang w:val="es-ES"/>
              </w:rPr>
              <w:t>reunió a encargados de formular políticas y expertos para hacer frente a las amenazas incipientes de manera colectiva. La combinación de los avances en materia de PIeL y el grado de preparación técnica demostraron la manera en la que Europa armonizaba la protección de los grupos vulnerables con la resiliencia institucional.</w:t>
            </w:r>
          </w:p>
          <w:p w14:paraId="72C443BD" w14:textId="77777777" w:rsidR="00BD155E" w:rsidRPr="00E71B56" w:rsidRDefault="00BD155E" w:rsidP="00A372FB">
            <w:pPr>
              <w:keepNext/>
              <w:keepLines/>
              <w:spacing w:after="120"/>
              <w:rPr>
                <w:rFonts w:eastAsiaTheme="minorHAnsi"/>
                <w:lang w:val="es-ES"/>
              </w:rPr>
            </w:pPr>
            <w:r w:rsidRPr="00E71B56">
              <w:rPr>
                <w:lang w:val="es-ES"/>
              </w:rPr>
              <w:t xml:space="preserve">En la </w:t>
            </w:r>
            <w:r w:rsidRPr="00E71B56">
              <w:rPr>
                <w:b/>
                <w:bCs/>
                <w:lang w:val="es-ES"/>
              </w:rPr>
              <w:t>región de la CEI</w:t>
            </w:r>
            <w:r w:rsidRPr="00E71B56">
              <w:rPr>
                <w:lang w:val="es-ES"/>
              </w:rPr>
              <w:t xml:space="preserve">, se realizó una </w:t>
            </w:r>
            <w:r w:rsidRPr="00E71B56">
              <w:rPr>
                <w:b/>
                <w:bCs/>
                <w:lang w:val="es-ES"/>
              </w:rPr>
              <w:t>evaluación del grado de preparación de los EIII</w:t>
            </w:r>
            <w:r w:rsidRPr="00E71B56">
              <w:rPr>
                <w:lang w:val="es-ES"/>
              </w:rPr>
              <w:t xml:space="preserve"> en </w:t>
            </w:r>
            <w:r w:rsidRPr="00E71B56">
              <w:rPr>
                <w:b/>
                <w:bCs/>
                <w:lang w:val="es-ES"/>
              </w:rPr>
              <w:t xml:space="preserve">Azerbaiyán </w:t>
            </w:r>
            <w:r w:rsidRPr="00E71B56">
              <w:rPr>
                <w:lang w:val="es-ES"/>
              </w:rPr>
              <w:t xml:space="preserve">que ofreció una referencia nacional en materia de ciberseguridad, y </w:t>
            </w:r>
            <w:r w:rsidRPr="00E71B56">
              <w:rPr>
                <w:b/>
                <w:bCs/>
                <w:lang w:val="es-ES"/>
              </w:rPr>
              <w:t xml:space="preserve">Kirguistán </w:t>
            </w:r>
            <w:r w:rsidRPr="00E71B56">
              <w:rPr>
                <w:lang w:val="es-ES"/>
              </w:rPr>
              <w:t xml:space="preserve">creó un EIII por conducto de un </w:t>
            </w:r>
            <w:r w:rsidRPr="00E71B56">
              <w:rPr>
                <w:lang w:val="es-ES"/>
              </w:rPr>
              <w:lastRenderedPageBreak/>
              <w:t xml:space="preserve">proyecto conjunto entre la UIT y el Banco Mundial. Los talleres regionales permitieron crear competencias respecto de la aplicación de prácticas coherentes de ciberhigiene, mientras que en </w:t>
            </w:r>
            <w:r w:rsidRPr="00E71B56">
              <w:rPr>
                <w:b/>
                <w:bCs/>
                <w:lang w:val="es-ES"/>
              </w:rPr>
              <w:t xml:space="preserve">Armenia </w:t>
            </w:r>
            <w:r w:rsidRPr="00E71B56">
              <w:rPr>
                <w:lang w:val="es-ES"/>
              </w:rPr>
              <w:t xml:space="preserve">el </w:t>
            </w:r>
            <w:hyperlink r:id="rId294" w:history="1">
              <w:r w:rsidRPr="00E71B56">
                <w:rPr>
                  <w:rStyle w:val="Hyperlink"/>
                  <w:lang w:val="es-ES"/>
                </w:rPr>
                <w:t>Cibersimulacro Nacional de 2024</w:t>
              </w:r>
            </w:hyperlink>
            <w:r w:rsidRPr="00E71B56">
              <w:rPr>
                <w:lang w:val="es-ES"/>
              </w:rPr>
              <w:t xml:space="preserve"> puso a prueba protocolos de respuesta y mecanismos de coordinación entre los organismos, y </w:t>
            </w:r>
            <w:r w:rsidRPr="00E71B56">
              <w:rPr>
                <w:b/>
                <w:bCs/>
                <w:lang w:val="es-ES"/>
              </w:rPr>
              <w:t xml:space="preserve">Belarús </w:t>
            </w:r>
            <w:r w:rsidRPr="00E71B56">
              <w:rPr>
                <w:lang w:val="es-ES"/>
              </w:rPr>
              <w:t>y</w:t>
            </w:r>
            <w:r w:rsidRPr="00E71B56">
              <w:rPr>
                <w:b/>
                <w:bCs/>
                <w:lang w:val="es-ES"/>
              </w:rPr>
              <w:t xml:space="preserve"> Kazajstán</w:t>
            </w:r>
            <w:r w:rsidRPr="00E71B56">
              <w:rPr>
                <w:lang w:val="es-ES"/>
              </w:rPr>
              <w:t xml:space="preserve"> reforzaron sus marcos nacionales de ciberseguridad. Estas actividades indicaron un giro de la sensibilización a la madurez operacional, mejorando la capacidad de la región para responder de manera colectiva a los riesgos transfronterizos. Una vez que se respaldaron las Directrices para la PIeL en </w:t>
            </w:r>
            <w:r w:rsidRPr="00E71B56">
              <w:rPr>
                <w:b/>
                <w:bCs/>
                <w:lang w:val="es-ES"/>
              </w:rPr>
              <w:t>Armenia</w:t>
            </w:r>
            <w:r w:rsidRPr="00E71B56">
              <w:rPr>
                <w:lang w:val="es-ES"/>
              </w:rPr>
              <w:t xml:space="preserve">, </w:t>
            </w:r>
            <w:r w:rsidRPr="00E71B56">
              <w:rPr>
                <w:b/>
                <w:bCs/>
                <w:lang w:val="es-ES"/>
              </w:rPr>
              <w:t xml:space="preserve">Kirguistán </w:t>
            </w:r>
            <w:r w:rsidRPr="00E71B56">
              <w:rPr>
                <w:lang w:val="es-ES"/>
              </w:rPr>
              <w:t>y</w:t>
            </w:r>
            <w:r w:rsidRPr="00E71B56">
              <w:rPr>
                <w:b/>
                <w:bCs/>
                <w:lang w:val="es-ES"/>
              </w:rPr>
              <w:t xml:space="preserve"> Uzbekistán</w:t>
            </w:r>
            <w:r w:rsidRPr="00E71B56">
              <w:rPr>
                <w:lang w:val="es-ES"/>
              </w:rPr>
              <w:t>, se elaboraron e implementaron recursos específicos y actividades de formación en estos países por conducto de la asistencia dirigida por la BDT.</w:t>
            </w:r>
            <w:hyperlink r:id="rId295"/>
          </w:p>
        </w:tc>
        <w:tc>
          <w:tcPr>
            <w:tcW w:w="3323" w:type="dxa"/>
          </w:tcPr>
          <w:p w14:paraId="6E67A30B" w14:textId="77777777" w:rsidR="00BD155E" w:rsidRPr="00E71B56" w:rsidRDefault="00BD155E" w:rsidP="00A372FB">
            <w:pPr>
              <w:keepNext/>
              <w:keepLines/>
              <w:rPr>
                <w:b/>
                <w:bCs/>
                <w:color w:val="0070C0"/>
                <w:lang w:val="es-ES"/>
              </w:rPr>
            </w:pPr>
            <w:r w:rsidRPr="00E71B56">
              <w:rPr>
                <w:b/>
                <w:bCs/>
                <w:color w:val="0070C0"/>
                <w:lang w:val="es-ES"/>
              </w:rPr>
              <w:lastRenderedPageBreak/>
              <w:t>Índice de Ciberseguridad Global:</w:t>
            </w:r>
          </w:p>
          <w:p w14:paraId="18E6C0BA" w14:textId="77777777" w:rsidR="00BD155E" w:rsidRPr="00E71B56" w:rsidRDefault="00BD155E" w:rsidP="00A372FB">
            <w:pPr>
              <w:keepNext/>
              <w:keepLines/>
              <w:rPr>
                <w:b/>
                <w:bCs/>
                <w:color w:val="0070C0"/>
                <w:lang w:val="es-ES"/>
              </w:rPr>
            </w:pPr>
            <w:r w:rsidRPr="00E71B56">
              <w:rPr>
                <w:b/>
                <w:bCs/>
                <w:color w:val="0070C0"/>
                <w:lang w:val="es-ES"/>
              </w:rPr>
              <w:t>Programa de respuesta a incidentes:</w:t>
            </w:r>
          </w:p>
          <w:p w14:paraId="677C706A"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 xml:space="preserve">160 países beneficiados por los </w:t>
            </w:r>
            <w:r w:rsidRPr="00E71B56">
              <w:rPr>
                <w:b/>
                <w:bCs/>
                <w:lang w:val="es-ES"/>
              </w:rPr>
              <w:t xml:space="preserve">Cibersimulacros </w:t>
            </w:r>
            <w:r w:rsidRPr="00E71B56">
              <w:rPr>
                <w:lang w:val="es-ES"/>
              </w:rPr>
              <w:t>en todas las regiones</w:t>
            </w:r>
          </w:p>
          <w:p w14:paraId="2BF19256" w14:textId="77777777" w:rsidR="00BD155E" w:rsidRPr="00E71B56" w:rsidRDefault="00BD155E" w:rsidP="00A372FB">
            <w:pPr>
              <w:keepNext/>
              <w:keepLines/>
              <w:rPr>
                <w:b/>
                <w:bCs/>
                <w:color w:val="0070C0"/>
                <w:lang w:val="es-ES"/>
              </w:rPr>
            </w:pPr>
            <w:r w:rsidRPr="00E71B56">
              <w:rPr>
                <w:b/>
                <w:bCs/>
                <w:color w:val="0070C0"/>
                <w:lang w:val="es-ES"/>
              </w:rPr>
              <w:t>Cibersimulacro Mundial de 2025:</w:t>
            </w:r>
          </w:p>
          <w:p w14:paraId="6D87C26F"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Simulación de incidentes por EIII de 126 países</w:t>
            </w:r>
          </w:p>
          <w:p w14:paraId="0C3B0A53"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Lecciones aprendidas compartidas</w:t>
            </w:r>
          </w:p>
          <w:p w14:paraId="5007B824" w14:textId="77777777" w:rsidR="00BD155E" w:rsidRPr="00E71B56" w:rsidRDefault="00BD155E" w:rsidP="00A372FB">
            <w:pPr>
              <w:keepNext/>
              <w:keepLines/>
              <w:rPr>
                <w:b/>
                <w:bCs/>
                <w:color w:val="0070C0"/>
                <w:lang w:val="es-ES"/>
              </w:rPr>
            </w:pPr>
            <w:r w:rsidRPr="00E71B56">
              <w:rPr>
                <w:b/>
                <w:bCs/>
                <w:color w:val="0070C0"/>
                <w:lang w:val="es-ES"/>
              </w:rPr>
              <w:t>PMA, PDSL y PEID participantes/asistidos:</w:t>
            </w:r>
          </w:p>
          <w:p w14:paraId="53301A70"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Se prestó asistencia a un total de 54 PMA, PDSL y PEID</w:t>
            </w:r>
          </w:p>
          <w:p w14:paraId="777320F6" w14:textId="77777777" w:rsidR="00BD155E" w:rsidRPr="00E71B56" w:rsidRDefault="00BD155E" w:rsidP="00A372FB">
            <w:pPr>
              <w:pStyle w:val="enumlev1"/>
              <w:tabs>
                <w:tab w:val="clear" w:pos="1134"/>
                <w:tab w:val="left" w:pos="330"/>
              </w:tabs>
              <w:ind w:left="330" w:hanging="330"/>
              <w:rPr>
                <w:lang w:val="es-ES"/>
              </w:rPr>
            </w:pPr>
            <w:r w:rsidRPr="00E71B56">
              <w:rPr>
                <w:lang w:val="es-ES"/>
              </w:rPr>
              <w:lastRenderedPageBreak/>
              <w:t>○</w:t>
            </w:r>
            <w:r w:rsidRPr="00E71B56">
              <w:rPr>
                <w:lang w:val="es-ES"/>
              </w:rPr>
              <w:tab/>
              <w:t>23 de ellos recibieron asistencia técnica</w:t>
            </w:r>
          </w:p>
          <w:p w14:paraId="16C47B40"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Se elaboraron 28 marcos políticos y productos del conocimiento</w:t>
            </w:r>
          </w:p>
          <w:p w14:paraId="0AB8FFB9"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37 países habían puesto en marcha plataformas de reunión</w:t>
            </w:r>
          </w:p>
          <w:p w14:paraId="76371BE5"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6 proyectos en PMA, PDSL y PEID en curso</w:t>
            </w:r>
          </w:p>
          <w:p w14:paraId="3B36092B" w14:textId="77777777" w:rsidR="00BD155E" w:rsidRPr="00E71B56" w:rsidRDefault="00BD155E" w:rsidP="00A372FB">
            <w:pPr>
              <w:keepNext/>
              <w:keepLines/>
              <w:rPr>
                <w:b/>
                <w:bCs/>
                <w:color w:val="0070C0"/>
                <w:lang w:val="es-ES"/>
              </w:rPr>
            </w:pPr>
            <w:r w:rsidRPr="00E71B56">
              <w:rPr>
                <w:b/>
                <w:bCs/>
                <w:color w:val="0070C0"/>
                <w:lang w:val="es-ES"/>
              </w:rPr>
              <w:t>Cuestión 3 de la Comisión de Estudio 2 del UIT</w:t>
            </w:r>
            <w:r w:rsidRPr="00E71B56">
              <w:rPr>
                <w:b/>
                <w:bCs/>
                <w:color w:val="0070C0"/>
                <w:lang w:val="es-ES"/>
              </w:rPr>
              <w:noBreakHyphen/>
              <w:t>D:</w:t>
            </w:r>
          </w:p>
          <w:p w14:paraId="230A7C88"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4 reuniones</w:t>
            </w:r>
          </w:p>
          <w:p w14:paraId="645832F0"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1 reunión de Grupo de Relator</w:t>
            </w:r>
          </w:p>
          <w:p w14:paraId="26A7109C"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96 contribuciones</w:t>
            </w:r>
          </w:p>
          <w:p w14:paraId="7234E7F7"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2 </w:t>
            </w:r>
            <w:hyperlink r:id="rId296" w:history="1">
              <w:r w:rsidRPr="00E71B56">
                <w:rPr>
                  <w:rStyle w:val="Hyperlink"/>
                  <w:lang w:val="es-ES"/>
                </w:rPr>
                <w:t>talleres</w:t>
              </w:r>
            </w:hyperlink>
            <w:r w:rsidRPr="00E71B56">
              <w:rPr>
                <w:lang w:val="es-ES"/>
              </w:rPr>
              <w:t xml:space="preserve">, se crearon dos </w:t>
            </w:r>
            <w:hyperlink r:id="rId297" w:history="1">
              <w:r w:rsidRPr="00E71B56">
                <w:rPr>
                  <w:rStyle w:val="Hyperlink"/>
                  <w:lang w:val="es-ES"/>
                </w:rPr>
                <w:t>productos intermedios</w:t>
              </w:r>
            </w:hyperlink>
            <w:r w:rsidRPr="00E71B56">
              <w:rPr>
                <w:lang w:val="es-ES"/>
              </w:rPr>
              <w:t xml:space="preserve"> y se está preparando un </w:t>
            </w:r>
            <w:hyperlink r:id="rId298" w:history="1">
              <w:r w:rsidRPr="00E71B56">
                <w:rPr>
                  <w:rStyle w:val="Hyperlink"/>
                  <w:lang w:val="es-ES"/>
                </w:rPr>
                <w:t>informe final de resultados</w:t>
              </w:r>
            </w:hyperlink>
            <w:hyperlink r:id="rId299" w:history="1"/>
            <w:hyperlink r:id="rId300" w:history="1"/>
            <w:hyperlink r:id="rId301" w:history="1"/>
          </w:p>
        </w:tc>
      </w:tr>
      <w:tr w:rsidR="00BD155E" w:rsidRPr="00E71B56" w14:paraId="0D620D61" w14:textId="77777777" w:rsidTr="00A372FB">
        <w:trPr>
          <w:jc w:val="center"/>
        </w:trPr>
        <w:tc>
          <w:tcPr>
            <w:tcW w:w="3173" w:type="dxa"/>
          </w:tcPr>
          <w:p w14:paraId="7C2CD535" w14:textId="77777777" w:rsidR="00BD155E" w:rsidRPr="00E71B56" w:rsidRDefault="00BD155E" w:rsidP="00A372FB">
            <w:pPr>
              <w:rPr>
                <w:lang w:val="es-ES"/>
              </w:rPr>
            </w:pPr>
            <w:r w:rsidRPr="00E71B56">
              <w:rPr>
                <w:b/>
                <w:bCs/>
                <w:lang w:val="es-ES"/>
              </w:rPr>
              <w:lastRenderedPageBreak/>
              <w:t>Contribución a las metas de los ODS</w:t>
            </w:r>
          </w:p>
        </w:tc>
        <w:tc>
          <w:tcPr>
            <w:tcW w:w="12211" w:type="dxa"/>
            <w:gridSpan w:val="2"/>
          </w:tcPr>
          <w:p w14:paraId="5EFC3AA1" w14:textId="77777777" w:rsidR="00BD155E" w:rsidRPr="00E71B56" w:rsidRDefault="00BD155E" w:rsidP="00A372FB">
            <w:pPr>
              <w:rPr>
                <w:lang w:val="es-ES"/>
              </w:rPr>
            </w:pPr>
            <w:r w:rsidRPr="00E71B56">
              <w:rPr>
                <w:lang w:val="es-ES"/>
              </w:rPr>
              <w:t>ODS 1, 3, 4, 5, 8, 9, 10, 11, 16 y 17</w:t>
            </w:r>
          </w:p>
        </w:tc>
      </w:tr>
      <w:tr w:rsidR="00BD155E" w:rsidRPr="00E71B56" w14:paraId="7A217C14" w14:textId="77777777" w:rsidTr="00A372FB">
        <w:trPr>
          <w:jc w:val="center"/>
        </w:trPr>
        <w:tc>
          <w:tcPr>
            <w:tcW w:w="3173" w:type="dxa"/>
          </w:tcPr>
          <w:p w14:paraId="05A80261" w14:textId="77777777" w:rsidR="00BD155E" w:rsidRPr="00E71B56" w:rsidRDefault="00BD155E" w:rsidP="00A372FB">
            <w:pPr>
              <w:rPr>
                <w:b/>
                <w:bCs/>
                <w:lang w:val="es-ES"/>
              </w:rPr>
            </w:pPr>
            <w:r w:rsidRPr="00E71B56">
              <w:rPr>
                <w:b/>
                <w:bCs/>
                <w:lang w:val="es-ES"/>
              </w:rPr>
              <w:t>Líneas de Acción de la CMSI</w:t>
            </w:r>
          </w:p>
        </w:tc>
        <w:tc>
          <w:tcPr>
            <w:tcW w:w="12211" w:type="dxa"/>
            <w:gridSpan w:val="2"/>
          </w:tcPr>
          <w:p w14:paraId="1970094D" w14:textId="77777777" w:rsidR="00BD155E" w:rsidRPr="00E71B56" w:rsidRDefault="00BD155E" w:rsidP="00A372FB">
            <w:pPr>
              <w:rPr>
                <w:lang w:val="es-ES"/>
              </w:rPr>
            </w:pPr>
            <w:r w:rsidRPr="00E71B56">
              <w:rPr>
                <w:lang w:val="es-ES"/>
              </w:rPr>
              <w:t>C1, C2, C3, C4, C5, C6, C7 y C11</w:t>
            </w:r>
          </w:p>
        </w:tc>
      </w:tr>
      <w:tr w:rsidR="00BD155E" w:rsidRPr="00E71B56" w14:paraId="3733DE8F" w14:textId="77777777" w:rsidTr="00A372FB">
        <w:trPr>
          <w:jc w:val="center"/>
        </w:trPr>
        <w:tc>
          <w:tcPr>
            <w:tcW w:w="3173" w:type="dxa"/>
          </w:tcPr>
          <w:p w14:paraId="71A1F270" w14:textId="77777777" w:rsidR="00BD155E" w:rsidRPr="00E71B56" w:rsidRDefault="00BD155E" w:rsidP="00A372FB">
            <w:pPr>
              <w:rPr>
                <w:b/>
                <w:bCs/>
                <w:lang w:val="es-ES"/>
              </w:rPr>
            </w:pPr>
            <w:r w:rsidRPr="00E71B56">
              <w:rPr>
                <w:b/>
                <w:bCs/>
                <w:lang w:val="es-ES"/>
              </w:rPr>
              <w:t>Resoluciones</w:t>
            </w:r>
          </w:p>
        </w:tc>
        <w:tc>
          <w:tcPr>
            <w:tcW w:w="12211" w:type="dxa"/>
            <w:gridSpan w:val="2"/>
          </w:tcPr>
          <w:p w14:paraId="6CDEB788" w14:textId="77777777" w:rsidR="00BD155E" w:rsidRPr="00E71B56" w:rsidRDefault="00BD155E" w:rsidP="00A372FB">
            <w:pPr>
              <w:rPr>
                <w:lang w:val="es-ES"/>
              </w:rPr>
            </w:pPr>
            <w:r w:rsidRPr="00E71B56">
              <w:rPr>
                <w:lang w:val="es-ES"/>
              </w:rPr>
              <w:t>130, 174 y 179 de la PP; 45 y 69 de la CMDT; 52 y 58 de la AMNT</w:t>
            </w:r>
          </w:p>
        </w:tc>
      </w:tr>
      <w:tr w:rsidR="00BD155E" w:rsidRPr="00E71B56" w14:paraId="5724F9CF" w14:textId="77777777" w:rsidTr="00A372FB">
        <w:trPr>
          <w:jc w:val="center"/>
        </w:trPr>
        <w:tc>
          <w:tcPr>
            <w:tcW w:w="3173" w:type="dxa"/>
          </w:tcPr>
          <w:p w14:paraId="5BEDDB0E" w14:textId="77777777" w:rsidR="00BD155E" w:rsidRPr="00E71B56" w:rsidRDefault="00BD155E" w:rsidP="00A372FB">
            <w:pPr>
              <w:rPr>
                <w:b/>
                <w:lang w:val="es-ES"/>
              </w:rPr>
            </w:pPr>
            <w:r w:rsidRPr="00E71B56">
              <w:rPr>
                <w:b/>
                <w:bCs/>
                <w:lang w:val="es-ES"/>
              </w:rPr>
              <w:t>Cuestiones de las Comisiones de Estudio del UIT</w:t>
            </w:r>
            <w:r w:rsidRPr="00E71B56">
              <w:rPr>
                <w:b/>
                <w:bCs/>
                <w:lang w:val="es-ES"/>
              </w:rPr>
              <w:noBreakHyphen/>
              <w:t>D</w:t>
            </w:r>
          </w:p>
        </w:tc>
        <w:tc>
          <w:tcPr>
            <w:tcW w:w="12211" w:type="dxa"/>
            <w:gridSpan w:val="2"/>
          </w:tcPr>
          <w:p w14:paraId="4EF99063" w14:textId="77777777" w:rsidR="00BD155E" w:rsidRPr="00E71B56" w:rsidRDefault="00BD155E" w:rsidP="00A372FB">
            <w:pPr>
              <w:rPr>
                <w:lang w:val="es-ES"/>
              </w:rPr>
            </w:pPr>
            <w:r w:rsidRPr="00E71B56">
              <w:rPr>
                <w:lang w:val="es-ES"/>
              </w:rPr>
              <w:t>Cuestión 3/2: Seguridad en las redes de información y comunicación: prácticas idóneas para el desarrollo de una cultura de ciberseguridad</w:t>
            </w:r>
          </w:p>
        </w:tc>
      </w:tr>
    </w:tbl>
    <w:p w14:paraId="40905DDB" w14:textId="77777777" w:rsidR="00BD155E" w:rsidRPr="00E71B56" w:rsidRDefault="00BD155E" w:rsidP="00BD155E">
      <w:pPr>
        <w:rPr>
          <w:lang w:val="es-ES"/>
        </w:rPr>
      </w:pPr>
      <w:r w:rsidRPr="00E71B56">
        <w:rPr>
          <w:lang w:val="es-ES"/>
        </w:rPr>
        <w:br w:type="page"/>
      </w:r>
    </w:p>
    <w:tbl>
      <w:tblPr>
        <w:tblStyle w:val="TableGridLight"/>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2899"/>
        <w:gridCol w:w="8060"/>
        <w:gridCol w:w="3035"/>
      </w:tblGrid>
      <w:tr w:rsidR="00BD155E" w:rsidRPr="00E71B56" w14:paraId="46F1BA5C" w14:textId="77777777" w:rsidTr="00A372FB">
        <w:trPr>
          <w:trHeight w:val="640"/>
          <w:jc w:val="center"/>
        </w:trPr>
        <w:tc>
          <w:tcPr>
            <w:tcW w:w="15384" w:type="dxa"/>
            <w:gridSpan w:val="3"/>
            <w:shd w:val="clear" w:color="auto" w:fill="2F5496"/>
          </w:tcPr>
          <w:p w14:paraId="7D6D645C" w14:textId="77777777" w:rsidR="00BD155E" w:rsidRPr="00E71B56" w:rsidRDefault="00BD155E" w:rsidP="00A372FB">
            <w:pPr>
              <w:pStyle w:val="Heading2"/>
              <w:jc w:val="center"/>
              <w:rPr>
                <w:color w:val="FFFFFF" w:themeColor="background1"/>
                <w:lang w:val="es-ES"/>
              </w:rPr>
            </w:pPr>
            <w:bookmarkStart w:id="48" w:name="_Toc212728828"/>
            <w:bookmarkStart w:id="49" w:name="_Toc213427976"/>
            <w:r w:rsidRPr="00E71B56">
              <w:rPr>
                <w:color w:val="FFFFFF" w:themeColor="background1"/>
                <w:lang w:val="es-ES"/>
              </w:rPr>
              <w:lastRenderedPageBreak/>
              <w:t>Factor habilitador 1 del UIT</w:t>
            </w:r>
            <w:r w:rsidRPr="00E71B56">
              <w:rPr>
                <w:color w:val="FFFFFF" w:themeColor="background1"/>
                <w:lang w:val="es-ES"/>
              </w:rPr>
              <w:noBreakHyphen/>
              <w:t>D: Impulso de los miembros</w:t>
            </w:r>
            <w:bookmarkEnd w:id="48"/>
            <w:bookmarkEnd w:id="49"/>
          </w:p>
          <w:p w14:paraId="68B01A66" w14:textId="77777777" w:rsidR="00BD155E" w:rsidRPr="00E71B56" w:rsidRDefault="00BD155E" w:rsidP="00A372FB">
            <w:pPr>
              <w:spacing w:after="120"/>
              <w:jc w:val="center"/>
              <w:rPr>
                <w:b/>
                <w:bCs/>
                <w:i/>
                <w:iCs/>
                <w:color w:val="FFFFFF" w:themeColor="background1"/>
                <w:lang w:val="es-ES"/>
              </w:rPr>
            </w:pPr>
            <w:r w:rsidRPr="00E71B56">
              <w:rPr>
                <w:b/>
                <w:bCs/>
                <w:i/>
                <w:iCs/>
                <w:color w:val="FFFFFF" w:themeColor="background1"/>
                <w:lang w:val="es-ES"/>
              </w:rPr>
              <w:t>Reforzar la aplicación de las decisiones de la CMDT y el diálogo entre los miembros de la UIT</w:t>
            </w:r>
          </w:p>
        </w:tc>
      </w:tr>
      <w:tr w:rsidR="00BD155E" w:rsidRPr="00E71B56" w14:paraId="55D15701" w14:textId="77777777" w:rsidTr="00A372FB">
        <w:trPr>
          <w:jc w:val="center"/>
        </w:trPr>
        <w:tc>
          <w:tcPr>
            <w:tcW w:w="15384" w:type="dxa"/>
            <w:gridSpan w:val="3"/>
            <w:shd w:val="clear" w:color="auto" w:fill="E5DFEC"/>
          </w:tcPr>
          <w:p w14:paraId="42872633" w14:textId="77777777" w:rsidR="00BD155E" w:rsidRPr="00E71B56" w:rsidRDefault="00BD155E" w:rsidP="00A372FB">
            <w:pPr>
              <w:rPr>
                <w:b/>
                <w:bCs/>
                <w:i/>
                <w:iCs/>
                <w:lang w:val="es-ES"/>
              </w:rPr>
            </w:pPr>
            <w:r w:rsidRPr="00E71B56">
              <w:rPr>
                <w:b/>
                <w:bCs/>
                <w:i/>
                <w:iCs/>
                <w:lang w:val="es-ES"/>
              </w:rPr>
              <w:t>Realización:</w:t>
            </w:r>
            <w:r w:rsidRPr="00E71B56">
              <w:rPr>
                <w:i/>
                <w:iCs/>
                <w:lang w:val="es-ES"/>
              </w:rPr>
              <w:t xml:space="preserve"> Aplicación consolidada de las resoluciones de la CMDT.</w:t>
            </w:r>
            <w:r w:rsidRPr="00E71B56">
              <w:rPr>
                <w:lang w:val="es-ES"/>
              </w:rPr>
              <w:t xml:space="preserve"> </w:t>
            </w:r>
            <w:r w:rsidRPr="00E71B56">
              <w:rPr>
                <w:i/>
                <w:iCs/>
                <w:lang w:val="es-ES"/>
              </w:rPr>
              <w:t>Fomento de las actividades de intercambio de conocimientos, investigación y desarrollo, diálogo y asociación entre los miembros de la UIT sobre cuestiones relacionadas con las telecomunicaciones/TIC.</w:t>
            </w:r>
          </w:p>
        </w:tc>
      </w:tr>
      <w:tr w:rsidR="00BD155E" w:rsidRPr="00E71B56" w14:paraId="34BBA63B" w14:textId="77777777" w:rsidTr="00A372FB">
        <w:trPr>
          <w:jc w:val="center"/>
        </w:trPr>
        <w:tc>
          <w:tcPr>
            <w:tcW w:w="12061" w:type="dxa"/>
            <w:gridSpan w:val="2"/>
          </w:tcPr>
          <w:p w14:paraId="5B03B174" w14:textId="77777777" w:rsidR="00BD155E" w:rsidRPr="00E71B56" w:rsidRDefault="00BD155E" w:rsidP="00A372FB">
            <w:pPr>
              <w:jc w:val="center"/>
              <w:rPr>
                <w:b/>
                <w:bCs/>
                <w:color w:val="0070C0"/>
                <w:lang w:val="es-ES"/>
              </w:rPr>
            </w:pPr>
            <w:r w:rsidRPr="00E71B56">
              <w:rPr>
                <w:b/>
                <w:bCs/>
                <w:color w:val="0070C0"/>
                <w:lang w:val="es-ES"/>
              </w:rPr>
              <w:t>Productos</w:t>
            </w:r>
          </w:p>
        </w:tc>
        <w:tc>
          <w:tcPr>
            <w:tcW w:w="3323" w:type="dxa"/>
          </w:tcPr>
          <w:p w14:paraId="37BBA527" w14:textId="77777777" w:rsidR="00BD155E" w:rsidRPr="00E71B56" w:rsidRDefault="00BD155E" w:rsidP="00A372FB">
            <w:pPr>
              <w:jc w:val="center"/>
              <w:rPr>
                <w:b/>
                <w:bCs/>
                <w:color w:val="0070C0"/>
                <w:lang w:val="es-ES"/>
              </w:rPr>
            </w:pPr>
            <w:r w:rsidRPr="00E71B56">
              <w:rPr>
                <w:b/>
                <w:bCs/>
                <w:color w:val="0070C0"/>
                <w:lang w:val="es-ES"/>
              </w:rPr>
              <w:t>Aspectos destacados</w:t>
            </w:r>
          </w:p>
        </w:tc>
      </w:tr>
      <w:tr w:rsidR="00BD155E" w:rsidRPr="00E71B56" w14:paraId="62C2B70C" w14:textId="77777777" w:rsidTr="00A372FB">
        <w:trPr>
          <w:jc w:val="center"/>
        </w:trPr>
        <w:tc>
          <w:tcPr>
            <w:tcW w:w="12061" w:type="dxa"/>
            <w:gridSpan w:val="2"/>
          </w:tcPr>
          <w:p w14:paraId="1DE4EFD7" w14:textId="77777777" w:rsidR="00BD155E" w:rsidRPr="00E71B56" w:rsidRDefault="00BD155E" w:rsidP="00A372FB">
            <w:pPr>
              <w:rPr>
                <w:lang w:val="es-ES"/>
              </w:rPr>
            </w:pPr>
            <w:r w:rsidRPr="00E71B56">
              <w:rPr>
                <w:lang w:val="es-ES"/>
              </w:rPr>
              <w:t>El periodo comprendido entre 2023 y 2025 reafirmó el papel del UIT</w:t>
            </w:r>
            <w:r w:rsidRPr="00E71B56">
              <w:rPr>
                <w:lang w:val="es-ES"/>
              </w:rPr>
              <w:noBreakHyphen/>
              <w:t>D como coordinador de los Estados Miembros y como facilitador del diálogo inclusivo en cuyo marco se reúnen los organismos reguladores, la industria, las instituciones académicas, la sociedad civil y los asociados para el desarrollo con el fin de conformar la agenda digital. Durante este periodo, aumentó el número de miembros y su diversificación, y nuevas plataformas se convirtieron en vehículos eficaces para la acción colectiva. Algunos procesos establecidos como el foro de la CMSI, Partner2Connect (P2C) y las Comisiones de Estudio del UIT</w:t>
            </w:r>
            <w:r w:rsidRPr="00E71B56">
              <w:rPr>
                <w:lang w:val="es-ES"/>
              </w:rPr>
              <w:noBreakHyphen/>
              <w:t>D reforzaron también su función como puntos de referencia para la colaboración entre múltiples partes interesadas. En todas las regiones, se hizo énfasis en garantizar que todos los Miembros, desde los PMA y los PEID, hasta los principales organismos reguladores y actores del sector privado, tuvieran la oportunidad de contribuir de manera significativa y beneficiarse equitativamente.</w:t>
            </w:r>
          </w:p>
          <w:p w14:paraId="72D1CCBD" w14:textId="77777777" w:rsidR="00BD155E" w:rsidRPr="00E71B56" w:rsidRDefault="00BD155E" w:rsidP="00A372FB">
            <w:pPr>
              <w:rPr>
                <w:b/>
                <w:bCs/>
                <w:lang w:val="es-ES"/>
              </w:rPr>
            </w:pPr>
            <w:r w:rsidRPr="00E71B56">
              <w:rPr>
                <w:b/>
                <w:bCs/>
                <w:lang w:val="es-ES"/>
              </w:rPr>
              <w:t>Miembros</w:t>
            </w:r>
          </w:p>
          <w:p w14:paraId="75A8735B" w14:textId="77777777" w:rsidR="00BD155E" w:rsidRPr="00E71B56" w:rsidRDefault="00BD155E" w:rsidP="00A372FB">
            <w:pPr>
              <w:rPr>
                <w:lang w:val="es-ES"/>
              </w:rPr>
            </w:pPr>
            <w:r w:rsidRPr="00E71B56">
              <w:rPr>
                <w:lang w:val="es-ES"/>
              </w:rPr>
              <w:t>El UIT</w:t>
            </w:r>
            <w:r w:rsidRPr="00E71B56">
              <w:rPr>
                <w:lang w:val="es-ES"/>
              </w:rPr>
              <w:noBreakHyphen/>
              <w:t>D consolidó y amplió su número de miembros por conducto de un conjunto deliberado de acciones de divulgación, participación y asociaciones específicas en todo el ecosistema de las TIC. El trienio reflejó tanto un crecimiento cuantitativo como un fortalecimiento cualitativo del diálogo con los miembros. El ritmo de crecimiento, año tras año, demostró una clara trayectoria al alza, confirmando la capacidad del Sector de Desarrollo para conservar su pertinencia y atractivo para todas las partes interesadas.</w:t>
            </w:r>
          </w:p>
          <w:p w14:paraId="5A5E5E45" w14:textId="64CC3068" w:rsidR="00BD155E" w:rsidRPr="00E71B56" w:rsidRDefault="00BD155E" w:rsidP="00A372FB">
            <w:pPr>
              <w:rPr>
                <w:lang w:val="es-ES"/>
              </w:rPr>
            </w:pPr>
            <w:r w:rsidRPr="00E71B56">
              <w:rPr>
                <w:lang w:val="es-ES"/>
              </w:rPr>
              <w:t>Desde enero de 2023, la BDT ha dado la bienvenida a 126 nuevos Miembros de Sector, Asociados e Instituciones Académicas, alcanzando el mayor número total de miembros de los diez últimos años.</w:t>
            </w:r>
          </w:p>
          <w:p w14:paraId="715372C7" w14:textId="77777777" w:rsidR="00BD155E" w:rsidRPr="00E71B56" w:rsidRDefault="00BD155E" w:rsidP="00A372FB">
            <w:pPr>
              <w:rPr>
                <w:lang w:val="es-ES"/>
              </w:rPr>
            </w:pPr>
            <w:r w:rsidRPr="00E71B56">
              <w:rPr>
                <w:lang w:val="es-ES"/>
              </w:rPr>
              <w:t xml:space="preserve">En 2023 y 2024, </w:t>
            </w:r>
            <w:r w:rsidRPr="00E71B56">
              <w:rPr>
                <w:b/>
                <w:bCs/>
                <w:lang w:val="es-ES"/>
              </w:rPr>
              <w:t xml:space="preserve">cuarenta y cuatro y cuarenta y tres </w:t>
            </w:r>
            <w:r w:rsidRPr="00E71B56">
              <w:rPr>
                <w:lang w:val="es-ES"/>
              </w:rPr>
              <w:t xml:space="preserve">entidades, respectivamente, se incorporaron al UIT-D como nuevos Miembros. Con la incorporación de </w:t>
            </w:r>
            <w:r w:rsidRPr="00E71B56">
              <w:rPr>
                <w:b/>
                <w:bCs/>
                <w:lang w:val="es-ES"/>
              </w:rPr>
              <w:t>39 nuevos Miembros</w:t>
            </w:r>
            <w:r w:rsidRPr="00E71B56">
              <w:rPr>
                <w:lang w:val="es-ES"/>
              </w:rPr>
              <w:t xml:space="preserve"> de enero a agosto de 2025, se aceleró </w:t>
            </w:r>
            <w:r w:rsidRPr="00E71B56">
              <w:rPr>
                <w:lang w:val="es-ES"/>
              </w:rPr>
              <w:lastRenderedPageBreak/>
              <w:t xml:space="preserve">aún más el crecimiento del número de Miembros. A finales de </w:t>
            </w:r>
            <w:r w:rsidRPr="00E71B56">
              <w:rPr>
                <w:b/>
                <w:bCs/>
                <w:lang w:val="es-ES"/>
              </w:rPr>
              <w:t>agosto de 2025</w:t>
            </w:r>
            <w:r w:rsidRPr="00E71B56">
              <w:rPr>
                <w:lang w:val="es-ES"/>
              </w:rPr>
              <w:t xml:space="preserve">, </w:t>
            </w:r>
            <w:r w:rsidRPr="00E71B56">
              <w:rPr>
                <w:b/>
                <w:bCs/>
                <w:lang w:val="es-ES"/>
              </w:rPr>
              <w:t>el UIT-D tenía un total de 542 Miembros, de los cuales 343 eran Miembros de Sector, 23 Asociados y 176 Instituciones Académicas</w:t>
            </w:r>
            <w:r w:rsidRPr="00E71B56">
              <w:rPr>
                <w:lang w:val="es-ES"/>
              </w:rPr>
              <w:t>. Estas cifras ilustran la magnitud y diversidad de los Miembros del UITD, que son de las más importantes en el sistema de las Naciones Unidas, al abarcar gobiernos, organismos reguladores, la industria y las instituciones académicas.</w:t>
            </w:r>
          </w:p>
          <w:p w14:paraId="296723D8" w14:textId="77777777" w:rsidR="00BD155E" w:rsidRPr="00E71B56" w:rsidRDefault="00BD155E" w:rsidP="00A372FB">
            <w:pPr>
              <w:rPr>
                <w:lang w:val="es-ES"/>
              </w:rPr>
            </w:pPr>
            <w:r w:rsidRPr="00E71B56">
              <w:rPr>
                <w:lang w:val="es-ES"/>
              </w:rPr>
              <w:t xml:space="preserve">Además, esta es una señal clara de que los miembros y los asociados consideran valiosas las plataformas, los productos y las actividades del UIT-D. El súbito aumento de nuevos miembros también demuestra que los esfuerzos de divulgación de la BDT resuenan con un mayor alcance, ofreciendo más que la afiliación simbólica, con beneficios tangibles en materia de conocimientos, redes e influencia. Estos resultados se alcanzaron por conducto de estrategias deliberadas. La participación de los miembros en 2023 incluyó más de </w:t>
            </w:r>
            <w:r w:rsidRPr="00E71B56">
              <w:rPr>
                <w:b/>
                <w:bCs/>
                <w:lang w:val="es-ES"/>
              </w:rPr>
              <w:t>150 interacciones estructuradas</w:t>
            </w:r>
            <w:r w:rsidRPr="00E71B56">
              <w:rPr>
                <w:lang w:val="es-ES"/>
              </w:rPr>
              <w:t xml:space="preserve"> con los miembros, desde visitas de alto nivel hasta eventos específicos y reuniones adaptadas. Estas actividades incluían la presentación por el personal y la Dirección de ponencias sobre toda la gama de servicios del UIT</w:t>
            </w:r>
            <w:r w:rsidRPr="00E71B56">
              <w:rPr>
                <w:lang w:val="es-ES"/>
              </w:rPr>
              <w:noBreakHyphen/>
              <w:t xml:space="preserve">D, que reflejaban los efectos en el terreno y respondían directamente a la evolución de las necesidades de los Miembros. Un ejemplo de este renovado interés se ilustró durante el </w:t>
            </w:r>
            <w:r w:rsidRPr="00E71B56">
              <w:rPr>
                <w:b/>
                <w:bCs/>
                <w:lang w:val="es-ES"/>
              </w:rPr>
              <w:t>GSR-23 en Sharm el</w:t>
            </w:r>
            <w:r w:rsidRPr="00E71B56">
              <w:rPr>
                <w:b/>
                <w:bCs/>
                <w:lang w:val="es-ES"/>
              </w:rPr>
              <w:noBreakHyphen/>
              <w:t>Sheikh (Egipto)</w:t>
            </w:r>
            <w:r w:rsidRPr="00E71B56">
              <w:rPr>
                <w:lang w:val="es-ES"/>
              </w:rPr>
              <w:t xml:space="preserve">, en cuyo marco el </w:t>
            </w:r>
            <w:hyperlink r:id="rId302" w:history="1">
              <w:r w:rsidRPr="00E71B56">
                <w:rPr>
                  <w:rStyle w:val="Hyperlink"/>
                  <w:lang w:val="es-ES"/>
                </w:rPr>
                <w:t>Grupo Asesor de la Industria sobre Cuestiones de Desarrollo y los Directores de Reglamentación del Sector Privado (IAGDI-CRO)</w:t>
              </w:r>
            </w:hyperlink>
            <w:r w:rsidRPr="00E71B56">
              <w:rPr>
                <w:lang w:val="es-ES"/>
              </w:rPr>
              <w:t xml:space="preserve"> registró una participación de </w:t>
            </w:r>
            <w:r w:rsidRPr="00E71B56">
              <w:rPr>
                <w:b/>
                <w:bCs/>
                <w:lang w:val="es-ES"/>
              </w:rPr>
              <w:t>149 delegados</w:t>
            </w:r>
            <w:r w:rsidRPr="00E71B56">
              <w:rPr>
                <w:lang w:val="es-ES"/>
              </w:rPr>
              <w:t>, lo que supuso un nuevo récord de participación hasta la fecha. Esto reflejó el reconocimiento del sector privado del UIT</w:t>
            </w:r>
            <w:r w:rsidRPr="00E71B56">
              <w:rPr>
                <w:lang w:val="es-ES"/>
              </w:rPr>
              <w:noBreakHyphen/>
              <w:t>D como lugar central para conformar el diálogo en materia de desarrollo y reglamentación.</w:t>
            </w:r>
            <w:hyperlink r:id="rId303"/>
          </w:p>
          <w:p w14:paraId="74D6F081" w14:textId="77777777" w:rsidR="00BD155E" w:rsidRPr="00E71B56" w:rsidRDefault="00BD155E" w:rsidP="00A372FB">
            <w:pPr>
              <w:rPr>
                <w:lang w:val="es-ES"/>
              </w:rPr>
            </w:pPr>
            <w:r w:rsidRPr="00E71B56">
              <w:rPr>
                <w:lang w:val="es-ES"/>
              </w:rPr>
              <w:t xml:space="preserve">La Oficina mantuvo su compromiso con las actividades de divulgación, celebrando más de </w:t>
            </w:r>
            <w:r w:rsidRPr="00E71B56">
              <w:rPr>
                <w:b/>
                <w:bCs/>
                <w:lang w:val="es-ES"/>
              </w:rPr>
              <w:t xml:space="preserve">180 sesiones informativas </w:t>
            </w:r>
            <w:r w:rsidRPr="00E71B56">
              <w:rPr>
                <w:lang w:val="es-ES"/>
              </w:rPr>
              <w:t xml:space="preserve">con los miembros en diversos formatos, como las reuniones físicas, las consultas virtuales y las visitas de alto nivel. Las actividades de divulgación ante el sector privado cobraron visibilidad por conducto del IAGDI-CRO, que celebró </w:t>
            </w:r>
            <w:r w:rsidRPr="00E71B56">
              <w:rPr>
                <w:b/>
                <w:bCs/>
                <w:lang w:val="es-ES"/>
              </w:rPr>
              <w:t>dos reuniones en 2024</w:t>
            </w:r>
            <w:r w:rsidRPr="00E71B56">
              <w:rPr>
                <w:lang w:val="es-ES"/>
              </w:rPr>
              <w:t>. Una de estas reuniones, celebrada en Kampala (</w:t>
            </w:r>
            <w:r w:rsidRPr="00E71B56">
              <w:rPr>
                <w:b/>
                <w:bCs/>
                <w:lang w:val="es-ES"/>
              </w:rPr>
              <w:t>Uganda</w:t>
            </w:r>
            <w:r w:rsidRPr="00E71B56">
              <w:rPr>
                <w:lang w:val="es-ES"/>
              </w:rPr>
              <w:t xml:space="preserve">) en el GSR-24, aunó a </w:t>
            </w:r>
            <w:r w:rsidRPr="00E71B56">
              <w:rPr>
                <w:b/>
                <w:bCs/>
                <w:lang w:val="es-ES"/>
              </w:rPr>
              <w:t>más de 200 participantes, la participación más alta desde su creación</w:t>
            </w:r>
            <w:r w:rsidRPr="00E71B56">
              <w:rPr>
                <w:lang w:val="es-ES"/>
              </w:rPr>
              <w:t xml:space="preserve">. Estas reuniones arrojaron contribuciones directas a las </w:t>
            </w:r>
            <w:hyperlink r:id="rId304" w:anchor="p=1" w:history="1">
              <w:r w:rsidRPr="00E71B56">
                <w:rPr>
                  <w:rStyle w:val="Hyperlink"/>
                  <w:lang w:val="es-ES"/>
                </w:rPr>
                <w:t>Directrices sobre prácticas idóneas del GSR-24</w:t>
              </w:r>
            </w:hyperlink>
            <w:r w:rsidRPr="00E71B56">
              <w:rPr>
                <w:lang w:val="es-ES"/>
              </w:rPr>
              <w:t>, pero también generaron declaraciones de coordinación a las Comisiones de Estudio del UIT</w:t>
            </w:r>
            <w:r w:rsidRPr="00E71B56">
              <w:rPr>
                <w:lang w:val="es-ES"/>
              </w:rPr>
              <w:noBreakHyphen/>
              <w:t>D, en las que los Miembros propusieron formatos innovadores como las charlas técnicas. Las charlas técnicas, diseñadas para aportar nuevas voces y perspectivas, demostraron la manera en la que las actividades colaborativas evolucionaban hacia contribuciones directas a los preparativos de la CMDT-25.</w:t>
            </w:r>
            <w:hyperlink r:id="rId305" w:anchor="p=1"/>
          </w:p>
          <w:p w14:paraId="74D5794D" w14:textId="77777777" w:rsidR="00BD155E" w:rsidRPr="00E71B56" w:rsidRDefault="00BD155E" w:rsidP="00A372FB">
            <w:pPr>
              <w:rPr>
                <w:lang w:val="es-ES"/>
              </w:rPr>
            </w:pPr>
            <w:r w:rsidRPr="00E71B56">
              <w:rPr>
                <w:lang w:val="es-ES"/>
              </w:rPr>
              <w:lastRenderedPageBreak/>
              <w:t>Los mecanismos de participación también se intensificaron junto a esta expansión. A principios de 2025, el IAGDI</w:t>
            </w:r>
            <w:r w:rsidRPr="00E71B56">
              <w:rPr>
                <w:lang w:val="es-ES"/>
              </w:rPr>
              <w:noBreakHyphen/>
              <w:t xml:space="preserve">CRO organizó dos </w:t>
            </w:r>
            <w:r w:rsidRPr="00E71B56">
              <w:rPr>
                <w:b/>
                <w:bCs/>
                <w:lang w:val="es-ES"/>
              </w:rPr>
              <w:t>charlas técnicas</w:t>
            </w:r>
            <w:r w:rsidRPr="00E71B56">
              <w:rPr>
                <w:lang w:val="es-ES"/>
              </w:rPr>
              <w:t>, en colaboración con las Comisiones de Estudio del UIT</w:t>
            </w:r>
            <w:r w:rsidRPr="00E71B56">
              <w:rPr>
                <w:lang w:val="es-ES"/>
              </w:rPr>
              <w:noBreakHyphen/>
              <w:t xml:space="preserve">D, en las que más de </w:t>
            </w:r>
            <w:r w:rsidRPr="00E71B56">
              <w:rPr>
                <w:b/>
                <w:bCs/>
                <w:lang w:val="es-ES"/>
              </w:rPr>
              <w:t xml:space="preserve">200 participantes </w:t>
            </w:r>
            <w:r w:rsidRPr="00E71B56">
              <w:rPr>
                <w:lang w:val="es-ES"/>
              </w:rPr>
              <w:t>debatieron sobre la conectividad efectiva y la transformación digital. Estas sesiones ofrecieron un foro para las perspectivas de la industria y sirvieron de puente para nuevas cuestiones para la CMDT-25, demostrando la manera en la que las actividades de divulgación del UIT</w:t>
            </w:r>
            <w:r w:rsidRPr="00E71B56">
              <w:rPr>
                <w:lang w:val="es-ES"/>
              </w:rPr>
              <w:noBreakHyphen/>
              <w:t>D evolucionaron desde la compartición de información hasta la creación conjunta de conocimientos y la definición de agendas. La sesión celebrada en Kampala durante la reunión del GSR</w:t>
            </w:r>
            <w:r w:rsidRPr="00E71B56">
              <w:rPr>
                <w:lang w:val="es-ES"/>
              </w:rPr>
              <w:noBreakHyphen/>
              <w:t>24, en Uganda, las sesiones de charlas técnicas, la sesión virtual del IAGDI-CRO en preparación del GSR-25 y las sesiones ulteriores también alentaron a los miembros del sector privado a participar de manera más activa en los procesos de elaboración y consulta para las directrices mundiales, demostrando que la afiliación de los miembros no era pasiva, sino que constituía un canal para aportar contribuciones sustantivas.</w:t>
            </w:r>
          </w:p>
          <w:p w14:paraId="3C9B634D" w14:textId="77777777" w:rsidR="00BD155E" w:rsidRPr="00E71B56" w:rsidRDefault="00BD155E" w:rsidP="00A372FB">
            <w:pPr>
              <w:rPr>
                <w:lang w:val="es-ES"/>
              </w:rPr>
            </w:pPr>
            <w:r w:rsidRPr="00E71B56">
              <w:rPr>
                <w:lang w:val="es-ES"/>
              </w:rPr>
              <w:t>Combinadas, estas dinámicas pusieron de relieve la relación entre la capacidad del UIT</w:t>
            </w:r>
            <w:r w:rsidRPr="00E71B56">
              <w:rPr>
                <w:lang w:val="es-ES"/>
              </w:rPr>
              <w:noBreakHyphen/>
              <w:t>D para aumentar el número de miembros y conservarlos y tres factores interdependientes, a saber: la pertinencia de sus flujos de trabajo, su reactividad a la evolución de las necesidades y la calidad de los espacios que ofrecía para el diálogo. Al garantizar que los miembros podían ver el interés de afiliarse tanto en términos cuantitativos como cualitativos, el UIT</w:t>
            </w:r>
            <w:r w:rsidRPr="00E71B56">
              <w:rPr>
                <w:lang w:val="es-ES"/>
              </w:rPr>
              <w:noBreakHyphen/>
              <w:t>D reforzó su papel como organizador de uno de los grupos más diversos del sistema de las Naciones Unidas.</w:t>
            </w:r>
          </w:p>
          <w:p w14:paraId="303D6334" w14:textId="77777777" w:rsidR="00BD155E" w:rsidRPr="00E71B56" w:rsidRDefault="00BD155E" w:rsidP="00A372FB">
            <w:pPr>
              <w:rPr>
                <w:lang w:val="es-ES"/>
              </w:rPr>
            </w:pPr>
            <w:r w:rsidRPr="00E71B56">
              <w:rPr>
                <w:lang w:val="es-ES"/>
              </w:rPr>
              <w:t xml:space="preserve">De conformidad con la </w:t>
            </w:r>
            <w:hyperlink r:id="rId306" w:history="1">
              <w:r w:rsidRPr="00E71B56">
                <w:rPr>
                  <w:rStyle w:val="Hyperlink"/>
                  <w:lang w:val="es-ES"/>
                </w:rPr>
                <w:t>Resolución 71 (Rev. Kigali, 2022) de la CMDT-22</w:t>
              </w:r>
            </w:hyperlink>
            <w:r w:rsidRPr="00E71B56">
              <w:rPr>
                <w:lang w:val="es-ES"/>
              </w:rPr>
              <w:t>, sobre el fortalecimiento de la cooperación entre los Estados Miembros, Miembros de Sector, Asociados e Instituciones Académicas del Sector de Desarrollo de las Telecomunicaciones de la UIT y evolución del papel del sector privado en el Sector de Desarrollo de las Telecomunicaciones de la UIT</w:t>
            </w:r>
            <w:r w:rsidRPr="00E71B56">
              <w:rPr>
                <w:i/>
                <w:iCs/>
                <w:lang w:val="es-ES"/>
              </w:rPr>
              <w:t xml:space="preserve">, </w:t>
            </w:r>
            <w:r w:rsidRPr="00E71B56">
              <w:rPr>
                <w:lang w:val="es-ES"/>
              </w:rPr>
              <w:t xml:space="preserve">se puso a disposición un documento informativo con más detalles en </w:t>
            </w:r>
            <w:hyperlink r:id="rId307" w:history="1">
              <w:r w:rsidRPr="00E71B56">
                <w:rPr>
                  <w:rStyle w:val="Hyperlink"/>
                  <w:lang w:val="es-ES"/>
                </w:rPr>
                <w:t>WTDC-25/INF/1</w:t>
              </w:r>
            </w:hyperlink>
            <w:r w:rsidRPr="00E71B56">
              <w:rPr>
                <w:lang w:val="es-ES"/>
              </w:rPr>
              <w:t>.En él se evalúan los resultados del grupo de Directores de Reglamentación (CRO) durante el periodo y se examina la necesidad de que prosigan sus actividades. Este documento también informa sobre las acciones emprendidas para fortalecer la participación de los Miembros del UIT</w:t>
            </w:r>
            <w:r w:rsidRPr="00E71B56">
              <w:rPr>
                <w:lang w:val="es-ES"/>
              </w:rPr>
              <w:noBreakHyphen/>
              <w:t>D, la promoción de alianzas y proyectos, y la evolución de la pertinencia de las contribuciones del sector privado al UIT</w:t>
            </w:r>
            <w:r w:rsidRPr="00E71B56">
              <w:rPr>
                <w:lang w:val="es-ES"/>
              </w:rPr>
              <w:noBreakHyphen/>
              <w:t>D.</w:t>
            </w:r>
            <w:hyperlink r:id="rId308"/>
            <w:hyperlink r:id="rId309"/>
          </w:p>
          <w:p w14:paraId="3E13A0C0" w14:textId="77777777" w:rsidR="00BD155E" w:rsidRPr="00E71B56" w:rsidRDefault="00BD155E" w:rsidP="00E33DB7">
            <w:pPr>
              <w:keepNext/>
              <w:rPr>
                <w:lang w:val="es-ES"/>
              </w:rPr>
            </w:pPr>
            <w:r w:rsidRPr="00E71B56">
              <w:rPr>
                <w:b/>
                <w:bCs/>
                <w:lang w:val="es-ES"/>
              </w:rPr>
              <w:lastRenderedPageBreak/>
              <w:t>Comisiones de Estudio del UIT</w:t>
            </w:r>
            <w:r w:rsidRPr="00E71B56">
              <w:rPr>
                <w:b/>
                <w:bCs/>
                <w:lang w:val="es-ES"/>
              </w:rPr>
              <w:noBreakHyphen/>
              <w:t>D</w:t>
            </w:r>
          </w:p>
          <w:p w14:paraId="120ABDF2" w14:textId="538E1FB7" w:rsidR="00BD155E" w:rsidRPr="00E71B56" w:rsidRDefault="00BD155E" w:rsidP="00A372FB">
            <w:pPr>
              <w:rPr>
                <w:lang w:val="es-ES"/>
              </w:rPr>
            </w:pPr>
            <w:r w:rsidRPr="00E71B56">
              <w:rPr>
                <w:lang w:val="es-ES"/>
              </w:rPr>
              <w:t>Las Comisiones de Estudio del UIT</w:t>
            </w:r>
            <w:r w:rsidRPr="00E71B56">
              <w:rPr>
                <w:lang w:val="es-ES"/>
              </w:rPr>
              <w:noBreakHyphen/>
              <w:t>D han contribuido considerablemente a la creación de un entorno propicio para la conectividad efectiva (Comisión de Estudio 1 – CE 1) y al impulso de la transformación digital (Comisión de Estudio 2 – CE 2). Las Comisiones de Estudio del UIT</w:t>
            </w:r>
            <w:r w:rsidRPr="00E71B56">
              <w:rPr>
                <w:lang w:val="es-ES"/>
              </w:rPr>
              <w:noBreakHyphen/>
              <w:t>D constituyen una plataforma en la que se comparten las opiniones y experiencias armonizadas y a su vez diversas de todos los Miembros del UIT</w:t>
            </w:r>
            <w:r w:rsidRPr="00E71B56">
              <w:rPr>
                <w:lang w:val="es-ES"/>
              </w:rPr>
              <w:noBreakHyphen/>
              <w:t>D. Contribuyen a conformar respuestas efectivas para la era digital. Durante el periodo de estudios 2022</w:t>
            </w:r>
            <w:r w:rsidRPr="00E71B56">
              <w:rPr>
                <w:lang w:val="es-ES"/>
              </w:rPr>
              <w:noBreakHyphen/>
              <w:t>2025, las dos Comisiones de Estudio del UIT</w:t>
            </w:r>
            <w:r w:rsidRPr="00E71B56">
              <w:rPr>
                <w:lang w:val="es-ES"/>
              </w:rPr>
              <w:noBreakHyphen/>
              <w:t xml:space="preserve">D se ocuparon de </w:t>
            </w:r>
            <w:hyperlink r:id="rId310" w:history="1">
              <w:r w:rsidRPr="00E71B56">
                <w:rPr>
                  <w:rStyle w:val="Hyperlink"/>
                  <w:lang w:val="es-ES"/>
                </w:rPr>
                <w:t>14 Cuestiones de Estudio</w:t>
              </w:r>
            </w:hyperlink>
            <w:r w:rsidRPr="00E71B56">
              <w:rPr>
                <w:lang w:val="es-ES"/>
              </w:rPr>
              <w:t xml:space="preserve"> (siete por cada Comisión de Estudio) concebidas para desarrollar directrices políticas, reglamentarias y técnicas eficaces. Entre 2023 y 2025, las Comisiones de Estudio del UIT</w:t>
            </w:r>
            <w:r w:rsidRPr="00E71B56">
              <w:rPr>
                <w:lang w:val="es-ES"/>
              </w:rPr>
              <w:noBreakHyphen/>
              <w:t xml:space="preserve">D promovieron resultados </w:t>
            </w:r>
            <w:r w:rsidRPr="00E71B56">
              <w:rPr>
                <w:szCs w:val="24"/>
                <w:lang w:val="es-ES"/>
              </w:rPr>
              <w:t xml:space="preserve">sustantivos </w:t>
            </w:r>
            <w:r w:rsidRPr="00E71B56">
              <w:rPr>
                <w:rStyle w:val="CommentReference"/>
                <w:rFonts w:ascii="Calibri" w:eastAsia="Calibri" w:hAnsi="Calibri" w:cs="Calibri"/>
                <w:szCs w:val="24"/>
                <w:lang w:val="es-ES"/>
              </w:rPr>
              <w:t>(</w:t>
            </w:r>
            <w:hyperlink r:id="rId311" w:history="1">
              <w:r w:rsidRPr="00E71B56">
                <w:rPr>
                  <w:rStyle w:val="Hyperlink"/>
                  <w:rFonts w:ascii="Calibri" w:eastAsia="Calibri" w:hAnsi="Calibri" w:cs="Calibri"/>
                  <w:szCs w:val="24"/>
                  <w:lang w:val="es-ES"/>
                </w:rPr>
                <w:t>CE</w:t>
              </w:r>
              <w:r w:rsidRPr="00E71B56">
                <w:rPr>
                  <w:rStyle w:val="Hyperlink"/>
                  <w:rFonts w:ascii="Calibri" w:eastAsia="Calibri" w:hAnsi="Calibri" w:cs="Calibri"/>
                  <w:szCs w:val="24"/>
                  <w:lang w:val="es-ES"/>
                </w:rPr>
                <w:t xml:space="preserve"> </w:t>
              </w:r>
              <w:r w:rsidRPr="00E71B56">
                <w:rPr>
                  <w:rStyle w:val="Hyperlink"/>
                  <w:rFonts w:ascii="Calibri" w:eastAsia="Calibri" w:hAnsi="Calibri" w:cs="Calibri"/>
                  <w:szCs w:val="24"/>
                  <w:lang w:val="es-ES"/>
                </w:rPr>
                <w:t>1</w:t>
              </w:r>
            </w:hyperlink>
            <w:r w:rsidRPr="00E71B56">
              <w:rPr>
                <w:rStyle w:val="CommentReference"/>
                <w:rFonts w:ascii="Calibri" w:eastAsia="Calibri" w:hAnsi="Calibri" w:cs="Calibri"/>
                <w:szCs w:val="24"/>
                <w:lang w:val="es-ES"/>
              </w:rPr>
              <w:t xml:space="preserve"> y </w:t>
            </w:r>
            <w:hyperlink r:id="rId312" w:history="1">
              <w:r w:rsidRPr="00E71B56">
                <w:rPr>
                  <w:rStyle w:val="Hyperlink"/>
                  <w:rFonts w:ascii="Calibri" w:eastAsia="Calibri" w:hAnsi="Calibri" w:cs="Calibri"/>
                  <w:szCs w:val="24"/>
                  <w:lang w:val="es-ES"/>
                </w:rPr>
                <w:t>CE 2</w:t>
              </w:r>
            </w:hyperlink>
            <w:r w:rsidRPr="00E71B56">
              <w:rPr>
                <w:rStyle w:val="CommentReference"/>
                <w:rFonts w:ascii="Calibri" w:eastAsia="Calibri" w:hAnsi="Calibri" w:cs="Calibri"/>
                <w:szCs w:val="24"/>
                <w:lang w:val="es-ES"/>
              </w:rPr>
              <w:t>)</w:t>
            </w:r>
            <w:r w:rsidRPr="00E71B56">
              <w:rPr>
                <w:szCs w:val="24"/>
                <w:lang w:val="es-ES"/>
              </w:rPr>
              <w:t>,</w:t>
            </w:r>
            <w:r w:rsidRPr="00E71B56">
              <w:rPr>
                <w:lang w:val="es-ES"/>
              </w:rPr>
              <w:t xml:space="preserve"> </w:t>
            </w:r>
            <w:hyperlink r:id="rId313" w:history="1">
              <w:r w:rsidRPr="00E71B56">
                <w:rPr>
                  <w:rStyle w:val="Hyperlink"/>
                  <w:lang w:val="es-ES"/>
                </w:rPr>
                <w:t>ta</w:t>
              </w:r>
              <w:r w:rsidRPr="00E71B56">
                <w:rPr>
                  <w:rStyle w:val="Hyperlink"/>
                  <w:lang w:val="es-ES"/>
                </w:rPr>
                <w:t>l</w:t>
              </w:r>
              <w:r w:rsidRPr="00E71B56">
                <w:rPr>
                  <w:rStyle w:val="Hyperlink"/>
                  <w:lang w:val="es-ES"/>
                </w:rPr>
                <w:t>leres</w:t>
              </w:r>
            </w:hyperlink>
            <w:r w:rsidRPr="00E71B56">
              <w:rPr>
                <w:lang w:val="es-ES"/>
              </w:rPr>
              <w:t xml:space="preserve"> y </w:t>
            </w:r>
            <w:hyperlink r:id="rId314" w:history="1">
              <w:r w:rsidRPr="00E71B56">
                <w:rPr>
                  <w:rStyle w:val="Hyperlink"/>
                  <w:lang w:val="es-ES"/>
                </w:rPr>
                <w:t>productos intermedi</w:t>
              </w:r>
              <w:r w:rsidRPr="00E71B56">
                <w:rPr>
                  <w:rStyle w:val="Hyperlink"/>
                  <w:lang w:val="es-ES"/>
                </w:rPr>
                <w:t>o</w:t>
              </w:r>
              <w:r w:rsidRPr="00E71B56">
                <w:rPr>
                  <w:rStyle w:val="Hyperlink"/>
                  <w:lang w:val="es-ES"/>
                </w:rPr>
                <w:t>s</w:t>
              </w:r>
            </w:hyperlink>
            <w:r w:rsidRPr="00E71B56">
              <w:rPr>
                <w:lang w:val="es-ES"/>
              </w:rPr>
              <w:t>, demostrando la manera en la que se podían movilizar los conocimientos técnicos para abordar las cuestiones acuciantes relativas al desarrollo de las TIC.</w:t>
            </w:r>
            <w:hyperlink r:id="rId315"/>
            <w:hyperlink r:id="rId316"/>
            <w:hyperlink r:id="rId317"/>
          </w:p>
          <w:p w14:paraId="4125985F" w14:textId="77777777" w:rsidR="00BD155E" w:rsidRPr="00E71B56" w:rsidRDefault="00BD155E" w:rsidP="00A372FB">
            <w:pPr>
              <w:rPr>
                <w:lang w:val="es-ES"/>
              </w:rPr>
            </w:pPr>
            <w:r w:rsidRPr="00E71B56">
              <w:rPr>
                <w:lang w:val="es-ES"/>
              </w:rPr>
              <w:t xml:space="preserve">Las primeras reuniones de los Grupos de Relator de la CE 1 celebradas en 2023 aunaron a </w:t>
            </w:r>
            <w:r w:rsidRPr="00E71B56">
              <w:rPr>
                <w:b/>
                <w:bCs/>
                <w:lang w:val="es-ES"/>
              </w:rPr>
              <w:t xml:space="preserve">257 participantes </w:t>
            </w:r>
            <w:r w:rsidRPr="00E71B56">
              <w:rPr>
                <w:lang w:val="es-ES"/>
              </w:rPr>
              <w:t>de</w:t>
            </w:r>
            <w:r w:rsidRPr="00E71B56">
              <w:rPr>
                <w:b/>
                <w:bCs/>
                <w:lang w:val="es-ES"/>
              </w:rPr>
              <w:t xml:space="preserve"> 59 Estados Miembros</w:t>
            </w:r>
            <w:r w:rsidRPr="00E71B56">
              <w:rPr>
                <w:lang w:val="es-ES"/>
              </w:rPr>
              <w:t>, respaldados por</w:t>
            </w:r>
            <w:r w:rsidRPr="00E71B56">
              <w:rPr>
                <w:b/>
                <w:bCs/>
                <w:lang w:val="es-ES"/>
              </w:rPr>
              <w:t xml:space="preserve"> 19 becas</w:t>
            </w:r>
            <w:r w:rsidRPr="00E71B56">
              <w:rPr>
                <w:lang w:val="es-ES"/>
              </w:rPr>
              <w:t xml:space="preserve">, y en ellas se examinaron </w:t>
            </w:r>
            <w:r w:rsidRPr="00E71B56">
              <w:rPr>
                <w:b/>
                <w:bCs/>
                <w:lang w:val="es-ES"/>
              </w:rPr>
              <w:t>139 contribuciones</w:t>
            </w:r>
            <w:r w:rsidRPr="00E71B56">
              <w:rPr>
                <w:lang w:val="es-ES"/>
              </w:rPr>
              <w:t xml:space="preserve">. Las reuniones de los Grupos de Relator de la CE 2 celebradas en 2023 aunaron a </w:t>
            </w:r>
            <w:r w:rsidRPr="00E71B56">
              <w:rPr>
                <w:b/>
                <w:bCs/>
                <w:lang w:val="es-ES"/>
              </w:rPr>
              <w:t xml:space="preserve">214 participantes </w:t>
            </w:r>
            <w:r w:rsidRPr="00E71B56">
              <w:rPr>
                <w:lang w:val="es-ES"/>
              </w:rPr>
              <w:t>de</w:t>
            </w:r>
            <w:r w:rsidRPr="00E71B56">
              <w:rPr>
                <w:b/>
                <w:bCs/>
                <w:lang w:val="es-ES"/>
              </w:rPr>
              <w:t xml:space="preserve"> 45 Estados Miembros</w:t>
            </w:r>
            <w:r w:rsidRPr="00E71B56">
              <w:rPr>
                <w:lang w:val="es-ES"/>
              </w:rPr>
              <w:t>, respaldados por</w:t>
            </w:r>
            <w:r w:rsidRPr="00E71B56">
              <w:rPr>
                <w:b/>
                <w:bCs/>
                <w:lang w:val="es-ES"/>
              </w:rPr>
              <w:t xml:space="preserve"> 18 becas</w:t>
            </w:r>
            <w:r w:rsidRPr="00E71B56">
              <w:rPr>
                <w:lang w:val="es-ES"/>
              </w:rPr>
              <w:t xml:space="preserve">, y en ellas se examinaron </w:t>
            </w:r>
            <w:r w:rsidRPr="00E71B56">
              <w:rPr>
                <w:b/>
                <w:bCs/>
                <w:lang w:val="es-ES"/>
              </w:rPr>
              <w:t>72 contribuciones</w:t>
            </w:r>
            <w:r w:rsidRPr="00E71B56">
              <w:rPr>
                <w:lang w:val="es-ES"/>
              </w:rPr>
              <w:t>. Se celebraron siete talleres de distintas cuestiones y cinco talleres específicos para determinadas cuestiones en el marco de la CE 1, en los que se analizó la conectividad efectiva a través de múltiples dimensiones: la innovación, la sostenibilidad, la acción regional, la inclusión de las mujeres y los jóvenes, los nuevos servicios de radiodifusión, la preparación ante emergencias para la gestión de catástrofes con la IA y las técnicas de la IoT, y los fondos del servicio universal para reducir la brecha digital. En siete talleres organizados en el marco de la CE 2 se amplió el alcance de los debates, abarcando las infraestructuras digitales públicas, la cibersalud, el aprendizaje electrónico, la garantía de ciberseguridad, las competencias digitales, las TIC ecológicas y los campos electromagnéticos. Los talleres contaron con las contribuciones tanto de Miembros de la UIT como de no miembros de la Unión, reforzando el papel de las Comisiones de Estudio como plataformas abiertas y orientadas al exterior.</w:t>
            </w:r>
          </w:p>
          <w:p w14:paraId="5A535BD6" w14:textId="77777777" w:rsidR="00BD155E" w:rsidRPr="00E71B56" w:rsidRDefault="00BD155E" w:rsidP="00A372FB">
            <w:pPr>
              <w:rPr>
                <w:lang w:val="es-ES"/>
              </w:rPr>
            </w:pPr>
            <w:r w:rsidRPr="00E71B56">
              <w:rPr>
                <w:lang w:val="es-ES"/>
              </w:rPr>
              <w:t xml:space="preserve">Ulteriormente en 2023, se celebró la segunda reunión anual de la CE 1 que reunió a </w:t>
            </w:r>
            <w:r w:rsidRPr="00E71B56">
              <w:rPr>
                <w:b/>
                <w:bCs/>
                <w:lang w:val="es-ES"/>
              </w:rPr>
              <w:t xml:space="preserve">224 participantes </w:t>
            </w:r>
            <w:r w:rsidRPr="00E71B56">
              <w:rPr>
                <w:lang w:val="es-ES"/>
              </w:rPr>
              <w:t>de</w:t>
            </w:r>
            <w:r w:rsidRPr="00E71B56">
              <w:rPr>
                <w:b/>
                <w:bCs/>
                <w:lang w:val="es-ES"/>
              </w:rPr>
              <w:t xml:space="preserve"> 59 Estados Miembros</w:t>
            </w:r>
            <w:r w:rsidRPr="00E71B56">
              <w:rPr>
                <w:lang w:val="es-ES"/>
              </w:rPr>
              <w:t xml:space="preserve">, respaldados por </w:t>
            </w:r>
            <w:r w:rsidRPr="00E71B56">
              <w:rPr>
                <w:b/>
                <w:bCs/>
                <w:lang w:val="es-ES"/>
              </w:rPr>
              <w:t>13 becas</w:t>
            </w:r>
            <w:r w:rsidRPr="00E71B56">
              <w:rPr>
                <w:lang w:val="es-ES"/>
              </w:rPr>
              <w:t xml:space="preserve">. Los participantes examinaron </w:t>
            </w:r>
            <w:r w:rsidRPr="00E71B56">
              <w:rPr>
                <w:b/>
                <w:bCs/>
                <w:lang w:val="es-ES"/>
              </w:rPr>
              <w:t>155 documentos</w:t>
            </w:r>
            <w:r w:rsidRPr="00E71B56">
              <w:rPr>
                <w:lang w:val="es-ES"/>
              </w:rPr>
              <w:t xml:space="preserve">, entre ellos cinco proyectos de informe, y convinieron en ocho declaraciones de coordinación salientes. En la reunión se </w:t>
            </w:r>
            <w:r w:rsidRPr="00E71B56">
              <w:rPr>
                <w:lang w:val="es-ES"/>
              </w:rPr>
              <w:lastRenderedPageBreak/>
              <w:t xml:space="preserve">aprobó su primer producto intermedio sobre </w:t>
            </w:r>
            <w:r w:rsidRPr="00E71B56">
              <w:rPr>
                <w:i/>
                <w:iCs/>
                <w:lang w:val="es-ES"/>
              </w:rPr>
              <w:t>Prácticas idóneas en materia de herramientas de reglamentación digital para proteger a los consumidores</w:t>
            </w:r>
            <w:r w:rsidRPr="00E71B56">
              <w:rPr>
                <w:lang w:val="es-ES"/>
              </w:rPr>
              <w:t xml:space="preserve">, publicado en todas las lenguas de las Naciones Unidas y acompañado por una entrevista de vídeo. La CE 2 aunó a </w:t>
            </w:r>
            <w:r w:rsidRPr="00E71B56">
              <w:rPr>
                <w:b/>
                <w:bCs/>
                <w:lang w:val="es-ES"/>
              </w:rPr>
              <w:t xml:space="preserve">195 participantes </w:t>
            </w:r>
            <w:r w:rsidRPr="00E71B56">
              <w:rPr>
                <w:lang w:val="es-ES"/>
              </w:rPr>
              <w:t>de</w:t>
            </w:r>
            <w:r w:rsidRPr="00E71B56">
              <w:rPr>
                <w:b/>
                <w:bCs/>
                <w:lang w:val="es-ES"/>
              </w:rPr>
              <w:t xml:space="preserve"> 54 Estados Miembros</w:t>
            </w:r>
            <w:r w:rsidRPr="00E71B56">
              <w:rPr>
                <w:lang w:val="es-ES"/>
              </w:rPr>
              <w:t>, también respaldados por</w:t>
            </w:r>
            <w:r w:rsidRPr="00E71B56">
              <w:rPr>
                <w:b/>
                <w:bCs/>
                <w:lang w:val="es-ES"/>
              </w:rPr>
              <w:t xml:space="preserve"> 13 becas</w:t>
            </w:r>
            <w:r w:rsidRPr="00E71B56">
              <w:rPr>
                <w:lang w:val="es-ES"/>
              </w:rPr>
              <w:t xml:space="preserve">. En esa reunión se examinaron </w:t>
            </w:r>
            <w:r w:rsidRPr="00E71B56">
              <w:rPr>
                <w:b/>
                <w:bCs/>
                <w:lang w:val="es-ES"/>
              </w:rPr>
              <w:t>120 documentos</w:t>
            </w:r>
            <w:r w:rsidRPr="00E71B56">
              <w:rPr>
                <w:lang w:val="es-ES"/>
              </w:rPr>
              <w:t xml:space="preserve"> y se aprobó la publicación de un producto intermedio sobre las prácticas de garantía de la ciberseguridad.</w:t>
            </w:r>
          </w:p>
          <w:p w14:paraId="4AF70D17" w14:textId="77777777" w:rsidR="00BD155E" w:rsidRPr="00E71B56" w:rsidRDefault="00BD155E" w:rsidP="00A372FB">
            <w:pPr>
              <w:rPr>
                <w:lang w:val="es-ES"/>
              </w:rPr>
            </w:pPr>
            <w:r w:rsidRPr="00E71B56">
              <w:rPr>
                <w:lang w:val="es-ES"/>
              </w:rPr>
              <w:t xml:space="preserve">En 2024, los productos y servicios, así como la participación, se intensificaron aún más. La segunda reunión de los Grupos de Relator de la CE 1 aunó a </w:t>
            </w:r>
            <w:r w:rsidRPr="00E71B56">
              <w:rPr>
                <w:b/>
                <w:bCs/>
                <w:lang w:val="es-ES"/>
              </w:rPr>
              <w:t>271 participantes</w:t>
            </w:r>
            <w:r w:rsidRPr="00E71B56">
              <w:rPr>
                <w:lang w:val="es-ES"/>
              </w:rPr>
              <w:t xml:space="preserve"> de </w:t>
            </w:r>
            <w:r w:rsidRPr="00E71B56">
              <w:rPr>
                <w:b/>
                <w:bCs/>
                <w:lang w:val="es-ES"/>
              </w:rPr>
              <w:t>56 Estados Miembros</w:t>
            </w:r>
            <w:r w:rsidRPr="00E71B56">
              <w:rPr>
                <w:lang w:val="es-ES"/>
              </w:rPr>
              <w:t xml:space="preserve">, respaldados por </w:t>
            </w:r>
            <w:r w:rsidRPr="00E71B56">
              <w:rPr>
                <w:b/>
                <w:bCs/>
                <w:lang w:val="es-ES"/>
              </w:rPr>
              <w:t>16 becas</w:t>
            </w:r>
            <w:r w:rsidRPr="00E71B56">
              <w:rPr>
                <w:lang w:val="es-ES"/>
              </w:rPr>
              <w:t>, y en ellas se examinaron</w:t>
            </w:r>
            <w:r w:rsidRPr="00E71B56">
              <w:rPr>
                <w:b/>
                <w:bCs/>
                <w:lang w:val="es-ES"/>
              </w:rPr>
              <w:t xml:space="preserve"> 111 contribuciones</w:t>
            </w:r>
            <w:r w:rsidRPr="00E71B56">
              <w:rPr>
                <w:lang w:val="es-ES"/>
              </w:rPr>
              <w:t>. La segunda reunión de los Grupos de Relator de la CE 2 aunó a</w:t>
            </w:r>
            <w:r w:rsidRPr="00E71B56">
              <w:rPr>
                <w:b/>
                <w:bCs/>
                <w:lang w:val="es-ES"/>
              </w:rPr>
              <w:t xml:space="preserve"> 221 participantes</w:t>
            </w:r>
            <w:r w:rsidRPr="00E71B56">
              <w:rPr>
                <w:lang w:val="es-ES"/>
              </w:rPr>
              <w:t xml:space="preserve"> de </w:t>
            </w:r>
            <w:r w:rsidRPr="00E71B56">
              <w:rPr>
                <w:b/>
                <w:bCs/>
                <w:lang w:val="es-ES"/>
              </w:rPr>
              <w:t>52 Estados Miembros</w:t>
            </w:r>
            <w:r w:rsidRPr="00E71B56">
              <w:rPr>
                <w:lang w:val="es-ES"/>
              </w:rPr>
              <w:t xml:space="preserve">, respaldados por </w:t>
            </w:r>
            <w:r w:rsidRPr="00E71B56">
              <w:rPr>
                <w:b/>
                <w:bCs/>
                <w:lang w:val="es-ES"/>
              </w:rPr>
              <w:t>17 becas</w:t>
            </w:r>
            <w:r w:rsidRPr="00E71B56">
              <w:rPr>
                <w:lang w:val="es-ES"/>
              </w:rPr>
              <w:t>, y en ellas se examinaron</w:t>
            </w:r>
            <w:r w:rsidRPr="00E71B56">
              <w:rPr>
                <w:b/>
                <w:bCs/>
                <w:lang w:val="es-ES"/>
              </w:rPr>
              <w:t xml:space="preserve"> 104 contribuciones</w:t>
            </w:r>
            <w:r w:rsidRPr="00E71B56">
              <w:rPr>
                <w:lang w:val="es-ES"/>
              </w:rPr>
              <w:t>. La CE 1 organizó seis talleres, que incluyeron un taller conjunto de un día de duración sobre la Cuestión de Estudio relativa a la conectividad satelital transformadora. La CE 2 organizó siete talleres. La celebración por la UIT en 2025, en Ginebra, del Día de las Niñas en las TIC fue parte del plan de gestión del tiempo de las reuniones de Grupos de Relator de la CE 1 y tuvo por tema "El liderazgo de las mujeres en el sector de las tecnologías".</w:t>
            </w:r>
          </w:p>
          <w:p w14:paraId="02BDF7DC" w14:textId="77777777" w:rsidR="00BD155E" w:rsidRPr="00E71B56" w:rsidRDefault="00BD155E" w:rsidP="00A372FB">
            <w:pPr>
              <w:keepNext/>
              <w:keepLines/>
              <w:rPr>
                <w:lang w:val="es-ES"/>
              </w:rPr>
            </w:pPr>
            <w:r w:rsidRPr="00E71B56">
              <w:rPr>
                <w:lang w:val="es-ES"/>
              </w:rPr>
              <w:t xml:space="preserve">La tercera reunión anual de la CE 1 celebrada en noviembre de 2024 aunó a </w:t>
            </w:r>
            <w:r w:rsidRPr="00E71B56">
              <w:rPr>
                <w:b/>
                <w:bCs/>
                <w:lang w:val="es-ES"/>
              </w:rPr>
              <w:t xml:space="preserve">240 participantes </w:t>
            </w:r>
            <w:r w:rsidRPr="00E71B56">
              <w:rPr>
                <w:lang w:val="es-ES"/>
              </w:rPr>
              <w:t>de</w:t>
            </w:r>
            <w:r w:rsidRPr="00E71B56">
              <w:rPr>
                <w:b/>
                <w:bCs/>
                <w:lang w:val="es-ES"/>
              </w:rPr>
              <w:t xml:space="preserve"> 65 Estados Miembros</w:t>
            </w:r>
            <w:r w:rsidRPr="00E71B56">
              <w:rPr>
                <w:lang w:val="es-ES"/>
              </w:rPr>
              <w:t>, respaldados por</w:t>
            </w:r>
            <w:r w:rsidRPr="00E71B56">
              <w:rPr>
                <w:b/>
                <w:bCs/>
                <w:lang w:val="es-ES"/>
              </w:rPr>
              <w:t xml:space="preserve"> 15 becas.</w:t>
            </w:r>
            <w:r w:rsidRPr="00E71B56">
              <w:rPr>
                <w:lang w:val="es-ES"/>
              </w:rPr>
              <w:t xml:space="preserve"> En total, se examinaron </w:t>
            </w:r>
            <w:r w:rsidRPr="00E71B56">
              <w:rPr>
                <w:b/>
                <w:bCs/>
                <w:lang w:val="es-ES"/>
              </w:rPr>
              <w:t>164 contribuciones</w:t>
            </w:r>
            <w:r w:rsidRPr="00E71B56">
              <w:rPr>
                <w:lang w:val="es-ES"/>
              </w:rPr>
              <w:t xml:space="preserve"> y se aprobaron tres productos intermedios sobre los fondos del servicio universal, la conectividad satelital transformadora y la sensibilización del consumidor. La tercera reunión anual de la CE 2 aunó a </w:t>
            </w:r>
            <w:r w:rsidRPr="00E71B56">
              <w:rPr>
                <w:b/>
                <w:bCs/>
                <w:lang w:val="es-ES"/>
              </w:rPr>
              <w:t>186 participantes</w:t>
            </w:r>
            <w:r w:rsidRPr="00E71B56">
              <w:rPr>
                <w:lang w:val="es-ES"/>
              </w:rPr>
              <w:t xml:space="preserve"> de </w:t>
            </w:r>
            <w:r w:rsidRPr="00E71B56">
              <w:rPr>
                <w:b/>
                <w:bCs/>
                <w:lang w:val="es-ES"/>
              </w:rPr>
              <w:t>54 Estados Miembros</w:t>
            </w:r>
            <w:r w:rsidRPr="00E71B56">
              <w:rPr>
                <w:lang w:val="es-ES"/>
              </w:rPr>
              <w:t xml:space="preserve">, respaldados por 12 becas, y en ellas se examinaron </w:t>
            </w:r>
            <w:r w:rsidRPr="00E71B56">
              <w:rPr>
                <w:b/>
                <w:bCs/>
                <w:lang w:val="es-ES"/>
              </w:rPr>
              <w:t>110 contribuciones</w:t>
            </w:r>
            <w:r w:rsidRPr="00E71B56">
              <w:rPr>
                <w:lang w:val="es-ES"/>
              </w:rPr>
              <w:t>. Se aprobó un informe de producto provisional sobre ciberseguridad 5G. En ambas Comisiones de Estudio, se presentaron propuestas colaborativas que unían a los jóvenes, las mujeres, las estadísticas y las sinergias con los proyectos de la BDT y la CMSI.</w:t>
            </w:r>
          </w:p>
          <w:p w14:paraId="4CDA77DB" w14:textId="77777777" w:rsidR="00BD155E" w:rsidRPr="00E71B56" w:rsidRDefault="00BD155E" w:rsidP="00A372FB">
            <w:pPr>
              <w:rPr>
                <w:lang w:val="es-ES"/>
              </w:rPr>
            </w:pPr>
            <w:r w:rsidRPr="00E71B56">
              <w:rPr>
                <w:lang w:val="es-ES"/>
              </w:rPr>
              <w:t>Las Comisiones de Estudio también trabajaron sobre</w:t>
            </w:r>
            <w:r w:rsidRPr="00E71B56">
              <w:rPr>
                <w:b/>
                <w:bCs/>
                <w:lang w:val="es-ES"/>
              </w:rPr>
              <w:t xml:space="preserve"> aportaciones </w:t>
            </w:r>
            <w:r w:rsidRPr="00E71B56">
              <w:rPr>
                <w:lang w:val="es-ES"/>
              </w:rPr>
              <w:t xml:space="preserve">a la </w:t>
            </w:r>
            <w:hyperlink r:id="rId318" w:history="1">
              <w:r w:rsidRPr="00E71B56">
                <w:rPr>
                  <w:rStyle w:val="Hyperlink"/>
                  <w:lang w:val="es-ES"/>
                </w:rPr>
                <w:t>Resolución 9 (Rev. Kigali, 2022) de la CMDT-22</w:t>
              </w:r>
            </w:hyperlink>
            <w:r w:rsidRPr="00E71B56">
              <w:rPr>
                <w:lang w:val="es-ES"/>
              </w:rPr>
              <w:t xml:space="preserve">, en relación con las respuestas a las declaraciones de coordinación (de otros sectores de la UIT y de otras organizaciones) y sobre </w:t>
            </w:r>
            <w:r w:rsidRPr="00E71B56">
              <w:rPr>
                <w:b/>
                <w:bCs/>
                <w:lang w:val="es-ES"/>
              </w:rPr>
              <w:t xml:space="preserve">propuestas relativas a las futuras Cuestiones de estudio </w:t>
            </w:r>
            <w:r w:rsidRPr="00E71B56">
              <w:rPr>
                <w:lang w:val="es-ES"/>
              </w:rPr>
              <w:t xml:space="preserve">y sus respectivos mandatos que se presentaron al Grupo de Trabajo del GADT sobre el Futuro de las Cuestiones de las Comisiones de Estudio. Se tomó nota de dos compendios de directrices prácticas sobre </w:t>
            </w:r>
            <w:r w:rsidRPr="00E71B56">
              <w:rPr>
                <w:i/>
                <w:iCs/>
                <w:lang w:val="es-ES"/>
              </w:rPr>
              <w:t xml:space="preserve">Designación y </w:t>
            </w:r>
            <w:r w:rsidRPr="00E71B56">
              <w:rPr>
                <w:i/>
                <w:iCs/>
                <w:lang w:val="es-ES"/>
              </w:rPr>
              <w:lastRenderedPageBreak/>
              <w:t>selección de Relatores y Vicerrelatores</w:t>
            </w:r>
            <w:r w:rsidRPr="00E71B56">
              <w:rPr>
                <w:lang w:val="es-ES"/>
              </w:rPr>
              <w:t xml:space="preserve"> y sobre </w:t>
            </w:r>
            <w:r w:rsidRPr="00E71B56">
              <w:rPr>
                <w:i/>
                <w:iCs/>
                <w:lang w:val="es-ES"/>
              </w:rPr>
              <w:t>¿Cómo promover mejor los productos de las Comisiones de Estudio?</w:t>
            </w:r>
            <w:r w:rsidRPr="00E71B56">
              <w:rPr>
                <w:lang w:val="es-ES"/>
              </w:rPr>
              <w:t>, y se compartieron con el GADT.</w:t>
            </w:r>
            <w:hyperlink r:id="rId319"/>
          </w:p>
          <w:p w14:paraId="7434EA98" w14:textId="77777777" w:rsidR="00BD155E" w:rsidRPr="00E71B56" w:rsidRDefault="00BD155E" w:rsidP="00A372FB">
            <w:pPr>
              <w:rPr>
                <w:lang w:val="es-ES"/>
              </w:rPr>
            </w:pPr>
            <w:r w:rsidRPr="00E71B56">
              <w:rPr>
                <w:lang w:val="es-ES"/>
              </w:rPr>
              <w:t>En mayo de 2025, se aprobaron</w:t>
            </w:r>
            <w:r w:rsidRPr="00E71B56">
              <w:rPr>
                <w:b/>
                <w:bCs/>
                <w:lang w:val="es-ES"/>
              </w:rPr>
              <w:t xml:space="preserve"> </w:t>
            </w:r>
            <w:hyperlink r:id="rId320" w:history="1">
              <w:r w:rsidRPr="00E71B56">
                <w:rPr>
                  <w:rStyle w:val="Hyperlink"/>
                  <w:b/>
                  <w:bCs/>
                  <w:lang w:val="es-ES"/>
                </w:rPr>
                <w:t>15 informes definitivos</w:t>
              </w:r>
            </w:hyperlink>
            <w:r w:rsidRPr="00E71B56">
              <w:rPr>
                <w:lang w:val="es-ES"/>
              </w:rPr>
              <w:t>. Estos informes, que se han de publicar en las seis lenguas oficiales y deben ir acompañados de vídeos promocionales, representaron las bases sustantivas de los preparativos de los Estados Miembros para la CMDT</w:t>
            </w:r>
            <w:r w:rsidRPr="00E71B56">
              <w:rPr>
                <w:lang w:val="es-ES"/>
              </w:rPr>
              <w:noBreakHyphen/>
              <w:t>25. Marcaron el final del ciclo de estudios 2022</w:t>
            </w:r>
            <w:r w:rsidRPr="00E71B56">
              <w:rPr>
                <w:lang w:val="es-ES"/>
              </w:rPr>
              <w:noBreakHyphen/>
              <w:t>2025 y pusieron de relieve la capacidad del UIT</w:t>
            </w:r>
            <w:r w:rsidRPr="00E71B56">
              <w:rPr>
                <w:lang w:val="es-ES"/>
              </w:rPr>
              <w:noBreakHyphen/>
              <w:t>D para crear un consenso y proporcionar productos prácticos para su adopción y aplicación. Además, se presentaron 604 contribuciones a la CE 1 y 482 a la CE 2, entre 2022 y 2025. El creciente número de contribuciones presentadas por los Miembros del UIT</w:t>
            </w:r>
            <w:r w:rsidRPr="00E71B56">
              <w:rPr>
                <w:lang w:val="es-ES"/>
              </w:rPr>
              <w:noBreakHyphen/>
              <w:t>D es testimonio del creciente interés por la labor de las Comisiones de Estudio del Sector. Al plasmar las directrices en políticas nacionales, fomentar las asociaciones para la creación de capacidad e impulsar la implementación en el terreno, los países pueden acelerar los avances hacia la consecución de los ODS, fomentando a la vez sus prioridades únicas de desarrollo.</w:t>
            </w:r>
            <w:hyperlink r:id="rId321"/>
          </w:p>
          <w:p w14:paraId="2D18B87D" w14:textId="77777777" w:rsidR="00BD155E" w:rsidRPr="00E71B56" w:rsidRDefault="00BD155E" w:rsidP="00A372FB">
            <w:pPr>
              <w:rPr>
                <w:lang w:val="es-ES"/>
              </w:rPr>
            </w:pPr>
            <w:r w:rsidRPr="00E71B56">
              <w:rPr>
                <w:b/>
                <w:bCs/>
                <w:lang w:val="es-ES"/>
              </w:rPr>
              <w:t>Implementación y seguimiento de la CMSI</w:t>
            </w:r>
          </w:p>
          <w:p w14:paraId="286A6336" w14:textId="77777777" w:rsidR="00BD155E" w:rsidRPr="00E71B56" w:rsidRDefault="00BD155E" w:rsidP="00A372FB">
            <w:pPr>
              <w:rPr>
                <w:lang w:val="es-ES"/>
              </w:rPr>
            </w:pPr>
            <w:r w:rsidRPr="00E71B56">
              <w:rPr>
                <w:lang w:val="es-ES"/>
              </w:rPr>
              <w:t>De 2023 a 2025, el UIT</w:t>
            </w:r>
            <w:r w:rsidRPr="00E71B56">
              <w:rPr>
                <w:lang w:val="es-ES"/>
              </w:rPr>
              <w:noBreakHyphen/>
              <w:t xml:space="preserve">D fortaleció su papel como principal facilitador de la implementación de la CMSI con arreglo a la </w:t>
            </w:r>
            <w:hyperlink r:id="rId322" w:history="1">
              <w:r w:rsidRPr="00E71B56">
                <w:rPr>
                  <w:rStyle w:val="Hyperlink"/>
                  <w:lang w:val="es-ES"/>
                </w:rPr>
                <w:t>Resolución 30 (Rev. Kigali, 2022) de la CMDT-22</w:t>
              </w:r>
            </w:hyperlink>
            <w:r w:rsidRPr="00E71B56">
              <w:rPr>
                <w:lang w:val="es-ES"/>
              </w:rPr>
              <w:t>, garantizando la armonización entre las líneas de acción del desarrollo digital y la Agenda 2030, más amplia.</w:t>
            </w:r>
            <w:hyperlink r:id="rId323"/>
          </w:p>
          <w:p w14:paraId="146CD341" w14:textId="77777777" w:rsidR="00BD155E" w:rsidRPr="00E71B56" w:rsidRDefault="00BD155E" w:rsidP="00A372FB">
            <w:pPr>
              <w:keepNext/>
              <w:keepLines/>
              <w:rPr>
                <w:lang w:val="es-ES"/>
              </w:rPr>
            </w:pPr>
            <w:r w:rsidRPr="00E71B56">
              <w:rPr>
                <w:lang w:val="es-ES"/>
              </w:rPr>
              <w:t>La BDT siguió desempeñando la función de facilitadora para las Líneas de Acción C2 (infraestructuras), C4 (creación de capacidad) y C6 (entorno propicio), a la vez que contribuyó a la Línea de Acción C5 (confianza en las TIC). Se organizaron una serie de reuniones anuales de facilitación. En paneles organizados en el marco del Foro de la CMSI se abordaron la reglamentación de próxima generación, el aprendizaje por IA y la sostenibilidad digital, demostrando las interconexiones existentes entre la CMSI y los objetivos mundiales.</w:t>
            </w:r>
          </w:p>
          <w:p w14:paraId="2DF126C7" w14:textId="77777777" w:rsidR="00BD155E" w:rsidRPr="00E71B56" w:rsidRDefault="00BD155E" w:rsidP="00A372FB">
            <w:pPr>
              <w:rPr>
                <w:lang w:val="es-ES"/>
              </w:rPr>
            </w:pPr>
            <w:r w:rsidRPr="00E71B56">
              <w:rPr>
                <w:lang w:val="es-ES"/>
              </w:rPr>
              <w:t xml:space="preserve">La BDT también siguió cofacilitando las Líneas de Acción C1, C3, C7, C9 y C11. Al mismo tiempo, la BDT mantuvo la custodia de </w:t>
            </w:r>
            <w:r w:rsidRPr="00E71B56">
              <w:rPr>
                <w:b/>
                <w:bCs/>
                <w:lang w:val="es-ES"/>
              </w:rPr>
              <w:t xml:space="preserve">cinco de los siete indicadores de los ODS relacionados con las TIC </w:t>
            </w:r>
            <w:r w:rsidRPr="00E71B56">
              <w:rPr>
                <w:lang w:val="es-ES"/>
              </w:rPr>
              <w:t xml:space="preserve">en el marco de supervisión mundial, destacando su función central en la medición de los avances. La BDT siguió codirigiendo la </w:t>
            </w:r>
            <w:r w:rsidRPr="00E71B56">
              <w:rPr>
                <w:i/>
                <w:iCs/>
                <w:lang w:val="es-ES"/>
              </w:rPr>
              <w:t>Asociación para la Medición de las TIC para el Desarrollo</w:t>
            </w:r>
            <w:r w:rsidRPr="00E71B56">
              <w:rPr>
                <w:lang w:val="es-ES"/>
              </w:rPr>
              <w:t xml:space="preserve">, que con el tiempo pasó a incluir también a </w:t>
            </w:r>
            <w:r w:rsidRPr="00E71B56">
              <w:rPr>
                <w:b/>
                <w:bCs/>
                <w:lang w:val="es-ES"/>
              </w:rPr>
              <w:t>14 organizaciones</w:t>
            </w:r>
            <w:r w:rsidRPr="00E71B56">
              <w:rPr>
                <w:lang w:val="es-ES"/>
              </w:rPr>
              <w:t>, reforzando la colaboración en materia de datos y estadísticas.</w:t>
            </w:r>
          </w:p>
          <w:p w14:paraId="176962AF" w14:textId="77777777" w:rsidR="00BD155E" w:rsidRPr="00E71B56" w:rsidRDefault="00BD155E" w:rsidP="00A372FB">
            <w:pPr>
              <w:rPr>
                <w:lang w:val="es-ES"/>
              </w:rPr>
            </w:pPr>
            <w:r w:rsidRPr="00E71B56">
              <w:rPr>
                <w:lang w:val="es-ES"/>
              </w:rPr>
              <w:lastRenderedPageBreak/>
              <w:t>En el plano nacional, el UIT</w:t>
            </w:r>
            <w:r w:rsidRPr="00E71B56">
              <w:rPr>
                <w:lang w:val="es-ES"/>
              </w:rPr>
              <w:noBreakHyphen/>
              <w:t>D contribuyó a los equipos de las Naciones Unidas en los países, ayudando a integrar la transformación digital en marcos de desarrollo sostenible más amplios. La Ventana Digital del Fondo Conjunto para los ODS, iniciada como proyecto piloto en 2024, demostró la manera en la que los resultados de la CMSI podían llevarse a la práctica.</w:t>
            </w:r>
          </w:p>
          <w:p w14:paraId="40FB8481" w14:textId="77777777" w:rsidR="00BD155E" w:rsidRPr="00E71B56" w:rsidRDefault="00BD155E" w:rsidP="00A372FB">
            <w:pPr>
              <w:rPr>
                <w:lang w:val="es-ES"/>
              </w:rPr>
            </w:pPr>
            <w:r w:rsidRPr="00E71B56">
              <w:rPr>
                <w:lang w:val="es-ES"/>
              </w:rPr>
              <w:t>Por último, el Evento de Alto Nivel de la CMSI+20 en Ginebra (mayo de 2024), y sus actividades de seguimiento en 2025, reafirmaron la función rectora del UIT</w:t>
            </w:r>
            <w:r w:rsidRPr="00E71B56">
              <w:rPr>
                <w:lang w:val="es-ES"/>
              </w:rPr>
              <w:noBreakHyphen/>
              <w:t>D. Las oficinas regionales garantizaron la armonización con los foros de las Naciones Unidas sobre desarrollo sostenible, reforzando la coherencia entre la política digital y las agendas de desarrollo más amplias.</w:t>
            </w:r>
          </w:p>
          <w:p w14:paraId="0C1713CC" w14:textId="77777777" w:rsidR="00BD155E" w:rsidRPr="00E71B56" w:rsidRDefault="00BD155E" w:rsidP="00A372FB">
            <w:pPr>
              <w:rPr>
                <w:lang w:val="es-ES"/>
              </w:rPr>
            </w:pPr>
            <w:r w:rsidRPr="00E71B56">
              <w:rPr>
                <w:b/>
                <w:bCs/>
                <w:lang w:val="es-ES"/>
              </w:rPr>
              <w:t>Coalición Partner2Connect (P2C) de la UIT</w:t>
            </w:r>
          </w:p>
          <w:p w14:paraId="6C5F1ECC" w14:textId="77777777" w:rsidR="00BD155E" w:rsidRPr="00E71B56" w:rsidRDefault="00BD155E" w:rsidP="00A372FB">
            <w:pPr>
              <w:rPr>
                <w:lang w:val="es-ES"/>
              </w:rPr>
            </w:pPr>
            <w:r w:rsidRPr="00E71B56">
              <w:rPr>
                <w:lang w:val="es-ES"/>
              </w:rPr>
              <w:t>Creada por la UIT, en estrecha cooperación con la Oficina del Enviado del Secretario General de las Naciones Unidas para la Tecnología y en consonancia con la Hoja de Ruta del Secretario General de las Naciones Unidas para la Cooperación Digital, P2C es una alianza de múltiples partes interesadas para movilizar recursos y fomentar las asociaciones con el fin de lograr la conectividad universal efectiva y la transformación digital sostenible. Orientada por su</w:t>
            </w:r>
            <w:r w:rsidRPr="00E71B56">
              <w:rPr>
                <w:b/>
                <w:bCs/>
                <w:lang w:val="es-ES"/>
              </w:rPr>
              <w:t xml:space="preserve"> Marco de Acción</w:t>
            </w:r>
            <w:r w:rsidRPr="00E71B56">
              <w:rPr>
                <w:lang w:val="es-ES"/>
              </w:rPr>
              <w:t>, la Coalición reúne a los gobiernos, el sector privado, la sociedad civil y las organizaciones internacionales para adaptar los compromisos a las prioridades nacionales y al PAK.</w:t>
            </w:r>
          </w:p>
          <w:p w14:paraId="182D5FF6" w14:textId="77777777" w:rsidR="00BD155E" w:rsidRPr="00E71B56" w:rsidRDefault="00BD155E" w:rsidP="00A372FB">
            <w:pPr>
              <w:rPr>
                <w:lang w:val="es-ES"/>
              </w:rPr>
            </w:pPr>
            <w:r w:rsidRPr="00E71B56">
              <w:rPr>
                <w:lang w:val="es-ES"/>
              </w:rPr>
              <w:t xml:space="preserve">En consonancia con la </w:t>
            </w:r>
            <w:hyperlink r:id="rId324" w:history="1">
              <w:r w:rsidRPr="00E71B56">
                <w:rPr>
                  <w:rStyle w:val="Hyperlink"/>
                  <w:lang w:val="es-ES"/>
                </w:rPr>
                <w:t>Resolución 88 (Kigali, 2022) de la CMDT-22</w:t>
              </w:r>
            </w:hyperlink>
            <w:r w:rsidRPr="00E71B56">
              <w:rPr>
                <w:lang w:val="es-ES"/>
              </w:rPr>
              <w:t>, P2C ha evolucionado hasta convertirse en una plataforma para la movilización de compromisos en favor del desarrollo digital. El alcance mundial de la Coalición estuvo complementado por sesiones de establecimiento de contactos organizadas por la BDT en los Foros Regionales de Desarrollo, en cuyo marco los países expresaron necesidades concretas y los asociados respondieron con ofertas de apoyo específicas, garantizando que la movilización se tradujese en resultados medibles.</w:t>
            </w:r>
            <w:hyperlink r:id="rId325"/>
          </w:p>
          <w:p w14:paraId="1FC730EB" w14:textId="77777777" w:rsidR="00BD155E" w:rsidRPr="00E71B56" w:rsidRDefault="00BD155E" w:rsidP="00A372FB">
            <w:pPr>
              <w:rPr>
                <w:bCs/>
                <w:lang w:val="es-ES"/>
              </w:rPr>
            </w:pPr>
            <w:r w:rsidRPr="00E71B56">
              <w:rPr>
                <w:lang w:val="es-ES"/>
              </w:rPr>
              <w:t>Cada región destacó desafíos y oportunidades específicos, desde las deficiencias de infraestructuras y los obstáculos a la asequibilidad hasta las competencias digitales, la ciberseguridad y las tecnologías emergentes.</w:t>
            </w:r>
          </w:p>
          <w:p w14:paraId="37AC64F7" w14:textId="77777777" w:rsidR="00BD155E" w:rsidRPr="00E71B56" w:rsidRDefault="00BD155E" w:rsidP="00A372FB">
            <w:pPr>
              <w:spacing w:after="120"/>
              <w:rPr>
                <w:b/>
                <w:lang w:val="es-ES"/>
              </w:rPr>
            </w:pPr>
            <w:r w:rsidRPr="00E71B56">
              <w:rPr>
                <w:lang w:val="es-ES"/>
              </w:rPr>
              <w:t xml:space="preserve">En todos los foros, los participantes analizaron la manera en la que las inversiones colaborativas y la innovación política podían reducir las brechas digitales persistentes y acelerar los avances. Las voces </w:t>
            </w:r>
            <w:r w:rsidRPr="00E71B56">
              <w:rPr>
                <w:lang w:val="es-ES"/>
              </w:rPr>
              <w:lastRenderedPageBreak/>
              <w:t>regionales destacaron la importancia de convertir las compresas en acciones prácticas y aprovechar la iniciativa P2C para aumentar los efectos.</w:t>
            </w:r>
          </w:p>
        </w:tc>
        <w:tc>
          <w:tcPr>
            <w:tcW w:w="3323" w:type="dxa"/>
          </w:tcPr>
          <w:p w14:paraId="6BAA170B" w14:textId="77777777" w:rsidR="00BD155E" w:rsidRPr="00E71B56" w:rsidRDefault="00BD155E" w:rsidP="00A372FB">
            <w:pPr>
              <w:keepNext/>
              <w:keepLines/>
              <w:rPr>
                <w:b/>
                <w:bCs/>
                <w:color w:val="0070C0"/>
                <w:lang w:val="es-ES"/>
              </w:rPr>
            </w:pPr>
            <w:r w:rsidRPr="00E71B56">
              <w:rPr>
                <w:b/>
                <w:bCs/>
                <w:color w:val="0070C0"/>
                <w:lang w:val="es-ES"/>
              </w:rPr>
              <w:lastRenderedPageBreak/>
              <w:t>Miembros:</w:t>
            </w:r>
          </w:p>
          <w:p w14:paraId="7742ED7D"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Se han adherido más de 126 miembros nuevos desde 2023, alcanzando el mayor número total de miembros en diez años</w:t>
            </w:r>
          </w:p>
          <w:p w14:paraId="5D9DD536"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Más de 200 participantes asistieron a las reuniones del IAGDI-CRO</w:t>
            </w:r>
          </w:p>
          <w:p w14:paraId="0B095BC0"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En total, había 542 miembros en agosto de 2025</w:t>
            </w:r>
          </w:p>
          <w:p w14:paraId="01119425" w14:textId="77777777" w:rsidR="00BD155E" w:rsidRPr="00E71B56" w:rsidRDefault="00BD155E" w:rsidP="00A372FB">
            <w:pPr>
              <w:keepNext/>
              <w:keepLines/>
              <w:rPr>
                <w:b/>
                <w:bCs/>
                <w:color w:val="0070C0"/>
                <w:lang w:val="es-ES"/>
              </w:rPr>
            </w:pPr>
            <w:r w:rsidRPr="00E71B56">
              <w:rPr>
                <w:b/>
                <w:bCs/>
                <w:color w:val="0070C0"/>
                <w:lang w:val="es-ES"/>
              </w:rPr>
              <w:t>Comisiones de Estudio:</w:t>
            </w:r>
          </w:p>
          <w:p w14:paraId="1A6CF62F"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3 productos intermedios (aprobados en la reunión de la CE 1 del UIT</w:t>
            </w:r>
            <w:r w:rsidRPr="00E71B56">
              <w:rPr>
                <w:lang w:val="es-ES"/>
              </w:rPr>
              <w:noBreakHyphen/>
              <w:t>D)</w:t>
            </w:r>
          </w:p>
          <w:p w14:paraId="612D1907"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 xml:space="preserve">Se debatieron 185 documentos en la </w:t>
            </w:r>
            <w:r w:rsidRPr="00E71B56">
              <w:rPr>
                <w:lang w:val="es-ES"/>
              </w:rPr>
              <w:lastRenderedPageBreak/>
              <w:t>reunión de la CE 1 del UIT</w:t>
            </w:r>
            <w:r w:rsidRPr="00E71B56">
              <w:rPr>
                <w:lang w:val="es-ES"/>
              </w:rPr>
              <w:noBreakHyphen/>
              <w:t>D</w:t>
            </w:r>
          </w:p>
          <w:p w14:paraId="1A26107A"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1 producto intermedio aprobado en la reunión de la CE 2 del UIT</w:t>
            </w:r>
            <w:r w:rsidRPr="00E71B56">
              <w:rPr>
                <w:lang w:val="es-ES"/>
              </w:rPr>
              <w:noBreakHyphen/>
              <w:t>D</w:t>
            </w:r>
          </w:p>
          <w:p w14:paraId="4152DBE8"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Se debatieron 125 documentos en la reunión de la CE 2 del UIT</w:t>
            </w:r>
            <w:r w:rsidRPr="00E71B56">
              <w:rPr>
                <w:lang w:val="es-ES"/>
              </w:rPr>
              <w:noBreakHyphen/>
              <w:t>D</w:t>
            </w:r>
          </w:p>
          <w:p w14:paraId="22CB26FA" w14:textId="77777777" w:rsidR="00BD155E" w:rsidRPr="00E71B56" w:rsidRDefault="00BD155E" w:rsidP="00A372FB">
            <w:pPr>
              <w:keepNext/>
              <w:keepLines/>
              <w:rPr>
                <w:b/>
                <w:bCs/>
                <w:color w:val="0070C0"/>
                <w:lang w:val="es-ES"/>
              </w:rPr>
            </w:pPr>
            <w:r w:rsidRPr="00E71B56">
              <w:rPr>
                <w:b/>
                <w:bCs/>
                <w:color w:val="0070C0"/>
                <w:lang w:val="es-ES"/>
              </w:rPr>
              <w:t>Aplicación de los resultados de la CMSI:</w:t>
            </w:r>
          </w:p>
          <w:p w14:paraId="66A31A89"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7 Líneas de Acción facilitadas por la UIT</w:t>
            </w:r>
          </w:p>
          <w:p w14:paraId="1A3DF22F"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5 indicadores de los ODS relacionados con las TIC mantenidos bajo la custodia de la UIT</w:t>
            </w:r>
          </w:p>
          <w:p w14:paraId="5580A494"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En los 12 Foros Regionales de Desarrollo se reunieron más de 1 500 partes interesadas y se celebraron reuniones preparatorias de la CMDT-25</w:t>
            </w:r>
          </w:p>
          <w:p w14:paraId="4336A1C0"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 xml:space="preserve">El Evento de Alto Nivel de la CMSI+20 y las actividades de seguimiento reafirmaron </w:t>
            </w:r>
            <w:r w:rsidRPr="00E71B56">
              <w:rPr>
                <w:lang w:val="es-ES"/>
              </w:rPr>
              <w:lastRenderedPageBreak/>
              <w:t>el liderazgo del UIT</w:t>
            </w:r>
            <w:r w:rsidRPr="00E71B56">
              <w:rPr>
                <w:lang w:val="es-ES"/>
              </w:rPr>
              <w:noBreakHyphen/>
              <w:t>D en el desarrollo digital mundial</w:t>
            </w:r>
          </w:p>
          <w:p w14:paraId="21E81061" w14:textId="77777777" w:rsidR="00BD155E" w:rsidRPr="00E71B56" w:rsidRDefault="00BD155E" w:rsidP="00A372FB">
            <w:pPr>
              <w:keepNext/>
              <w:keepLines/>
              <w:rPr>
                <w:b/>
                <w:bCs/>
                <w:color w:val="0070C0"/>
                <w:lang w:val="es-ES"/>
              </w:rPr>
            </w:pPr>
            <w:r w:rsidRPr="00E71B56">
              <w:rPr>
                <w:b/>
                <w:bCs/>
                <w:color w:val="0070C0"/>
                <w:lang w:val="es-ES"/>
              </w:rPr>
              <w:t>Coalición P2C:</w:t>
            </w:r>
          </w:p>
          <w:p w14:paraId="5EC9139B"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Más de 1 030 compromisos de un valor de 73 700 millones USD en 149 países</w:t>
            </w:r>
          </w:p>
          <w:p w14:paraId="63020E41"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Se comunicaron avances en el 37 % de los compromisos, y se desembolsaron 6 700 millones USD para su aplicación</w:t>
            </w:r>
          </w:p>
          <w:p w14:paraId="60E9B17F"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Se celebraron 12 mesas redondas regionales de establecimiento de contactos y 6 diálogos/mesas redondas nacionales</w:t>
            </w:r>
          </w:p>
          <w:p w14:paraId="004B45D5"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Participaron 29 organismos de las Naciones Unidas e importantes asociados del sector privado</w:t>
            </w:r>
          </w:p>
        </w:tc>
      </w:tr>
      <w:tr w:rsidR="00BD155E" w:rsidRPr="00E71B56" w14:paraId="38072BEC" w14:textId="77777777" w:rsidTr="00A372FB">
        <w:trPr>
          <w:trHeight w:val="994"/>
          <w:jc w:val="center"/>
        </w:trPr>
        <w:tc>
          <w:tcPr>
            <w:tcW w:w="3173" w:type="dxa"/>
          </w:tcPr>
          <w:p w14:paraId="62F529D1" w14:textId="77777777" w:rsidR="00BD155E" w:rsidRPr="00E71B56" w:rsidRDefault="00BD155E" w:rsidP="00A372FB">
            <w:pPr>
              <w:rPr>
                <w:lang w:val="es-ES"/>
              </w:rPr>
            </w:pPr>
            <w:r w:rsidRPr="00E71B56">
              <w:rPr>
                <w:b/>
                <w:bCs/>
                <w:lang w:val="es-ES"/>
              </w:rPr>
              <w:lastRenderedPageBreak/>
              <w:t>Contribución a las metas de los ODS</w:t>
            </w:r>
          </w:p>
        </w:tc>
        <w:tc>
          <w:tcPr>
            <w:tcW w:w="12211" w:type="dxa"/>
            <w:gridSpan w:val="2"/>
          </w:tcPr>
          <w:p w14:paraId="725212B6" w14:textId="77777777" w:rsidR="00BD155E" w:rsidRPr="00E71B56" w:rsidRDefault="00BD155E" w:rsidP="00A372FB">
            <w:pPr>
              <w:rPr>
                <w:lang w:val="es-ES"/>
              </w:rPr>
            </w:pPr>
            <w:r w:rsidRPr="00E71B56">
              <w:rPr>
                <w:lang w:val="es-ES"/>
              </w:rPr>
              <w:t>ODS 1, 3, 4, 5, 8, 9, 10, 11, 16 y 17</w:t>
            </w:r>
          </w:p>
          <w:p w14:paraId="51A4BD83" w14:textId="77777777" w:rsidR="00BD155E" w:rsidRPr="00E71B56" w:rsidRDefault="00BD155E" w:rsidP="00A372FB">
            <w:pPr>
              <w:rPr>
                <w:lang w:val="es-ES"/>
              </w:rPr>
            </w:pPr>
            <w:r w:rsidRPr="00E71B56">
              <w:rPr>
                <w:lang w:val="es-ES"/>
              </w:rPr>
              <w:t xml:space="preserve">Contribución a las metas de los ODS y a las Líneas de Acción de la CMSI: véase la </w:t>
            </w:r>
            <w:hyperlink r:id="rId326" w:history="1">
              <w:r w:rsidRPr="00E71B56">
                <w:rPr>
                  <w:rStyle w:val="Hyperlink"/>
                  <w:lang w:val="es-ES"/>
                </w:rPr>
                <w:t>correspondencia aquí</w:t>
              </w:r>
            </w:hyperlink>
            <w:hyperlink r:id="rId327"/>
          </w:p>
        </w:tc>
      </w:tr>
      <w:tr w:rsidR="00BD155E" w:rsidRPr="00E71B56" w14:paraId="7B403606" w14:textId="77777777" w:rsidTr="00A372FB">
        <w:trPr>
          <w:jc w:val="center"/>
        </w:trPr>
        <w:tc>
          <w:tcPr>
            <w:tcW w:w="3173" w:type="dxa"/>
          </w:tcPr>
          <w:p w14:paraId="062CD4B4" w14:textId="77777777" w:rsidR="00BD155E" w:rsidRPr="00E71B56" w:rsidRDefault="00BD155E" w:rsidP="00A372FB">
            <w:pPr>
              <w:rPr>
                <w:b/>
                <w:bCs/>
                <w:lang w:val="es-ES"/>
              </w:rPr>
            </w:pPr>
            <w:r w:rsidRPr="00E71B56">
              <w:rPr>
                <w:b/>
                <w:bCs/>
                <w:lang w:val="es-ES"/>
              </w:rPr>
              <w:t>Líneas de Acción de la CMSI</w:t>
            </w:r>
          </w:p>
        </w:tc>
        <w:tc>
          <w:tcPr>
            <w:tcW w:w="12211" w:type="dxa"/>
            <w:gridSpan w:val="2"/>
          </w:tcPr>
          <w:p w14:paraId="00E8BA50" w14:textId="77777777" w:rsidR="00BD155E" w:rsidRPr="00E71B56" w:rsidRDefault="00BD155E" w:rsidP="00A372FB">
            <w:pPr>
              <w:rPr>
                <w:lang w:val="es-ES"/>
              </w:rPr>
            </w:pPr>
            <w:r w:rsidRPr="00E71B56">
              <w:rPr>
                <w:lang w:val="es-ES"/>
              </w:rPr>
              <w:t>C1, C2, C3, C4, C5, C6, C7 y C11</w:t>
            </w:r>
          </w:p>
        </w:tc>
      </w:tr>
      <w:tr w:rsidR="00BD155E" w:rsidRPr="00E71B56" w14:paraId="1D1D9264" w14:textId="77777777" w:rsidTr="00A372FB">
        <w:trPr>
          <w:jc w:val="center"/>
        </w:trPr>
        <w:tc>
          <w:tcPr>
            <w:tcW w:w="3173" w:type="dxa"/>
          </w:tcPr>
          <w:p w14:paraId="69656F67" w14:textId="77777777" w:rsidR="00BD155E" w:rsidRPr="00E71B56" w:rsidRDefault="00BD155E" w:rsidP="00A372FB">
            <w:pPr>
              <w:rPr>
                <w:b/>
                <w:lang w:val="es-ES"/>
              </w:rPr>
            </w:pPr>
            <w:r w:rsidRPr="00E71B56">
              <w:rPr>
                <w:b/>
                <w:bCs/>
                <w:lang w:val="es-ES"/>
              </w:rPr>
              <w:t>Resoluciones</w:t>
            </w:r>
          </w:p>
        </w:tc>
        <w:tc>
          <w:tcPr>
            <w:tcW w:w="12211" w:type="dxa"/>
            <w:gridSpan w:val="2"/>
          </w:tcPr>
          <w:p w14:paraId="736FA519" w14:textId="77777777" w:rsidR="00BD155E" w:rsidRPr="00E71B56" w:rsidRDefault="00BD155E" w:rsidP="00A372FB">
            <w:pPr>
              <w:rPr>
                <w:lang w:val="es-ES"/>
              </w:rPr>
            </w:pPr>
            <w:r w:rsidRPr="00E71B56">
              <w:rPr>
                <w:lang w:val="es-ES"/>
              </w:rPr>
              <w:t>1, 2 y 36 principalmente de la CMDT; 208, 21, 70, 71, 77, 102, 123, 130, 131, 136, 139, 154, 167, 175, 177, 179, 180, 182, 188, 196, 197, 203, 204, 205 y 209 de la PP</w:t>
            </w:r>
          </w:p>
        </w:tc>
      </w:tr>
      <w:tr w:rsidR="00BD155E" w:rsidRPr="00E71B56" w14:paraId="2DB4B420" w14:textId="77777777" w:rsidTr="00A372FB">
        <w:trPr>
          <w:trHeight w:val="300"/>
          <w:jc w:val="center"/>
        </w:trPr>
        <w:tc>
          <w:tcPr>
            <w:tcW w:w="3173" w:type="dxa"/>
          </w:tcPr>
          <w:p w14:paraId="1285C5CC" w14:textId="77777777" w:rsidR="00BD155E" w:rsidRPr="00E71B56" w:rsidRDefault="00BD155E" w:rsidP="00A372FB">
            <w:pPr>
              <w:rPr>
                <w:b/>
                <w:bCs/>
                <w:lang w:val="es-ES"/>
              </w:rPr>
            </w:pPr>
            <w:r w:rsidRPr="00E71B56">
              <w:rPr>
                <w:b/>
                <w:bCs/>
                <w:lang w:val="es-ES"/>
              </w:rPr>
              <w:t>Cuestiones de las Comisiones de Estudio del UIT</w:t>
            </w:r>
            <w:r w:rsidRPr="00E71B56">
              <w:rPr>
                <w:b/>
                <w:bCs/>
                <w:lang w:val="es-ES"/>
              </w:rPr>
              <w:noBreakHyphen/>
              <w:t>D</w:t>
            </w:r>
          </w:p>
        </w:tc>
        <w:tc>
          <w:tcPr>
            <w:tcW w:w="12211" w:type="dxa"/>
            <w:gridSpan w:val="2"/>
          </w:tcPr>
          <w:p w14:paraId="3101D0D1" w14:textId="77777777" w:rsidR="00BD155E" w:rsidRPr="00E71B56" w:rsidRDefault="00BD155E" w:rsidP="00A372FB">
            <w:pPr>
              <w:rPr>
                <w:lang w:val="es-ES"/>
              </w:rPr>
            </w:pPr>
            <w:r w:rsidRPr="00E71B56">
              <w:rPr>
                <w:lang w:val="es-ES"/>
              </w:rPr>
              <w:t>Todas las Cuestiones de la Comisión de Estudio 1 sobre "Entorno propicio para la conectividad efectiva" y de la Comisión de Estudio 2 sobre "Transformación digital"</w:t>
            </w:r>
          </w:p>
        </w:tc>
      </w:tr>
    </w:tbl>
    <w:p w14:paraId="086EED12" w14:textId="77777777" w:rsidR="00BD155E" w:rsidRPr="00E71B56" w:rsidRDefault="00BD155E" w:rsidP="00BD155E">
      <w:pPr>
        <w:rPr>
          <w:lang w:val="es-ES"/>
        </w:rPr>
      </w:pPr>
      <w:r w:rsidRPr="00E71B56">
        <w:rPr>
          <w:lang w:val="es-ES"/>
        </w:rPr>
        <w:br w:type="page"/>
      </w:r>
    </w:p>
    <w:tbl>
      <w:tblPr>
        <w:tblStyle w:val="TableGridLight"/>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2899"/>
        <w:gridCol w:w="8060"/>
        <w:gridCol w:w="3035"/>
      </w:tblGrid>
      <w:tr w:rsidR="00BD155E" w:rsidRPr="00E71B56" w14:paraId="3ED7A614" w14:textId="77777777" w:rsidTr="00A372FB">
        <w:trPr>
          <w:jc w:val="center"/>
        </w:trPr>
        <w:tc>
          <w:tcPr>
            <w:tcW w:w="15384" w:type="dxa"/>
            <w:gridSpan w:val="3"/>
            <w:shd w:val="clear" w:color="auto" w:fill="2F5496"/>
          </w:tcPr>
          <w:p w14:paraId="22897CEB" w14:textId="77777777" w:rsidR="00BD155E" w:rsidRPr="00E71B56" w:rsidRDefault="00BD155E" w:rsidP="00A372FB">
            <w:pPr>
              <w:pStyle w:val="Heading2"/>
              <w:jc w:val="center"/>
              <w:rPr>
                <w:color w:val="FFFFFF" w:themeColor="background1"/>
                <w:lang w:val="es-ES"/>
              </w:rPr>
            </w:pPr>
            <w:bookmarkStart w:id="50" w:name="_Toc212728829"/>
            <w:bookmarkStart w:id="51" w:name="_Toc213427977"/>
            <w:r w:rsidRPr="00E71B56">
              <w:rPr>
                <w:color w:val="FFFFFF" w:themeColor="background1"/>
                <w:lang w:val="es-ES"/>
              </w:rPr>
              <w:lastRenderedPageBreak/>
              <w:t>Factor habilitador 2 del UIT</w:t>
            </w:r>
            <w:r w:rsidRPr="00E71B56">
              <w:rPr>
                <w:color w:val="FFFFFF" w:themeColor="background1"/>
                <w:lang w:val="es-ES"/>
              </w:rPr>
              <w:noBreakHyphen/>
              <w:t>D: Presencia regional</w:t>
            </w:r>
            <w:bookmarkEnd w:id="50"/>
            <w:bookmarkEnd w:id="51"/>
          </w:p>
          <w:p w14:paraId="0F8A11C0" w14:textId="77777777" w:rsidR="00BD155E" w:rsidRPr="00E71B56" w:rsidRDefault="00BD155E" w:rsidP="00A372FB">
            <w:pPr>
              <w:spacing w:after="120"/>
              <w:jc w:val="center"/>
              <w:rPr>
                <w:b/>
                <w:bCs/>
                <w:i/>
                <w:iCs/>
                <w:color w:val="FFFFFF" w:themeColor="background1"/>
                <w:lang w:val="es-ES"/>
              </w:rPr>
            </w:pPr>
            <w:r w:rsidRPr="00E71B56">
              <w:rPr>
                <w:b/>
                <w:bCs/>
                <w:i/>
                <w:iCs/>
                <w:color w:val="FFFFFF" w:themeColor="background1"/>
                <w:lang w:val="es-ES"/>
              </w:rPr>
              <w:t>Fortalecimiento de la eficacia y las repercusiones globales de la UIT</w:t>
            </w:r>
          </w:p>
        </w:tc>
      </w:tr>
      <w:tr w:rsidR="00BD155E" w:rsidRPr="00E71B56" w14:paraId="2D980EA2" w14:textId="77777777" w:rsidTr="00A372FB">
        <w:trPr>
          <w:jc w:val="center"/>
        </w:trPr>
        <w:tc>
          <w:tcPr>
            <w:tcW w:w="15384" w:type="dxa"/>
            <w:gridSpan w:val="3"/>
            <w:shd w:val="clear" w:color="auto" w:fill="E5DFEC"/>
          </w:tcPr>
          <w:p w14:paraId="720B1100" w14:textId="77777777" w:rsidR="00BD155E" w:rsidRPr="00E71B56" w:rsidRDefault="00BD155E" w:rsidP="00A372FB">
            <w:pPr>
              <w:rPr>
                <w:b/>
                <w:bCs/>
                <w:i/>
                <w:iCs/>
                <w:lang w:val="es-ES"/>
              </w:rPr>
            </w:pPr>
            <w:r w:rsidRPr="00E71B56">
              <w:rPr>
                <w:b/>
                <w:bCs/>
                <w:i/>
                <w:iCs/>
                <w:lang w:val="es-ES"/>
              </w:rPr>
              <w:t>Realización:</w:t>
            </w:r>
            <w:r w:rsidRPr="00E71B56">
              <w:rPr>
                <w:i/>
                <w:iCs/>
                <w:lang w:val="es-ES"/>
              </w:rPr>
              <w:t xml:space="preserve"> Refuerzo de la colaboración y cooperación regionales y con las Naciones Unidas y sus organismos especializados, organizaciones regionales de telecomunicaciones, e instituciones financieras y de desarrollo a fin de lograr los ODS para 2030 que guarden relación con el desarrollo de la economía digital</w:t>
            </w:r>
          </w:p>
        </w:tc>
      </w:tr>
      <w:tr w:rsidR="00BD155E" w:rsidRPr="00E71B56" w14:paraId="7BF954C6" w14:textId="77777777" w:rsidTr="00A372FB">
        <w:trPr>
          <w:jc w:val="center"/>
        </w:trPr>
        <w:tc>
          <w:tcPr>
            <w:tcW w:w="12061" w:type="dxa"/>
            <w:gridSpan w:val="2"/>
          </w:tcPr>
          <w:p w14:paraId="3D762A67" w14:textId="77777777" w:rsidR="00BD155E" w:rsidRPr="00E71B56" w:rsidRDefault="00BD155E" w:rsidP="00A372FB">
            <w:pPr>
              <w:jc w:val="center"/>
              <w:rPr>
                <w:b/>
                <w:bCs/>
                <w:color w:val="0070C0"/>
                <w:lang w:val="es-ES"/>
              </w:rPr>
            </w:pPr>
            <w:r w:rsidRPr="00E71B56">
              <w:rPr>
                <w:b/>
                <w:bCs/>
                <w:color w:val="0070C0"/>
                <w:lang w:val="es-ES"/>
              </w:rPr>
              <w:t>Productos</w:t>
            </w:r>
          </w:p>
        </w:tc>
        <w:tc>
          <w:tcPr>
            <w:tcW w:w="3323" w:type="dxa"/>
          </w:tcPr>
          <w:p w14:paraId="79458B2E" w14:textId="77777777" w:rsidR="00BD155E" w:rsidRPr="00E71B56" w:rsidRDefault="00BD155E" w:rsidP="00A372FB">
            <w:pPr>
              <w:jc w:val="center"/>
              <w:rPr>
                <w:b/>
                <w:bCs/>
                <w:color w:val="0070C0"/>
                <w:lang w:val="es-ES"/>
              </w:rPr>
            </w:pPr>
            <w:r w:rsidRPr="00E71B56">
              <w:rPr>
                <w:b/>
                <w:bCs/>
                <w:color w:val="0070C0"/>
                <w:lang w:val="es-ES"/>
              </w:rPr>
              <w:t>Aspectos destacados</w:t>
            </w:r>
          </w:p>
        </w:tc>
      </w:tr>
      <w:tr w:rsidR="00BD155E" w:rsidRPr="00E71B56" w14:paraId="441FE686" w14:textId="77777777" w:rsidTr="00A372FB">
        <w:trPr>
          <w:jc w:val="center"/>
        </w:trPr>
        <w:tc>
          <w:tcPr>
            <w:tcW w:w="12061" w:type="dxa"/>
            <w:gridSpan w:val="2"/>
          </w:tcPr>
          <w:p w14:paraId="273633E1" w14:textId="77777777" w:rsidR="00BD155E" w:rsidRPr="00E71B56" w:rsidRDefault="00BD155E" w:rsidP="00A372FB">
            <w:pPr>
              <w:rPr>
                <w:lang w:val="es-ES"/>
              </w:rPr>
            </w:pPr>
            <w:r w:rsidRPr="00E71B56">
              <w:rPr>
                <w:lang w:val="es-ES"/>
              </w:rPr>
              <w:t>La BDT, en coordinación con la Oficina de Radiocomunicaciones de la UIT (BR), la Oficina de Normalización de las Telecomunicaciones (TSB) y la Secretaría General de la UIT trabajó en el refuerzo de la presencia regional, con el objetivo de mejorar la prestación de servicios a los Estados Miembros, incluida la ejecución de proyectos y otras actividades del plan operacional de forma oportuna, efectiva y eficaz. Gracias a una serie de intervenciones adecuadamente planificadas y llevadas a cabo, se ha logrado atraer financiación extrapresupuestaria de donantes para la ejecución de proyectos, incluidas iniciativas regionales. Las Oficinas Regionales siguen desempeñando un papel decisivo en este contexto, ya que constituyen la primera línea de contacto de la UIT con las partes interesadas y los gobiernos locales.</w:t>
            </w:r>
          </w:p>
          <w:p w14:paraId="657113A1" w14:textId="77777777" w:rsidR="00BD155E" w:rsidRPr="00E71B56" w:rsidRDefault="00BD155E" w:rsidP="00A372FB">
            <w:pPr>
              <w:rPr>
                <w:lang w:val="es-ES"/>
              </w:rPr>
            </w:pPr>
            <w:r w:rsidRPr="00E71B56">
              <w:rPr>
                <w:lang w:val="es-ES"/>
              </w:rPr>
              <w:t>Las Oficinas Regionales de la UIT apoyan la coordinación de las Naciones Unidas trabajando con los Coordinadores Residentes y contribuyendo al Marco de Cooperación de las Naciones Unidas para el Desarrollo Sostenible (MCNUDS), garantizando que la digitalización se integre en las estrategias nacionales. Por conducto de la colaboración con organismos de las Naciones Unidas, organismos regionales, gobiernos y partes interesadas, fomentan la coherencia y maximizan los efectos.</w:t>
            </w:r>
          </w:p>
          <w:p w14:paraId="3E0AFFF9" w14:textId="77777777" w:rsidR="00BD155E" w:rsidRPr="00E71B56" w:rsidRDefault="00BD155E" w:rsidP="00A372FB">
            <w:pPr>
              <w:rPr>
                <w:bCs/>
                <w:lang w:val="es-ES"/>
              </w:rPr>
            </w:pPr>
            <w:r w:rsidRPr="00E71B56">
              <w:rPr>
                <w:lang w:val="es-ES"/>
              </w:rPr>
              <w:t xml:space="preserve">Los </w:t>
            </w:r>
            <w:hyperlink r:id="rId328" w:history="1">
              <w:r w:rsidRPr="00E71B56">
                <w:rPr>
                  <w:rStyle w:val="Hyperlink"/>
                  <w:b/>
                  <w:bCs/>
                  <w:lang w:val="es-ES"/>
                </w:rPr>
                <w:t>Foros Regionales de Desarrollo (FRD)</w:t>
              </w:r>
            </w:hyperlink>
            <w:r w:rsidRPr="00E71B56">
              <w:rPr>
                <w:lang w:val="es-ES"/>
              </w:rPr>
              <w:t xml:space="preserve"> que reunieron a partes interesadas de todas las regiones y generaron una importante cantidad de nuevas promesas, reafirmaron la función central de las TIC para impulsar el desarrollo sostenible en África, las Américas, los Estados Árabes, Asia</w:t>
            </w:r>
            <w:r w:rsidRPr="00E71B56">
              <w:rPr>
                <w:lang w:val="es-ES"/>
              </w:rPr>
              <w:noBreakHyphen/>
              <w:t>Pacífico, la CEI y las regiones de Europa.</w:t>
            </w:r>
            <w:hyperlink r:id="rId329"/>
          </w:p>
          <w:p w14:paraId="470AD04B" w14:textId="77777777" w:rsidR="00BD155E" w:rsidRPr="00E71B56" w:rsidRDefault="00BD155E" w:rsidP="00A372FB">
            <w:pPr>
              <w:rPr>
                <w:lang w:val="es-ES"/>
              </w:rPr>
            </w:pPr>
            <w:r w:rsidRPr="00E71B56">
              <w:rPr>
                <w:lang w:val="es-ES"/>
              </w:rPr>
              <w:t>En 2025, los FRD se organizaron paralelamente a las reuniones preparatorias regionales de la CMDT-25. Cada uno de ellos estuvo precedido por informes sobre la situación del desarrollo digital y documentos temáticos que vinculaban el CMSI+20, los ODS y el Pacto para el Futuro.</w:t>
            </w:r>
          </w:p>
          <w:p w14:paraId="04E5A91D" w14:textId="77777777" w:rsidR="00BD155E" w:rsidRPr="00E71B56" w:rsidRDefault="00BD155E" w:rsidP="00A372FB">
            <w:pPr>
              <w:rPr>
                <w:lang w:val="es-ES"/>
              </w:rPr>
            </w:pPr>
            <w:r w:rsidRPr="00E71B56">
              <w:rPr>
                <w:lang w:val="es-ES"/>
              </w:rPr>
              <w:lastRenderedPageBreak/>
              <w:t xml:space="preserve">En </w:t>
            </w:r>
            <w:r w:rsidRPr="00E71B56">
              <w:rPr>
                <w:b/>
                <w:bCs/>
                <w:lang w:val="es-ES"/>
              </w:rPr>
              <w:t>África</w:t>
            </w:r>
            <w:r w:rsidRPr="00E71B56">
              <w:rPr>
                <w:lang w:val="es-ES"/>
              </w:rPr>
              <w:t xml:space="preserve">, la BDT prestó apoyo a los países para impulsar la transformación digital mediante la asistencia técnica específica y la colaboración regional. La iniciativa </w:t>
            </w:r>
            <w:r w:rsidRPr="00E71B56">
              <w:rPr>
                <w:b/>
                <w:bCs/>
                <w:lang w:val="es-ES"/>
              </w:rPr>
              <w:t>Aldeas Inteligentes e Islas Inteligentes</w:t>
            </w:r>
            <w:r w:rsidRPr="00E71B56">
              <w:rPr>
                <w:lang w:val="es-ES"/>
              </w:rPr>
              <w:t xml:space="preserve"> ofreció modelos prácticos para la conectividad y los servicios comunitarios, mientras que las sesiones de GovStack en </w:t>
            </w:r>
            <w:r w:rsidRPr="00E71B56">
              <w:rPr>
                <w:b/>
                <w:bCs/>
                <w:lang w:val="es-ES"/>
              </w:rPr>
              <w:t xml:space="preserve">Gambia </w:t>
            </w:r>
            <w:r w:rsidRPr="00E71B56">
              <w:rPr>
                <w:lang w:val="es-ES"/>
              </w:rPr>
              <w:t>y</w:t>
            </w:r>
            <w:r w:rsidRPr="00E71B56">
              <w:rPr>
                <w:b/>
                <w:bCs/>
                <w:lang w:val="es-ES"/>
              </w:rPr>
              <w:t xml:space="preserve"> Lesotho </w:t>
            </w:r>
            <w:r w:rsidRPr="00E71B56">
              <w:rPr>
                <w:lang w:val="es-ES"/>
              </w:rPr>
              <w:t xml:space="preserve">permitieron aumentar la capacidad de los gobiernos para diseñar plataformas digitales interoperables. Las políticas para el desarrollo sostenible de las TIC se fortalecieron mediante estrategias de gestión de residuos eléctricos y electrónicos en </w:t>
            </w:r>
            <w:r w:rsidRPr="00E71B56">
              <w:rPr>
                <w:b/>
                <w:bCs/>
                <w:lang w:val="es-ES"/>
              </w:rPr>
              <w:t>Malawi</w:t>
            </w:r>
            <w:r w:rsidRPr="00E71B56">
              <w:rPr>
                <w:lang w:val="es-ES"/>
              </w:rPr>
              <w:t xml:space="preserve">, </w:t>
            </w:r>
            <w:r w:rsidRPr="00E71B56">
              <w:rPr>
                <w:b/>
                <w:bCs/>
                <w:lang w:val="es-ES"/>
              </w:rPr>
              <w:t>Níger</w:t>
            </w:r>
            <w:r w:rsidRPr="00E71B56">
              <w:rPr>
                <w:lang w:val="es-ES"/>
              </w:rPr>
              <w:t xml:space="preserve">, </w:t>
            </w:r>
            <w:r w:rsidRPr="00E71B56">
              <w:rPr>
                <w:b/>
                <w:bCs/>
                <w:lang w:val="es-ES"/>
              </w:rPr>
              <w:t>Rwanda</w:t>
            </w:r>
            <w:r w:rsidRPr="00E71B56">
              <w:rPr>
                <w:lang w:val="es-ES"/>
              </w:rPr>
              <w:t xml:space="preserve"> y </w:t>
            </w:r>
            <w:r w:rsidRPr="00E71B56">
              <w:rPr>
                <w:b/>
                <w:bCs/>
                <w:lang w:val="es-ES"/>
              </w:rPr>
              <w:t>Zambia</w:t>
            </w:r>
            <w:r w:rsidRPr="00E71B56">
              <w:rPr>
                <w:lang w:val="es-ES"/>
              </w:rPr>
              <w:t>, demostrando la validez de los enfoques replicables para las prácticas inocuas para el medioambiente.</w:t>
            </w:r>
          </w:p>
          <w:p w14:paraId="7995652B" w14:textId="053D1385" w:rsidR="00BD155E" w:rsidRPr="00E71B56" w:rsidRDefault="00BD155E" w:rsidP="00A372FB">
            <w:pPr>
              <w:rPr>
                <w:lang w:val="es-ES"/>
              </w:rPr>
            </w:pPr>
            <w:r w:rsidRPr="00E71B56">
              <w:rPr>
                <w:lang w:val="es-ES"/>
              </w:rPr>
              <w:t xml:space="preserve">Los esfuerzos en materia de desarrollo de la capacidad tuvieron un amplio alcance. </w:t>
            </w:r>
            <w:r w:rsidRPr="00E71B56">
              <w:rPr>
                <w:b/>
                <w:bCs/>
                <w:lang w:val="es-ES"/>
              </w:rPr>
              <w:t>La formación impartida por conducto del proyecto PRIDA mejoró la gestión del espectro</w:t>
            </w:r>
            <w:r w:rsidRPr="00E71B56">
              <w:rPr>
                <w:lang w:val="es-ES"/>
              </w:rPr>
              <w:t xml:space="preserve"> en más de </w:t>
            </w:r>
            <w:r w:rsidRPr="00E71B56">
              <w:rPr>
                <w:b/>
                <w:bCs/>
                <w:lang w:val="es-ES"/>
              </w:rPr>
              <w:t>4</w:t>
            </w:r>
            <w:r w:rsidR="00A8357E" w:rsidRPr="00E71B56">
              <w:rPr>
                <w:b/>
                <w:bCs/>
                <w:lang w:val="es-ES"/>
              </w:rPr>
              <w:t>3</w:t>
            </w:r>
            <w:r w:rsidRPr="00E71B56">
              <w:rPr>
                <w:b/>
                <w:bCs/>
                <w:lang w:val="es-ES"/>
              </w:rPr>
              <w:t> países</w:t>
            </w:r>
            <w:r w:rsidRPr="00E71B56">
              <w:rPr>
                <w:lang w:val="es-ES"/>
              </w:rPr>
              <w:t xml:space="preserve">, mejorando el nivel de preparación reglamentaria a nivel nacional. Las evaluaciones de la asequibilidad de la banda ancha en </w:t>
            </w:r>
            <w:r w:rsidRPr="00E71B56">
              <w:rPr>
                <w:b/>
                <w:bCs/>
                <w:lang w:val="es-ES"/>
              </w:rPr>
              <w:t xml:space="preserve">Zambia </w:t>
            </w:r>
            <w:r w:rsidRPr="00E71B56">
              <w:rPr>
                <w:lang w:val="es-ES"/>
              </w:rPr>
              <w:t xml:space="preserve">proporcionaron una base empírica para la formulación de políticas, mientras que las estrategias nacionales de ciberseguridad en el </w:t>
            </w:r>
            <w:r w:rsidRPr="00E71B56">
              <w:rPr>
                <w:b/>
                <w:bCs/>
                <w:lang w:val="es-ES"/>
              </w:rPr>
              <w:t xml:space="preserve">Chad </w:t>
            </w:r>
            <w:r w:rsidRPr="00E71B56">
              <w:rPr>
                <w:lang w:val="es-ES"/>
              </w:rPr>
              <w:t>y</w:t>
            </w:r>
            <w:r w:rsidRPr="00E71B56">
              <w:rPr>
                <w:b/>
                <w:bCs/>
                <w:lang w:val="es-ES"/>
              </w:rPr>
              <w:t xml:space="preserve"> Rwanda</w:t>
            </w:r>
            <w:r w:rsidRPr="00E71B56">
              <w:rPr>
                <w:lang w:val="es-ES"/>
              </w:rPr>
              <w:t xml:space="preserve">, junto con las evaluaciones del grado de preparación en </w:t>
            </w:r>
            <w:r w:rsidRPr="00E71B56">
              <w:rPr>
                <w:b/>
                <w:bCs/>
                <w:lang w:val="es-ES"/>
              </w:rPr>
              <w:t xml:space="preserve">Zimbabwe </w:t>
            </w:r>
            <w:r w:rsidRPr="00E71B56">
              <w:rPr>
                <w:lang w:val="es-ES"/>
              </w:rPr>
              <w:t>y</w:t>
            </w:r>
            <w:r w:rsidRPr="00E71B56">
              <w:rPr>
                <w:b/>
                <w:bCs/>
                <w:lang w:val="es-ES"/>
              </w:rPr>
              <w:t xml:space="preserve"> Lesotho</w:t>
            </w:r>
            <w:r w:rsidRPr="00E71B56">
              <w:rPr>
                <w:lang w:val="es-ES"/>
              </w:rPr>
              <w:t xml:space="preserve">, contribuyeron a fortalecer la resiliencia nacional. Al mismo tiempo, se cultivaron los sistemas de innovación mediante los perfiles de innovación digital, la creación de </w:t>
            </w:r>
            <w:r w:rsidRPr="00E71B56">
              <w:rPr>
                <w:b/>
                <w:bCs/>
                <w:lang w:val="es-ES"/>
              </w:rPr>
              <w:t>Centros de Aceleración en seis países</w:t>
            </w:r>
            <w:r w:rsidRPr="00E71B56">
              <w:rPr>
                <w:lang w:val="es-ES"/>
              </w:rPr>
              <w:t xml:space="preserve"> e iniciativas como VaMoz Digital! en </w:t>
            </w:r>
            <w:r w:rsidRPr="00E71B56">
              <w:rPr>
                <w:b/>
                <w:bCs/>
                <w:lang w:val="es-ES"/>
              </w:rPr>
              <w:t>Mozambique</w:t>
            </w:r>
            <w:r w:rsidRPr="00E71B56">
              <w:rPr>
                <w:lang w:val="es-ES"/>
              </w:rPr>
              <w:t>, que respaldaron el emprendimiento digital y los nuevos modelos de negocio.</w:t>
            </w:r>
          </w:p>
          <w:p w14:paraId="73572631" w14:textId="77777777" w:rsidR="00BD155E" w:rsidRPr="00E71B56" w:rsidRDefault="00BD155E" w:rsidP="00A372FB">
            <w:pPr>
              <w:rPr>
                <w:lang w:val="es-ES"/>
              </w:rPr>
            </w:pPr>
            <w:r w:rsidRPr="00E71B56">
              <w:rPr>
                <w:lang w:val="es-ES"/>
              </w:rPr>
              <w:t xml:space="preserve">La participación política regional reforzó estos logros. La colaboración con la Unión Africana garantizó que prioridades como la identidad digital estuviesen integradas en los marcos continentales. Se registraron avances en materia de alerta temprana y preparación a los desastres por conducto del </w:t>
            </w:r>
            <w:r w:rsidRPr="00E71B56">
              <w:rPr>
                <w:b/>
                <w:bCs/>
                <w:lang w:val="es-ES"/>
              </w:rPr>
              <w:t xml:space="preserve">modelo de PNTE de la SADC </w:t>
            </w:r>
            <w:r w:rsidRPr="00E71B56">
              <w:rPr>
                <w:lang w:val="es-ES"/>
              </w:rPr>
              <w:t xml:space="preserve">y la contribución del continente a la </w:t>
            </w:r>
            <w:r w:rsidRPr="00E71B56">
              <w:rPr>
                <w:b/>
                <w:bCs/>
                <w:lang w:val="es-ES"/>
              </w:rPr>
              <w:t>iniciativa mundial de Alertas Tempranas para Todos.</w:t>
            </w:r>
            <w:r w:rsidRPr="00E71B56">
              <w:rPr>
                <w:lang w:val="es-ES"/>
              </w:rPr>
              <w:t xml:space="preserve"> En 2024, los esfuerzos de la BDT se habían ampliado aún más, con contribuciones a la transición del MCNUDS de </w:t>
            </w:r>
            <w:r w:rsidRPr="00E71B56">
              <w:rPr>
                <w:b/>
                <w:bCs/>
                <w:lang w:val="es-ES"/>
              </w:rPr>
              <w:t>Etiopía</w:t>
            </w:r>
            <w:r w:rsidRPr="00E71B56">
              <w:rPr>
                <w:lang w:val="es-ES"/>
              </w:rPr>
              <w:t xml:space="preserve"> e iniciativas de identificación digital en </w:t>
            </w:r>
            <w:r w:rsidRPr="00E71B56">
              <w:rPr>
                <w:b/>
                <w:bCs/>
                <w:lang w:val="es-ES"/>
              </w:rPr>
              <w:t xml:space="preserve">Nigeria </w:t>
            </w:r>
            <w:r w:rsidRPr="00E71B56">
              <w:rPr>
                <w:lang w:val="es-ES"/>
              </w:rPr>
              <w:t>y</w:t>
            </w:r>
            <w:r w:rsidRPr="00E71B56">
              <w:rPr>
                <w:b/>
                <w:bCs/>
                <w:lang w:val="es-ES"/>
              </w:rPr>
              <w:t xml:space="preserve"> Cabo Verde</w:t>
            </w:r>
            <w:r w:rsidRPr="00E71B56">
              <w:rPr>
                <w:lang w:val="es-ES"/>
              </w:rPr>
              <w:t xml:space="preserve">, así como actividades específicas de creación de capacidad en </w:t>
            </w:r>
            <w:r w:rsidRPr="00E71B56">
              <w:rPr>
                <w:b/>
                <w:bCs/>
                <w:lang w:val="es-ES"/>
              </w:rPr>
              <w:t xml:space="preserve">Malawi </w:t>
            </w:r>
            <w:r w:rsidRPr="00E71B56">
              <w:rPr>
                <w:lang w:val="es-ES"/>
              </w:rPr>
              <w:t>y</w:t>
            </w:r>
            <w:r w:rsidRPr="00E71B56">
              <w:rPr>
                <w:b/>
                <w:bCs/>
                <w:lang w:val="es-ES"/>
              </w:rPr>
              <w:t xml:space="preserve"> Sudáfrica</w:t>
            </w:r>
            <w:r w:rsidRPr="00E71B56">
              <w:rPr>
                <w:lang w:val="es-ES"/>
              </w:rPr>
              <w:t>. Estas iniciativas ilustraron la manera en la que el apoyo a nivel del país estaba en consonancia con las prioridades regionales, ayudando a África a progresar en el camino sostenible hacia la transformación digital.</w:t>
            </w:r>
          </w:p>
          <w:p w14:paraId="71612480" w14:textId="77777777" w:rsidR="00BD155E" w:rsidRPr="00E71B56" w:rsidRDefault="00BD155E" w:rsidP="00A372FB">
            <w:pPr>
              <w:rPr>
                <w:lang w:val="es-ES"/>
              </w:rPr>
            </w:pPr>
            <w:r w:rsidRPr="00E71B56">
              <w:rPr>
                <w:lang w:val="es-ES"/>
              </w:rPr>
              <w:t xml:space="preserve">En la </w:t>
            </w:r>
            <w:r w:rsidRPr="00E71B56">
              <w:rPr>
                <w:b/>
                <w:bCs/>
                <w:lang w:val="es-ES"/>
              </w:rPr>
              <w:t>región de las Américas</w:t>
            </w:r>
            <w:r w:rsidRPr="00E71B56">
              <w:rPr>
                <w:lang w:val="es-ES"/>
              </w:rPr>
              <w:t xml:space="preserve">, el lanzamiento regional de la iniciativa Alertas Tempranas para Todos proporcionó un marco para que los países caribeños fortaleciesen su nivel de preparación nacional. Con arreglo a la Resolución 87 de la CMDT y en apoyo de las actividades para conectar las escuelas, </w:t>
            </w:r>
            <w:r w:rsidRPr="00E71B56">
              <w:rPr>
                <w:b/>
                <w:bCs/>
                <w:lang w:val="es-ES"/>
              </w:rPr>
              <w:t xml:space="preserve">las mejoras de </w:t>
            </w:r>
            <w:r w:rsidRPr="00E71B56">
              <w:rPr>
                <w:b/>
                <w:bCs/>
                <w:lang w:val="es-ES"/>
              </w:rPr>
              <w:lastRenderedPageBreak/>
              <w:t>la banda ancha en las escuelas de Barbados beneficiaron a más de 18 000 alumnos y 1 300 profesores</w:t>
            </w:r>
            <w:r w:rsidRPr="00E71B56">
              <w:rPr>
                <w:lang w:val="es-ES"/>
              </w:rPr>
              <w:t>, contribuyendo directamente a la educación inclusiva. La formación complementaria en telecomunicaciones de emergencia garantizó que las instituciones estuviesen preparadas para responder a las crisis. La implementación de la mejora del acceso a los servicios de atención de calidad para enfermedades no transmisibles mediante proyectos de innovación digital (UIT, OMS/OPS, UNFPA y UNICEF) contó con la participación de 120 profesionales sanitarios directamente así como de todos los profesionales sanitarios del sistema público y benefició a 1,5 millones de personas de manera directa (mejor oferta y demanda de servicios de atención sanitaria) y a la población del país de manera indirecta. Este proyecto conjunto para los ODS era inclusivo y destinaba esfuerzos específicos a las mujeres y los niños.</w:t>
            </w:r>
          </w:p>
          <w:p w14:paraId="36C248B3" w14:textId="77777777" w:rsidR="00BD155E" w:rsidRPr="00E71B56" w:rsidRDefault="00BD155E" w:rsidP="00A372FB">
            <w:pPr>
              <w:rPr>
                <w:lang w:val="es-ES"/>
              </w:rPr>
            </w:pPr>
            <w:r w:rsidRPr="00E71B56">
              <w:rPr>
                <w:lang w:val="es-ES"/>
              </w:rPr>
              <w:t>Programas como Americas Girls Can Code permitieron formar a más de 2 300 niñas, mientras que el proyecto Inclusión Digital de los Jóvenes prestó apoyo a las comunidades indígenas. Las celebraciones del Día Internacional de las Niñas en las TIC atrajeron a una amplia participación y crearon consciencia sobre la importancia de la igualdad de género en la economía digital. Las asociaciones con Huawei, la FAO y la Unión Europea aportaron recursos y conocimientos técnicos para la innovación centrada en la agricultura y la modernización reglamentaria.</w:t>
            </w:r>
          </w:p>
          <w:p w14:paraId="566BBACA" w14:textId="77777777" w:rsidR="00BD155E" w:rsidRPr="00E71B56" w:rsidRDefault="00BD155E" w:rsidP="00A372FB">
            <w:pPr>
              <w:rPr>
                <w:lang w:val="es-ES"/>
              </w:rPr>
            </w:pPr>
            <w:r w:rsidRPr="00E71B56">
              <w:rPr>
                <w:lang w:val="es-ES"/>
              </w:rPr>
              <w:t xml:space="preserve">El Foro Regional de Desarrollo de </w:t>
            </w:r>
            <w:r w:rsidRPr="00E71B56">
              <w:rPr>
                <w:b/>
                <w:bCs/>
                <w:lang w:val="es-ES"/>
              </w:rPr>
              <w:t>El Salvador</w:t>
            </w:r>
            <w:r w:rsidRPr="00E71B56">
              <w:rPr>
                <w:lang w:val="es-ES"/>
              </w:rPr>
              <w:t xml:space="preserve"> en 2023 </w:t>
            </w:r>
            <w:r w:rsidRPr="00E71B56">
              <w:rPr>
                <w:b/>
                <w:bCs/>
                <w:lang w:val="es-ES"/>
              </w:rPr>
              <w:t>reunió a 268 participantes y dio lugar a 147 compromisos P2C valorados en casi 10 000 millones USD</w:t>
            </w:r>
            <w:r w:rsidRPr="00E71B56">
              <w:rPr>
                <w:lang w:val="es-ES"/>
              </w:rPr>
              <w:t xml:space="preserve">, destacando la fortaleza de las asociaciones para impulsar la conectividad y la inclusión. En 2024 se llevaron a cabo estudios sobre la banda ancha para proyectos en América Latina en materia de televisión terrenal en </w:t>
            </w:r>
            <w:r w:rsidRPr="00E71B56">
              <w:rPr>
                <w:b/>
                <w:bCs/>
                <w:lang w:val="es-ES"/>
              </w:rPr>
              <w:t xml:space="preserve">Colombia </w:t>
            </w:r>
            <w:r w:rsidRPr="00E71B56">
              <w:rPr>
                <w:lang w:val="es-ES"/>
              </w:rPr>
              <w:t xml:space="preserve">y se iniciaron nuevos esfuerzos para mejorar la identificación digital en el </w:t>
            </w:r>
            <w:r w:rsidRPr="00E71B56">
              <w:rPr>
                <w:b/>
                <w:bCs/>
                <w:lang w:val="es-ES"/>
              </w:rPr>
              <w:t>Caribe</w:t>
            </w:r>
            <w:r w:rsidRPr="00E71B56">
              <w:rPr>
                <w:lang w:val="es-ES"/>
              </w:rPr>
              <w:t xml:space="preserve">. En 2025, la BDT empezó a prestar apoyo a </w:t>
            </w:r>
            <w:r w:rsidRPr="00E71B56">
              <w:rPr>
                <w:b/>
                <w:bCs/>
                <w:lang w:val="es-ES"/>
              </w:rPr>
              <w:t xml:space="preserve">Colombia </w:t>
            </w:r>
            <w:r w:rsidRPr="00E71B56">
              <w:rPr>
                <w:lang w:val="es-ES"/>
              </w:rPr>
              <w:t xml:space="preserve">para la transición de la formación sobre los dominios de alto nivel de indicativo de país (ccTLD), a la </w:t>
            </w:r>
            <w:r w:rsidRPr="00E71B56">
              <w:rPr>
                <w:b/>
                <w:bCs/>
                <w:lang w:val="es-ES"/>
              </w:rPr>
              <w:t>República Dominicana</w:t>
            </w:r>
            <w:r w:rsidRPr="00E71B56">
              <w:rPr>
                <w:lang w:val="es-ES"/>
              </w:rPr>
              <w:t xml:space="preserve"> para la inclusión financiera y a </w:t>
            </w:r>
            <w:r w:rsidRPr="00E71B56">
              <w:rPr>
                <w:b/>
                <w:bCs/>
                <w:lang w:val="es-ES"/>
              </w:rPr>
              <w:t>Trinidad y Tabago</w:t>
            </w:r>
            <w:r w:rsidRPr="00E71B56">
              <w:rPr>
                <w:lang w:val="es-ES"/>
              </w:rPr>
              <w:t xml:space="preserve"> para el lanzamiento de un programa de competencias nacionales, que se espera que beneficie a 10 000 personas.</w:t>
            </w:r>
          </w:p>
          <w:p w14:paraId="7DE9C752" w14:textId="77777777" w:rsidR="00BD155E" w:rsidRPr="00E71B56" w:rsidRDefault="00BD155E" w:rsidP="00A372FB">
            <w:pPr>
              <w:rPr>
                <w:lang w:val="es-ES"/>
              </w:rPr>
            </w:pPr>
            <w:r w:rsidRPr="00E71B56">
              <w:rPr>
                <w:lang w:val="es-ES"/>
              </w:rPr>
              <w:t xml:space="preserve">En la </w:t>
            </w:r>
            <w:r w:rsidRPr="00E71B56">
              <w:rPr>
                <w:b/>
                <w:bCs/>
                <w:lang w:val="es-ES"/>
              </w:rPr>
              <w:t>región de los Estados Árabes</w:t>
            </w:r>
            <w:r w:rsidRPr="00E71B56">
              <w:rPr>
                <w:lang w:val="es-ES"/>
              </w:rPr>
              <w:t>, la BDT mejoró su función como impulsora de la transformación digital mediante sólidas asociaciones con las organizaciones regionales y los organismos de las Naciones Unidas. La colaboración con la Liga de los Estados Árabes y la Comisión Económica y Social para Asia Occidental (CESPAO) apoyó las estrategias regionales en materia de TIC, mientras que el Simposio Mundial para Organismos Reguladores celebrado en Egipto en 2023 destacó la importancia de los marcos de gobernanza.</w:t>
            </w:r>
          </w:p>
          <w:p w14:paraId="0C90A33B" w14:textId="77777777" w:rsidR="00BD155E" w:rsidRPr="00E71B56" w:rsidRDefault="00BD155E" w:rsidP="00A372FB">
            <w:pPr>
              <w:rPr>
                <w:lang w:val="es-ES"/>
              </w:rPr>
            </w:pPr>
            <w:r w:rsidRPr="00E71B56">
              <w:rPr>
                <w:lang w:val="es-ES"/>
              </w:rPr>
              <w:lastRenderedPageBreak/>
              <w:t xml:space="preserve">El apoyo a las estrategias nacionales se amplió a diversas esferas. </w:t>
            </w:r>
            <w:r w:rsidRPr="00E71B56">
              <w:rPr>
                <w:b/>
                <w:bCs/>
                <w:lang w:val="es-ES"/>
              </w:rPr>
              <w:t xml:space="preserve">Egipto </w:t>
            </w:r>
            <w:r w:rsidRPr="00E71B56">
              <w:rPr>
                <w:lang w:val="es-ES"/>
              </w:rPr>
              <w:t>y</w:t>
            </w:r>
            <w:r w:rsidRPr="00E71B56">
              <w:rPr>
                <w:b/>
                <w:bCs/>
                <w:lang w:val="es-ES"/>
              </w:rPr>
              <w:t xml:space="preserve"> Jordania</w:t>
            </w:r>
            <w:r w:rsidRPr="00E71B56">
              <w:rPr>
                <w:lang w:val="es-ES"/>
              </w:rPr>
              <w:t xml:space="preserve"> realizaron avances en sus programas de salud digital y ciberagricultura, mientras que se incorporaron tecnologías inmersivas en la prestación de servicios y la educación. Se prestó más atención a la ciberseguridad: los Cibersimulacros y talleres regionales registraron niveles de participación sin precedentes, y </w:t>
            </w:r>
            <w:r w:rsidRPr="00E71B56">
              <w:rPr>
                <w:b/>
                <w:bCs/>
                <w:lang w:val="es-ES"/>
              </w:rPr>
              <w:t xml:space="preserve">más de 104 países </w:t>
            </w:r>
            <w:r w:rsidRPr="00E71B56">
              <w:rPr>
                <w:lang w:val="es-ES"/>
              </w:rPr>
              <w:t>participaron en el</w:t>
            </w:r>
            <w:r w:rsidRPr="00E71B56">
              <w:rPr>
                <w:b/>
                <w:bCs/>
                <w:lang w:val="es-ES"/>
              </w:rPr>
              <w:t xml:space="preserve"> Cibersimulacro Mundial celebrado en Dubái en 2024.</w:t>
            </w:r>
            <w:r w:rsidRPr="00E71B56">
              <w:rPr>
                <w:lang w:val="es-ES"/>
              </w:rPr>
              <w:t xml:space="preserve"> Una serie de actividades complementarias en </w:t>
            </w:r>
            <w:r w:rsidRPr="00E71B56">
              <w:rPr>
                <w:b/>
                <w:bCs/>
                <w:lang w:val="es-ES"/>
              </w:rPr>
              <w:t xml:space="preserve">Marruecos </w:t>
            </w:r>
            <w:r w:rsidRPr="00E71B56">
              <w:rPr>
                <w:lang w:val="es-ES"/>
              </w:rPr>
              <w:t xml:space="preserve">ampliaron las capacidades en materia de PIeL, mientras que el apoyo técnico en </w:t>
            </w:r>
            <w:r w:rsidRPr="00E71B56">
              <w:rPr>
                <w:b/>
                <w:bCs/>
                <w:lang w:val="es-ES"/>
              </w:rPr>
              <w:t xml:space="preserve">Líbano </w:t>
            </w:r>
            <w:r w:rsidRPr="00E71B56">
              <w:rPr>
                <w:lang w:val="es-ES"/>
              </w:rPr>
              <w:t>mejoró los marcos nacionales de la ciberseguridad.</w:t>
            </w:r>
          </w:p>
          <w:p w14:paraId="23D2CD73" w14:textId="77777777" w:rsidR="00BD155E" w:rsidRPr="00E71B56" w:rsidRDefault="00BD155E" w:rsidP="00A372FB">
            <w:pPr>
              <w:rPr>
                <w:lang w:val="es-ES"/>
              </w:rPr>
            </w:pPr>
            <w:r w:rsidRPr="00E71B56">
              <w:rPr>
                <w:lang w:val="es-ES"/>
              </w:rPr>
              <w:t xml:space="preserve">El desarrollo de las ciudades inteligentes fue otro tema importante, con iniciativas impulsadas en </w:t>
            </w:r>
            <w:r w:rsidRPr="00E71B56">
              <w:rPr>
                <w:b/>
                <w:bCs/>
                <w:lang w:val="es-ES"/>
              </w:rPr>
              <w:t>Egipto</w:t>
            </w:r>
            <w:r w:rsidRPr="00E71B56">
              <w:rPr>
                <w:lang w:val="es-ES"/>
              </w:rPr>
              <w:t xml:space="preserve">, </w:t>
            </w:r>
            <w:r w:rsidRPr="00E71B56">
              <w:rPr>
                <w:b/>
                <w:bCs/>
                <w:lang w:val="es-ES"/>
              </w:rPr>
              <w:t xml:space="preserve">Omán </w:t>
            </w:r>
            <w:r w:rsidRPr="00E71B56">
              <w:rPr>
                <w:lang w:val="es-ES"/>
              </w:rPr>
              <w:t>y</w:t>
            </w:r>
            <w:r w:rsidRPr="00E71B56">
              <w:rPr>
                <w:b/>
                <w:bCs/>
                <w:lang w:val="es-ES"/>
              </w:rPr>
              <w:t xml:space="preserve"> Jordania</w:t>
            </w:r>
            <w:r w:rsidRPr="00E71B56">
              <w:rPr>
                <w:lang w:val="es-ES"/>
              </w:rPr>
              <w:t xml:space="preserve">. Al mismo tiempo, los ecosistemas de innovación se fortalecieron mediante misiones de aterrizaje suave, redes de emprendimiento y talleres de ideación en </w:t>
            </w:r>
            <w:r w:rsidRPr="00E71B56">
              <w:rPr>
                <w:b/>
                <w:bCs/>
                <w:lang w:val="es-ES"/>
              </w:rPr>
              <w:t xml:space="preserve">Egipto </w:t>
            </w:r>
            <w:r w:rsidRPr="00E71B56">
              <w:rPr>
                <w:lang w:val="es-ES"/>
              </w:rPr>
              <w:t>y</w:t>
            </w:r>
            <w:r w:rsidRPr="00E71B56">
              <w:rPr>
                <w:b/>
                <w:bCs/>
                <w:lang w:val="es-ES"/>
              </w:rPr>
              <w:t xml:space="preserve"> Túnez</w:t>
            </w:r>
            <w:r w:rsidRPr="00E71B56">
              <w:rPr>
                <w:lang w:val="es-ES"/>
              </w:rPr>
              <w:t xml:space="preserve">. La Red de Mujeres del UIT-D promovió oportunidades de liderazgo, mientras que </w:t>
            </w:r>
            <w:r w:rsidRPr="00E71B56">
              <w:rPr>
                <w:b/>
                <w:bCs/>
                <w:lang w:val="es-ES"/>
              </w:rPr>
              <w:t>Generation Connect ofreció plataformas para las voces de los jóvenes, con más de 50 nombramientos que alimentaron las consultas regionales y los informes de resultados</w:t>
            </w:r>
            <w:r w:rsidRPr="00E71B56">
              <w:rPr>
                <w:lang w:val="es-ES"/>
              </w:rPr>
              <w:t xml:space="preserve">. La participación a nivel de los países sobre la reglamentación siguió su curso en </w:t>
            </w:r>
            <w:r w:rsidRPr="00E71B56">
              <w:rPr>
                <w:b/>
                <w:bCs/>
                <w:lang w:val="es-ES"/>
              </w:rPr>
              <w:t xml:space="preserve">Omán </w:t>
            </w:r>
            <w:r w:rsidRPr="00E71B56">
              <w:rPr>
                <w:lang w:val="es-ES"/>
              </w:rPr>
              <w:t>y</w:t>
            </w:r>
            <w:r w:rsidRPr="00E71B56">
              <w:rPr>
                <w:b/>
                <w:bCs/>
                <w:lang w:val="es-ES"/>
              </w:rPr>
              <w:t xml:space="preserve"> Qatar</w:t>
            </w:r>
            <w:r w:rsidRPr="00E71B56">
              <w:rPr>
                <w:lang w:val="es-ES"/>
              </w:rPr>
              <w:t xml:space="preserve">, complementada por servicios de asesoría con </w:t>
            </w:r>
            <w:r w:rsidRPr="00E71B56">
              <w:rPr>
                <w:b/>
                <w:bCs/>
                <w:lang w:val="es-ES"/>
              </w:rPr>
              <w:t>Arabia Saudita</w:t>
            </w:r>
            <w:r w:rsidRPr="00E71B56">
              <w:rPr>
                <w:lang w:val="es-ES"/>
              </w:rPr>
              <w:t>.</w:t>
            </w:r>
          </w:p>
          <w:p w14:paraId="69208566" w14:textId="77777777" w:rsidR="00BD155E" w:rsidRPr="00E71B56" w:rsidRDefault="00BD155E" w:rsidP="00A372FB">
            <w:pPr>
              <w:rPr>
                <w:lang w:val="es-ES"/>
              </w:rPr>
            </w:pPr>
            <w:r w:rsidRPr="00E71B56">
              <w:rPr>
                <w:lang w:val="es-ES"/>
              </w:rPr>
              <w:t xml:space="preserve">En la </w:t>
            </w:r>
            <w:r w:rsidRPr="00E71B56">
              <w:rPr>
                <w:b/>
                <w:bCs/>
                <w:lang w:val="es-ES"/>
              </w:rPr>
              <w:t>región de Asia</w:t>
            </w:r>
            <w:r w:rsidRPr="00E71B56">
              <w:rPr>
                <w:b/>
                <w:bCs/>
                <w:lang w:val="es-ES"/>
              </w:rPr>
              <w:noBreakHyphen/>
              <w:t>Pacífico</w:t>
            </w:r>
            <w:r w:rsidRPr="00E71B56">
              <w:rPr>
                <w:lang w:val="es-ES"/>
              </w:rPr>
              <w:t xml:space="preserve">, el acceso a los servicios digitales en los planos nacional y comunitario se aceleró mediante proyectos y programas sobre la transformación digital pangubernamental como las </w:t>
            </w:r>
            <w:r w:rsidRPr="00E71B56">
              <w:rPr>
                <w:b/>
                <w:bCs/>
                <w:lang w:val="es-ES"/>
              </w:rPr>
              <w:t xml:space="preserve">aplicaciones digitales </w:t>
            </w:r>
            <w:r w:rsidRPr="00E71B56">
              <w:rPr>
                <w:lang w:val="es-ES"/>
              </w:rPr>
              <w:t xml:space="preserve">y la </w:t>
            </w:r>
            <w:r w:rsidRPr="00E71B56">
              <w:rPr>
                <w:b/>
                <w:bCs/>
                <w:lang w:val="es-ES"/>
              </w:rPr>
              <w:t>iniciativa</w:t>
            </w:r>
            <w:r w:rsidRPr="00E71B56">
              <w:rPr>
                <w:lang w:val="es-ES"/>
              </w:rPr>
              <w:t xml:space="preserve"> </w:t>
            </w:r>
            <w:r w:rsidRPr="00E71B56">
              <w:rPr>
                <w:b/>
                <w:bCs/>
                <w:lang w:val="es-ES"/>
              </w:rPr>
              <w:t>Aldeas Inteligentes e Islas Inteligentes</w:t>
            </w:r>
            <w:r w:rsidRPr="00E71B56">
              <w:rPr>
                <w:lang w:val="es-ES"/>
              </w:rPr>
              <w:t xml:space="preserve">. Más de 1 300 personas mejoraron su capacidad para aplicar un enfoque pangubernamental utilizando GovStack. La BDT prestó apoyo por conducto de la asistencia técnica a nivel nacional en ocho países, a saber, </w:t>
            </w:r>
            <w:r w:rsidRPr="00E71B56">
              <w:rPr>
                <w:b/>
                <w:bCs/>
                <w:lang w:val="es-ES"/>
              </w:rPr>
              <w:t>Bangladesh</w:t>
            </w:r>
            <w:r w:rsidRPr="00E71B56">
              <w:rPr>
                <w:lang w:val="es-ES"/>
              </w:rPr>
              <w:t xml:space="preserve">, </w:t>
            </w:r>
            <w:r w:rsidRPr="00E71B56">
              <w:rPr>
                <w:b/>
                <w:bCs/>
                <w:lang w:val="es-ES"/>
              </w:rPr>
              <w:t>Camboya</w:t>
            </w:r>
            <w:r w:rsidRPr="00E71B56">
              <w:rPr>
                <w:lang w:val="es-ES"/>
              </w:rPr>
              <w:t xml:space="preserve">, </w:t>
            </w:r>
            <w:r w:rsidRPr="00E71B56">
              <w:rPr>
                <w:b/>
                <w:bCs/>
                <w:lang w:val="es-ES"/>
              </w:rPr>
              <w:t>Kiribati</w:t>
            </w:r>
            <w:r w:rsidRPr="00E71B56">
              <w:rPr>
                <w:lang w:val="es-ES"/>
              </w:rPr>
              <w:t xml:space="preserve">, </w:t>
            </w:r>
            <w:r w:rsidRPr="00E71B56">
              <w:rPr>
                <w:b/>
                <w:bCs/>
                <w:lang w:val="es-ES"/>
              </w:rPr>
              <w:t>R.D.P. Lao</w:t>
            </w:r>
            <w:r w:rsidRPr="00E71B56">
              <w:rPr>
                <w:lang w:val="es-ES"/>
              </w:rPr>
              <w:t xml:space="preserve">, </w:t>
            </w:r>
            <w:r w:rsidRPr="00E71B56">
              <w:rPr>
                <w:b/>
                <w:bCs/>
                <w:lang w:val="es-ES"/>
              </w:rPr>
              <w:t>Nauru</w:t>
            </w:r>
            <w:r w:rsidRPr="00E71B56">
              <w:rPr>
                <w:lang w:val="es-ES"/>
              </w:rPr>
              <w:t xml:space="preserve">, </w:t>
            </w:r>
            <w:r w:rsidRPr="00E71B56">
              <w:rPr>
                <w:b/>
                <w:bCs/>
                <w:lang w:val="es-ES"/>
              </w:rPr>
              <w:t>Papua Nueva Guinea</w:t>
            </w:r>
            <w:r w:rsidRPr="00E71B56">
              <w:rPr>
                <w:lang w:val="es-ES"/>
              </w:rPr>
              <w:t xml:space="preserve">, </w:t>
            </w:r>
            <w:r w:rsidRPr="00E71B56">
              <w:rPr>
                <w:b/>
                <w:bCs/>
                <w:lang w:val="es-ES"/>
              </w:rPr>
              <w:t xml:space="preserve">Tonga </w:t>
            </w:r>
            <w:r w:rsidRPr="00E71B56">
              <w:rPr>
                <w:lang w:val="es-ES"/>
              </w:rPr>
              <w:t>y</w:t>
            </w:r>
            <w:r w:rsidRPr="00E71B56">
              <w:rPr>
                <w:b/>
                <w:bCs/>
                <w:lang w:val="es-ES"/>
              </w:rPr>
              <w:t xml:space="preserve"> Vanuatu</w:t>
            </w:r>
            <w:r w:rsidRPr="00E71B56">
              <w:rPr>
                <w:lang w:val="es-ES"/>
              </w:rPr>
              <w:t xml:space="preserve">, complementada por talleres en múltiples países. Estas actividades se llevaron a cabo en colaboración con el DITRDCSA de Australia, el Fondo Conjunto para los ODS y GIZ. También se adoptó el enfoque pangubernamental como parte de estrategias y planes nacionales en países como </w:t>
            </w:r>
            <w:r w:rsidRPr="00E71B56">
              <w:rPr>
                <w:b/>
                <w:bCs/>
                <w:lang w:val="es-ES"/>
              </w:rPr>
              <w:t xml:space="preserve">Papua Nueva Guinea </w:t>
            </w:r>
            <w:r w:rsidRPr="00E71B56">
              <w:rPr>
                <w:lang w:val="es-ES"/>
              </w:rPr>
              <w:t>y</w:t>
            </w:r>
            <w:r w:rsidRPr="00E71B56">
              <w:rPr>
                <w:b/>
                <w:bCs/>
                <w:lang w:val="es-ES"/>
              </w:rPr>
              <w:t xml:space="preserve"> Vanuatu</w:t>
            </w:r>
            <w:r w:rsidRPr="00E71B56">
              <w:rPr>
                <w:lang w:val="es-ES"/>
              </w:rPr>
              <w:t>, y esta cuestión sigue siendo prioritaria para los Miembros. A nivel subregional, los Ministros encargados del sector digital de los países de la ASEAN adoptaron un marco de interoperabilidad del gobierno digital, para mejorar el acceso a los servicios digitales en los Estados miembros de la ASEAN, que se preparó con la asistencia técnica de la BDT.</w:t>
            </w:r>
          </w:p>
          <w:p w14:paraId="1FAA84FB" w14:textId="77777777" w:rsidR="00BD155E" w:rsidRPr="00E71B56" w:rsidRDefault="00BD155E" w:rsidP="00A372FB">
            <w:pPr>
              <w:rPr>
                <w:lang w:val="es-ES"/>
              </w:rPr>
            </w:pPr>
            <w:r w:rsidRPr="00E71B56">
              <w:rPr>
                <w:lang w:val="es-ES"/>
              </w:rPr>
              <w:t>Once Estados Miembros (</w:t>
            </w:r>
            <w:r w:rsidRPr="00E71B56">
              <w:rPr>
                <w:b/>
                <w:bCs/>
                <w:lang w:val="es-ES"/>
              </w:rPr>
              <w:t>Fiji</w:t>
            </w:r>
            <w:r w:rsidRPr="00E71B56">
              <w:rPr>
                <w:lang w:val="es-ES"/>
              </w:rPr>
              <w:t xml:space="preserve">, </w:t>
            </w:r>
            <w:r w:rsidRPr="00E71B56">
              <w:rPr>
                <w:b/>
                <w:bCs/>
                <w:lang w:val="es-ES"/>
              </w:rPr>
              <w:t>Kiribati</w:t>
            </w:r>
            <w:r w:rsidRPr="00E71B56">
              <w:rPr>
                <w:lang w:val="es-ES"/>
              </w:rPr>
              <w:t xml:space="preserve">, </w:t>
            </w:r>
            <w:r w:rsidRPr="00E71B56">
              <w:rPr>
                <w:b/>
                <w:bCs/>
                <w:lang w:val="es-ES"/>
              </w:rPr>
              <w:t>Micronesia</w:t>
            </w:r>
            <w:r w:rsidRPr="00E71B56">
              <w:rPr>
                <w:lang w:val="es-ES"/>
              </w:rPr>
              <w:t xml:space="preserve">, </w:t>
            </w:r>
            <w:r w:rsidRPr="00E71B56">
              <w:rPr>
                <w:b/>
                <w:bCs/>
                <w:lang w:val="es-ES"/>
              </w:rPr>
              <w:t>Islas Marshall</w:t>
            </w:r>
            <w:r w:rsidRPr="00E71B56">
              <w:rPr>
                <w:lang w:val="es-ES"/>
              </w:rPr>
              <w:t xml:space="preserve">, </w:t>
            </w:r>
            <w:r w:rsidRPr="00E71B56">
              <w:rPr>
                <w:b/>
                <w:bCs/>
                <w:lang w:val="es-ES"/>
              </w:rPr>
              <w:t>Nauru</w:t>
            </w:r>
            <w:r w:rsidRPr="00E71B56">
              <w:rPr>
                <w:lang w:val="es-ES"/>
              </w:rPr>
              <w:t xml:space="preserve">, </w:t>
            </w:r>
            <w:r w:rsidRPr="00E71B56">
              <w:rPr>
                <w:b/>
                <w:bCs/>
                <w:lang w:val="es-ES"/>
              </w:rPr>
              <w:t>Pakistán</w:t>
            </w:r>
            <w:r w:rsidRPr="00E71B56">
              <w:rPr>
                <w:lang w:val="es-ES"/>
              </w:rPr>
              <w:t xml:space="preserve">, </w:t>
            </w:r>
            <w:r w:rsidRPr="00E71B56">
              <w:rPr>
                <w:b/>
                <w:bCs/>
                <w:lang w:val="es-ES"/>
              </w:rPr>
              <w:t>Palau</w:t>
            </w:r>
            <w:r w:rsidRPr="00E71B56">
              <w:rPr>
                <w:lang w:val="es-ES"/>
              </w:rPr>
              <w:t xml:space="preserve">, </w:t>
            </w:r>
            <w:r w:rsidRPr="00E71B56">
              <w:rPr>
                <w:b/>
                <w:bCs/>
                <w:lang w:val="es-ES"/>
              </w:rPr>
              <w:t>Papua Nueva Guinea</w:t>
            </w:r>
            <w:r w:rsidRPr="00E71B56">
              <w:rPr>
                <w:lang w:val="es-ES"/>
              </w:rPr>
              <w:t xml:space="preserve">, </w:t>
            </w:r>
            <w:r w:rsidRPr="00E71B56">
              <w:rPr>
                <w:b/>
                <w:bCs/>
                <w:lang w:val="es-ES"/>
              </w:rPr>
              <w:t>Samoa</w:t>
            </w:r>
            <w:r w:rsidRPr="00E71B56">
              <w:rPr>
                <w:lang w:val="es-ES"/>
              </w:rPr>
              <w:t xml:space="preserve">, </w:t>
            </w:r>
            <w:r w:rsidRPr="00E71B56">
              <w:rPr>
                <w:b/>
                <w:bCs/>
                <w:lang w:val="es-ES"/>
              </w:rPr>
              <w:t>Tonga</w:t>
            </w:r>
            <w:r w:rsidRPr="00E71B56">
              <w:rPr>
                <w:lang w:val="es-ES"/>
              </w:rPr>
              <w:t xml:space="preserve"> y </w:t>
            </w:r>
            <w:r w:rsidRPr="00E71B56">
              <w:rPr>
                <w:b/>
                <w:bCs/>
                <w:lang w:val="es-ES"/>
              </w:rPr>
              <w:t>Vanuatu</w:t>
            </w:r>
            <w:r w:rsidRPr="00E71B56">
              <w:rPr>
                <w:lang w:val="es-ES"/>
              </w:rPr>
              <w:t xml:space="preserve">) aceleraron la prestación de servicios digitales a las comunidades rurales y </w:t>
            </w:r>
            <w:r w:rsidRPr="00E71B56">
              <w:rPr>
                <w:lang w:val="es-ES"/>
              </w:rPr>
              <w:lastRenderedPageBreak/>
              <w:t>remotas de la región, por conducto de la iniciativa Aldeas Inteligentes e Islas Inteligentes y los programas y proyectos de STREIT de la Unión Europea, apoyados por la UIT, la Unión Europea, Australia, Japón, el Banco Asiático de Desarrollo (BAD), el Fondo Conjunto para los ODS y Huawei. Estos programas y proyectos implementados en colaboración con los gobiernos nacionales, los organismos de las Naciones Unidas, las instituciones académicas y la industria mejoraron las competencias digitales de más de 6 700 miembros comunitarios entre enero de 2023 y agosto de 2025, crearon centros digitales y mejoraron el acceso de la comunidad a los servicios relacionados con la agricultura, la salud, la educación, el comercio y las finanzas.</w:t>
            </w:r>
          </w:p>
          <w:p w14:paraId="6BBC4C60" w14:textId="77777777" w:rsidR="00BD155E" w:rsidRPr="00E71B56" w:rsidRDefault="00BD155E" w:rsidP="00A372FB">
            <w:pPr>
              <w:rPr>
                <w:lang w:val="es-ES"/>
              </w:rPr>
            </w:pPr>
            <w:r w:rsidRPr="00E71B56">
              <w:rPr>
                <w:lang w:val="es-ES"/>
              </w:rPr>
              <w:t xml:space="preserve">Los </w:t>
            </w:r>
            <w:r w:rsidRPr="00E71B56">
              <w:rPr>
                <w:b/>
                <w:bCs/>
                <w:lang w:val="es-ES"/>
              </w:rPr>
              <w:t xml:space="preserve">Diálogos Ministeriales sobre las TIC en el Pacífico </w:t>
            </w:r>
            <w:r w:rsidRPr="00E71B56">
              <w:rPr>
                <w:lang w:val="es-ES"/>
              </w:rPr>
              <w:t>dieron lugar a la Declaración de Lagatoi, en la que se afirma la importancia de la transformación digital. En el marco de un proyecto financiado por el DITRDCSA y la UIT se ha realizado un análisis de la situación para identificar las necesidades únicas de los PEID del Pacífico y para analizar los medios de hacer frente a sus desafíos específicos en materia de conectividad.</w:t>
            </w:r>
          </w:p>
          <w:p w14:paraId="31CAEBBF" w14:textId="77777777" w:rsidR="00BD155E" w:rsidRPr="00E71B56" w:rsidRDefault="00BD155E" w:rsidP="00A372FB">
            <w:pPr>
              <w:rPr>
                <w:lang w:val="es-ES"/>
              </w:rPr>
            </w:pPr>
            <w:r w:rsidRPr="00E71B56">
              <w:rPr>
                <w:lang w:val="es-ES"/>
              </w:rPr>
              <w:t xml:space="preserve">Los esfuerzos destinados a garantizar la inclusión digital fueron importantes, y en las </w:t>
            </w:r>
            <w:r w:rsidRPr="00E71B56">
              <w:rPr>
                <w:b/>
                <w:bCs/>
                <w:lang w:val="es-ES"/>
              </w:rPr>
              <w:t>celebraciones del Día de las Niñas en las TIC participaron más de 2 200 personas en 11 países y se impartieron 63 actividades de formación</w:t>
            </w:r>
            <w:r w:rsidRPr="00E71B56">
              <w:rPr>
                <w:lang w:val="es-ES"/>
              </w:rPr>
              <w:t>. Las diversas actividades ilustraron la manera en la que la conectividad, la innovación y el desarrollo de competencias estaban interconectados para atender las necesidades de inclusión digital en la región de Asia</w:t>
            </w:r>
            <w:r w:rsidRPr="00E71B56">
              <w:rPr>
                <w:lang w:val="es-ES"/>
              </w:rPr>
              <w:noBreakHyphen/>
              <w:t>Pacífico.</w:t>
            </w:r>
          </w:p>
          <w:p w14:paraId="50C2D561" w14:textId="77777777" w:rsidR="00BD155E" w:rsidRPr="00E71B56" w:rsidRDefault="00BD155E" w:rsidP="00A372FB">
            <w:pPr>
              <w:keepNext/>
              <w:keepLines/>
              <w:rPr>
                <w:lang w:val="es-ES"/>
              </w:rPr>
            </w:pPr>
            <w:r w:rsidRPr="00E71B56">
              <w:rPr>
                <w:lang w:val="es-ES"/>
              </w:rPr>
              <w:t xml:space="preserve">En la </w:t>
            </w:r>
            <w:r w:rsidRPr="00E71B56">
              <w:rPr>
                <w:b/>
                <w:bCs/>
                <w:lang w:val="es-ES"/>
              </w:rPr>
              <w:t>región de la CEI, más de 700 funcionarios recibieron formación sobre el despliegue de la 5G</w:t>
            </w:r>
            <w:r w:rsidRPr="00E71B56">
              <w:rPr>
                <w:lang w:val="es-ES"/>
              </w:rPr>
              <w:t xml:space="preserve">, mientras que un proyecto de redes comunitarias brindó conexión a 1 500 hogares en </w:t>
            </w:r>
            <w:r w:rsidRPr="00E71B56">
              <w:rPr>
                <w:b/>
                <w:bCs/>
                <w:lang w:val="es-ES"/>
              </w:rPr>
              <w:t>Armenia</w:t>
            </w:r>
            <w:r w:rsidRPr="00E71B56">
              <w:rPr>
                <w:lang w:val="es-ES"/>
              </w:rPr>
              <w:t xml:space="preserve">, prestando servicios esenciales a poblaciones remotas. Se llevaron a cabo iniciativas en materia de accesibilidad para alumnos y personas con discapacidad, que dotaron de nuevos equipos a los centros de formación de </w:t>
            </w:r>
            <w:r w:rsidRPr="00E71B56">
              <w:rPr>
                <w:b/>
                <w:bCs/>
                <w:lang w:val="es-ES"/>
              </w:rPr>
              <w:t>Armenia</w:t>
            </w:r>
            <w:r w:rsidRPr="00E71B56">
              <w:rPr>
                <w:lang w:val="es-ES"/>
              </w:rPr>
              <w:t xml:space="preserve">, </w:t>
            </w:r>
            <w:r w:rsidRPr="00E71B56">
              <w:rPr>
                <w:b/>
                <w:bCs/>
                <w:lang w:val="es-ES"/>
              </w:rPr>
              <w:t>Belarús</w:t>
            </w:r>
            <w:r w:rsidRPr="00E71B56">
              <w:rPr>
                <w:lang w:val="es-ES"/>
              </w:rPr>
              <w:t xml:space="preserve">, </w:t>
            </w:r>
            <w:r w:rsidRPr="00E71B56">
              <w:rPr>
                <w:b/>
                <w:bCs/>
                <w:lang w:val="es-ES"/>
              </w:rPr>
              <w:t xml:space="preserve">Kirguistán </w:t>
            </w:r>
            <w:r w:rsidRPr="00E71B56">
              <w:rPr>
                <w:lang w:val="es-ES"/>
              </w:rPr>
              <w:t>y</w:t>
            </w:r>
            <w:r w:rsidRPr="00E71B56">
              <w:rPr>
                <w:b/>
                <w:bCs/>
                <w:lang w:val="es-ES"/>
              </w:rPr>
              <w:t xml:space="preserve"> Uzbekistán</w:t>
            </w:r>
            <w:r w:rsidRPr="00E71B56">
              <w:rPr>
                <w:lang w:val="es-ES"/>
              </w:rPr>
              <w:t>.</w:t>
            </w:r>
          </w:p>
          <w:p w14:paraId="5D80BFA8" w14:textId="77777777" w:rsidR="00BD155E" w:rsidRPr="00E71B56" w:rsidRDefault="00BD155E" w:rsidP="00A372FB">
            <w:pPr>
              <w:rPr>
                <w:lang w:val="es-ES"/>
              </w:rPr>
            </w:pPr>
            <w:r w:rsidRPr="00E71B56">
              <w:rPr>
                <w:lang w:val="es-ES"/>
              </w:rPr>
              <w:t xml:space="preserve">Se reforzaron los sistemas de datos de TIC en </w:t>
            </w:r>
            <w:r w:rsidRPr="00E71B56">
              <w:rPr>
                <w:b/>
                <w:bCs/>
                <w:lang w:val="es-ES"/>
              </w:rPr>
              <w:t>Azerbaiyán</w:t>
            </w:r>
            <w:r w:rsidRPr="00E71B56">
              <w:rPr>
                <w:lang w:val="es-ES"/>
              </w:rPr>
              <w:t xml:space="preserve">, donde se realizaron encuestas a gran escala que sentaron las bases de estrategias de alfabetización digital. Se realizaron evaluaciones similares de la resiliencia y la reglamentación en </w:t>
            </w:r>
            <w:r w:rsidRPr="00E71B56">
              <w:rPr>
                <w:b/>
                <w:bCs/>
                <w:lang w:val="es-ES"/>
              </w:rPr>
              <w:t>Armenia</w:t>
            </w:r>
            <w:r w:rsidRPr="00E71B56">
              <w:rPr>
                <w:lang w:val="es-ES"/>
              </w:rPr>
              <w:t xml:space="preserve">, </w:t>
            </w:r>
            <w:r w:rsidRPr="00E71B56">
              <w:rPr>
                <w:b/>
                <w:bCs/>
                <w:lang w:val="es-ES"/>
              </w:rPr>
              <w:t>Kazajstán</w:t>
            </w:r>
            <w:r w:rsidRPr="00E71B56">
              <w:rPr>
                <w:lang w:val="es-ES"/>
              </w:rPr>
              <w:t xml:space="preserve">, </w:t>
            </w:r>
            <w:r w:rsidRPr="00E71B56">
              <w:rPr>
                <w:b/>
                <w:bCs/>
                <w:lang w:val="es-ES"/>
              </w:rPr>
              <w:t>Kirguistán</w:t>
            </w:r>
            <w:r w:rsidRPr="00E71B56">
              <w:rPr>
                <w:lang w:val="es-ES"/>
              </w:rPr>
              <w:t>, la</w:t>
            </w:r>
            <w:r w:rsidRPr="00E71B56">
              <w:rPr>
                <w:b/>
                <w:bCs/>
                <w:lang w:val="es-ES"/>
              </w:rPr>
              <w:t xml:space="preserve"> Federación de Rusia </w:t>
            </w:r>
            <w:r w:rsidRPr="00E71B56">
              <w:rPr>
                <w:lang w:val="es-ES"/>
              </w:rPr>
              <w:t>y</w:t>
            </w:r>
            <w:r w:rsidRPr="00E71B56">
              <w:rPr>
                <w:b/>
                <w:bCs/>
                <w:lang w:val="es-ES"/>
              </w:rPr>
              <w:t xml:space="preserve"> Uzbekistán</w:t>
            </w:r>
            <w:r w:rsidRPr="00E71B56">
              <w:rPr>
                <w:lang w:val="es-ES"/>
              </w:rPr>
              <w:t xml:space="preserve">, que contribuyeron a la mejora de la planificación. Se mejoró la capacidad en materia de ciberseguridad mediante evaluaciones del grado de preparación, la constitución de EIII y la realización de cibersimulacros regionales. Las campañas de PIeL en </w:t>
            </w:r>
            <w:r w:rsidRPr="00E71B56">
              <w:rPr>
                <w:b/>
                <w:bCs/>
                <w:lang w:val="es-ES"/>
              </w:rPr>
              <w:t>Armenia</w:t>
            </w:r>
            <w:r w:rsidRPr="00E71B56">
              <w:rPr>
                <w:lang w:val="es-ES"/>
              </w:rPr>
              <w:t xml:space="preserve">, </w:t>
            </w:r>
            <w:r w:rsidRPr="00E71B56">
              <w:rPr>
                <w:b/>
                <w:bCs/>
                <w:lang w:val="es-ES"/>
              </w:rPr>
              <w:t xml:space="preserve">Uzbekistán </w:t>
            </w:r>
            <w:r w:rsidRPr="00E71B56">
              <w:rPr>
                <w:lang w:val="es-ES"/>
              </w:rPr>
              <w:t>y</w:t>
            </w:r>
            <w:r w:rsidRPr="00E71B56">
              <w:rPr>
                <w:b/>
                <w:bCs/>
                <w:lang w:val="es-ES"/>
              </w:rPr>
              <w:t xml:space="preserve"> Kirguistán</w:t>
            </w:r>
            <w:r w:rsidRPr="00E71B56">
              <w:rPr>
                <w:lang w:val="es-ES"/>
              </w:rPr>
              <w:t xml:space="preserve"> llegaron a educadores, padres y alumnos, garantizando la creación de consciencia y capacidades en múltiples niveles.</w:t>
            </w:r>
          </w:p>
          <w:p w14:paraId="2F456C92" w14:textId="77777777" w:rsidR="00BD155E" w:rsidRPr="00E71B56" w:rsidRDefault="00BD155E" w:rsidP="00A372FB">
            <w:pPr>
              <w:rPr>
                <w:lang w:val="es-ES"/>
              </w:rPr>
            </w:pPr>
            <w:r w:rsidRPr="00E71B56">
              <w:rPr>
                <w:lang w:val="es-ES"/>
              </w:rPr>
              <w:lastRenderedPageBreak/>
              <w:t xml:space="preserve">El desarrollo de ciudades inteligentes fue otra esfera de interés, sobre la que se impartió formación a más de 500 representantes en Belarús. La colaboración con los equipos de las Naciones Unidas en los países garantizó que los proyectos se incorporasen en los ejercicios de planificación nacional, mientras que la cooperación con la Comisión Económica para Europa (CEPE) en el marco del Grupo de Transformación Digital de las Naciones Unidas contribuyó a los foros regionales de desarrollo sostenible. El </w:t>
            </w:r>
            <w:r w:rsidRPr="00E71B56">
              <w:rPr>
                <w:b/>
                <w:bCs/>
                <w:lang w:val="es-ES"/>
              </w:rPr>
              <w:t>Foro Regional de Desarrollo para la CEI de 2024</w:t>
            </w:r>
            <w:r w:rsidRPr="00E71B56">
              <w:rPr>
                <w:lang w:val="es-ES"/>
              </w:rPr>
              <w:t xml:space="preserve"> ofreció una plataforma para examinar los avances y generar nuevos compromisos mediante sesiones de establecimiento de contactos, lo que confirmó la función catalizadora de la BDT en materia de transformación digital en la región.</w:t>
            </w:r>
          </w:p>
          <w:p w14:paraId="1562DD08" w14:textId="77777777" w:rsidR="00BD155E" w:rsidRPr="00E71B56" w:rsidRDefault="00BD155E" w:rsidP="00A372FB">
            <w:pPr>
              <w:keepNext/>
              <w:keepLines/>
              <w:rPr>
                <w:lang w:val="es-ES"/>
              </w:rPr>
            </w:pPr>
            <w:r w:rsidRPr="00E71B56">
              <w:rPr>
                <w:lang w:val="es-ES"/>
              </w:rPr>
              <w:t xml:space="preserve">En </w:t>
            </w:r>
            <w:r w:rsidRPr="00E71B56">
              <w:rPr>
                <w:b/>
                <w:bCs/>
                <w:lang w:val="es-ES"/>
              </w:rPr>
              <w:t>Europa</w:t>
            </w:r>
            <w:r w:rsidRPr="00E71B56">
              <w:rPr>
                <w:lang w:val="es-ES"/>
              </w:rPr>
              <w:t xml:space="preserve">, se formalizaron fuertes alianzas con la Conferencia Europea de Administraciones de Correos y Telecomunicaciones (CEPT), el Consejo de Europa, el Organismo de Reguladores Europeos de las Comunicaciones Electrónicas (ORECE) y la Unión Europea e instituciones, respaldadas por una serie de </w:t>
            </w:r>
            <w:r w:rsidRPr="00E71B56">
              <w:rPr>
                <w:b/>
                <w:bCs/>
                <w:lang w:val="es-ES"/>
              </w:rPr>
              <w:t>importantes proyectos financiados por la Unión Europea de un valor de 25 millones EUR.</w:t>
            </w:r>
            <w:r w:rsidRPr="00E71B56">
              <w:rPr>
                <w:lang w:val="es-ES"/>
              </w:rPr>
              <w:t xml:space="preserve"> Los Foros Regionales de Desarrollo en </w:t>
            </w:r>
            <w:r w:rsidRPr="00E71B56">
              <w:rPr>
                <w:b/>
                <w:bCs/>
                <w:lang w:val="es-ES"/>
              </w:rPr>
              <w:t>Rumania</w:t>
            </w:r>
            <w:r w:rsidRPr="00E71B56">
              <w:rPr>
                <w:lang w:val="es-ES"/>
              </w:rPr>
              <w:t xml:space="preserve"> y </w:t>
            </w:r>
            <w:r w:rsidRPr="00E71B56">
              <w:rPr>
                <w:b/>
                <w:bCs/>
                <w:lang w:val="es-ES"/>
              </w:rPr>
              <w:t xml:space="preserve">Hungría </w:t>
            </w:r>
            <w:r w:rsidRPr="00E71B56">
              <w:rPr>
                <w:lang w:val="es-ES"/>
              </w:rPr>
              <w:t>reunieron a más de 200 participantes, dando lugar a nuevas promesas e iniciativas, en particular programas sobre la ciberseguridad y el despliegue de la 5G.</w:t>
            </w:r>
          </w:p>
          <w:p w14:paraId="0CC63408" w14:textId="77777777" w:rsidR="00BD155E" w:rsidRPr="00E71B56" w:rsidRDefault="00BD155E" w:rsidP="00A372FB">
            <w:pPr>
              <w:rPr>
                <w:lang w:val="es-ES"/>
              </w:rPr>
            </w:pPr>
            <w:r w:rsidRPr="00E71B56">
              <w:rPr>
                <w:lang w:val="es-ES"/>
              </w:rPr>
              <w:t xml:space="preserve">Se amplió la asistencia técnica a nueve países, abarcando la conectividad, la Protección de la Infancia en Línea y la resiliencia. Se prestó ayuda especial a las infraestructuras de radiodifusión restauradas de </w:t>
            </w:r>
            <w:r w:rsidRPr="00E71B56">
              <w:rPr>
                <w:b/>
                <w:bCs/>
                <w:lang w:val="es-ES"/>
              </w:rPr>
              <w:t>Ucrania</w:t>
            </w:r>
            <w:r w:rsidRPr="00E71B56">
              <w:rPr>
                <w:lang w:val="es-ES"/>
              </w:rPr>
              <w:t xml:space="preserve">, permitiendo a </w:t>
            </w:r>
            <w:r w:rsidRPr="00E71B56">
              <w:rPr>
                <w:b/>
                <w:bCs/>
                <w:lang w:val="es-ES"/>
              </w:rPr>
              <w:t>más de diez millones de ciudadanos acceder a la información</w:t>
            </w:r>
            <w:r w:rsidRPr="00E71B56">
              <w:rPr>
                <w:lang w:val="es-ES"/>
              </w:rPr>
              <w:t xml:space="preserve"> en consonancia con la Resolución 1408 del Consejo de la UIT. Las plataformas regionales, como Europa Accesible y los Cibersimulacros Interregionales, crearon oportunidades para el intercambio de conocimientos entre las regiones de Europa y Asia-Pacífico, promoviendo las prácticas idóneas en materia de inclusión y seguridad.</w:t>
            </w:r>
          </w:p>
          <w:p w14:paraId="2AC6CC42" w14:textId="77777777" w:rsidR="00BD155E" w:rsidRPr="00E71B56" w:rsidRDefault="00BD155E" w:rsidP="00A372FB">
            <w:pPr>
              <w:rPr>
                <w:lang w:val="es-ES"/>
              </w:rPr>
            </w:pPr>
            <w:r w:rsidRPr="00E71B56">
              <w:rPr>
                <w:lang w:val="es-ES"/>
              </w:rPr>
              <w:t xml:space="preserve">La colaboración con los organismos de las Naciones Unidas siguió impulsando la coherencia regional, y la BDT copresidió grupos de tareas especiales y elaboró herramientas como la Herramienta de Desarrollo Digital y los perfiles de países. Los proyectos conjuntos financiados por el Fondo Conjunto para los ODS promovieron las ciudades inteligentes en </w:t>
            </w:r>
            <w:r w:rsidRPr="00E71B56">
              <w:rPr>
                <w:b/>
                <w:bCs/>
                <w:lang w:val="es-ES"/>
              </w:rPr>
              <w:t>Montenegro</w:t>
            </w:r>
            <w:r w:rsidRPr="00E71B56">
              <w:rPr>
                <w:lang w:val="es-ES"/>
              </w:rPr>
              <w:t xml:space="preserve">, la agricultura digital en </w:t>
            </w:r>
            <w:r w:rsidRPr="00E71B56">
              <w:rPr>
                <w:b/>
                <w:bCs/>
                <w:lang w:val="es-ES"/>
              </w:rPr>
              <w:t xml:space="preserve">Albania </w:t>
            </w:r>
            <w:r w:rsidRPr="00E71B56">
              <w:rPr>
                <w:lang w:val="es-ES"/>
              </w:rPr>
              <w:t xml:space="preserve">y los servicios públicos digitales en </w:t>
            </w:r>
            <w:r w:rsidRPr="00E71B56">
              <w:rPr>
                <w:b/>
                <w:bCs/>
                <w:lang w:val="es-ES"/>
              </w:rPr>
              <w:t>Serbia</w:t>
            </w:r>
            <w:r w:rsidRPr="00E71B56">
              <w:rPr>
                <w:lang w:val="es-ES"/>
              </w:rPr>
              <w:t xml:space="preserve">. Los mecanismos de financiación puestos a prueba en los </w:t>
            </w:r>
            <w:r w:rsidRPr="00E71B56">
              <w:rPr>
                <w:b/>
                <w:bCs/>
                <w:lang w:val="es-ES"/>
              </w:rPr>
              <w:t xml:space="preserve">Balcanes Occidentales </w:t>
            </w:r>
            <w:r w:rsidRPr="00E71B56">
              <w:rPr>
                <w:lang w:val="es-ES"/>
              </w:rPr>
              <w:t>ilustraron enfoques innovadores para la movilización de recursos. Estos logros confirmaron la capacidad de la BDT para combinar los esfuerzos de recuperación inmediata con las estrategias de transformación a largo plazo.</w:t>
            </w:r>
          </w:p>
          <w:p w14:paraId="2796C00B" w14:textId="77777777" w:rsidR="00BD155E" w:rsidRPr="00E71B56" w:rsidRDefault="00BD155E" w:rsidP="00A372FB">
            <w:pPr>
              <w:spacing w:after="120"/>
              <w:rPr>
                <w:lang w:val="es-ES"/>
              </w:rPr>
            </w:pPr>
            <w:r w:rsidRPr="00E71B56">
              <w:rPr>
                <w:lang w:val="es-ES"/>
              </w:rPr>
              <w:lastRenderedPageBreak/>
              <w:t>En todas las regiones, el periodo de 2023</w:t>
            </w:r>
            <w:r w:rsidRPr="00E71B56">
              <w:rPr>
                <w:lang w:val="es-ES"/>
              </w:rPr>
              <w:noBreakHyphen/>
              <w:t>2025 puso de relieve el papel central que desempeña la presencia regional de la BDT para impulsar la transformación digital. Por conducto de apoyo técnico específico, fuertes alianzas y la coordinación regional, los Estados Miembros fueron empoderados para impulsar la conectividad, mejorar la seguridad, fomentar la innovación y garantizar la inclusión. Al movilizar a los gobiernos, el sector privado, las instituciones académicas y la sociedad civil, la BDT reforzó su posición como</w:t>
            </w:r>
            <w:r w:rsidRPr="00E71B56">
              <w:rPr>
                <w:b/>
                <w:bCs/>
                <w:lang w:val="es-ES"/>
              </w:rPr>
              <w:t xml:space="preserve"> asociado de confianza para el desarrollo,</w:t>
            </w:r>
            <w:r w:rsidRPr="00E71B56">
              <w:rPr>
                <w:lang w:val="es-ES"/>
              </w:rPr>
              <w:t xml:space="preserve"> fomentando la conectividad efectiva y la transformación digital inclusiva.</w:t>
            </w:r>
          </w:p>
        </w:tc>
        <w:tc>
          <w:tcPr>
            <w:tcW w:w="3323" w:type="dxa"/>
          </w:tcPr>
          <w:p w14:paraId="5D522516" w14:textId="77777777" w:rsidR="00BD155E" w:rsidRPr="00E71B56" w:rsidRDefault="00BD155E" w:rsidP="00A372FB">
            <w:pPr>
              <w:pStyle w:val="enumlev1"/>
              <w:tabs>
                <w:tab w:val="clear" w:pos="1134"/>
                <w:tab w:val="left" w:pos="330"/>
              </w:tabs>
              <w:ind w:left="330" w:hanging="330"/>
              <w:rPr>
                <w:lang w:val="es-ES"/>
              </w:rPr>
            </w:pPr>
            <w:r w:rsidRPr="00E71B56">
              <w:rPr>
                <w:lang w:val="es-ES"/>
              </w:rPr>
              <w:lastRenderedPageBreak/>
              <w:t>○</w:t>
            </w:r>
            <w:r w:rsidRPr="00E71B56">
              <w:rPr>
                <w:lang w:val="es-ES"/>
              </w:rPr>
              <w:tab/>
              <w:t>Foros Regionales de Desarrollo</w:t>
            </w:r>
          </w:p>
          <w:p w14:paraId="33659496"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Apoyo para los marcos digitales nacionales</w:t>
            </w:r>
          </w:p>
          <w:p w14:paraId="5B01FEEE"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Formación en GovStack</w:t>
            </w:r>
          </w:p>
          <w:p w14:paraId="769DD264"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Iniciativa Aldeas Inteligentes e Islas Inteligentes</w:t>
            </w:r>
          </w:p>
          <w:p w14:paraId="1F9D2FAE"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Evaluaciones del grado de preparación en materia de ciberseguridad</w:t>
            </w:r>
          </w:p>
          <w:p w14:paraId="6C3AE8AC"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Evaluaciones reglamentarias y de la resiliencia</w:t>
            </w:r>
          </w:p>
          <w:p w14:paraId="2AFCECBF"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Apoyo a la creación de capacidad</w:t>
            </w:r>
          </w:p>
          <w:p w14:paraId="44132258" w14:textId="77777777" w:rsidR="00BD155E" w:rsidRPr="00E71B56" w:rsidRDefault="00BD155E" w:rsidP="00A372FB">
            <w:pPr>
              <w:pStyle w:val="enumlev1"/>
              <w:tabs>
                <w:tab w:val="clear" w:pos="1134"/>
                <w:tab w:val="left" w:pos="330"/>
              </w:tabs>
              <w:ind w:left="330" w:hanging="330"/>
              <w:rPr>
                <w:lang w:val="es-ES"/>
              </w:rPr>
            </w:pPr>
            <w:r w:rsidRPr="00E71B56">
              <w:rPr>
                <w:lang w:val="es-ES"/>
              </w:rPr>
              <w:lastRenderedPageBreak/>
              <w:t>○</w:t>
            </w:r>
            <w:r w:rsidRPr="00E71B56">
              <w:rPr>
                <w:lang w:val="es-ES"/>
              </w:rPr>
              <w:tab/>
              <w:t>Restauración de las infraestructuras de radiodifusión</w:t>
            </w:r>
          </w:p>
          <w:p w14:paraId="2D196455"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África:</w:t>
            </w:r>
            <w:r w:rsidRPr="00E71B56">
              <w:rPr>
                <w:lang w:val="es-ES"/>
              </w:rPr>
              <w:t xml:space="preserve"> Cabo Verde, Chad, Etiopía, Gambia, Lesotho, Malawi, Mozambique, Níger, Nigeria, Rwanda, Sudáfrica, Zambia y Zimbabwe</w:t>
            </w:r>
          </w:p>
          <w:p w14:paraId="422AECF7"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Américas:</w:t>
            </w:r>
            <w:r w:rsidRPr="00E71B56">
              <w:rPr>
                <w:lang w:val="es-ES"/>
              </w:rPr>
              <w:t xml:space="preserve"> Barbados, Colombia, República Dominicana, El Salvador y Trinidad y Tabago</w:t>
            </w:r>
          </w:p>
          <w:p w14:paraId="03D1A2A4"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 xml:space="preserve">Estados Árabes: </w:t>
            </w:r>
            <w:r w:rsidRPr="00E71B56">
              <w:rPr>
                <w:lang w:val="es-ES"/>
              </w:rPr>
              <w:t>Egipto, Jordania, Líbano, Marruecos, Omán, Qatar, Arabia Saudita y Túnez</w:t>
            </w:r>
          </w:p>
          <w:p w14:paraId="1C591811"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Asia-Pacífico:</w:t>
            </w:r>
            <w:r w:rsidRPr="00E71B56">
              <w:rPr>
                <w:lang w:val="es-ES"/>
              </w:rPr>
              <w:t xml:space="preserve"> Bangladesh, Camboya, Estados Federados de Micronesia, Fiji, Kiribati, R.D.P. Lao, Islas Marshall, Nauru, Palau, Pakistán, Papua Nueva Guinea, Samoa, Tonga y Vanuatu</w:t>
            </w:r>
          </w:p>
          <w:p w14:paraId="20FCF747" w14:textId="77777777" w:rsidR="00BD155E" w:rsidRPr="00E71B56" w:rsidRDefault="00BD155E" w:rsidP="00A372FB">
            <w:pPr>
              <w:pStyle w:val="enumlev1"/>
              <w:tabs>
                <w:tab w:val="clear" w:pos="1134"/>
                <w:tab w:val="left" w:pos="330"/>
              </w:tabs>
              <w:ind w:left="330" w:hanging="330"/>
              <w:rPr>
                <w:lang w:val="es-ES"/>
              </w:rPr>
            </w:pPr>
            <w:r w:rsidRPr="00E71B56">
              <w:rPr>
                <w:lang w:val="es-ES"/>
              </w:rPr>
              <w:lastRenderedPageBreak/>
              <w:t>○</w:t>
            </w:r>
            <w:r w:rsidRPr="00E71B56">
              <w:rPr>
                <w:lang w:val="es-ES"/>
              </w:rPr>
              <w:tab/>
            </w:r>
            <w:r w:rsidRPr="00E71B56">
              <w:rPr>
                <w:b/>
                <w:bCs/>
                <w:lang w:val="es-ES"/>
              </w:rPr>
              <w:t>CEI:</w:t>
            </w:r>
            <w:r w:rsidRPr="00E71B56">
              <w:rPr>
                <w:lang w:val="es-ES"/>
              </w:rPr>
              <w:t xml:space="preserve"> Armenia, Azerbaiyán, Belarús, Kazajstán, Kirguistán, Federación de Rusia y Uzbekistán</w:t>
            </w:r>
          </w:p>
          <w:p w14:paraId="23A733FD"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Europa:</w:t>
            </w:r>
            <w:r w:rsidRPr="00E71B56">
              <w:rPr>
                <w:lang w:val="es-ES"/>
              </w:rPr>
              <w:t xml:space="preserve"> Albania, Montenegro, Rumania, Serbia y Ucrania</w:t>
            </w:r>
          </w:p>
          <w:p w14:paraId="6082388A" w14:textId="77777777" w:rsidR="00BD155E" w:rsidRPr="00E71B56" w:rsidRDefault="00BD155E" w:rsidP="00A372FB">
            <w:pPr>
              <w:keepNext/>
              <w:keepLines/>
              <w:rPr>
                <w:b/>
                <w:bCs/>
                <w:color w:val="0070C0"/>
                <w:lang w:val="es-ES"/>
              </w:rPr>
            </w:pPr>
            <w:r w:rsidRPr="00E71B56">
              <w:rPr>
                <w:b/>
                <w:bCs/>
                <w:color w:val="0070C0"/>
                <w:lang w:val="es-ES"/>
              </w:rPr>
              <w:t>PMA, PDSL y PEID participantes/asistidos:</w:t>
            </w:r>
          </w:p>
          <w:p w14:paraId="7EBFF8D8"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22 países participantes</w:t>
            </w:r>
          </w:p>
          <w:p w14:paraId="25BA7A32"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6 países recibieron asistencia técnica</w:t>
            </w:r>
          </w:p>
          <w:p w14:paraId="7DEE9039"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22 países habían puesto en marcha plataformas de reunión</w:t>
            </w:r>
          </w:p>
        </w:tc>
      </w:tr>
      <w:tr w:rsidR="00BD155E" w:rsidRPr="00E71B56" w14:paraId="439EED5C" w14:textId="77777777" w:rsidTr="00A372FB">
        <w:trPr>
          <w:jc w:val="center"/>
        </w:trPr>
        <w:tc>
          <w:tcPr>
            <w:tcW w:w="3173" w:type="dxa"/>
          </w:tcPr>
          <w:p w14:paraId="16DB7A6C" w14:textId="77777777" w:rsidR="00BD155E" w:rsidRPr="00E71B56" w:rsidRDefault="00BD155E" w:rsidP="00A372FB">
            <w:pPr>
              <w:rPr>
                <w:lang w:val="es-ES"/>
              </w:rPr>
            </w:pPr>
            <w:r w:rsidRPr="00E71B56">
              <w:rPr>
                <w:b/>
                <w:bCs/>
                <w:lang w:val="es-ES"/>
              </w:rPr>
              <w:lastRenderedPageBreak/>
              <w:t>Contribución a las metas de los ODS</w:t>
            </w:r>
          </w:p>
        </w:tc>
        <w:tc>
          <w:tcPr>
            <w:tcW w:w="12211" w:type="dxa"/>
            <w:gridSpan w:val="2"/>
          </w:tcPr>
          <w:p w14:paraId="7CF44F9B" w14:textId="77777777" w:rsidR="00BD155E" w:rsidRPr="00E71B56" w:rsidRDefault="00BD155E" w:rsidP="00A372FB">
            <w:pPr>
              <w:rPr>
                <w:lang w:val="es-ES"/>
              </w:rPr>
            </w:pPr>
            <w:r w:rsidRPr="00E71B56">
              <w:rPr>
                <w:lang w:val="es-ES"/>
              </w:rPr>
              <w:t>ODS 1, 3, 4, 5, 8, 9, 10, 11, 16 y 17</w:t>
            </w:r>
          </w:p>
        </w:tc>
      </w:tr>
      <w:tr w:rsidR="00BD155E" w:rsidRPr="00E71B56" w14:paraId="207D00A5" w14:textId="77777777" w:rsidTr="00A372FB">
        <w:trPr>
          <w:jc w:val="center"/>
        </w:trPr>
        <w:tc>
          <w:tcPr>
            <w:tcW w:w="3173" w:type="dxa"/>
          </w:tcPr>
          <w:p w14:paraId="4304CC98" w14:textId="77777777" w:rsidR="00BD155E" w:rsidRPr="00E71B56" w:rsidRDefault="00BD155E" w:rsidP="00A372FB">
            <w:pPr>
              <w:rPr>
                <w:b/>
                <w:bCs/>
                <w:lang w:val="es-ES"/>
              </w:rPr>
            </w:pPr>
            <w:r w:rsidRPr="00E71B56">
              <w:rPr>
                <w:b/>
                <w:bCs/>
                <w:lang w:val="es-ES"/>
              </w:rPr>
              <w:t>Líneas de Acción de la CMSI</w:t>
            </w:r>
          </w:p>
        </w:tc>
        <w:tc>
          <w:tcPr>
            <w:tcW w:w="12211" w:type="dxa"/>
            <w:gridSpan w:val="2"/>
          </w:tcPr>
          <w:p w14:paraId="2A29CBD2" w14:textId="77777777" w:rsidR="00BD155E" w:rsidRPr="00E71B56" w:rsidRDefault="00BD155E" w:rsidP="00A372FB">
            <w:pPr>
              <w:rPr>
                <w:lang w:val="es-ES"/>
              </w:rPr>
            </w:pPr>
            <w:r w:rsidRPr="00E71B56">
              <w:rPr>
                <w:lang w:val="es-ES"/>
              </w:rPr>
              <w:t>C1, C2, C3, C4, C5, C6, C7 y C11</w:t>
            </w:r>
          </w:p>
        </w:tc>
      </w:tr>
      <w:tr w:rsidR="00BD155E" w:rsidRPr="00E71B56" w14:paraId="029E6CB7" w14:textId="77777777" w:rsidTr="00A372FB">
        <w:trPr>
          <w:jc w:val="center"/>
        </w:trPr>
        <w:tc>
          <w:tcPr>
            <w:tcW w:w="3173" w:type="dxa"/>
          </w:tcPr>
          <w:p w14:paraId="768E8D1C" w14:textId="77777777" w:rsidR="00BD155E" w:rsidRPr="00E71B56" w:rsidRDefault="00BD155E" w:rsidP="00A372FB">
            <w:pPr>
              <w:rPr>
                <w:b/>
                <w:bCs/>
                <w:lang w:val="es-ES"/>
              </w:rPr>
            </w:pPr>
            <w:r w:rsidRPr="00E71B56">
              <w:rPr>
                <w:b/>
                <w:bCs/>
                <w:lang w:val="es-ES"/>
              </w:rPr>
              <w:t>Resoluciones</w:t>
            </w:r>
          </w:p>
        </w:tc>
        <w:tc>
          <w:tcPr>
            <w:tcW w:w="12211" w:type="dxa"/>
            <w:gridSpan w:val="2"/>
          </w:tcPr>
          <w:p w14:paraId="55C85CD6" w14:textId="77777777" w:rsidR="00BD155E" w:rsidRPr="00E71B56" w:rsidRDefault="00BD155E" w:rsidP="00A372FB">
            <w:pPr>
              <w:rPr>
                <w:lang w:val="es-ES"/>
              </w:rPr>
            </w:pPr>
            <w:r w:rsidRPr="00E71B56">
              <w:rPr>
                <w:lang w:val="es-ES"/>
              </w:rPr>
              <w:t>16 de la CMDT</w:t>
            </w:r>
          </w:p>
        </w:tc>
      </w:tr>
      <w:tr w:rsidR="00BD155E" w:rsidRPr="00E71B56" w14:paraId="6590C9B1" w14:textId="77777777" w:rsidTr="00A372FB">
        <w:trPr>
          <w:jc w:val="center"/>
        </w:trPr>
        <w:tc>
          <w:tcPr>
            <w:tcW w:w="3173" w:type="dxa"/>
          </w:tcPr>
          <w:p w14:paraId="12BD5C55" w14:textId="77777777" w:rsidR="00BD155E" w:rsidRPr="00E71B56" w:rsidRDefault="00BD155E" w:rsidP="00A372FB">
            <w:pPr>
              <w:rPr>
                <w:b/>
                <w:lang w:val="es-ES"/>
              </w:rPr>
            </w:pPr>
            <w:r w:rsidRPr="00E71B56">
              <w:rPr>
                <w:b/>
                <w:bCs/>
                <w:lang w:val="es-ES"/>
              </w:rPr>
              <w:t>Cuestiones de las Comisiones de Estudio del UIT</w:t>
            </w:r>
            <w:r w:rsidRPr="00E71B56">
              <w:rPr>
                <w:b/>
                <w:bCs/>
                <w:lang w:val="es-ES"/>
              </w:rPr>
              <w:noBreakHyphen/>
              <w:t>D</w:t>
            </w:r>
          </w:p>
        </w:tc>
        <w:tc>
          <w:tcPr>
            <w:tcW w:w="12211" w:type="dxa"/>
            <w:gridSpan w:val="2"/>
          </w:tcPr>
          <w:p w14:paraId="058BF709" w14:textId="77777777" w:rsidR="00BD155E" w:rsidRPr="00E71B56" w:rsidRDefault="00BD155E" w:rsidP="00A372FB">
            <w:pPr>
              <w:rPr>
                <w:lang w:val="es-ES"/>
              </w:rPr>
            </w:pPr>
            <w:r w:rsidRPr="00E71B56">
              <w:rPr>
                <w:lang w:val="es-ES"/>
              </w:rPr>
              <w:t>Todas las Cuestiones de la Comisión de Estudio 1 sobre "Entorno propicio para la conectividad efectiva" y de la Comisión de Estudio 2 sobre "Transformación digital"</w:t>
            </w:r>
          </w:p>
        </w:tc>
      </w:tr>
    </w:tbl>
    <w:p w14:paraId="7E9678B1" w14:textId="77777777" w:rsidR="00BD155E" w:rsidRPr="00E71B56" w:rsidRDefault="00BD155E" w:rsidP="00BD155E">
      <w:pPr>
        <w:rPr>
          <w:lang w:val="es-ES"/>
        </w:rPr>
      </w:pPr>
      <w:bookmarkStart w:id="52" w:name="Proposal"/>
      <w:bookmarkEnd w:id="52"/>
      <w:r w:rsidRPr="00E71B56">
        <w:rPr>
          <w:lang w:val="es-ES"/>
        </w:rPr>
        <w:br w:type="page"/>
      </w:r>
    </w:p>
    <w:tbl>
      <w:tblPr>
        <w:tblStyle w:val="TableGridLight"/>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2899"/>
        <w:gridCol w:w="8060"/>
        <w:gridCol w:w="3035"/>
      </w:tblGrid>
      <w:tr w:rsidR="00BD155E" w:rsidRPr="00E71B56" w14:paraId="379DFA2C" w14:textId="77777777" w:rsidTr="00A372FB">
        <w:trPr>
          <w:jc w:val="center"/>
        </w:trPr>
        <w:tc>
          <w:tcPr>
            <w:tcW w:w="15384" w:type="dxa"/>
            <w:gridSpan w:val="3"/>
            <w:shd w:val="clear" w:color="auto" w:fill="2F5496"/>
          </w:tcPr>
          <w:p w14:paraId="6DA125FE" w14:textId="77777777" w:rsidR="00BD155E" w:rsidRPr="00E71B56" w:rsidRDefault="00BD155E" w:rsidP="00A372FB">
            <w:pPr>
              <w:pStyle w:val="Heading2"/>
              <w:jc w:val="center"/>
              <w:rPr>
                <w:color w:val="FFFFFF" w:themeColor="background1"/>
                <w:lang w:val="es-ES"/>
              </w:rPr>
            </w:pPr>
            <w:bookmarkStart w:id="53" w:name="_Toc212728830"/>
            <w:bookmarkStart w:id="54" w:name="_Toc213427978"/>
            <w:r w:rsidRPr="00E71B56">
              <w:rPr>
                <w:color w:val="FFFFFF" w:themeColor="background1"/>
                <w:lang w:val="es-ES"/>
              </w:rPr>
              <w:lastRenderedPageBreak/>
              <w:t>Factor habilitador 3 del UIT</w:t>
            </w:r>
            <w:r w:rsidRPr="00E71B56">
              <w:rPr>
                <w:color w:val="FFFFFF" w:themeColor="background1"/>
                <w:lang w:val="es-ES"/>
              </w:rPr>
              <w:noBreakHyphen/>
              <w:t>D: Diversidad e inclusión</w:t>
            </w:r>
            <w:bookmarkEnd w:id="53"/>
            <w:bookmarkEnd w:id="54"/>
          </w:p>
          <w:p w14:paraId="5A3B7FAD" w14:textId="77777777" w:rsidR="00BD155E" w:rsidRPr="00E71B56" w:rsidRDefault="00BD155E" w:rsidP="00A372FB">
            <w:pPr>
              <w:spacing w:after="120"/>
              <w:jc w:val="center"/>
              <w:rPr>
                <w:b/>
                <w:bCs/>
                <w:i/>
                <w:iCs/>
                <w:color w:val="FFFFFF" w:themeColor="background1"/>
                <w:lang w:val="es-ES"/>
              </w:rPr>
            </w:pPr>
            <w:r w:rsidRPr="00E71B56">
              <w:rPr>
                <w:b/>
                <w:bCs/>
                <w:i/>
                <w:iCs/>
                <w:color w:val="FFFFFF" w:themeColor="background1"/>
                <w:lang w:val="es-ES"/>
              </w:rPr>
              <w:t>Desarrollo de estrategias y soluciones en materia de inclusión digital</w:t>
            </w:r>
          </w:p>
        </w:tc>
      </w:tr>
      <w:tr w:rsidR="00BD155E" w:rsidRPr="00E71B56" w14:paraId="252AF802" w14:textId="77777777" w:rsidTr="00A372FB">
        <w:trPr>
          <w:jc w:val="center"/>
        </w:trPr>
        <w:tc>
          <w:tcPr>
            <w:tcW w:w="15384" w:type="dxa"/>
            <w:gridSpan w:val="3"/>
            <w:shd w:val="clear" w:color="auto" w:fill="E5DFEC"/>
          </w:tcPr>
          <w:p w14:paraId="42933A28" w14:textId="77777777" w:rsidR="00BD155E" w:rsidRPr="00E71B56" w:rsidRDefault="00BD155E" w:rsidP="00A372FB">
            <w:pPr>
              <w:rPr>
                <w:b/>
                <w:bCs/>
                <w:lang w:val="es-ES"/>
              </w:rPr>
            </w:pPr>
            <w:r w:rsidRPr="00E71B56">
              <w:rPr>
                <w:b/>
                <w:bCs/>
                <w:i/>
                <w:iCs/>
                <w:lang w:val="es-ES"/>
              </w:rPr>
              <w:t>Realización:</w:t>
            </w:r>
            <w:r w:rsidRPr="00E71B56">
              <w:rPr>
                <w:i/>
                <w:iCs/>
                <w:lang w:val="es-ES"/>
              </w:rPr>
              <w:t xml:space="preserve"> Refuerzo de la capacidad de los miembros de la UIT para elaborar estrategias, políticas y prácticas que favorezcan la inclusión digital y la equidad, en particular el empoderamiento de las mujeres y las niñas, las personas con discapacidad y las personas con necesidades especiales y los hogares con bajos ingresos</w:t>
            </w:r>
          </w:p>
        </w:tc>
      </w:tr>
      <w:tr w:rsidR="00BD155E" w:rsidRPr="00E71B56" w14:paraId="0FAC0C70" w14:textId="77777777" w:rsidTr="00A372FB">
        <w:trPr>
          <w:jc w:val="center"/>
        </w:trPr>
        <w:tc>
          <w:tcPr>
            <w:tcW w:w="12061" w:type="dxa"/>
            <w:gridSpan w:val="2"/>
          </w:tcPr>
          <w:p w14:paraId="7C7938A5" w14:textId="77777777" w:rsidR="00BD155E" w:rsidRPr="00E71B56" w:rsidRDefault="00BD155E" w:rsidP="00A372FB">
            <w:pPr>
              <w:jc w:val="center"/>
              <w:rPr>
                <w:b/>
                <w:bCs/>
                <w:color w:val="0070C0"/>
                <w:lang w:val="es-ES"/>
              </w:rPr>
            </w:pPr>
            <w:r w:rsidRPr="00E71B56">
              <w:rPr>
                <w:b/>
                <w:bCs/>
                <w:color w:val="0070C0"/>
                <w:lang w:val="es-ES"/>
              </w:rPr>
              <w:t>Productos</w:t>
            </w:r>
          </w:p>
        </w:tc>
        <w:tc>
          <w:tcPr>
            <w:tcW w:w="3323" w:type="dxa"/>
          </w:tcPr>
          <w:p w14:paraId="517EFC90" w14:textId="77777777" w:rsidR="00BD155E" w:rsidRPr="00E71B56" w:rsidRDefault="00BD155E" w:rsidP="00A372FB">
            <w:pPr>
              <w:jc w:val="center"/>
              <w:rPr>
                <w:b/>
                <w:bCs/>
                <w:color w:val="0070C0"/>
                <w:lang w:val="es-ES"/>
              </w:rPr>
            </w:pPr>
            <w:r w:rsidRPr="00E71B56">
              <w:rPr>
                <w:b/>
                <w:bCs/>
                <w:color w:val="0070C0"/>
                <w:lang w:val="es-ES"/>
              </w:rPr>
              <w:t>Aspectos destacados</w:t>
            </w:r>
          </w:p>
        </w:tc>
      </w:tr>
      <w:tr w:rsidR="00BD155E" w:rsidRPr="00E71B56" w14:paraId="0B09B04D" w14:textId="77777777" w:rsidTr="00A372FB">
        <w:trPr>
          <w:jc w:val="center"/>
        </w:trPr>
        <w:tc>
          <w:tcPr>
            <w:tcW w:w="12061" w:type="dxa"/>
            <w:gridSpan w:val="2"/>
          </w:tcPr>
          <w:p w14:paraId="5665DC49" w14:textId="77777777" w:rsidR="00BD155E" w:rsidRPr="00E71B56" w:rsidRDefault="00BD155E" w:rsidP="00A372FB">
            <w:pPr>
              <w:rPr>
                <w:lang w:val="es-ES"/>
              </w:rPr>
            </w:pPr>
            <w:r w:rsidRPr="00E71B56">
              <w:rPr>
                <w:lang w:val="es-ES"/>
              </w:rPr>
              <w:t xml:space="preserve">Entre 2023 y 2025, la BDT aceleró su compromiso con la integración de la diversidad y la inclusión en el centro del desarrollo digital, en consonancia con la </w:t>
            </w:r>
            <w:hyperlink r:id="rId330" w:history="1">
              <w:r w:rsidRPr="00E71B56">
                <w:rPr>
                  <w:rStyle w:val="Hyperlink"/>
                  <w:lang w:val="es-ES"/>
                </w:rPr>
                <w:t>Resolución 46 (Rev. Kigali, 2022) de la CMDT-22</w:t>
              </w:r>
            </w:hyperlink>
            <w:r w:rsidRPr="00E71B56">
              <w:rPr>
                <w:lang w:val="es-ES"/>
              </w:rPr>
              <w:t xml:space="preserve"> sobre la prestación de asistencia a los pueblos y comunidades indígenas a través de las tecnologías de la información y la comunicación</w:t>
            </w:r>
            <w:r w:rsidRPr="00E71B56">
              <w:rPr>
                <w:i/>
                <w:iCs/>
                <w:lang w:val="es-ES"/>
              </w:rPr>
              <w:t xml:space="preserve">, </w:t>
            </w:r>
            <w:r w:rsidRPr="00E71B56">
              <w:rPr>
                <w:lang w:val="es-ES"/>
              </w:rPr>
              <w:t xml:space="preserve">la </w:t>
            </w:r>
            <w:hyperlink r:id="rId331" w:history="1">
              <w:r w:rsidRPr="00E71B56">
                <w:rPr>
                  <w:rStyle w:val="Hyperlink"/>
                  <w:lang w:val="es-ES"/>
                </w:rPr>
                <w:t>Resolución 55 (Rev. Kigali, 2022) de la CMDT-22</w:t>
              </w:r>
            </w:hyperlink>
            <w:r w:rsidRPr="00E71B56">
              <w:rPr>
                <w:lang w:val="es-ES"/>
              </w:rPr>
              <w:t xml:space="preserve"> sobre la integración de una perspectiva de género en favor de una sociedad de la información integradora e igualitaria, la </w:t>
            </w:r>
            <w:hyperlink r:id="rId332" w:history="1">
              <w:r w:rsidRPr="00E71B56">
                <w:rPr>
                  <w:rStyle w:val="Hyperlink"/>
                  <w:lang w:val="es-ES"/>
                </w:rPr>
                <w:t>Resolución 58 (Rev. Kigali, 2022) de la CMDT-22</w:t>
              </w:r>
            </w:hyperlink>
            <w:r w:rsidRPr="00E71B56">
              <w:rPr>
                <w:lang w:val="es-ES"/>
              </w:rPr>
              <w:t xml:space="preserve"> sobre las telecomunicaciones/tecnologías de la información y la comunicación para las personas con discapacidad y las personas con necesidades especiales, y la </w:t>
            </w:r>
            <w:hyperlink r:id="rId333" w:history="1">
              <w:r w:rsidRPr="00E71B56">
                <w:rPr>
                  <w:rStyle w:val="Hyperlink"/>
                  <w:lang w:val="es-ES"/>
                </w:rPr>
                <w:t>Resolución 76 (Rev. Kigali, 2022) de la CMDT-22</w:t>
              </w:r>
            </w:hyperlink>
            <w:r w:rsidRPr="00E71B56">
              <w:rPr>
                <w:lang w:val="es-ES"/>
              </w:rPr>
              <w:t xml:space="preserve"> sobre la promoción de las tecnologías de la información y la comunicación entre los hombres y las mujeres jóvenes para su emancipación social y económica</w:t>
            </w:r>
            <w:r w:rsidRPr="00E71B56">
              <w:rPr>
                <w:i/>
                <w:iCs/>
                <w:lang w:val="es-ES"/>
              </w:rPr>
              <w:t>.</w:t>
            </w:r>
            <w:r w:rsidRPr="00E71B56">
              <w:rPr>
                <w:lang w:val="es-ES"/>
              </w:rPr>
              <w:t xml:space="preserve"> Este periodo marcó un cambio de proyectos específicos improvisados o creados según las necesidades a estrategias integradas destinadas a garantizar que las mujeres, los jóvenes, las personas con discapacidad y otros grupos marginados fuesen reconocidos beneficiarios de las TIC y líderes y cocreadores activos. La diversidad se reconoció no como una prioridad independiente sino como un factor habilitador transversal que sustentaba la innovación, la política y la creación de capacidad en las regiones. Por conducto de alianzas, eventos emblemáticos y programas adaptados, la inclusión pasó de ser una aspiración política a un impulsor práctico de la transformación.</w:t>
            </w:r>
            <w:hyperlink r:id="rId334" w:history="1"/>
            <w:hyperlink r:id="rId335" w:history="1"/>
            <w:hyperlink r:id="rId336" w:history="1"/>
            <w:hyperlink r:id="rId337" w:history="1"/>
          </w:p>
          <w:p w14:paraId="1CC0ADD2" w14:textId="77777777" w:rsidR="00BD155E" w:rsidRPr="00E71B56" w:rsidRDefault="00BD155E" w:rsidP="00A372FB">
            <w:pPr>
              <w:rPr>
                <w:lang w:val="es-ES"/>
              </w:rPr>
            </w:pPr>
            <w:r w:rsidRPr="00E71B56">
              <w:rPr>
                <w:lang w:val="es-ES"/>
              </w:rPr>
              <w:t xml:space="preserve">La labor de la BDT sobre la inclusión digital tuvo efectos tangibles mediante el asesoramiento de expertos y la creación de capacidad para apoyar las políticas y estrategias digitales inclusivas. Más de 14 000 responsables de formular políticas y partes interesadas de más de 120 países de todas las regiones reforzaron su capacidad para diseñar e implementar políticas digitales inclusivas que garantizasen el acceso equitativo a las TIC de las mujeres, las niñas, las personas de edad, las personas con discapacidad y las comunidades indígenas y </w:t>
            </w:r>
            <w:r w:rsidRPr="00E71B56">
              <w:rPr>
                <w:lang w:val="es-ES"/>
              </w:rPr>
              <w:lastRenderedPageBreak/>
              <w:t xml:space="preserve">remotas, en particular mediante cursos en línea autogestionados gratuitos, accesibles y multilingües en la Academia de la UIT. La transmisión de conocimientos se consiguió mediante formaciones ejecutivas adaptadas, talleres y la participación en plataformas regionales, mundiales y de las Naciones Unidas en materia de género, accesibilidad, envejecimiento y juventud. La BDT también prestó ayuda de expertos para elaborar planes estratégicos nacionales en materia de inclusión digital, diseñados por conducto de un enfoque holístico e interseccional para garantizar que todos los ciudadanos puedan utilizar las tecnologías y participar en la sociedad digital. Se llevó a cabo un plan piloto en Burundi, que sirvió de modelo para replicarlo en otros países. Además, se prestó asistencia técnica sobre políticas y estrategias con perspectiva de género a </w:t>
            </w:r>
            <w:hyperlink r:id="rId338" w:history="1">
              <w:r w:rsidRPr="00E71B56">
                <w:rPr>
                  <w:rStyle w:val="Hyperlink"/>
                  <w:lang w:val="es-ES"/>
                </w:rPr>
                <w:t>Burun</w:t>
              </w:r>
              <w:r w:rsidRPr="00E71B56">
                <w:rPr>
                  <w:rStyle w:val="Hyperlink"/>
                  <w:lang w:val="es-ES"/>
                </w:rPr>
                <w:t>d</w:t>
              </w:r>
              <w:r w:rsidRPr="00E71B56">
                <w:rPr>
                  <w:rStyle w:val="Hyperlink"/>
                  <w:lang w:val="es-ES"/>
                </w:rPr>
                <w:t>i</w:t>
              </w:r>
            </w:hyperlink>
            <w:r w:rsidRPr="00E71B56">
              <w:rPr>
                <w:lang w:val="es-ES"/>
              </w:rPr>
              <w:t xml:space="preserve">, </w:t>
            </w:r>
            <w:hyperlink r:id="rId339" w:history="1">
              <w:r w:rsidRPr="00E71B56">
                <w:rPr>
                  <w:rStyle w:val="Hyperlink"/>
                  <w:lang w:val="es-ES"/>
                </w:rPr>
                <w:t>Etiopía</w:t>
              </w:r>
            </w:hyperlink>
            <w:r w:rsidRPr="00E71B56">
              <w:rPr>
                <w:lang w:val="es-ES"/>
              </w:rPr>
              <w:t>, Haití, la República Dominicana y Libia.</w:t>
            </w:r>
            <w:hyperlink r:id="rId340" w:history="1"/>
            <w:hyperlink r:id="rId341" w:history="1"/>
          </w:p>
          <w:p w14:paraId="26D907D7" w14:textId="77777777" w:rsidR="00BD155E" w:rsidRPr="00E71B56" w:rsidRDefault="00BD155E" w:rsidP="00A372FB">
            <w:pPr>
              <w:rPr>
                <w:lang w:val="es-ES"/>
              </w:rPr>
            </w:pPr>
            <w:r w:rsidRPr="00E71B56">
              <w:rPr>
                <w:lang w:val="es-ES"/>
              </w:rPr>
              <w:t xml:space="preserve">Se pusieron en marcha iniciativas y proyectos clave para desarrollar las competencias de los usuarios finales y empoderar a las comunidades. A través de la iniciativa </w:t>
            </w:r>
            <w:hyperlink r:id="rId342" w:history="1">
              <w:r w:rsidRPr="00E71B56">
                <w:rPr>
                  <w:rStyle w:val="Hyperlink"/>
                  <w:b/>
                  <w:bCs/>
                  <w:lang w:val="es-ES"/>
                </w:rPr>
                <w:t>Enviados de la Juventud Generation Connect</w:t>
              </w:r>
            </w:hyperlink>
            <w:r w:rsidRPr="00E71B56">
              <w:rPr>
                <w:lang w:val="es-ES"/>
              </w:rPr>
              <w:t>, la BDT fortaleció la participación de los jóvenes en todas las regiones, nombrando a 184 Enviados de la Juventud de 64 países con una participación casi igualitaria entre los géneros y una fuerte representación de PMA, PDSL y PEID. Con edades comprendidas entre los 18 y los 24 años, los Enviados contribuyeron a presentar las perspectivas de los jóvenes en los debates nacionales, regionales y mundiales en materia de TIC, incluidos los Foros Regionales de Desarrollo, el Día de las Niñas en las TIC y las Comisiones de Estudio del UIT</w:t>
            </w:r>
            <w:r w:rsidRPr="00E71B56">
              <w:rPr>
                <w:lang w:val="es-ES"/>
              </w:rPr>
              <w:noBreakHyphen/>
              <w:t xml:space="preserve">D. Su capacidad mejoró por conducto de un Programa de Desarrollo de Conocimientos y Mentoría y Consultas Regionales con los Jóvenes, en cuyo marco identificaron las prioridades y presentaron recomendaciones a los Miembros de la UIT mediante el </w:t>
            </w:r>
            <w:hyperlink r:id="rId343" w:history="1">
              <w:r w:rsidRPr="00E71B56">
                <w:rPr>
                  <w:rStyle w:val="Hyperlink"/>
                  <w:lang w:val="es-ES"/>
                </w:rPr>
                <w:t>Grupo de Coordinación Oficioso sobre la Cumbre Mundial de la Juventud</w:t>
              </w:r>
            </w:hyperlink>
            <w:r w:rsidRPr="00E71B56">
              <w:rPr>
                <w:lang w:val="es-ES"/>
              </w:rPr>
              <w:t>, reforzando su papel de cocreadores de la transformación digital inclusiva.</w:t>
            </w:r>
            <w:hyperlink r:id="rId344" w:history="1"/>
            <w:hyperlink r:id="rId345" w:history="1"/>
          </w:p>
          <w:p w14:paraId="6F0E7F92" w14:textId="77777777" w:rsidR="00BD155E" w:rsidRPr="00E71B56" w:rsidRDefault="00BD155E" w:rsidP="00A372FB">
            <w:pPr>
              <w:rPr>
                <w:lang w:val="es-ES"/>
              </w:rPr>
            </w:pPr>
            <w:r w:rsidRPr="00E71B56">
              <w:rPr>
                <w:lang w:val="es-ES"/>
              </w:rPr>
              <w:t xml:space="preserve">Por conducto del Programa de </w:t>
            </w:r>
            <w:hyperlink r:id="rId346" w:history="1">
              <w:r w:rsidRPr="00E71B56">
                <w:rPr>
                  <w:rStyle w:val="Hyperlink"/>
                  <w:b/>
                  <w:bCs/>
                  <w:lang w:val="es-ES"/>
                </w:rPr>
                <w:t>Jóvenes Líderes de la iniciativa Generación Connect</w:t>
              </w:r>
            </w:hyperlink>
            <w:r w:rsidRPr="00E71B56">
              <w:rPr>
                <w:lang w:val="es-ES"/>
              </w:rPr>
              <w:t xml:space="preserve"> (GCYLP), 60 becarios de 40 países fueron seleccionados entre más de 10 000 candidatos presentados vía dos grupos mundiales entre 2024 y 2025. Con el apoyo de Huawei, cada becario recibió una beca y una mentoría para llevar a cabo proyectos locales, y algunos obtuvieron fondos adicionales para ampliar el alcance de sus iniciativas. Los becarios presentaron su trabajo en eventos mundiales como el Foro de Competencias Digitales de la UIT, el Foro de Innovación Mundial y la COP29, demostrando la innovación dirigida por los jóvenes en acción.</w:t>
            </w:r>
            <w:hyperlink r:id="rId347" w:history="1"/>
          </w:p>
          <w:p w14:paraId="1A40F449" w14:textId="77777777" w:rsidR="00BD155E" w:rsidRPr="00E71B56" w:rsidRDefault="00BD155E" w:rsidP="00A372FB">
            <w:pPr>
              <w:rPr>
                <w:lang w:val="es-ES"/>
              </w:rPr>
            </w:pPr>
            <w:r w:rsidRPr="00E71B56">
              <w:rPr>
                <w:lang w:val="es-ES"/>
              </w:rPr>
              <w:t xml:space="preserve">La </w:t>
            </w:r>
            <w:r w:rsidRPr="00E71B56">
              <w:rPr>
                <w:b/>
                <w:bCs/>
                <w:lang w:val="es-ES"/>
              </w:rPr>
              <w:t>Red de Mujeres del UIT</w:t>
            </w:r>
            <w:r w:rsidRPr="00E71B56">
              <w:rPr>
                <w:b/>
                <w:bCs/>
                <w:lang w:val="es-ES"/>
              </w:rPr>
              <w:noBreakHyphen/>
              <w:t>D</w:t>
            </w:r>
            <w:r w:rsidRPr="00E71B56">
              <w:rPr>
                <w:lang w:val="es-ES"/>
              </w:rPr>
              <w:t xml:space="preserve"> (NoW en el UIT</w:t>
            </w:r>
            <w:r w:rsidRPr="00E71B56">
              <w:rPr>
                <w:lang w:val="es-ES"/>
              </w:rPr>
              <w:noBreakHyphen/>
              <w:t>D) siguió impulsando la participación de la mujer en los procesos del UIT</w:t>
            </w:r>
            <w:r w:rsidRPr="00E71B56">
              <w:rPr>
                <w:lang w:val="es-ES"/>
              </w:rPr>
              <w:noBreakHyphen/>
              <w:t xml:space="preserve">D y los preparativos de la CMDT-25. Con el apoyo de la Comisión de las Comunicaciones, el Espacio y </w:t>
            </w:r>
            <w:r w:rsidRPr="00E71B56">
              <w:rPr>
                <w:lang w:val="es-ES"/>
              </w:rPr>
              <w:lastRenderedPageBreak/>
              <w:t>las Tecnología de Arabia Saudita, el proyecto "Creación de una red de mujeres líderes" benefició a más de 400 mujeres de todas las regiones mediante actividades de formación y mentorías. El Programa de Mentorías sobre el Empoderamiento de Mujeres Líderes contó con 150 participantes de las seis regiones, entre ellos, un 30 % de hombres mentores que contribuyeron a promover las alianzas activas en materia de emancipación de género. En el Simposio Mundial para Organismos Reguladores celebrado en Arabia Saudita en 2025, 61 participantes de 40 países asistieron a la Clase Magistral sobre Refuerzo de la Confianza para mejorar las competencias en materia de liderazgo y comunicación. Asimismo, las sesiones de establecimiento de contactos y las mesas redondas organizadas en los grandes eventos de la UIT reforzaron la colaboración y la visibilidad de las mujeres profesionales en el desarrollo digital.</w:t>
            </w:r>
            <w:hyperlink r:id="rId348" w:history="1"/>
            <w:hyperlink r:id="rId349" w:history="1"/>
          </w:p>
          <w:p w14:paraId="48E84BE4" w14:textId="77777777" w:rsidR="00BD155E" w:rsidRPr="00E71B56" w:rsidRDefault="00BD155E" w:rsidP="00A372FB">
            <w:pPr>
              <w:rPr>
                <w:lang w:val="es-ES"/>
              </w:rPr>
            </w:pPr>
            <w:r w:rsidRPr="00E71B56">
              <w:rPr>
                <w:lang w:val="es-ES"/>
              </w:rPr>
              <w:t>En el plano comunitario, más de 13 000 personas de más de 40 países se vieron beneficiadas de las iniciativas de la BDT en materia de inclusión digital, en particular las mujeres, los jóvenes, las personas de edad, las personas con discapacidad y las comunidades indígenas. El programa de formación mixto organizado en América Latina y el Caribe formó a administradores de redes comunitarias para diseñar y mantener soluciones de conectividad locales, y contó con 28 graduados de nueve países en 2023</w:t>
            </w:r>
            <w:r w:rsidRPr="00E71B56">
              <w:rPr>
                <w:lang w:val="es-ES"/>
              </w:rPr>
              <w:noBreakHyphen/>
              <w:t xml:space="preserve">2024 y con 50 participantes certificados de 10 países en 2024. En 2025, el programa se hizo por primera vez extensivo a África, y contó con 65 participantes de 18 países, fomentando el liderazgo local en las iniciativas digitales comunitarias. Véase </w:t>
            </w:r>
            <w:hyperlink r:id="rId350" w:history="1">
              <w:r w:rsidRPr="00E71B56">
                <w:rPr>
                  <w:rStyle w:val="Hyperlink"/>
                  <w:lang w:val="es-ES"/>
                </w:rPr>
                <w:t>más informaci</w:t>
              </w:r>
              <w:r w:rsidRPr="00E71B56">
                <w:rPr>
                  <w:rStyle w:val="Hyperlink"/>
                  <w:lang w:val="es-ES"/>
                </w:rPr>
                <w:t>ó</w:t>
              </w:r>
              <w:r w:rsidRPr="00E71B56">
                <w:rPr>
                  <w:rStyle w:val="Hyperlink"/>
                  <w:lang w:val="es-ES"/>
                </w:rPr>
                <w:t>n</w:t>
              </w:r>
            </w:hyperlink>
            <w:r w:rsidRPr="00E71B56">
              <w:rPr>
                <w:lang w:val="es-ES"/>
              </w:rPr>
              <w:t xml:space="preserve"> al respecto.</w:t>
            </w:r>
            <w:hyperlink r:id="rId351" w:history="1"/>
          </w:p>
          <w:p w14:paraId="12B44C96" w14:textId="77777777" w:rsidR="00BD155E" w:rsidRPr="00E71B56" w:rsidRDefault="00BD155E" w:rsidP="00A372FB">
            <w:pPr>
              <w:rPr>
                <w:lang w:val="es-ES"/>
              </w:rPr>
            </w:pPr>
            <w:r w:rsidRPr="00E71B56">
              <w:rPr>
                <w:lang w:val="es-ES"/>
              </w:rPr>
              <w:t xml:space="preserve">El </w:t>
            </w:r>
            <w:hyperlink r:id="rId352" w:history="1">
              <w:r w:rsidRPr="00E71B56">
                <w:rPr>
                  <w:rStyle w:val="Hyperlink"/>
                  <w:b/>
                  <w:bCs/>
                  <w:lang w:val="es-ES"/>
                </w:rPr>
                <w:t>Acelerador de Competencias en IA para las Niñas</w:t>
              </w:r>
            </w:hyperlink>
            <w:r w:rsidRPr="00E71B56">
              <w:rPr>
                <w:lang w:val="es-ES"/>
              </w:rPr>
              <w:t>, puesto en marcha en asociación con EY, hizo frente a las brechas de género en la inteligencia artificial dotando a las jóvenes de competencias éticas, técnicas y directivas. Entre 2024 y 2025, la iniciativa llegó a más de 820 participantes de países como Paraguay, Malta, Kenya, la India, Kazajstán, Jordania, Uzbekistán.</w:t>
            </w:r>
            <w:hyperlink r:id="rId353" w:history="1"/>
          </w:p>
          <w:p w14:paraId="29EAD968" w14:textId="77777777" w:rsidR="00BD155E" w:rsidRPr="00E71B56" w:rsidRDefault="00BD155E" w:rsidP="00A372FB">
            <w:pPr>
              <w:rPr>
                <w:lang w:val="es-ES"/>
              </w:rPr>
            </w:pPr>
            <w:r w:rsidRPr="00E71B56">
              <w:rPr>
                <w:lang w:val="es-ES"/>
              </w:rPr>
              <w:t>Por conducto de eventos emblemáticos sobre las </w:t>
            </w:r>
            <w:r w:rsidRPr="00E71B56">
              <w:rPr>
                <w:b/>
                <w:bCs/>
                <w:lang w:val="es-ES"/>
              </w:rPr>
              <w:t xml:space="preserve">TIC Accesibles para Todos </w:t>
            </w:r>
            <w:r w:rsidRPr="00E71B56">
              <w:rPr>
                <w:lang w:val="es-ES"/>
              </w:rPr>
              <w:t xml:space="preserve">celebrados en </w:t>
            </w:r>
            <w:hyperlink r:id="rId354" w:history="1">
              <w:r w:rsidRPr="00E71B56">
                <w:rPr>
                  <w:rStyle w:val="Hyperlink"/>
                  <w:lang w:val="es-ES"/>
                </w:rPr>
                <w:t>Cuba</w:t>
              </w:r>
            </w:hyperlink>
            <w:r w:rsidRPr="00E71B56">
              <w:rPr>
                <w:lang w:val="es-ES"/>
              </w:rPr>
              <w:t xml:space="preserve">, </w:t>
            </w:r>
            <w:hyperlink r:id="rId355" w:history="1">
              <w:r w:rsidRPr="00E71B56">
                <w:rPr>
                  <w:rStyle w:val="Hyperlink"/>
                  <w:lang w:val="es-ES"/>
                </w:rPr>
                <w:t>México</w:t>
              </w:r>
            </w:hyperlink>
            <w:r w:rsidRPr="00E71B56">
              <w:rPr>
                <w:lang w:val="es-ES"/>
              </w:rPr>
              <w:t xml:space="preserve">, </w:t>
            </w:r>
            <w:hyperlink r:id="rId356" w:history="1">
              <w:r w:rsidRPr="00E71B56">
                <w:rPr>
                  <w:rStyle w:val="Hyperlink"/>
                  <w:lang w:val="es-ES"/>
                </w:rPr>
                <w:t>España</w:t>
              </w:r>
            </w:hyperlink>
            <w:r w:rsidRPr="00E71B56">
              <w:rPr>
                <w:lang w:val="es-ES"/>
              </w:rPr>
              <w:t xml:space="preserve">, </w:t>
            </w:r>
            <w:hyperlink r:id="rId357" w:history="1">
              <w:r w:rsidRPr="00E71B56">
                <w:rPr>
                  <w:rStyle w:val="Hyperlink"/>
                  <w:lang w:val="es-ES"/>
                </w:rPr>
                <w:t>Marruecos</w:t>
              </w:r>
            </w:hyperlink>
            <w:r w:rsidRPr="00E71B56">
              <w:rPr>
                <w:lang w:val="es-ES"/>
              </w:rPr>
              <w:t xml:space="preserve"> y </w:t>
            </w:r>
            <w:hyperlink r:id="rId358" w:history="1">
              <w:r w:rsidRPr="00E71B56">
                <w:rPr>
                  <w:rStyle w:val="Hyperlink"/>
                  <w:lang w:val="es-ES"/>
                </w:rPr>
                <w:t>Jordania</w:t>
              </w:r>
            </w:hyperlink>
            <w:r w:rsidRPr="00E71B56">
              <w:rPr>
                <w:lang w:val="es-ES"/>
              </w:rPr>
              <w:t xml:space="preserve">, con dos eventos regionales adicionales en </w:t>
            </w:r>
            <w:hyperlink r:id="rId359" w:history="1">
              <w:r w:rsidRPr="00E71B56">
                <w:rPr>
                  <w:rStyle w:val="Hyperlink"/>
                  <w:lang w:val="es-ES"/>
                </w:rPr>
                <w:t>Guatemala</w:t>
              </w:r>
            </w:hyperlink>
            <w:r w:rsidRPr="00E71B56">
              <w:rPr>
                <w:lang w:val="es-ES"/>
              </w:rPr>
              <w:t xml:space="preserve"> y </w:t>
            </w:r>
            <w:hyperlink r:id="rId360" w:history="1">
              <w:r w:rsidRPr="00E71B56">
                <w:rPr>
                  <w:rStyle w:val="Hyperlink"/>
                  <w:lang w:val="es-ES"/>
                </w:rPr>
                <w:t>Bélgica</w:t>
              </w:r>
            </w:hyperlink>
            <w:r w:rsidRPr="00E71B56">
              <w:rPr>
                <w:u w:val="single"/>
                <w:lang w:val="es-ES"/>
              </w:rPr>
              <w:t xml:space="preserve"> </w:t>
            </w:r>
            <w:r w:rsidRPr="00E71B56">
              <w:rPr>
                <w:lang w:val="es-ES"/>
              </w:rPr>
              <w:t>previstos para antes de finales de 2025, el 80 % de los países y por término medio más de 200 participantes estuvieron implicados en cada región y evento, en cuyo marco la BDT ha creado capacidad, ha compartido conocimientos y ha estrechado la colaboración en materia de accesibilidad digital e inclusión. Al colaborar con plataformas mundiales como la Conferencia de los Estados Partes en la CRPD, los Foros Regionales de Inclusión Digital (por ejemplo, en la región de Asia</w:t>
            </w:r>
            <w:r w:rsidRPr="00E71B56">
              <w:rPr>
                <w:lang w:val="es-ES"/>
              </w:rPr>
              <w:noBreakHyphen/>
              <w:t xml:space="preserve">Pacífico), el Foro sobre el Envejecimiento (Japón) y el Foro de Accesibilidad </w:t>
            </w:r>
            <w:r w:rsidRPr="00E71B56">
              <w:rPr>
                <w:lang w:val="es-ES"/>
              </w:rPr>
              <w:lastRenderedPageBreak/>
              <w:t>Digital (Emiratos Árabes Unidos), la BDT ha impulsado políticas de TIC inclusivas y ha ubicado al UIT</w:t>
            </w:r>
            <w:r w:rsidRPr="00E71B56">
              <w:rPr>
                <w:lang w:val="es-ES"/>
              </w:rPr>
              <w:noBreakHyphen/>
              <w:t>D como líder mundial en materia de transformación digital inclusiva. Estos esfuerzos están fomentando las asociaciones y las TIC inclusivas desde el diseño, garantizando que estas puedan ser utilizadas también por las personas con discapacidad, los adultos de edad avanzada, los migrantes, las personas con bajo nivel de alfabetización y las comunidades rurales, remotas e indígenas, ayudando a garantizar que nadie se quede a la zaga.</w:t>
            </w:r>
            <w:hyperlink r:id="rId361" w:history="1"/>
            <w:hyperlink r:id="rId362" w:history="1"/>
            <w:hyperlink r:id="rId363" w:history="1"/>
            <w:hyperlink r:id="rId364" w:history="1"/>
            <w:hyperlink r:id="rId365" w:history="1"/>
            <w:hyperlink r:id="rId366" w:history="1"/>
            <w:hyperlink r:id="rId367" w:history="1"/>
          </w:p>
          <w:p w14:paraId="31A32620" w14:textId="77777777" w:rsidR="00BD155E" w:rsidRPr="00E71B56" w:rsidRDefault="00BD155E" w:rsidP="00A372FB">
            <w:pPr>
              <w:rPr>
                <w:lang w:val="es-ES"/>
              </w:rPr>
            </w:pPr>
            <w:r w:rsidRPr="00E71B56">
              <w:rPr>
                <w:lang w:val="es-ES"/>
              </w:rPr>
              <w:t xml:space="preserve">Las celebraciones anuales del </w:t>
            </w:r>
            <w:hyperlink r:id="rId368" w:history="1">
              <w:r w:rsidRPr="00E71B56">
                <w:rPr>
                  <w:rStyle w:val="Hyperlink"/>
                  <w:b/>
                  <w:bCs/>
                  <w:lang w:val="es-ES"/>
                </w:rPr>
                <w:t>Día Internacional de las Niñas en las TIC</w:t>
              </w:r>
            </w:hyperlink>
            <w:r w:rsidRPr="00E71B56">
              <w:rPr>
                <w:lang w:val="es-ES"/>
              </w:rPr>
              <w:t xml:space="preserve"> tuvieron lugar en todas las regiones. El acto mundial de la UIT se celebró en Zimbabwe en 2023, en Filipinas y conjuntamente en Kirguistán (CEI) y Mauritania, con diálogos híbridos, mentorías y talleres prácticos. En los tres años, la iniciativa ha llegado a más de 76 000 niñas y jóvenes mujeres por conducto de 472 eventos celebrados en las seis regiones de la UIT, reforzando el compromiso mundial con la inclusión de género en el ecosistema digital.</w:t>
            </w:r>
            <w:hyperlink r:id="rId369" w:history="1"/>
          </w:p>
          <w:p w14:paraId="5AFA6E11" w14:textId="77777777" w:rsidR="00BD155E" w:rsidRPr="00E71B56" w:rsidRDefault="00BD155E" w:rsidP="00A372FB">
            <w:pPr>
              <w:rPr>
                <w:lang w:val="es-ES"/>
              </w:rPr>
            </w:pPr>
            <w:r w:rsidRPr="00E71B56">
              <w:rPr>
                <w:lang w:val="es-ES"/>
              </w:rPr>
              <w:t xml:space="preserve">La </w:t>
            </w:r>
            <w:hyperlink r:id="rId370" w:history="1">
              <w:r w:rsidRPr="00E71B56">
                <w:rPr>
                  <w:rStyle w:val="Hyperlink"/>
                  <w:b/>
                  <w:bCs/>
                  <w:lang w:val="es-ES"/>
                </w:rPr>
                <w:t>Cumbre Mundial de la Juventud (CMJ-25)</w:t>
              </w:r>
            </w:hyperlink>
            <w:r w:rsidRPr="00E71B56">
              <w:rPr>
                <w:lang w:val="es-ES"/>
              </w:rPr>
              <w:t xml:space="preserve"> celebrada en Varadero (Cuba) del 11 al 13 de marzo de 2025 con el tema "Amplificar la voz de los jóvenes en las TIC para un futuro inclusivo y conectado", reunió a</w:t>
            </w:r>
            <w:r w:rsidRPr="00E71B56">
              <w:rPr>
                <w:b/>
                <w:bCs/>
                <w:lang w:val="es-ES"/>
              </w:rPr>
              <w:t xml:space="preserve"> 400 participantes </w:t>
            </w:r>
            <w:r w:rsidRPr="00E71B56">
              <w:rPr>
                <w:lang w:val="es-ES"/>
              </w:rPr>
              <w:t>de</w:t>
            </w:r>
            <w:r w:rsidRPr="00E71B56">
              <w:rPr>
                <w:b/>
                <w:bCs/>
                <w:lang w:val="es-ES"/>
              </w:rPr>
              <w:t xml:space="preserve"> 31 países</w:t>
            </w:r>
            <w:r w:rsidRPr="00E71B56">
              <w:rPr>
                <w:lang w:val="es-ES"/>
              </w:rPr>
              <w:t xml:space="preserve"> de todas las regiones, garantizando el equilibrio de género y una fuerte representación de los PMA, los PDSL y los PEID.</w:t>
            </w:r>
            <w:hyperlink r:id="rId371" w:history="1"/>
          </w:p>
          <w:p w14:paraId="545D7736" w14:textId="52EAD132" w:rsidR="00BD155E" w:rsidRPr="00E71B56" w:rsidRDefault="00BD155E" w:rsidP="00A372FB">
            <w:pPr>
              <w:rPr>
                <w:lang w:val="es-ES"/>
              </w:rPr>
            </w:pPr>
            <w:r w:rsidRPr="00E71B56">
              <w:rPr>
                <w:lang w:val="es-ES"/>
              </w:rPr>
              <w:t>A fin de ayudar a los Estados Miembros de la UIT a impulsar las agendas nacionales y regionales en materia de inclusión digital, durante el periodo examinado la BDT desarrolló 22 herramientas y recursos adicionales como los informes, directrices, conjuntos de herramientas y actividades formativas, que en conjunto forman una colección de 92 recursos a finales de agosto de 2025.</w:t>
            </w:r>
          </w:p>
          <w:p w14:paraId="20B3482F" w14:textId="77777777" w:rsidR="00BD155E" w:rsidRPr="00E71B56" w:rsidRDefault="00BD155E" w:rsidP="00A372FB">
            <w:pPr>
              <w:rPr>
                <w:lang w:val="es-ES"/>
              </w:rPr>
            </w:pPr>
            <w:r w:rsidRPr="00E71B56">
              <w:rPr>
                <w:lang w:val="es-ES"/>
              </w:rPr>
              <w:t>Algunos de los principales recursos son:</w:t>
            </w:r>
          </w:p>
          <w:p w14:paraId="18E4E654"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hyperlink r:id="rId372" w:history="1">
              <w:r w:rsidRPr="00E71B56">
                <w:rPr>
                  <w:rStyle w:val="Hyperlink"/>
                  <w:i/>
                  <w:iCs/>
                  <w:lang w:val="es-ES"/>
                </w:rPr>
                <w:t>Conjunto de herramientas para la accesibilidad de los servicios de telesalud</w:t>
              </w:r>
            </w:hyperlink>
            <w:r w:rsidRPr="00E71B56">
              <w:rPr>
                <w:lang w:val="es-ES"/>
              </w:rPr>
              <w:t xml:space="preserve"> (con la OMS), que ofrece orientaciones por etapas para conseguir la inclusividad y accesibilidad de los servicios de salud digital;</w:t>
            </w:r>
            <w:hyperlink r:id="rId373" w:history="1"/>
          </w:p>
          <w:p w14:paraId="2064E149"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 xml:space="preserve">la </w:t>
            </w:r>
            <w:hyperlink r:id="rId374" w:history="1">
              <w:r w:rsidRPr="00E71B56">
                <w:rPr>
                  <w:rStyle w:val="Hyperlink"/>
                  <w:lang w:val="es-ES"/>
                </w:rPr>
                <w:t>Guía de la UIT y la OIT y una formación autodirigida sobre la accesibilidad de las solicitudes de empleo en línea</w:t>
              </w:r>
            </w:hyperlink>
            <w:r w:rsidRPr="00E71B56">
              <w:rPr>
                <w:lang w:val="es-ES"/>
              </w:rPr>
              <w:t>, disponibles de manera gratuita, en formatos accesibles y en múltiples lenguas de las Naciones Unidas;</w:t>
            </w:r>
            <w:hyperlink r:id="rId375" w:history="1"/>
          </w:p>
          <w:p w14:paraId="59236CE8" w14:textId="77777777" w:rsidR="00BD155E" w:rsidRPr="00E71B56" w:rsidRDefault="00BD155E" w:rsidP="00A372FB">
            <w:pPr>
              <w:pStyle w:val="enumlev1"/>
              <w:tabs>
                <w:tab w:val="clear" w:pos="1134"/>
                <w:tab w:val="left" w:pos="330"/>
              </w:tabs>
              <w:ind w:left="330" w:hanging="330"/>
              <w:rPr>
                <w:lang w:val="es-ES"/>
              </w:rPr>
            </w:pPr>
            <w:r w:rsidRPr="00E71B56">
              <w:rPr>
                <w:lang w:val="es-ES"/>
              </w:rPr>
              <w:lastRenderedPageBreak/>
              <w:t>•</w:t>
            </w:r>
            <w:r w:rsidRPr="00E71B56">
              <w:rPr>
                <w:lang w:val="es-ES"/>
              </w:rPr>
              <w:tab/>
            </w:r>
            <w:hyperlink r:id="rId376" w:history="1">
              <w:r w:rsidRPr="00E71B56">
                <w:rPr>
                  <w:rStyle w:val="Hyperlink"/>
                  <w:i/>
                  <w:iCs/>
                  <w:lang w:val="es-ES"/>
                </w:rPr>
                <w:t>Manual sobre incorporación de las cuestiones de género a las políticas digitales</w:t>
              </w:r>
            </w:hyperlink>
            <w:r w:rsidRPr="00E71B56">
              <w:rPr>
                <w:lang w:val="es-ES"/>
              </w:rPr>
              <w:t xml:space="preserve"> (2023), que ofrece buenas prácticas y orientaciones por etapas para integrar el género y la inclusión en las políticas y las normas de las TIC;</w:t>
            </w:r>
            <w:hyperlink r:id="rId377" w:history="1"/>
          </w:p>
          <w:p w14:paraId="3F15F3BF"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hyperlink r:id="rId378" w:history="1">
              <w:r w:rsidRPr="00E71B56">
                <w:rPr>
                  <w:rStyle w:val="Hyperlink"/>
                  <w:i/>
                  <w:iCs/>
                  <w:lang w:val="es-ES"/>
                </w:rPr>
                <w:t>Competencias digitales para ellas: hacia un enfoque transformador de género</w:t>
              </w:r>
            </w:hyperlink>
            <w:r w:rsidRPr="00E71B56">
              <w:rPr>
                <w:lang w:val="es-ES"/>
              </w:rPr>
              <w:t xml:space="preserve"> (2024), que ofrece un marco y una guía destinada a los profesionales para lograr una educación inclusiva en materia de competencias digitales, basada en competencias, que integre el cambio de norma de género en la teoría. Además, se elaboraron </w:t>
            </w:r>
            <w:hyperlink r:id="rId379" w:history="1">
              <w:r w:rsidRPr="00E71B56">
                <w:rPr>
                  <w:rStyle w:val="Hyperlink"/>
                  <w:lang w:val="es-ES"/>
                </w:rPr>
                <w:t>ocho (8) cursos autodirigidos</w:t>
              </w:r>
            </w:hyperlink>
            <w:r w:rsidRPr="00E71B56">
              <w:rPr>
                <w:lang w:val="es-ES"/>
              </w:rPr>
              <w:t xml:space="preserve"> para aumentar las competencias digitales para el empleo.</w:t>
            </w:r>
          </w:p>
          <w:p w14:paraId="4834BCB4" w14:textId="77777777" w:rsidR="00BD155E" w:rsidRPr="00E71B56" w:rsidRDefault="00BD155E" w:rsidP="00A372FB">
            <w:pPr>
              <w:rPr>
                <w:lang w:val="es-ES"/>
              </w:rPr>
            </w:pPr>
            <w:r w:rsidRPr="00E71B56">
              <w:rPr>
                <w:lang w:val="es-ES"/>
              </w:rPr>
              <w:t xml:space="preserve">La inclusión digital fue promovida y apoyada en todas las regiones. En </w:t>
            </w:r>
            <w:r w:rsidRPr="00E71B56">
              <w:rPr>
                <w:b/>
                <w:bCs/>
                <w:lang w:val="es-ES"/>
              </w:rPr>
              <w:t>África</w:t>
            </w:r>
            <w:r w:rsidRPr="00E71B56">
              <w:rPr>
                <w:lang w:val="es-ES"/>
              </w:rPr>
              <w:t xml:space="preserve">, las prácticas inclusivas avanzaron de la estrategia a la acción. Con la ayuda de la BDT, Burundi elaboró su primer proyecto de estrategia nacional para la inclusión digital, un proceso de apropiación nacional que fortaleció el diálogo en el gobierno, la sociedad civil y el sector privado. El programa de formación mixta para administradores de redes de TIC en comunidades indígenas y rurales contó con 99 participantes de 21 países, de los cuales un tercio eran mujeres, y permitió crear competencias para diseñar, operar y mantener redes en contextos de baja conectividad y durante las crisis. El liderazgo de los jóvenes se reforzó mediante mentorías y consultas del evento del </w:t>
            </w:r>
            <w:r w:rsidRPr="00E71B56">
              <w:rPr>
                <w:b/>
                <w:bCs/>
                <w:lang w:val="es-ES"/>
              </w:rPr>
              <w:t>Paso de la Antorcha</w:t>
            </w:r>
            <w:r w:rsidRPr="00E71B56">
              <w:rPr>
                <w:lang w:val="es-ES"/>
              </w:rPr>
              <w:t>, que arrojaron recomendaciones prácticas a los debates regionales y los preparativos de la CMDT. África también acogió las celebraciones del Día de las Niñas en las TIC en 2023 en Zimbabwe, en cuyo marco miles de niñas asistieron a actividades de programación, mentoría y establecimiento de contactos que catalizaron su interés por las carreras de ciencia, tecnología, ingeniería y matemáticas.</w:t>
            </w:r>
          </w:p>
          <w:p w14:paraId="2A3828D2" w14:textId="77777777" w:rsidR="00BD155E" w:rsidRPr="00E71B56" w:rsidRDefault="00BD155E" w:rsidP="00A372FB">
            <w:pPr>
              <w:rPr>
                <w:lang w:val="es-ES"/>
              </w:rPr>
            </w:pPr>
            <w:r w:rsidRPr="00E71B56">
              <w:rPr>
                <w:lang w:val="es-ES"/>
              </w:rPr>
              <w:t xml:space="preserve">En la </w:t>
            </w:r>
            <w:r w:rsidRPr="00E71B56">
              <w:rPr>
                <w:b/>
                <w:bCs/>
                <w:lang w:val="es-ES"/>
              </w:rPr>
              <w:t>región de</w:t>
            </w:r>
            <w:r w:rsidRPr="00E71B56">
              <w:rPr>
                <w:lang w:val="es-ES"/>
              </w:rPr>
              <w:t xml:space="preserve"> </w:t>
            </w:r>
            <w:r w:rsidRPr="00E71B56">
              <w:rPr>
                <w:b/>
                <w:bCs/>
                <w:lang w:val="es-ES"/>
              </w:rPr>
              <w:t>Asia-Pacífico</w:t>
            </w:r>
            <w:r w:rsidRPr="00E71B56">
              <w:rPr>
                <w:lang w:val="es-ES"/>
              </w:rPr>
              <w:t>, las celebraciones del Día de las Niñas en las TIC y las actividades de creación de capacidad llegaron a más de 9 400 participantes en Camboya, Micronesia, la India, Indonesia, Kiribati, Malasia, Nauru, Nepal, Pakistán, Papua Nueva Guinea, Filipinas, Samoa, Tailandia, Timor</w:t>
            </w:r>
            <w:r w:rsidRPr="00E71B56">
              <w:rPr>
                <w:lang w:val="es-ES"/>
              </w:rPr>
              <w:noBreakHyphen/>
              <w:t>Leste, Tonga y Vanuatu. En 2025, las celebraciones de las Niñas en las TIC, organizadas mediante los centros digitales de la iniciativa Aldeas Inteligentes e Islas Inteligentes que operan en Micronesia, Fiji, las Islas Marshall, Kiribati, Nauru, Papua Nueva Guinea, Tonga y Vanuatu, combinaron el liderazgo, la alfabetización digital, los concursos de codificación y las competencias en esferas emergentes como la IA y la ciberseguridad.</w:t>
            </w:r>
          </w:p>
          <w:p w14:paraId="4782DB8D" w14:textId="77777777" w:rsidR="00BD155E" w:rsidRPr="00E71B56" w:rsidRDefault="00BD155E" w:rsidP="00A372FB">
            <w:pPr>
              <w:rPr>
                <w:lang w:val="es-ES"/>
              </w:rPr>
            </w:pPr>
            <w:r w:rsidRPr="00E71B56">
              <w:rPr>
                <w:lang w:val="es-ES"/>
              </w:rPr>
              <w:t xml:space="preserve">Las personas de edad se beneficiaron mediante la sesión de información sobre "Envejecimiento saludable mediante las TIC" celebrada en Tailandia en 2024, impartida en colaboración con el Ministerio de Economía </w:t>
            </w:r>
            <w:r w:rsidRPr="00E71B56">
              <w:rPr>
                <w:lang w:val="es-ES"/>
              </w:rPr>
              <w:lastRenderedPageBreak/>
              <w:t>Digital y Sociedad (MDES), la Universidad de Juntendo y la OMS, y una reunión regional celebrada en 2024 en Beijing sobre la alfabetización digital para personas de edad en la que se destacaron los obstáculos que afrontaban las mujeres de edad y se identificaron aportaciones al Centro de Datos de la UIT.</w:t>
            </w:r>
          </w:p>
          <w:p w14:paraId="022D9335" w14:textId="77777777" w:rsidR="00BD155E" w:rsidRPr="00E71B56" w:rsidRDefault="00BD155E" w:rsidP="00A372FB">
            <w:pPr>
              <w:rPr>
                <w:lang w:val="es-ES"/>
              </w:rPr>
            </w:pPr>
            <w:r w:rsidRPr="00E71B56">
              <w:rPr>
                <w:lang w:val="es-ES"/>
              </w:rPr>
              <w:t xml:space="preserve">Algunas de las acciones centradas en la discapacidad fueron la presentación organizada en el Simposio Internacional sobre la Inclusión Digital de 2023 (NBTC) en Tailandia, una </w:t>
            </w:r>
            <w:hyperlink r:id="rId380" w:history="1">
              <w:r w:rsidRPr="00E71B56">
                <w:rPr>
                  <w:rStyle w:val="Hyperlink"/>
                  <w:lang w:val="es-ES"/>
                </w:rPr>
                <w:t>formación de formadores organizada en Pakistán</w:t>
              </w:r>
            </w:hyperlink>
            <w:r w:rsidRPr="00E71B56">
              <w:rPr>
                <w:lang w:val="es-ES"/>
              </w:rPr>
              <w:t xml:space="preserve"> sobre los fundamentos informáticos básicos para las personas con discapacidad visual en 2024, impartida en colaboración con la Fundación STMicroelectronics, la formación sobre accesibilidad de las TIC para participantes con discapacidad visual organizada en Nauru en 2025 y las celebraciones de las Niñas en las TIC en Nepal. A fin de mantener los efectos, la BDT elaboró diez módulos de alfabetización digital listos para el uso de formadores, destinados a principiantes ciegos y con discapacidad visual, que primeramente se utilizaron en Nauru y cuyo despliegue se ha previsto en el Pacífico.</w:t>
            </w:r>
            <w:hyperlink r:id="rId381" w:tgtFrame="_blank" w:tooltip="https://www.itu.int/itu-d/sites/digital-impact-unlocked/inclusive-digital-education-for-visually-impaired-people-in-pakistan/" w:history="1"/>
          </w:p>
          <w:p w14:paraId="297509B5" w14:textId="77777777" w:rsidR="00BD155E" w:rsidRPr="00E71B56" w:rsidRDefault="00BD155E" w:rsidP="00A372FB">
            <w:pPr>
              <w:rPr>
                <w:lang w:val="es-ES"/>
              </w:rPr>
            </w:pPr>
            <w:r w:rsidRPr="00E71B56">
              <w:rPr>
                <w:lang w:val="es-ES"/>
              </w:rPr>
              <w:t xml:space="preserve">En las </w:t>
            </w:r>
            <w:r w:rsidRPr="00E71B56">
              <w:rPr>
                <w:b/>
                <w:bCs/>
                <w:lang w:val="es-ES"/>
              </w:rPr>
              <w:t>Américas</w:t>
            </w:r>
            <w:r w:rsidRPr="00E71B56">
              <w:rPr>
                <w:lang w:val="es-ES"/>
              </w:rPr>
              <w:t>, el evento América Accesible, celebrado en Cuba en 2023 y en México en 2024, se consolidó como una plataforma emblemática, marcando su décimo aniversario en 2023 y reuniendo a partes interesadas para intercambiar las prácticas idóneas y fortalecer las políticas y garantizar la colaboración transectorial. La formación para comunidades indígenas y remotas se amplió, pasando de 37 participantes de 10 países en 2023 a 133 participantes de 11 países en 2024, y abarcando la gestión de proyectos y las operaciones técnicas para reducir la dependencia de conocimientos técnicos expertos. El proyecto del Gran Chaco dotó a más de 300 jóvenes indígenas de competencias digitales para la educación y el empleo. En 2025, un programa de formación para administradores de redes de TIC en comunidades rurales, remotas e indígenas, adaptado a dispositivos móviles y con posibilidad de cursarlo sin conexión, y organizado en América Latina, contó con 101 participantes, de los cuales se graduaron el 65 %; y el 55 % de ellos eran mujeres, lo que demostró una perspectiva inclusiva en la práctica.</w:t>
            </w:r>
          </w:p>
          <w:p w14:paraId="0A023A1A" w14:textId="77777777" w:rsidR="00BD155E" w:rsidRPr="00E71B56" w:rsidRDefault="00BD155E" w:rsidP="00A372FB">
            <w:pPr>
              <w:rPr>
                <w:lang w:val="es-ES"/>
              </w:rPr>
            </w:pPr>
            <w:r w:rsidRPr="00E71B56">
              <w:rPr>
                <w:lang w:val="es-ES"/>
              </w:rPr>
              <w:t xml:space="preserve">En los </w:t>
            </w:r>
            <w:r w:rsidRPr="00E71B56">
              <w:rPr>
                <w:b/>
                <w:bCs/>
                <w:lang w:val="es-ES"/>
              </w:rPr>
              <w:t>Estados Árabes</w:t>
            </w:r>
            <w:r w:rsidRPr="00E71B56">
              <w:rPr>
                <w:lang w:val="es-ES"/>
              </w:rPr>
              <w:t xml:space="preserve">, los eventos regionales de las Niñas en las TIC ofrecieron a los participantes una exposición a las carreras de TIC y una formación sobre el liderazgo. En Líbano (2024), 35 alumnas visitaron los departamentos técnicos de OGERO; en Mauritania (24 a 26 de abril de 2025), más de 100 participantes, incluidas 31 niñas de entre 15 y 18 años, se reunieron en el Instituto Superior de Educación Digital (SupNum) para cursar una formación y actividades de mentoría durante dos días. En Egipto, 250 niñas participaron en talleres de ciudadanía digital, mientras que en el Estado de Palestina se celebró una campaña de liderazgo y </w:t>
            </w:r>
            <w:r w:rsidRPr="00E71B56">
              <w:rPr>
                <w:lang w:val="es-ES"/>
              </w:rPr>
              <w:lastRenderedPageBreak/>
              <w:t>emprendimiento durante todo un año. Los Enviados de la Juventud Generation Connect celebraron consultas regionales y un evento del Paso de la Antorcha para 20 enviados, garantizando la continuidad de las perspectivas de los jóvenes en los procesos regionales y mundiales. La serie de eventos "Región Árabe Accesible: TIC para Todos" evolucionó hasta convertirse en una plataforma emblemática: la primera edición presencial celebrada en Ammán (noviembre de 2023) fortaleció los conocimientos técnicos regionales y el evento organizado en Jordania (abril de 2025) reunió a Miembros de la UIT y participantes de 25 países para coordinar una acción más amplia en materia de accesibilidad y reforzar el compromiso de no dejar a nadie atrás.</w:t>
            </w:r>
          </w:p>
          <w:p w14:paraId="127BBDA8" w14:textId="77777777" w:rsidR="00BD155E" w:rsidRPr="00E71B56" w:rsidRDefault="00BD155E" w:rsidP="00A372FB">
            <w:pPr>
              <w:rPr>
                <w:lang w:val="es-ES"/>
              </w:rPr>
            </w:pPr>
            <w:r w:rsidRPr="00E71B56">
              <w:rPr>
                <w:lang w:val="es-ES"/>
              </w:rPr>
              <w:t xml:space="preserve">En </w:t>
            </w:r>
            <w:r w:rsidRPr="00E71B56">
              <w:rPr>
                <w:b/>
                <w:bCs/>
                <w:lang w:val="es-ES"/>
              </w:rPr>
              <w:t>Europa</w:t>
            </w:r>
            <w:r w:rsidRPr="00E71B56">
              <w:rPr>
                <w:lang w:val="es-ES"/>
              </w:rPr>
              <w:t>, los eventos "Europa Accesible", en asociación con la Comisión Europea, reunieron a unas 400 partes interesadas de 50 países cada año para intercambiar soluciones concretas para la incorporación de la accesibilidad, desde el diseño universal en los servicios digitales hasta la contratación pública inclusiva, fomentando la cooperación entre países. El evento del Día de las Niñas en las TIC de 2024, celebrado de manera virtual, permitió conectar a las niñas con modelos de referencia que compartieron información sobre las carreras de ciencia, tecnología, ingeniería y matemáticas y las vías de liderazgo. La Red de Mujeres del UIT</w:t>
            </w:r>
            <w:r w:rsidRPr="00E71B56">
              <w:rPr>
                <w:lang w:val="es-ES"/>
              </w:rPr>
              <w:noBreakHyphen/>
              <w:t>D celebró un evento paralelo en la sesión plenaria de la Comisión para la Política de la UIT (Com</w:t>
            </w:r>
            <w:r w:rsidRPr="00E71B56">
              <w:rPr>
                <w:lang w:val="es-ES"/>
              </w:rPr>
              <w:noBreakHyphen/>
              <w:t>ITU) de la CEPT, en la que se alentó una mayor participación de la mujer en las delegaciones y las funciones de elaboración de políticas. Los Enviados de la Juventud contribuyeron a la política nacional de Albania conformando la Estrategia para la Agricultura Digital, ilustrando la manera en la que los diálogos mundiales se traducen en efectos a nivel nacional.</w:t>
            </w:r>
          </w:p>
          <w:p w14:paraId="30279113" w14:textId="77777777" w:rsidR="00BD155E" w:rsidRPr="00E71B56" w:rsidRDefault="00BD155E" w:rsidP="00A372FB">
            <w:pPr>
              <w:spacing w:after="120"/>
              <w:rPr>
                <w:lang w:val="es-ES"/>
              </w:rPr>
            </w:pPr>
            <w:r w:rsidRPr="00E71B56">
              <w:rPr>
                <w:lang w:val="es-ES"/>
              </w:rPr>
              <w:t>En la </w:t>
            </w:r>
            <w:r w:rsidRPr="00E71B56">
              <w:rPr>
                <w:b/>
                <w:bCs/>
                <w:lang w:val="es-ES"/>
              </w:rPr>
              <w:t>CEI</w:t>
            </w:r>
            <w:r w:rsidRPr="00E71B56">
              <w:rPr>
                <w:lang w:val="es-ES"/>
              </w:rPr>
              <w:t xml:space="preserve">, el taller regional de 2024 sobre tecnologías avanzadas para sociedades inclusivas, celebrado en Minsk, permitió a los encargados de formular políticas, educadores y profesionales intercambiar prácticas en materia de accesibilidad y adaptar programas educativos probados para personas con discapacidad. En el marco de los Foros de la organización TechnoWomen de Asia Central, organizados en Kazajstán y Kirguistán en 2024 y 2025, se celebró el Día de las Niñas en las TIC con clases magistrales sobre la seguridad en línea, el emprendimiento digital y las relaciones públicas, emparejando el desarrollo de competencias con las actividades de mentoría y establecimiento de contactos con el fin de fomentar la confianza y la visibilidad. Las consultas con los jóvenes reunieron a Enviados de Generation Connect y estudiantes para sacar a la superficie </w:t>
            </w:r>
            <w:r w:rsidRPr="00E71B56">
              <w:rPr>
                <w:lang w:val="es-ES"/>
              </w:rPr>
              <w:lastRenderedPageBreak/>
              <w:t>las prioridades en materia de educación y empleo, que se integraron en los preparativos de la Cumbre Mundial de la Juventud.</w:t>
            </w:r>
          </w:p>
        </w:tc>
        <w:tc>
          <w:tcPr>
            <w:tcW w:w="3323" w:type="dxa"/>
          </w:tcPr>
          <w:p w14:paraId="78F564D5" w14:textId="77777777" w:rsidR="00BD155E" w:rsidRPr="00E71B56" w:rsidRDefault="00BD155E" w:rsidP="00A372FB">
            <w:pPr>
              <w:keepNext/>
              <w:keepLines/>
              <w:rPr>
                <w:b/>
                <w:bCs/>
                <w:color w:val="0070C0"/>
                <w:lang w:val="es-ES"/>
              </w:rPr>
            </w:pPr>
            <w:r w:rsidRPr="00E71B56">
              <w:rPr>
                <w:b/>
                <w:bCs/>
                <w:color w:val="0070C0"/>
                <w:lang w:val="es-ES"/>
              </w:rPr>
              <w:lastRenderedPageBreak/>
              <w:t>Niñas en las TIC:</w:t>
            </w:r>
          </w:p>
          <w:p w14:paraId="792A44E6"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Miles de niñas participaron en actividades de codificación, mentoría y ciencia, tecnología, ingeniería y matemáticas.</w:t>
            </w:r>
          </w:p>
          <w:p w14:paraId="65A21FC4"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Se inspiró a niñas y jóvenes mujeres para iniciar carrera en las TIC.</w:t>
            </w:r>
          </w:p>
          <w:p w14:paraId="17A997EB" w14:textId="77777777" w:rsidR="00BD155E" w:rsidRPr="00E71B56" w:rsidRDefault="00BD155E" w:rsidP="00A372FB">
            <w:pPr>
              <w:keepNext/>
              <w:keepLines/>
              <w:rPr>
                <w:b/>
                <w:bCs/>
                <w:color w:val="0070C0"/>
                <w:lang w:val="es-ES"/>
              </w:rPr>
            </w:pPr>
            <w:r w:rsidRPr="00E71B56">
              <w:rPr>
                <w:b/>
                <w:bCs/>
                <w:color w:val="0070C0"/>
                <w:lang w:val="es-ES"/>
              </w:rPr>
              <w:t>Generation Connect:</w:t>
            </w:r>
          </w:p>
          <w:p w14:paraId="6035D38F"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Enviados de la Juventud de todas las regiones participaron en procesos, consultas y foros de la UIT.</w:t>
            </w:r>
          </w:p>
          <w:p w14:paraId="0C01EFD7"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 xml:space="preserve">Los Enviados de la Juventud se unieron al </w:t>
            </w:r>
            <w:r w:rsidRPr="00E71B56">
              <w:rPr>
                <w:lang w:val="es-ES"/>
              </w:rPr>
              <w:lastRenderedPageBreak/>
              <w:t>programa de mentorías del Paso de la Antorcha, garantizando la continuidad del liderazgo.</w:t>
            </w:r>
          </w:p>
          <w:p w14:paraId="415ACB3F"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Más de 230 alumnos completaron la formación sobre redes de TIC indígenas.</w:t>
            </w:r>
          </w:p>
          <w:p w14:paraId="5333F5F2"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Las consultas con los jóvenes y los hackatones realizaron aportaciones a los resultados de la CMDT y la Cumbre Mundial de la Juventud.</w:t>
            </w:r>
          </w:p>
          <w:p w14:paraId="0B6F1863" w14:textId="77777777" w:rsidR="00BD155E" w:rsidRPr="00E71B56" w:rsidRDefault="00BD155E" w:rsidP="00A372FB">
            <w:pPr>
              <w:keepNext/>
              <w:keepLines/>
              <w:rPr>
                <w:b/>
                <w:bCs/>
                <w:color w:val="0070C0"/>
                <w:lang w:val="es-ES"/>
              </w:rPr>
            </w:pPr>
            <w:r w:rsidRPr="00E71B56">
              <w:rPr>
                <w:b/>
                <w:bCs/>
                <w:color w:val="0070C0"/>
                <w:lang w:val="es-ES"/>
              </w:rPr>
              <w:t>TIC Accesibles para Todos:</w:t>
            </w:r>
          </w:p>
          <w:p w14:paraId="40074EC7"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Las directrices de la AICTA se actualizaron (2024) y se adoptaron en marcos políticos.</w:t>
            </w:r>
          </w:p>
          <w:p w14:paraId="736606B3"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Más de 130 delegados (Américas) y más de 400 partes interesadas (Europa) impulsaron prácticas de TIC inclusivas.</w:t>
            </w:r>
          </w:p>
          <w:p w14:paraId="2C1BFC23"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 xml:space="preserve">Los talleres regionales incorporaron la </w:t>
            </w:r>
            <w:r w:rsidRPr="00E71B56">
              <w:rPr>
                <w:lang w:val="es-ES"/>
              </w:rPr>
              <w:lastRenderedPageBreak/>
              <w:t>accesibilidad, trasladándola de algo opcional a algo normativo.</w:t>
            </w:r>
          </w:p>
          <w:p w14:paraId="48A48EF9"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Se llevaron a cabo proyectos piloto sobre tecnologías de apoyo en escuelas y servicios.</w:t>
            </w:r>
          </w:p>
          <w:p w14:paraId="6C0DD280" w14:textId="77777777" w:rsidR="00BD155E" w:rsidRPr="00E71B56" w:rsidRDefault="00BD155E" w:rsidP="00A372FB">
            <w:pPr>
              <w:keepNext/>
              <w:keepLines/>
              <w:rPr>
                <w:b/>
                <w:bCs/>
                <w:color w:val="0070C0"/>
                <w:lang w:val="es-ES"/>
              </w:rPr>
            </w:pPr>
            <w:r w:rsidRPr="00E71B56">
              <w:rPr>
                <w:b/>
                <w:bCs/>
                <w:color w:val="0070C0"/>
                <w:lang w:val="es-ES"/>
              </w:rPr>
              <w:t>PMA, PDSL y PEID participantes/asistidos:</w:t>
            </w:r>
          </w:p>
          <w:p w14:paraId="695175DA"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21 PMA, PDSL y PEID</w:t>
            </w:r>
          </w:p>
          <w:p w14:paraId="7523280D"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10 recibieron asistencia técnica</w:t>
            </w:r>
          </w:p>
          <w:p w14:paraId="60C45E3A"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11 países elaboraron marcos políticos y productos del conocimiento</w:t>
            </w:r>
          </w:p>
          <w:p w14:paraId="685FB94D"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11 países habían puesto en marcha plataformas de reunión</w:t>
            </w:r>
          </w:p>
          <w:p w14:paraId="3B549DD5" w14:textId="77777777" w:rsidR="00BD155E" w:rsidRPr="00E71B56" w:rsidRDefault="00BD155E" w:rsidP="00A372FB">
            <w:pPr>
              <w:keepNext/>
              <w:keepLines/>
              <w:rPr>
                <w:b/>
                <w:bCs/>
                <w:color w:val="0070C0"/>
                <w:lang w:val="es-ES"/>
              </w:rPr>
            </w:pPr>
            <w:r w:rsidRPr="00E71B56">
              <w:rPr>
                <w:b/>
                <w:bCs/>
                <w:color w:val="0070C0"/>
                <w:lang w:val="es-ES"/>
              </w:rPr>
              <w:t>Cuestión 7 de la Comisión de Estudio 1 del UIT</w:t>
            </w:r>
            <w:r w:rsidRPr="00E71B56">
              <w:rPr>
                <w:b/>
                <w:bCs/>
                <w:color w:val="0070C0"/>
                <w:lang w:val="es-ES"/>
              </w:rPr>
              <w:noBreakHyphen/>
              <w:t>D:</w:t>
            </w:r>
          </w:p>
          <w:p w14:paraId="3837CC92"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4 reuniones</w:t>
            </w:r>
          </w:p>
          <w:p w14:paraId="4FAFCEDC"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97 contribuciones</w:t>
            </w:r>
          </w:p>
          <w:p w14:paraId="269FB540"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 xml:space="preserve">Se presentaron 3 proyectos de becarios del Programa de Jóvenes </w:t>
            </w:r>
            <w:r w:rsidRPr="00E71B56">
              <w:rPr>
                <w:lang w:val="es-ES"/>
              </w:rPr>
              <w:lastRenderedPageBreak/>
              <w:t>Líderes de Generation Connect</w:t>
            </w:r>
          </w:p>
          <w:p w14:paraId="57F91E3B"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Se celebraron 2 </w:t>
            </w:r>
            <w:hyperlink r:id="rId382" w:history="1">
              <w:r w:rsidRPr="00E71B56">
                <w:rPr>
                  <w:rStyle w:val="Hyperlink"/>
                  <w:lang w:val="es-ES"/>
                </w:rPr>
                <w:t>talleres</w:t>
              </w:r>
            </w:hyperlink>
            <w:r w:rsidRPr="00E71B56">
              <w:rPr>
                <w:lang w:val="es-ES"/>
              </w:rPr>
              <w:t xml:space="preserve"> y se elaboró un </w:t>
            </w:r>
            <w:hyperlink r:id="rId383" w:history="1">
              <w:r w:rsidRPr="00E71B56">
                <w:rPr>
                  <w:rStyle w:val="Hyperlink"/>
                  <w:lang w:val="es-ES"/>
                </w:rPr>
                <w:t>informe final de resultados</w:t>
              </w:r>
            </w:hyperlink>
            <w:hyperlink r:id="rId384" w:history="1"/>
            <w:hyperlink r:id="rId385" w:history="1"/>
          </w:p>
        </w:tc>
      </w:tr>
      <w:tr w:rsidR="00BD155E" w:rsidRPr="00E71B56" w14:paraId="4FCE83B1" w14:textId="77777777" w:rsidTr="00A372FB">
        <w:trPr>
          <w:jc w:val="center"/>
        </w:trPr>
        <w:tc>
          <w:tcPr>
            <w:tcW w:w="3173" w:type="dxa"/>
          </w:tcPr>
          <w:p w14:paraId="0DBD3EE9" w14:textId="77777777" w:rsidR="00BD155E" w:rsidRPr="00E71B56" w:rsidRDefault="00BD155E" w:rsidP="00A372FB">
            <w:pPr>
              <w:rPr>
                <w:lang w:val="es-ES"/>
              </w:rPr>
            </w:pPr>
            <w:r w:rsidRPr="00E71B56">
              <w:rPr>
                <w:b/>
                <w:bCs/>
                <w:lang w:val="es-ES"/>
              </w:rPr>
              <w:lastRenderedPageBreak/>
              <w:t>Contribución a las metas de los ODS</w:t>
            </w:r>
          </w:p>
        </w:tc>
        <w:tc>
          <w:tcPr>
            <w:tcW w:w="12211" w:type="dxa"/>
            <w:gridSpan w:val="2"/>
          </w:tcPr>
          <w:p w14:paraId="30232851" w14:textId="77777777" w:rsidR="00BD155E" w:rsidRPr="00E71B56" w:rsidRDefault="00BD155E" w:rsidP="00A372FB">
            <w:pPr>
              <w:rPr>
                <w:lang w:val="es-ES"/>
              </w:rPr>
            </w:pPr>
            <w:r w:rsidRPr="00E71B56">
              <w:rPr>
                <w:lang w:val="es-ES"/>
              </w:rPr>
              <w:t>ODS 1, 3, 4, 5, 8, 9, 10, 11, 16 y 17</w:t>
            </w:r>
          </w:p>
        </w:tc>
      </w:tr>
      <w:tr w:rsidR="00BD155E" w:rsidRPr="00E71B56" w14:paraId="7F1C61AB" w14:textId="77777777" w:rsidTr="00A372FB">
        <w:trPr>
          <w:jc w:val="center"/>
        </w:trPr>
        <w:tc>
          <w:tcPr>
            <w:tcW w:w="3173" w:type="dxa"/>
          </w:tcPr>
          <w:p w14:paraId="409EF617" w14:textId="77777777" w:rsidR="00BD155E" w:rsidRPr="00E71B56" w:rsidRDefault="00BD155E" w:rsidP="00A372FB">
            <w:pPr>
              <w:rPr>
                <w:b/>
                <w:bCs/>
                <w:lang w:val="es-ES"/>
              </w:rPr>
            </w:pPr>
            <w:r w:rsidRPr="00E71B56">
              <w:rPr>
                <w:b/>
                <w:bCs/>
                <w:lang w:val="es-ES"/>
              </w:rPr>
              <w:t>Líneas de Acción de la CMSI</w:t>
            </w:r>
          </w:p>
        </w:tc>
        <w:tc>
          <w:tcPr>
            <w:tcW w:w="12211" w:type="dxa"/>
            <w:gridSpan w:val="2"/>
          </w:tcPr>
          <w:p w14:paraId="2D53B390" w14:textId="77777777" w:rsidR="00BD155E" w:rsidRPr="00E71B56" w:rsidRDefault="00BD155E" w:rsidP="00A372FB">
            <w:pPr>
              <w:rPr>
                <w:lang w:val="es-ES"/>
              </w:rPr>
            </w:pPr>
            <w:r w:rsidRPr="00E71B56">
              <w:rPr>
                <w:lang w:val="es-ES"/>
              </w:rPr>
              <w:t>C1, C2, C3, C4, C5, C6, C7 y C11</w:t>
            </w:r>
          </w:p>
        </w:tc>
      </w:tr>
      <w:tr w:rsidR="00BD155E" w:rsidRPr="00E71B56" w14:paraId="16EB4876" w14:textId="77777777" w:rsidTr="00A372FB">
        <w:trPr>
          <w:jc w:val="center"/>
        </w:trPr>
        <w:tc>
          <w:tcPr>
            <w:tcW w:w="3173" w:type="dxa"/>
          </w:tcPr>
          <w:p w14:paraId="7EDBCC76" w14:textId="77777777" w:rsidR="00BD155E" w:rsidRPr="00E71B56" w:rsidRDefault="00BD155E" w:rsidP="00A372FB">
            <w:pPr>
              <w:rPr>
                <w:b/>
                <w:bCs/>
                <w:lang w:val="es-ES"/>
              </w:rPr>
            </w:pPr>
            <w:r w:rsidRPr="00E71B56">
              <w:rPr>
                <w:b/>
                <w:bCs/>
                <w:lang w:val="es-ES"/>
              </w:rPr>
              <w:t>Resoluciones</w:t>
            </w:r>
          </w:p>
        </w:tc>
        <w:tc>
          <w:tcPr>
            <w:tcW w:w="12211" w:type="dxa"/>
            <w:gridSpan w:val="2"/>
          </w:tcPr>
          <w:p w14:paraId="513FC812" w14:textId="77777777" w:rsidR="00BD155E" w:rsidRPr="00E71B56" w:rsidRDefault="00BD155E" w:rsidP="00A372FB">
            <w:pPr>
              <w:rPr>
                <w:lang w:val="es-ES"/>
              </w:rPr>
            </w:pPr>
            <w:r w:rsidRPr="00E71B56">
              <w:rPr>
                <w:lang w:val="es-ES"/>
              </w:rPr>
              <w:t>70, 175, 179, 184 y 198 de la PP; 46, 55, 58, 67 y 76 de la CMDT</w:t>
            </w:r>
          </w:p>
        </w:tc>
      </w:tr>
      <w:tr w:rsidR="00BD155E" w:rsidRPr="00E71B56" w14:paraId="3587FFD6" w14:textId="77777777" w:rsidTr="00A372FB">
        <w:trPr>
          <w:jc w:val="center"/>
        </w:trPr>
        <w:tc>
          <w:tcPr>
            <w:tcW w:w="3173" w:type="dxa"/>
          </w:tcPr>
          <w:p w14:paraId="5B479C40" w14:textId="77777777" w:rsidR="00BD155E" w:rsidRPr="00E71B56" w:rsidRDefault="00BD155E" w:rsidP="00A372FB">
            <w:pPr>
              <w:rPr>
                <w:b/>
                <w:lang w:val="es-ES"/>
              </w:rPr>
            </w:pPr>
            <w:r w:rsidRPr="00E71B56">
              <w:rPr>
                <w:b/>
                <w:bCs/>
                <w:lang w:val="es-ES"/>
              </w:rPr>
              <w:t>Cuestiones de las Comisiones de Estudio del UIT</w:t>
            </w:r>
            <w:r w:rsidRPr="00E71B56">
              <w:rPr>
                <w:b/>
                <w:bCs/>
                <w:lang w:val="es-ES"/>
              </w:rPr>
              <w:noBreakHyphen/>
              <w:t>D</w:t>
            </w:r>
          </w:p>
        </w:tc>
        <w:tc>
          <w:tcPr>
            <w:tcW w:w="12211" w:type="dxa"/>
            <w:gridSpan w:val="2"/>
          </w:tcPr>
          <w:p w14:paraId="654224BB" w14:textId="77777777" w:rsidR="00BD155E" w:rsidRPr="00E71B56" w:rsidRDefault="00BD155E" w:rsidP="00A372FB">
            <w:pPr>
              <w:rPr>
                <w:lang w:val="es-ES"/>
              </w:rPr>
            </w:pPr>
            <w:r w:rsidRPr="00E71B56">
              <w:rPr>
                <w:lang w:val="es-ES"/>
              </w:rPr>
              <w:t>Cuestión 7/1: Accesibilidad de las telecomunicaciones/TIC para permitir la comunicación inclusiva, en especial para las personas con discapacidad</w:t>
            </w:r>
          </w:p>
        </w:tc>
      </w:tr>
    </w:tbl>
    <w:p w14:paraId="3D6E8FC8" w14:textId="77777777" w:rsidR="00BD155E" w:rsidRPr="00E71B56" w:rsidRDefault="00BD155E" w:rsidP="00BD155E">
      <w:pPr>
        <w:rPr>
          <w:lang w:val="es-ES"/>
        </w:rPr>
      </w:pPr>
      <w:r w:rsidRPr="00E71B56">
        <w:rPr>
          <w:lang w:val="es-ES"/>
        </w:rPr>
        <w:br w:type="page"/>
      </w:r>
    </w:p>
    <w:tbl>
      <w:tblPr>
        <w:tblStyle w:val="TableGridLight"/>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2899"/>
        <w:gridCol w:w="8060"/>
        <w:gridCol w:w="3035"/>
      </w:tblGrid>
      <w:tr w:rsidR="00BD155E" w:rsidRPr="00E71B56" w14:paraId="1E4E6FC2" w14:textId="77777777" w:rsidTr="00A372FB">
        <w:trPr>
          <w:jc w:val="center"/>
        </w:trPr>
        <w:tc>
          <w:tcPr>
            <w:tcW w:w="15384" w:type="dxa"/>
            <w:gridSpan w:val="3"/>
            <w:shd w:val="clear" w:color="auto" w:fill="2F5496"/>
          </w:tcPr>
          <w:p w14:paraId="558EB9BB" w14:textId="77777777" w:rsidR="00BD155E" w:rsidRPr="00E71B56" w:rsidRDefault="00BD155E" w:rsidP="00A372FB">
            <w:pPr>
              <w:pStyle w:val="Heading2"/>
              <w:jc w:val="center"/>
              <w:rPr>
                <w:color w:val="FFFFFF" w:themeColor="background1"/>
                <w:lang w:val="es-ES"/>
              </w:rPr>
            </w:pPr>
            <w:bookmarkStart w:id="55" w:name="_Toc212728831"/>
            <w:bookmarkStart w:id="56" w:name="_Toc213427979"/>
            <w:r w:rsidRPr="00E71B56">
              <w:rPr>
                <w:color w:val="FFFFFF" w:themeColor="background1"/>
                <w:lang w:val="es-ES"/>
              </w:rPr>
              <w:lastRenderedPageBreak/>
              <w:t>Factor habilitador 4 del UIT</w:t>
            </w:r>
            <w:r w:rsidRPr="00E71B56">
              <w:rPr>
                <w:color w:val="FFFFFF" w:themeColor="background1"/>
                <w:lang w:val="es-ES"/>
              </w:rPr>
              <w:noBreakHyphen/>
              <w:t>D: Compromiso con la sostenibilidad medioambiental</w:t>
            </w:r>
            <w:bookmarkEnd w:id="55"/>
            <w:bookmarkEnd w:id="56"/>
          </w:p>
          <w:p w14:paraId="5F781F1C" w14:textId="77777777" w:rsidR="00BD155E" w:rsidRPr="00E71B56" w:rsidRDefault="00BD155E" w:rsidP="00A372FB">
            <w:pPr>
              <w:spacing w:after="120"/>
              <w:jc w:val="center"/>
              <w:rPr>
                <w:b/>
                <w:bCs/>
                <w:i/>
                <w:iCs/>
                <w:color w:val="FFFFFF" w:themeColor="background1"/>
                <w:lang w:val="es-ES"/>
              </w:rPr>
            </w:pPr>
            <w:r w:rsidRPr="00E71B56">
              <w:rPr>
                <w:b/>
                <w:bCs/>
                <w:i/>
                <w:iCs/>
                <w:color w:val="FFFFFF" w:themeColor="background1"/>
                <w:lang w:val="es-ES"/>
              </w:rPr>
              <w:t>Desarrollo de estrategias y soluciones en materia de adaptación al cambio climático</w:t>
            </w:r>
          </w:p>
        </w:tc>
      </w:tr>
      <w:tr w:rsidR="00BD155E" w:rsidRPr="00E71B56" w14:paraId="32158F73" w14:textId="77777777" w:rsidTr="00A372FB">
        <w:trPr>
          <w:jc w:val="center"/>
        </w:trPr>
        <w:tc>
          <w:tcPr>
            <w:tcW w:w="15384" w:type="dxa"/>
            <w:gridSpan w:val="3"/>
            <w:shd w:val="clear" w:color="auto" w:fill="E5DFEC"/>
          </w:tcPr>
          <w:p w14:paraId="42221F3F" w14:textId="77777777" w:rsidR="00BD155E" w:rsidRPr="00E71B56" w:rsidRDefault="00BD155E" w:rsidP="00A372FB">
            <w:pPr>
              <w:rPr>
                <w:b/>
                <w:bCs/>
                <w:i/>
                <w:iCs/>
                <w:lang w:val="es-ES"/>
              </w:rPr>
            </w:pPr>
            <w:r w:rsidRPr="00E71B56">
              <w:rPr>
                <w:b/>
                <w:bCs/>
                <w:i/>
                <w:iCs/>
                <w:lang w:val="es-ES"/>
              </w:rPr>
              <w:t>Realización:</w:t>
            </w:r>
            <w:r w:rsidRPr="00E71B56">
              <w:rPr>
                <w:i/>
                <w:iCs/>
                <w:lang w:val="es-ES"/>
              </w:rPr>
              <w:t xml:space="preserve"> Mejora de la capacidad de los miembros de la UIT para elaborar estrategias y soluciones de telecomunicaciones/TIC en materia de adaptación al cambio climático, atenuación de sus efectos y utilización de energías ecológicas/renovables</w:t>
            </w:r>
          </w:p>
        </w:tc>
      </w:tr>
      <w:tr w:rsidR="00BD155E" w:rsidRPr="00E71B56" w14:paraId="7B7B84E5" w14:textId="77777777" w:rsidTr="00A372FB">
        <w:trPr>
          <w:jc w:val="center"/>
        </w:trPr>
        <w:tc>
          <w:tcPr>
            <w:tcW w:w="12061" w:type="dxa"/>
            <w:gridSpan w:val="2"/>
          </w:tcPr>
          <w:p w14:paraId="002D0746" w14:textId="77777777" w:rsidR="00BD155E" w:rsidRPr="00E71B56" w:rsidRDefault="00BD155E" w:rsidP="00A372FB">
            <w:pPr>
              <w:jc w:val="center"/>
              <w:rPr>
                <w:b/>
                <w:bCs/>
                <w:color w:val="0070C0"/>
                <w:lang w:val="es-ES"/>
              </w:rPr>
            </w:pPr>
            <w:r w:rsidRPr="00E71B56">
              <w:rPr>
                <w:b/>
                <w:bCs/>
                <w:color w:val="0070C0"/>
                <w:lang w:val="es-ES"/>
              </w:rPr>
              <w:t>Productos</w:t>
            </w:r>
          </w:p>
        </w:tc>
        <w:tc>
          <w:tcPr>
            <w:tcW w:w="3323" w:type="dxa"/>
          </w:tcPr>
          <w:p w14:paraId="5A7CA966" w14:textId="77777777" w:rsidR="00BD155E" w:rsidRPr="00E71B56" w:rsidRDefault="00BD155E" w:rsidP="00A372FB">
            <w:pPr>
              <w:jc w:val="center"/>
              <w:rPr>
                <w:b/>
                <w:bCs/>
                <w:color w:val="0070C0"/>
                <w:lang w:val="es-ES"/>
              </w:rPr>
            </w:pPr>
            <w:r w:rsidRPr="00E71B56">
              <w:rPr>
                <w:b/>
                <w:bCs/>
                <w:color w:val="0070C0"/>
                <w:lang w:val="es-ES"/>
              </w:rPr>
              <w:t>Aspectos destacados</w:t>
            </w:r>
          </w:p>
        </w:tc>
      </w:tr>
      <w:tr w:rsidR="00BD155E" w:rsidRPr="00E71B56" w14:paraId="6F50B9DF" w14:textId="77777777" w:rsidTr="00A372FB">
        <w:trPr>
          <w:jc w:val="center"/>
        </w:trPr>
        <w:tc>
          <w:tcPr>
            <w:tcW w:w="12061" w:type="dxa"/>
            <w:gridSpan w:val="2"/>
          </w:tcPr>
          <w:p w14:paraId="4CA6416C" w14:textId="77777777" w:rsidR="00BD155E" w:rsidRPr="00E71B56" w:rsidRDefault="00BD155E" w:rsidP="00A372FB">
            <w:pPr>
              <w:rPr>
                <w:lang w:val="es-ES"/>
              </w:rPr>
            </w:pPr>
            <w:r w:rsidRPr="00E71B56">
              <w:rPr>
                <w:lang w:val="es-ES"/>
              </w:rPr>
              <w:t xml:space="preserve">La BDT siguió impulsando programas exhaustivos para fortalecer la capacidad de los Estados Miembros para gestionar los residuos eléctricos y electrónicos, promover los principios de la economía circular y supervisar los efectos del sector de las TIC en el clima de conformidad con la </w:t>
            </w:r>
            <w:hyperlink r:id="rId386" w:history="1">
              <w:r w:rsidRPr="00E71B56">
                <w:rPr>
                  <w:rStyle w:val="Hyperlink"/>
                  <w:lang w:val="es-ES"/>
                </w:rPr>
                <w:t>Resolución 66 (Rev. Kigali, 2022) de la CMDT-22</w:t>
              </w:r>
            </w:hyperlink>
            <w:r w:rsidRPr="00E71B56">
              <w:rPr>
                <w:lang w:val="es-ES"/>
              </w:rPr>
              <w:t xml:space="preserve"> sobre tecnologías de la información y la comunicación, medioambiente, cambio climático y economía circular</w:t>
            </w:r>
            <w:r w:rsidRPr="00E71B56">
              <w:rPr>
                <w:i/>
                <w:iCs/>
                <w:lang w:val="es-ES"/>
              </w:rPr>
              <w:t>.</w:t>
            </w:r>
            <w:r w:rsidRPr="00E71B56">
              <w:rPr>
                <w:lang w:val="es-ES"/>
              </w:rPr>
              <w:t xml:space="preserve"> Mediante una combinación de apoyo político, creación de capacidad, asistencia técnica y asociaciones, la BDT ayudó a los Estados Miembros con las normas de diseño, fortaleció las instituciones e hizo que los productores y comunidades colaborasen al logro de una transformación digital más ecológica.</w:t>
            </w:r>
            <w:hyperlink r:id="rId387" w:history="1"/>
          </w:p>
          <w:p w14:paraId="2128AC5F" w14:textId="77777777" w:rsidR="00BD155E" w:rsidRPr="00E71B56" w:rsidRDefault="00BD155E" w:rsidP="00A372FB">
            <w:pPr>
              <w:rPr>
                <w:lang w:val="es-ES"/>
              </w:rPr>
            </w:pPr>
            <w:r w:rsidRPr="00E71B56">
              <w:rPr>
                <w:lang w:val="es-ES"/>
              </w:rPr>
              <w:t xml:space="preserve">En 2023, se puso en marcha un nuevo curso de aprendizaje electrónico sobre la </w:t>
            </w:r>
            <w:hyperlink r:id="rId388" w:history="1">
              <w:r w:rsidRPr="00E71B56">
                <w:rPr>
                  <w:rStyle w:val="Hyperlink"/>
                  <w:lang w:val="es-ES"/>
                </w:rPr>
                <w:t>Responsabilidad ampliada del productor para la gestión de residuos eléctricos y electrónicos</w:t>
              </w:r>
            </w:hyperlink>
            <w:r w:rsidRPr="00E71B56">
              <w:rPr>
                <w:lang w:val="es-ES"/>
              </w:rPr>
              <w:t xml:space="preserve"> en la </w:t>
            </w:r>
            <w:hyperlink r:id="rId389" w:history="1">
              <w:r w:rsidRPr="00E71B56">
                <w:rPr>
                  <w:rStyle w:val="Hyperlink"/>
                  <w:lang w:val="es-ES"/>
                </w:rPr>
                <w:t>Academia de la UIT</w:t>
              </w:r>
            </w:hyperlink>
            <w:r w:rsidRPr="00E71B56">
              <w:rPr>
                <w:lang w:val="es-ES"/>
              </w:rPr>
              <w:t>, como complemento de un curso introductorio sobre políticas de residuos</w:t>
            </w:r>
            <w:r w:rsidRPr="00E71B56">
              <w:rPr>
                <w:lang w:val="es-ES"/>
              </w:rPr>
              <w:noBreakHyphen/>
              <w:t xml:space="preserve">e. Otro curso sobre el </w:t>
            </w:r>
            <w:hyperlink r:id="rId390" w:history="1">
              <w:r w:rsidRPr="00E71B56">
                <w:rPr>
                  <w:rStyle w:val="Hyperlink"/>
                  <w:lang w:val="es-ES"/>
                </w:rPr>
                <w:t>Emprendimiento Ecológico y Digital</w:t>
              </w:r>
            </w:hyperlink>
            <w:r w:rsidRPr="00E71B56">
              <w:rPr>
                <w:lang w:val="es-ES"/>
              </w:rPr>
              <w:t>, desarrollado en el marco del Acelerador para el Emprendimiento de la Mujer con financiación de Mary Kay, se puso en marcha el Día Mundial del Medioambiente (5 de junio de 2023), ayudando a las mujeres innovadoras a vincular la sostenibilidad con oportunidades de negocio.</w:t>
            </w:r>
            <w:hyperlink r:id="rId391" w:history="1"/>
            <w:hyperlink r:id="rId392" w:history="1"/>
            <w:hyperlink r:id="rId393" w:history="1"/>
          </w:p>
          <w:p w14:paraId="30696DB6" w14:textId="77777777" w:rsidR="00BD155E" w:rsidRPr="00E71B56" w:rsidRDefault="00BD155E" w:rsidP="00A372FB">
            <w:pPr>
              <w:rPr>
                <w:lang w:val="es-ES"/>
              </w:rPr>
            </w:pPr>
            <w:r w:rsidRPr="00E71B56">
              <w:rPr>
                <w:lang w:val="es-ES"/>
              </w:rPr>
              <w:t xml:space="preserve">En global, el </w:t>
            </w:r>
            <w:hyperlink r:id="rId394" w:history="1">
              <w:r w:rsidRPr="00E71B56">
                <w:rPr>
                  <w:rStyle w:val="Hyperlink"/>
                  <w:lang w:val="es-ES"/>
                </w:rPr>
                <w:t>Observatorio Internacional sobre Residuos Electrónicos de 2024</w:t>
              </w:r>
            </w:hyperlink>
            <w:r w:rsidRPr="00E71B56">
              <w:rPr>
                <w:lang w:val="es-ES"/>
              </w:rPr>
              <w:t xml:space="preserve">, elaborado en colaboración con el Instituto de las Naciones Unidas para Formación Profesional e Investigaciones (UNITAR) y la Fundación Carmignac, reveló un incremento de las disparidades entre la generación de residuos electrónicos y las tasas de reciclaje. Se iniciaron dos nuevos cursos de aprendizaje en línea sobre residuos electrónicos, mejorando el entendimiento de las metodologías por las partes interesadas y el proceso de recopilación de datos a nivel nacional. En el informe sobre la </w:t>
            </w:r>
            <w:hyperlink r:id="rId395" w:history="1">
              <w:r w:rsidRPr="00E71B56">
                <w:rPr>
                  <w:rStyle w:val="Hyperlink"/>
                  <w:lang w:val="es-ES"/>
                </w:rPr>
                <w:t>Ecologización de las empresas digitales</w:t>
              </w:r>
            </w:hyperlink>
            <w:r w:rsidRPr="00E71B56">
              <w:rPr>
                <w:lang w:val="es-ES"/>
              </w:rPr>
              <w:t xml:space="preserve"> se compararon las emisiones de 200 empresas tecnológicas líderes, y en su edición de 2025 se reveló que las emisiones de alcance 1 y 2 aumentaron un 1,4 % hasta alcanzar las 297 MtCO₂e (toneladas métricas equivalentes de dióxido de carbono) </w:t>
            </w:r>
            <w:r w:rsidRPr="00E71B56">
              <w:rPr>
                <w:lang w:val="es-ES"/>
              </w:rPr>
              <w:lastRenderedPageBreak/>
              <w:t>y que dominaban las emisiones de alcance 3. El informe se difundió ante 350 medios masivos de comunicación en 12 lenguas y obtuvo más de 383 000 visualizaciones en su primera semana, destacando la visibilidad mundial de la UIT.</w:t>
            </w:r>
            <w:hyperlink r:id="rId396"/>
            <w:hyperlink r:id="rId397"/>
          </w:p>
          <w:p w14:paraId="57A2B79B" w14:textId="77777777" w:rsidR="00BD155E" w:rsidRPr="00E71B56" w:rsidRDefault="00BD155E" w:rsidP="00A372FB">
            <w:pPr>
              <w:rPr>
                <w:lang w:val="es-ES"/>
              </w:rPr>
            </w:pPr>
            <w:r w:rsidRPr="00E71B56">
              <w:rPr>
                <w:lang w:val="es-ES"/>
              </w:rPr>
              <w:t>Por conducto del </w:t>
            </w:r>
            <w:hyperlink r:id="rId398" w:history="1">
              <w:r w:rsidRPr="00E71B56">
                <w:rPr>
                  <w:rStyle w:val="Hyperlink"/>
                  <w:lang w:val="es-ES"/>
                </w:rPr>
                <w:t>GEIT</w:t>
              </w:r>
            </w:hyperlink>
            <w:r w:rsidRPr="00E71B56">
              <w:rPr>
                <w:lang w:val="es-ES"/>
              </w:rPr>
              <w:t xml:space="preserve">, la BDT creó un nuevo subgrupo sobre </w:t>
            </w:r>
            <w:hyperlink r:id="rId399" w:history="1">
              <w:r w:rsidRPr="00E71B56">
                <w:rPr>
                  <w:rStyle w:val="Hyperlink"/>
                  <w:lang w:val="es-ES"/>
                </w:rPr>
                <w:t>indicadores ambi</w:t>
              </w:r>
              <w:r w:rsidRPr="00E71B56">
                <w:rPr>
                  <w:rStyle w:val="Hyperlink"/>
                  <w:lang w:val="es-ES"/>
                </w:rPr>
                <w:t>e</w:t>
              </w:r>
              <w:r w:rsidRPr="00E71B56">
                <w:rPr>
                  <w:rStyle w:val="Hyperlink"/>
                  <w:lang w:val="es-ES"/>
                </w:rPr>
                <w:t>ntales</w:t>
              </w:r>
            </w:hyperlink>
            <w:r w:rsidRPr="00E71B56">
              <w:rPr>
                <w:lang w:val="es-ES"/>
              </w:rPr>
              <w:t>, presidido por Arcep (Francia). El subgrupo ha estado desarrollando indicadores armonizados para las emisiones de alcance 1 a 3, el uso de la energía y las metas en materia de energía renovable. En marzo de 2025 se llevó a cabo un estudio de caso sobre prácticas idóneas en materia de supervisión de Arcep, en cuyo webinario participaron más de 130 personas.</w:t>
            </w:r>
            <w:hyperlink r:id="rId400" w:history="1"/>
            <w:hyperlink r:id="rId401" w:history="1"/>
          </w:p>
          <w:p w14:paraId="186AA302" w14:textId="77777777" w:rsidR="00BD155E" w:rsidRPr="00E71B56" w:rsidRDefault="00BD155E" w:rsidP="00A372FB">
            <w:pPr>
              <w:rPr>
                <w:lang w:val="es-ES"/>
              </w:rPr>
            </w:pPr>
            <w:r w:rsidRPr="00E71B56">
              <w:rPr>
                <w:lang w:val="es-ES"/>
              </w:rPr>
              <w:t xml:space="preserve">La BDT también lanzó el </w:t>
            </w:r>
            <w:hyperlink r:id="rId402" w:history="1">
              <w:r w:rsidRPr="00E71B56">
                <w:rPr>
                  <w:rStyle w:val="Hyperlink"/>
                  <w:b/>
                  <w:bCs/>
                  <w:lang w:val="es-ES"/>
                </w:rPr>
                <w:t>Panel sobre la Ecologización del sector Digital</w:t>
              </w:r>
            </w:hyperlink>
            <w:r w:rsidRPr="00E71B56">
              <w:rPr>
                <w:lang w:val="es-ES"/>
              </w:rPr>
              <w:t>, permitiendo la supervisión interactiva de las emisiones y el uso de la energía en el sector de las TIC. Esta herramienta sentó las bases de una futura base de datos sobre emisiones dirigida por la UIT.</w:t>
            </w:r>
            <w:hyperlink r:id="rId403" w:history="1"/>
          </w:p>
          <w:p w14:paraId="4DFC3434" w14:textId="77777777" w:rsidR="00BD155E" w:rsidRPr="00E71B56" w:rsidRDefault="00BD155E" w:rsidP="00A372FB">
            <w:pPr>
              <w:rPr>
                <w:lang w:val="es-ES"/>
              </w:rPr>
            </w:pPr>
            <w:r w:rsidRPr="00E71B56">
              <w:rPr>
                <w:lang w:val="es-ES"/>
              </w:rPr>
              <w:t xml:space="preserve">En todas las regiones, la BDT amplió la asistencia técnica para apoyar a los Estados Miembros. En </w:t>
            </w:r>
            <w:r w:rsidRPr="00E71B56">
              <w:rPr>
                <w:b/>
                <w:bCs/>
                <w:lang w:val="es-ES"/>
              </w:rPr>
              <w:t>África</w:t>
            </w:r>
            <w:r w:rsidRPr="00E71B56">
              <w:rPr>
                <w:lang w:val="es-ES"/>
              </w:rPr>
              <w:t xml:space="preserve">, la asistencia prestada a </w:t>
            </w:r>
            <w:r w:rsidRPr="00E71B56">
              <w:rPr>
                <w:b/>
                <w:bCs/>
                <w:lang w:val="es-ES"/>
              </w:rPr>
              <w:t xml:space="preserve">Rwanda </w:t>
            </w:r>
            <w:r w:rsidRPr="00E71B56">
              <w:rPr>
                <w:lang w:val="es-ES"/>
              </w:rPr>
              <w:t>dio lugar al fortalecimiento del marco nacional de responsabilidad ampliada del productor (RAP) para los dispositivos electrónicos. En 2024, se creó un sistema de cumplimiento con la Federación del Sector Privado, al que se adhirieron 30 productores de dispositivos electrónicos. Se diseñaron herramientas para calcular las tasas de afiliación sobre la base de los dispositivos vendidos, proporcionando un modelo financiero sostenible.</w:t>
            </w:r>
          </w:p>
          <w:p w14:paraId="5F6B9CBC" w14:textId="77777777" w:rsidR="00BD155E" w:rsidRPr="00E71B56" w:rsidRDefault="00BD155E" w:rsidP="00A372FB">
            <w:pPr>
              <w:rPr>
                <w:lang w:val="es-ES"/>
              </w:rPr>
            </w:pPr>
            <w:r w:rsidRPr="00E71B56">
              <w:rPr>
                <w:lang w:val="es-ES"/>
              </w:rPr>
              <w:t xml:space="preserve">En </w:t>
            </w:r>
            <w:r w:rsidRPr="00E71B56">
              <w:rPr>
                <w:b/>
                <w:bCs/>
                <w:lang w:val="es-ES"/>
              </w:rPr>
              <w:t>Zambia</w:t>
            </w:r>
            <w:r w:rsidRPr="00E71B56">
              <w:rPr>
                <w:lang w:val="es-ES"/>
              </w:rPr>
              <w:t>, la BDT prestó apoyo a las consultas gubernamentales celebradas en Lusaka en 2024, ayudando a los representantes del sector jurídico a redactar un marco para los residuos eléctricos y electrónicos y reuniendo a los productores para ayudarlos a entender sus responsabilidades. Un estudio de financiación realizado en 2025 detalló los costes de la recopilación, el almacenamiento y el tratamiento de los residuos eléctricos y electrónicos, ofreciendo una vía hacia la implementación sostenible.</w:t>
            </w:r>
          </w:p>
          <w:p w14:paraId="3E68BD13" w14:textId="77777777" w:rsidR="00BD155E" w:rsidRPr="00E71B56" w:rsidRDefault="00BD155E" w:rsidP="00A372FB">
            <w:pPr>
              <w:rPr>
                <w:lang w:val="es-ES"/>
              </w:rPr>
            </w:pPr>
            <w:r w:rsidRPr="00E71B56">
              <w:rPr>
                <w:lang w:val="es-ES"/>
              </w:rPr>
              <w:t xml:space="preserve">En </w:t>
            </w:r>
            <w:r w:rsidRPr="00E71B56">
              <w:rPr>
                <w:b/>
                <w:bCs/>
                <w:lang w:val="es-ES"/>
              </w:rPr>
              <w:t>Uganda</w:t>
            </w:r>
            <w:r w:rsidRPr="00E71B56">
              <w:rPr>
                <w:lang w:val="es-ES"/>
              </w:rPr>
              <w:t>, la BDT facilitó las consultas con las partes interesadas en 2024, que dieron lugar a una revisión del plan de implementación de la política nacional en materia de residuos eléctricos y electrónicos, que se presentó al Gobierno. Además, se organizó un taller sobre el aprovechamiento de la tecnología digital en la acción climática durante el Simposio Mundial para Organismos Reguladores (GSR-24) en Uganda.</w:t>
            </w:r>
          </w:p>
          <w:p w14:paraId="532A6781" w14:textId="77777777" w:rsidR="00BD155E" w:rsidRPr="00E71B56" w:rsidRDefault="00BD155E" w:rsidP="00A372FB">
            <w:pPr>
              <w:rPr>
                <w:lang w:val="es-ES"/>
              </w:rPr>
            </w:pPr>
            <w:r w:rsidRPr="00E71B56">
              <w:rPr>
                <w:lang w:val="es-ES"/>
              </w:rPr>
              <w:lastRenderedPageBreak/>
              <w:t xml:space="preserve">También se prestó apoyo a </w:t>
            </w:r>
            <w:r w:rsidRPr="00E71B56">
              <w:rPr>
                <w:b/>
                <w:bCs/>
                <w:lang w:val="es-ES"/>
              </w:rPr>
              <w:t xml:space="preserve">Malawi </w:t>
            </w:r>
            <w:r w:rsidRPr="00E71B56">
              <w:rPr>
                <w:lang w:val="es-ES"/>
              </w:rPr>
              <w:t>y</w:t>
            </w:r>
            <w:r w:rsidRPr="00E71B56">
              <w:rPr>
                <w:b/>
                <w:bCs/>
                <w:lang w:val="es-ES"/>
              </w:rPr>
              <w:t xml:space="preserve"> Burundi</w:t>
            </w:r>
            <w:r w:rsidRPr="00E71B56">
              <w:rPr>
                <w:lang w:val="es-ES"/>
              </w:rPr>
              <w:t xml:space="preserve">, donde las políticas de gestión de residuos eléctricos y electrónicos fueron aprobadas por los gabinetes de Gobierno en 2023, marcando hitos fundamentales hacia la reglamentación. En </w:t>
            </w:r>
            <w:r w:rsidRPr="00E71B56">
              <w:rPr>
                <w:b/>
                <w:bCs/>
                <w:lang w:val="es-ES"/>
              </w:rPr>
              <w:t xml:space="preserve">Botswana </w:t>
            </w:r>
            <w:r w:rsidRPr="00E71B56">
              <w:rPr>
                <w:lang w:val="es-ES"/>
              </w:rPr>
              <w:t>y</w:t>
            </w:r>
            <w:r w:rsidRPr="00E71B56">
              <w:rPr>
                <w:b/>
                <w:bCs/>
                <w:lang w:val="es-ES"/>
              </w:rPr>
              <w:t xml:space="preserve"> Níger</w:t>
            </w:r>
            <w:r w:rsidRPr="00E71B56">
              <w:rPr>
                <w:lang w:val="es-ES"/>
              </w:rPr>
              <w:t>, la BDT ayudó a preparar estrategias nacionales, sentando las bases para la creación de sistemas oficiales de gestión de residuos eléctricos y electrónicos.</w:t>
            </w:r>
          </w:p>
          <w:p w14:paraId="1CD1A565" w14:textId="77777777" w:rsidR="00BD155E" w:rsidRPr="00E71B56" w:rsidRDefault="00BD155E" w:rsidP="00A372FB">
            <w:pPr>
              <w:rPr>
                <w:lang w:val="es-ES"/>
              </w:rPr>
            </w:pPr>
            <w:r w:rsidRPr="00E71B56">
              <w:rPr>
                <w:lang w:val="es-ES"/>
              </w:rPr>
              <w:t>Se reforzó la capacidad regional mediante la formación para seis Estados Miembros de la Organización de Comunicaciones de África Oriental, donde los organismos reguladores y ministerios recibieron orientaciones sobre la armonización de la recopilación de datos sobre los residuos eléctricos y electrónicos, mejorando la comparabilidad entre los países.</w:t>
            </w:r>
          </w:p>
          <w:p w14:paraId="31C2CBE4" w14:textId="77777777" w:rsidR="00BD155E" w:rsidRPr="00E71B56" w:rsidRDefault="00BD155E" w:rsidP="00A372FB">
            <w:pPr>
              <w:rPr>
                <w:lang w:val="es-ES"/>
              </w:rPr>
            </w:pPr>
            <w:r w:rsidRPr="00E71B56">
              <w:rPr>
                <w:lang w:val="es-ES"/>
              </w:rPr>
              <w:t xml:space="preserve">En la </w:t>
            </w:r>
            <w:r w:rsidRPr="00E71B56">
              <w:rPr>
                <w:b/>
                <w:bCs/>
                <w:lang w:val="es-ES"/>
              </w:rPr>
              <w:t>región de las Américas</w:t>
            </w:r>
            <w:r w:rsidRPr="00E71B56">
              <w:rPr>
                <w:lang w:val="es-ES"/>
              </w:rPr>
              <w:t xml:space="preserve">, el apoyo prestado a la </w:t>
            </w:r>
            <w:r w:rsidRPr="00E71B56">
              <w:rPr>
                <w:b/>
                <w:bCs/>
                <w:lang w:val="es-ES"/>
              </w:rPr>
              <w:t xml:space="preserve">República Dominicana </w:t>
            </w:r>
            <w:r w:rsidRPr="00E71B56">
              <w:rPr>
                <w:lang w:val="es-ES"/>
              </w:rPr>
              <w:t xml:space="preserve">concluyó con el lanzamiento de un reglamento sobre la gestión integral de residuos de equipos eléctricos y electrónicos en octubre de 2023. Se prevé que este reglamento desbloquee un mercado estimado en 71 millones USD al año en residuos eléctricos y electrónicos, creando oportunidades para las industrias de la recuperación y el reciclado. En </w:t>
            </w:r>
            <w:r w:rsidRPr="00E71B56">
              <w:rPr>
                <w:b/>
                <w:bCs/>
                <w:lang w:val="es-ES"/>
              </w:rPr>
              <w:t>Paraguay</w:t>
            </w:r>
            <w:r w:rsidRPr="00E71B56">
              <w:rPr>
                <w:lang w:val="es-ES"/>
              </w:rPr>
              <w:t>, la BDT facilitó talleres de consulta con las partes interesadas del Gobierno y el sector privado en 2024, sentando las bases de un decreto nacional y una resolución sobre la gestión de residuos eléctricos y electrónicos.</w:t>
            </w:r>
          </w:p>
          <w:p w14:paraId="1914A626" w14:textId="77777777" w:rsidR="00BD155E" w:rsidRPr="00E71B56" w:rsidRDefault="00BD155E" w:rsidP="00A372FB">
            <w:pPr>
              <w:rPr>
                <w:lang w:val="es-ES"/>
              </w:rPr>
            </w:pPr>
            <w:r w:rsidRPr="00E71B56">
              <w:rPr>
                <w:lang w:val="es-ES"/>
              </w:rPr>
              <w:t xml:space="preserve">En los </w:t>
            </w:r>
            <w:r w:rsidRPr="00E71B56">
              <w:rPr>
                <w:b/>
                <w:bCs/>
                <w:lang w:val="es-ES"/>
              </w:rPr>
              <w:t>Estados Árabes</w:t>
            </w:r>
            <w:r w:rsidRPr="00E71B56">
              <w:rPr>
                <w:lang w:val="es-ES"/>
              </w:rPr>
              <w:t>, la participación consistió en talleres celebrados durante el Simposio Mundial para Organismos Reguladores; los eventos relativos a la ecologización de la transformación digital en el GSR-23 en Egipto, y a los marcos para un futuro sostenible en el GSR-25 en Arabia Saudita, vinculando a las comunidades reguladoras con la sostenibilidad ambiental.</w:t>
            </w:r>
          </w:p>
          <w:p w14:paraId="4836BBBF" w14:textId="77777777" w:rsidR="00BD155E" w:rsidRPr="00E71B56" w:rsidRDefault="00BD155E" w:rsidP="00A372FB">
            <w:pPr>
              <w:rPr>
                <w:lang w:val="es-ES"/>
              </w:rPr>
            </w:pPr>
            <w:r w:rsidRPr="00E71B56">
              <w:rPr>
                <w:lang w:val="es-ES"/>
              </w:rPr>
              <w:t xml:space="preserve">En la </w:t>
            </w:r>
            <w:r w:rsidRPr="00E71B56">
              <w:rPr>
                <w:b/>
                <w:bCs/>
                <w:lang w:val="es-ES"/>
              </w:rPr>
              <w:t>región de Asia-Pacífico</w:t>
            </w:r>
            <w:r w:rsidRPr="00E71B56">
              <w:rPr>
                <w:lang w:val="es-ES"/>
              </w:rPr>
              <w:t xml:space="preserve">, la BDT ayudó a múltiples gobiernos a impulsar la reglamentación sobre residuos eléctricos y electrónicos y las iniciativas relativas a la economía circular. Gracias a la financiación del DITRDCSA de </w:t>
            </w:r>
            <w:r w:rsidRPr="00E71B56">
              <w:rPr>
                <w:b/>
                <w:bCs/>
                <w:lang w:val="es-ES"/>
              </w:rPr>
              <w:t>Australia</w:t>
            </w:r>
            <w:r w:rsidRPr="00E71B56">
              <w:rPr>
                <w:lang w:val="es-ES"/>
              </w:rPr>
              <w:t xml:space="preserve">, se pusieron en marcha proyectos en </w:t>
            </w:r>
            <w:r w:rsidRPr="00E71B56">
              <w:rPr>
                <w:b/>
                <w:bCs/>
                <w:lang w:val="es-ES"/>
              </w:rPr>
              <w:t>Tailandia</w:t>
            </w:r>
            <w:r w:rsidRPr="00E71B56">
              <w:rPr>
                <w:lang w:val="es-ES"/>
              </w:rPr>
              <w:t xml:space="preserve">, y en </w:t>
            </w:r>
            <w:r w:rsidRPr="00E71B56">
              <w:rPr>
                <w:b/>
                <w:bCs/>
                <w:lang w:val="es-ES"/>
              </w:rPr>
              <w:t xml:space="preserve">Mongolia </w:t>
            </w:r>
            <w:r w:rsidRPr="00E71B56">
              <w:rPr>
                <w:lang w:val="es-ES"/>
              </w:rPr>
              <w:t>en 2024, para crear marcos reglamentarios en el marco de la RAP. En talleres organizados en Bangkok en 2024 participaron miembros del Gobierno y productores para perfeccionar las disposiciones del proyecto de ley de residuos de equipos eléctricos y electrónicos.</w:t>
            </w:r>
          </w:p>
          <w:p w14:paraId="76CD7436" w14:textId="77777777" w:rsidR="00BD155E" w:rsidRPr="00E71B56" w:rsidRDefault="00BD155E" w:rsidP="00A372FB">
            <w:pPr>
              <w:rPr>
                <w:lang w:val="es-ES"/>
              </w:rPr>
            </w:pPr>
            <w:r w:rsidRPr="00E71B56">
              <w:rPr>
                <w:lang w:val="es-ES"/>
              </w:rPr>
              <w:t xml:space="preserve">En </w:t>
            </w:r>
            <w:r w:rsidRPr="00E71B56">
              <w:rPr>
                <w:b/>
                <w:bCs/>
                <w:lang w:val="es-ES"/>
              </w:rPr>
              <w:t>Indonesia</w:t>
            </w:r>
            <w:r w:rsidRPr="00E71B56">
              <w:rPr>
                <w:lang w:val="es-ES"/>
              </w:rPr>
              <w:t xml:space="preserve">, la BDT trabajó con el Gobierno para desarrollar una hoja de ruta nacional para la gestión de los residuos eléctricos y electrónicos posterior al consumidor en 2025. La hoja de ruta se creó mediante una serie </w:t>
            </w:r>
            <w:r w:rsidRPr="00E71B56">
              <w:rPr>
                <w:lang w:val="es-ES"/>
              </w:rPr>
              <w:lastRenderedPageBreak/>
              <w:t>de consultas y proporciona un plan legalmente sólido y financieramente sostenible para gestionar los dispositivos electrónicos desechados.</w:t>
            </w:r>
          </w:p>
          <w:p w14:paraId="42F0360D" w14:textId="77777777" w:rsidR="00BD155E" w:rsidRPr="00E71B56" w:rsidRDefault="00BD155E" w:rsidP="00A372FB">
            <w:pPr>
              <w:rPr>
                <w:lang w:val="es-ES"/>
              </w:rPr>
            </w:pPr>
            <w:r w:rsidRPr="00E71B56">
              <w:rPr>
                <w:lang w:val="es-ES"/>
              </w:rPr>
              <w:t>Una de las actividades de creación de capacidad fue la formación sobre los "Aspectos fundamentales de la política sobre residuos eléctricos y electrónicos", impartida en Bangkok en 2024, que reunió a 26 participantes de unos 20 países. La formación abarcó la responsabilidad ampliada del productor (RAP), los principios de la economía circular y la función de los productores en la reglamentación de los residuos eléctricos y electrónicos.</w:t>
            </w:r>
          </w:p>
          <w:p w14:paraId="14566312" w14:textId="77777777" w:rsidR="00BD155E" w:rsidRPr="00E71B56" w:rsidRDefault="00BD155E" w:rsidP="00A372FB">
            <w:pPr>
              <w:rPr>
                <w:lang w:val="es-ES"/>
              </w:rPr>
            </w:pPr>
            <w:r w:rsidRPr="00E71B56">
              <w:rPr>
                <w:lang w:val="es-ES"/>
              </w:rPr>
              <w:t>Mediante estas iniciativas, se dotó a los gobiernos de la región de herramientas políticas, así como de una mejor capacidad para reglamentar los residuos eléctricos y electrónicos de manera sostenible y hacer que las partes interesadas del sector privado participen en las soluciones a largo plazo.</w:t>
            </w:r>
          </w:p>
          <w:p w14:paraId="512374EB" w14:textId="77777777" w:rsidR="00BD155E" w:rsidRPr="00E71B56" w:rsidRDefault="00BD155E" w:rsidP="00A372FB">
            <w:pPr>
              <w:rPr>
                <w:lang w:val="es-ES"/>
              </w:rPr>
            </w:pPr>
            <w:r w:rsidRPr="00E71B56">
              <w:rPr>
                <w:lang w:val="es-ES"/>
              </w:rPr>
              <w:t xml:space="preserve">En la </w:t>
            </w:r>
            <w:r w:rsidRPr="00E71B56">
              <w:rPr>
                <w:b/>
                <w:bCs/>
                <w:lang w:val="es-ES"/>
              </w:rPr>
              <w:t>región de Europa</w:t>
            </w:r>
            <w:r w:rsidRPr="00E71B56">
              <w:rPr>
                <w:lang w:val="es-ES"/>
              </w:rPr>
              <w:t xml:space="preserve">, la BDT y sus asociados publicaron el </w:t>
            </w:r>
            <w:hyperlink r:id="rId404" w:history="1">
              <w:r w:rsidRPr="00E71B56">
                <w:rPr>
                  <w:rStyle w:val="Hyperlink"/>
                  <w:lang w:val="es-ES"/>
                </w:rPr>
                <w:t>Monitor regional de r</w:t>
              </w:r>
              <w:r w:rsidRPr="00E71B56">
                <w:rPr>
                  <w:rStyle w:val="Hyperlink"/>
                  <w:lang w:val="es-ES"/>
                </w:rPr>
                <w:t>e</w:t>
              </w:r>
              <w:r w:rsidRPr="00E71B56">
                <w:rPr>
                  <w:rStyle w:val="Hyperlink"/>
                  <w:lang w:val="es-ES"/>
                </w:rPr>
                <w:t>siduos electrónicos para los Balcanes Occidentales</w:t>
              </w:r>
            </w:hyperlink>
            <w:r w:rsidRPr="00E71B56">
              <w:rPr>
                <w:lang w:val="es-ES"/>
              </w:rPr>
              <w:t xml:space="preserve"> en diciembre de 2023. El informe ofreció seis recomendaciones para lograr una gestión holística de los residuos eléctricos y electrónicos, con inclusión de medidas preventivas, mejoras en la recogida, normas de seguridad y una compensación justa. El informe sirve de hoja de ruta para que los gobiernos y las industrias mejoren sus prácticas de reciclaje y protejan a las comunidades.</w:t>
            </w:r>
            <w:hyperlink r:id="rId405"/>
          </w:p>
          <w:p w14:paraId="58492ADE" w14:textId="77777777" w:rsidR="00BD155E" w:rsidRPr="00E71B56" w:rsidRDefault="00BD155E" w:rsidP="00A372FB">
            <w:pPr>
              <w:rPr>
                <w:lang w:val="es-ES"/>
              </w:rPr>
            </w:pPr>
            <w:r w:rsidRPr="00E71B56">
              <w:rPr>
                <w:lang w:val="es-ES"/>
              </w:rPr>
              <w:t xml:space="preserve">En la </w:t>
            </w:r>
            <w:r w:rsidRPr="00E71B56">
              <w:rPr>
                <w:b/>
                <w:bCs/>
                <w:lang w:val="es-ES"/>
              </w:rPr>
              <w:t>región de la</w:t>
            </w:r>
            <w:r w:rsidRPr="00E71B56">
              <w:rPr>
                <w:lang w:val="es-ES"/>
              </w:rPr>
              <w:t> </w:t>
            </w:r>
            <w:r w:rsidRPr="00E71B56">
              <w:rPr>
                <w:b/>
                <w:bCs/>
                <w:lang w:val="es-ES"/>
              </w:rPr>
              <w:t>CEI</w:t>
            </w:r>
            <w:r w:rsidRPr="00E71B56">
              <w:rPr>
                <w:lang w:val="es-ES"/>
              </w:rPr>
              <w:t xml:space="preserve">, entre otras cosas, la BDT ayudó a </w:t>
            </w:r>
            <w:r w:rsidRPr="00E71B56">
              <w:rPr>
                <w:b/>
                <w:bCs/>
                <w:lang w:val="es-ES"/>
              </w:rPr>
              <w:t xml:space="preserve">Kazajstán </w:t>
            </w:r>
            <w:r w:rsidRPr="00E71B56">
              <w:rPr>
                <w:lang w:val="es-ES"/>
              </w:rPr>
              <w:t xml:space="preserve">a elaborar su informe sobre el </w:t>
            </w:r>
            <w:r w:rsidRPr="00E71B56">
              <w:rPr>
                <w:b/>
                <w:bCs/>
                <w:lang w:val="es-ES"/>
              </w:rPr>
              <w:t>Monitor nacional de residuos electrónicos</w:t>
            </w:r>
            <w:r w:rsidRPr="00E71B56">
              <w:rPr>
                <w:lang w:val="es-ES"/>
              </w:rPr>
              <w:t>, en el que se presentó un análisis estadístico y una hoja de ruta para la gestión sostenible de los residuos eléctricos y electrónicos. Este informe mejoró los conocimientos de los responsables de formular políticas y las industrias para concebir políticas y adaptar los marcos nacionales a las prácticas idóneas mundiales.</w:t>
            </w:r>
          </w:p>
          <w:p w14:paraId="09FE7C24" w14:textId="77777777" w:rsidR="00BD155E" w:rsidRPr="00E71B56" w:rsidRDefault="00BD155E" w:rsidP="00A372FB">
            <w:pPr>
              <w:rPr>
                <w:lang w:val="es-ES"/>
              </w:rPr>
            </w:pPr>
            <w:r w:rsidRPr="00E71B56">
              <w:rPr>
                <w:lang w:val="es-ES"/>
              </w:rPr>
              <w:t>Durante este periodo, las asociaciones siguieron estando en pleno centro de la labor de la BDT, conformando tanto el alcance de sus productos como de sus servicios e impulsando los efectos en el terreno. Uniendo sus fuerzas con los gobiernos, las organizaciones internacionales, el sector privado, las instituciones académicas y la sociedad civil, la BDT pudo convertir los compromisos mundiales en resultados tangibles.</w:t>
            </w:r>
          </w:p>
          <w:p w14:paraId="02ED1D5D" w14:textId="77777777" w:rsidR="00BD155E" w:rsidRPr="00E71B56" w:rsidRDefault="00BD155E" w:rsidP="00A372FB">
            <w:pPr>
              <w:rPr>
                <w:lang w:val="es-ES"/>
              </w:rPr>
            </w:pPr>
            <w:r w:rsidRPr="00E71B56">
              <w:rPr>
                <w:lang w:val="es-ES"/>
              </w:rPr>
              <w:t>La colaboración con el Ministerio de Ciencia y TIC de la</w:t>
            </w:r>
            <w:r w:rsidRPr="00E71B56">
              <w:rPr>
                <w:b/>
                <w:bCs/>
                <w:lang w:val="es-ES"/>
              </w:rPr>
              <w:t xml:space="preserve"> República de Corea</w:t>
            </w:r>
            <w:r w:rsidRPr="00E71B56">
              <w:rPr>
                <w:lang w:val="es-ES"/>
              </w:rPr>
              <w:t xml:space="preserve">, entre otros, dio lugar a proyectos en </w:t>
            </w:r>
            <w:r w:rsidRPr="00E71B56">
              <w:rPr>
                <w:b/>
                <w:bCs/>
                <w:lang w:val="es-ES"/>
              </w:rPr>
              <w:t xml:space="preserve">Filipinas </w:t>
            </w:r>
            <w:r w:rsidRPr="00E71B56">
              <w:rPr>
                <w:lang w:val="es-ES"/>
              </w:rPr>
              <w:t>y</w:t>
            </w:r>
            <w:r w:rsidRPr="00E71B56">
              <w:rPr>
                <w:b/>
                <w:bCs/>
                <w:lang w:val="es-ES"/>
              </w:rPr>
              <w:t xml:space="preserve"> Tanzanía</w:t>
            </w:r>
            <w:r w:rsidRPr="00E71B56">
              <w:rPr>
                <w:lang w:val="es-ES"/>
              </w:rPr>
              <w:t xml:space="preserve">, fortaleciendo la capacidad del organismo regulador para crear estrategias destinadas a la transición hacia un sector digital con cero emisiones netas. Las asociaciones con </w:t>
            </w:r>
            <w:r w:rsidRPr="00E71B56">
              <w:rPr>
                <w:b/>
                <w:bCs/>
                <w:lang w:val="es-ES"/>
              </w:rPr>
              <w:t>Australia</w:t>
            </w:r>
            <w:r w:rsidRPr="00E71B56">
              <w:rPr>
                <w:lang w:val="es-ES"/>
              </w:rPr>
              <w:t>, el</w:t>
            </w:r>
            <w:r w:rsidRPr="00E71B56">
              <w:rPr>
                <w:b/>
                <w:bCs/>
                <w:lang w:val="es-ES"/>
              </w:rPr>
              <w:t xml:space="preserve"> FCDO del </w:t>
            </w:r>
            <w:r w:rsidRPr="00E71B56">
              <w:rPr>
                <w:b/>
                <w:bCs/>
                <w:lang w:val="es-ES"/>
              </w:rPr>
              <w:lastRenderedPageBreak/>
              <w:t xml:space="preserve">Reino Unido </w:t>
            </w:r>
            <w:r w:rsidRPr="00E71B56">
              <w:rPr>
                <w:lang w:val="es-ES"/>
              </w:rPr>
              <w:t>y la</w:t>
            </w:r>
            <w:r w:rsidRPr="00E71B56">
              <w:rPr>
                <w:b/>
                <w:bCs/>
                <w:lang w:val="es-ES"/>
              </w:rPr>
              <w:t xml:space="preserve"> Comisión de Comunicaciones, Espacio y Tecnología de Arabia Saudita </w:t>
            </w:r>
            <w:r w:rsidRPr="00E71B56">
              <w:rPr>
                <w:lang w:val="es-ES"/>
              </w:rPr>
              <w:t xml:space="preserve">proporcionaron asistencia técnica a </w:t>
            </w:r>
            <w:r w:rsidRPr="00E71B56">
              <w:rPr>
                <w:b/>
                <w:bCs/>
                <w:lang w:val="es-ES"/>
              </w:rPr>
              <w:t>Indonesia</w:t>
            </w:r>
            <w:r w:rsidRPr="00E71B56">
              <w:rPr>
                <w:lang w:val="es-ES"/>
              </w:rPr>
              <w:t xml:space="preserve">, </w:t>
            </w:r>
            <w:r w:rsidRPr="00E71B56">
              <w:rPr>
                <w:b/>
                <w:bCs/>
                <w:lang w:val="es-ES"/>
              </w:rPr>
              <w:t>Mongolia</w:t>
            </w:r>
            <w:r w:rsidRPr="00E71B56">
              <w:rPr>
                <w:lang w:val="es-ES"/>
              </w:rPr>
              <w:t xml:space="preserve">, </w:t>
            </w:r>
            <w:r w:rsidRPr="00E71B56">
              <w:rPr>
                <w:b/>
                <w:bCs/>
                <w:lang w:val="es-ES"/>
              </w:rPr>
              <w:t>Paraguay</w:t>
            </w:r>
            <w:r w:rsidRPr="00E71B56">
              <w:rPr>
                <w:lang w:val="es-ES"/>
              </w:rPr>
              <w:t xml:space="preserve">, </w:t>
            </w:r>
            <w:r w:rsidRPr="00E71B56">
              <w:rPr>
                <w:b/>
                <w:bCs/>
                <w:lang w:val="es-ES"/>
              </w:rPr>
              <w:t>Rwanda</w:t>
            </w:r>
            <w:r w:rsidRPr="00E71B56">
              <w:rPr>
                <w:lang w:val="es-ES"/>
              </w:rPr>
              <w:t xml:space="preserve">, </w:t>
            </w:r>
            <w:r w:rsidRPr="00E71B56">
              <w:rPr>
                <w:b/>
                <w:bCs/>
                <w:lang w:val="es-ES"/>
              </w:rPr>
              <w:t xml:space="preserve">Tailandia </w:t>
            </w:r>
            <w:r w:rsidRPr="00E71B56">
              <w:rPr>
                <w:lang w:val="es-ES"/>
              </w:rPr>
              <w:t>y</w:t>
            </w:r>
            <w:r w:rsidRPr="00E71B56">
              <w:rPr>
                <w:b/>
                <w:bCs/>
                <w:lang w:val="es-ES"/>
              </w:rPr>
              <w:t xml:space="preserve"> Zambia</w:t>
            </w:r>
            <w:r w:rsidRPr="00E71B56">
              <w:rPr>
                <w:lang w:val="es-ES"/>
              </w:rPr>
              <w:t>.</w:t>
            </w:r>
          </w:p>
          <w:p w14:paraId="5D8C39AC" w14:textId="77777777" w:rsidR="00BD155E" w:rsidRPr="00E71B56" w:rsidRDefault="00BD155E" w:rsidP="00A372FB">
            <w:pPr>
              <w:spacing w:after="120"/>
              <w:rPr>
                <w:lang w:val="es-ES"/>
              </w:rPr>
            </w:pPr>
            <w:r w:rsidRPr="00E71B56">
              <w:rPr>
                <w:lang w:val="es-ES"/>
              </w:rPr>
              <w:t xml:space="preserve">La BDT garantizó la visibilidad y la compartición de conocimientos participando en eventos internacionales como la </w:t>
            </w:r>
            <w:hyperlink r:id="rId406" w:history="1">
              <w:r w:rsidRPr="00E71B56">
                <w:rPr>
                  <w:rStyle w:val="Hyperlink"/>
                  <w:lang w:val="es-ES"/>
                </w:rPr>
                <w:t>COP28 en Dubái</w:t>
              </w:r>
            </w:hyperlink>
            <w:r w:rsidRPr="00E71B56">
              <w:rPr>
                <w:lang w:val="es-ES"/>
              </w:rPr>
              <w:t xml:space="preserve"> y la </w:t>
            </w:r>
            <w:hyperlink r:id="rId407" w:history="1">
              <w:r w:rsidRPr="00E71B56">
                <w:rPr>
                  <w:rStyle w:val="Hyperlink"/>
                  <w:lang w:val="es-ES"/>
                </w:rPr>
                <w:t>COP29 en Bakú</w:t>
              </w:r>
            </w:hyperlink>
            <w:r w:rsidRPr="00E71B56">
              <w:rPr>
                <w:lang w:val="es-ES"/>
              </w:rPr>
              <w:t xml:space="preserve">, donde la BDT coorganizó sesiones sobre las TIC y la acción climática. </w:t>
            </w:r>
            <w:hyperlink r:id="rId408" w:history="1"/>
            <w:hyperlink r:id="rId409" w:history="1"/>
            <w:hyperlink r:id="rId410" w:history="1"/>
          </w:p>
        </w:tc>
        <w:tc>
          <w:tcPr>
            <w:tcW w:w="3323" w:type="dxa"/>
          </w:tcPr>
          <w:p w14:paraId="678D60DD" w14:textId="77777777" w:rsidR="00BD155E" w:rsidRPr="00E71B56" w:rsidRDefault="00BD155E" w:rsidP="00A372FB">
            <w:pPr>
              <w:pStyle w:val="enumlev1"/>
              <w:tabs>
                <w:tab w:val="clear" w:pos="1134"/>
                <w:tab w:val="left" w:pos="330"/>
              </w:tabs>
              <w:ind w:left="330" w:hanging="330"/>
              <w:rPr>
                <w:lang w:val="es-ES"/>
              </w:rPr>
            </w:pPr>
            <w:r w:rsidRPr="00E71B56">
              <w:rPr>
                <w:lang w:val="es-ES"/>
              </w:rPr>
              <w:lastRenderedPageBreak/>
              <w:t>○</w:t>
            </w:r>
            <w:r w:rsidRPr="00E71B56">
              <w:rPr>
                <w:lang w:val="es-ES"/>
              </w:rPr>
              <w:tab/>
              <w:t>Aumento de la participación de los productores de dispositivos electrónicos en la definición de normas</w:t>
            </w:r>
          </w:p>
          <w:p w14:paraId="35C9E5E9"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Incremento de la recopilación de datos sobre emisiones de GEI y energía</w:t>
            </w:r>
          </w:p>
          <w:p w14:paraId="1D85FD81"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Mejora del seguimiento de la huella climática del sector de las TIC</w:t>
            </w:r>
          </w:p>
          <w:p w14:paraId="385AF9E2"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África:</w:t>
            </w:r>
            <w:r w:rsidRPr="00E71B56">
              <w:rPr>
                <w:lang w:val="es-ES"/>
              </w:rPr>
              <w:t xml:space="preserve"> Rwanda, Seychelles, Tanzanía, Uganda y Zambia</w:t>
            </w:r>
          </w:p>
          <w:p w14:paraId="15311989"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Américas:</w:t>
            </w:r>
            <w:r w:rsidRPr="00E71B56">
              <w:rPr>
                <w:lang w:val="es-ES"/>
              </w:rPr>
              <w:t xml:space="preserve"> Paraguay</w:t>
            </w:r>
          </w:p>
          <w:p w14:paraId="17AD6CB9" w14:textId="4A80EEB5"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Asia</w:t>
            </w:r>
            <w:r w:rsidRPr="00E71B56">
              <w:rPr>
                <w:b/>
                <w:bCs/>
                <w:lang w:val="es-ES"/>
              </w:rPr>
              <w:noBreakHyphen/>
              <w:t>Pacífico:</w:t>
            </w:r>
            <w:r w:rsidRPr="00E71B56">
              <w:rPr>
                <w:lang w:val="es-ES"/>
              </w:rPr>
              <w:t xml:space="preserve"> Indonesia, Mongolia</w:t>
            </w:r>
            <w:r w:rsidR="002B507B" w:rsidRPr="00E71B56">
              <w:rPr>
                <w:lang w:val="es-ES"/>
              </w:rPr>
              <w:t xml:space="preserve"> </w:t>
            </w:r>
            <w:r w:rsidRPr="00E71B56">
              <w:rPr>
                <w:lang w:val="es-ES"/>
              </w:rPr>
              <w:t>y Tailandia</w:t>
            </w:r>
          </w:p>
          <w:p w14:paraId="7330A169" w14:textId="77777777" w:rsidR="00BD155E" w:rsidRPr="00E71B56" w:rsidRDefault="00BD155E" w:rsidP="00A372FB">
            <w:pPr>
              <w:keepNext/>
              <w:keepLines/>
              <w:rPr>
                <w:b/>
                <w:bCs/>
                <w:color w:val="0070C0"/>
                <w:lang w:val="es-ES"/>
              </w:rPr>
            </w:pPr>
            <w:r w:rsidRPr="00E71B56">
              <w:rPr>
                <w:b/>
                <w:bCs/>
                <w:color w:val="0070C0"/>
                <w:lang w:val="es-ES"/>
              </w:rPr>
              <w:lastRenderedPageBreak/>
              <w:t>PMA, PDSL y PEID participantes/asistidos:</w:t>
            </w:r>
          </w:p>
          <w:p w14:paraId="2BAD3FCB"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4 países recibieron asistencia con miras al desarrollo de marcos políticos y productos del conocimiento</w:t>
            </w:r>
          </w:p>
          <w:p w14:paraId="307511F5" w14:textId="77777777" w:rsidR="00BD155E" w:rsidRPr="00E71B56" w:rsidRDefault="00BD155E" w:rsidP="00A372FB">
            <w:pPr>
              <w:keepNext/>
              <w:keepLines/>
              <w:rPr>
                <w:b/>
                <w:bCs/>
                <w:color w:val="0070C0"/>
                <w:lang w:val="es-ES"/>
              </w:rPr>
            </w:pPr>
            <w:r w:rsidRPr="00E71B56">
              <w:rPr>
                <w:b/>
                <w:bCs/>
                <w:color w:val="0070C0"/>
                <w:lang w:val="es-ES"/>
              </w:rPr>
              <w:t>Cuestión 6 de la Comisión de Estudio 2 del UIT</w:t>
            </w:r>
            <w:r w:rsidRPr="00E71B56">
              <w:rPr>
                <w:b/>
                <w:bCs/>
                <w:color w:val="0070C0"/>
                <w:lang w:val="es-ES"/>
              </w:rPr>
              <w:noBreakHyphen/>
              <w:t>D:</w:t>
            </w:r>
          </w:p>
          <w:p w14:paraId="163EBB39"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4 reuniones</w:t>
            </w:r>
          </w:p>
          <w:p w14:paraId="7FA13DAA"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51 contribuciones</w:t>
            </w:r>
          </w:p>
          <w:p w14:paraId="67C7994B" w14:textId="77777777" w:rsidR="00BD155E" w:rsidRPr="00E71B56" w:rsidRDefault="00BD155E" w:rsidP="00A372FB">
            <w:pPr>
              <w:pStyle w:val="enumlev1"/>
              <w:tabs>
                <w:tab w:val="clear" w:pos="1134"/>
                <w:tab w:val="left" w:pos="330"/>
              </w:tabs>
              <w:ind w:left="330" w:hanging="330"/>
              <w:rPr>
                <w:b/>
                <w:bCs/>
                <w:lang w:val="es-ES"/>
              </w:rPr>
            </w:pPr>
            <w:r w:rsidRPr="00E71B56">
              <w:rPr>
                <w:lang w:val="es-ES"/>
              </w:rPr>
              <w:t>○</w:t>
            </w:r>
            <w:r w:rsidRPr="00E71B56">
              <w:rPr>
                <w:lang w:val="es-ES"/>
              </w:rPr>
              <w:tab/>
              <w:t xml:space="preserve">Se celebraron 2 </w:t>
            </w:r>
            <w:hyperlink r:id="rId411" w:history="1">
              <w:r w:rsidRPr="00E71B56">
                <w:rPr>
                  <w:rStyle w:val="Hyperlink"/>
                  <w:lang w:val="es-ES"/>
                </w:rPr>
                <w:t>talleres</w:t>
              </w:r>
            </w:hyperlink>
            <w:r w:rsidRPr="00E71B56">
              <w:rPr>
                <w:u w:val="single"/>
                <w:lang w:val="es-ES"/>
              </w:rPr>
              <w:t xml:space="preserve"> </w:t>
            </w:r>
            <w:r w:rsidRPr="00E71B56">
              <w:rPr>
                <w:lang w:val="es-ES"/>
              </w:rPr>
              <w:t xml:space="preserve">y se elaboró un </w:t>
            </w:r>
            <w:hyperlink r:id="rId412" w:history="1">
              <w:r w:rsidRPr="00E71B56">
                <w:rPr>
                  <w:rStyle w:val="Hyperlink"/>
                  <w:lang w:val="es-ES"/>
                </w:rPr>
                <w:t>informe final de resultados</w:t>
              </w:r>
            </w:hyperlink>
            <w:hyperlink r:id="rId413" w:history="1"/>
            <w:hyperlink r:id="rId414" w:history="1"/>
          </w:p>
        </w:tc>
      </w:tr>
      <w:tr w:rsidR="00BD155E" w:rsidRPr="00E71B56" w14:paraId="46332D15" w14:textId="77777777" w:rsidTr="00A372FB">
        <w:trPr>
          <w:jc w:val="center"/>
        </w:trPr>
        <w:tc>
          <w:tcPr>
            <w:tcW w:w="3173" w:type="dxa"/>
          </w:tcPr>
          <w:p w14:paraId="06F781DF" w14:textId="77777777" w:rsidR="00BD155E" w:rsidRPr="00E71B56" w:rsidRDefault="00BD155E" w:rsidP="00A372FB">
            <w:pPr>
              <w:rPr>
                <w:lang w:val="es-ES"/>
              </w:rPr>
            </w:pPr>
            <w:r w:rsidRPr="00E71B56">
              <w:rPr>
                <w:b/>
                <w:bCs/>
                <w:lang w:val="es-ES"/>
              </w:rPr>
              <w:lastRenderedPageBreak/>
              <w:t>Contribución a las metas de los ODS</w:t>
            </w:r>
          </w:p>
        </w:tc>
        <w:tc>
          <w:tcPr>
            <w:tcW w:w="12211" w:type="dxa"/>
            <w:gridSpan w:val="2"/>
          </w:tcPr>
          <w:p w14:paraId="603E042D" w14:textId="77777777" w:rsidR="00BD155E" w:rsidRPr="00E71B56" w:rsidRDefault="00BD155E" w:rsidP="00A372FB">
            <w:pPr>
              <w:rPr>
                <w:lang w:val="es-ES"/>
              </w:rPr>
            </w:pPr>
            <w:r w:rsidRPr="00E71B56">
              <w:rPr>
                <w:lang w:val="es-ES"/>
              </w:rPr>
              <w:t>ODS 1, 3, 4, 5, 8, 9, 10, 11, 16 y 17</w:t>
            </w:r>
          </w:p>
        </w:tc>
      </w:tr>
      <w:tr w:rsidR="00BD155E" w:rsidRPr="00E71B56" w14:paraId="0A1F818E" w14:textId="77777777" w:rsidTr="00A372FB">
        <w:trPr>
          <w:jc w:val="center"/>
        </w:trPr>
        <w:tc>
          <w:tcPr>
            <w:tcW w:w="3173" w:type="dxa"/>
          </w:tcPr>
          <w:p w14:paraId="34554656" w14:textId="77777777" w:rsidR="00BD155E" w:rsidRPr="00E71B56" w:rsidRDefault="00BD155E" w:rsidP="00A372FB">
            <w:pPr>
              <w:rPr>
                <w:b/>
                <w:bCs/>
                <w:lang w:val="es-ES"/>
              </w:rPr>
            </w:pPr>
            <w:r w:rsidRPr="00E71B56">
              <w:rPr>
                <w:b/>
                <w:bCs/>
                <w:lang w:val="es-ES"/>
              </w:rPr>
              <w:t>Líneas de Acción de la CMSI</w:t>
            </w:r>
          </w:p>
        </w:tc>
        <w:tc>
          <w:tcPr>
            <w:tcW w:w="12211" w:type="dxa"/>
            <w:gridSpan w:val="2"/>
          </w:tcPr>
          <w:p w14:paraId="46782490" w14:textId="77777777" w:rsidR="00BD155E" w:rsidRPr="00E71B56" w:rsidRDefault="00BD155E" w:rsidP="00A372FB">
            <w:pPr>
              <w:rPr>
                <w:lang w:val="es-ES"/>
              </w:rPr>
            </w:pPr>
            <w:r w:rsidRPr="00E71B56">
              <w:rPr>
                <w:lang w:val="es-ES"/>
              </w:rPr>
              <w:t>C1, C2, C3, C4, C5, C6, C7 y C11</w:t>
            </w:r>
          </w:p>
        </w:tc>
      </w:tr>
      <w:tr w:rsidR="00BD155E" w:rsidRPr="00E71B56" w14:paraId="263BBCD1" w14:textId="77777777" w:rsidTr="00A372FB">
        <w:trPr>
          <w:jc w:val="center"/>
        </w:trPr>
        <w:tc>
          <w:tcPr>
            <w:tcW w:w="3173" w:type="dxa"/>
          </w:tcPr>
          <w:p w14:paraId="75B9E4DF" w14:textId="77777777" w:rsidR="00BD155E" w:rsidRPr="00E71B56" w:rsidRDefault="00BD155E" w:rsidP="00A372FB">
            <w:pPr>
              <w:rPr>
                <w:b/>
                <w:lang w:val="es-ES"/>
              </w:rPr>
            </w:pPr>
            <w:r w:rsidRPr="00E71B56">
              <w:rPr>
                <w:b/>
                <w:bCs/>
                <w:lang w:val="es-ES"/>
              </w:rPr>
              <w:t>Resoluciones</w:t>
            </w:r>
          </w:p>
        </w:tc>
        <w:tc>
          <w:tcPr>
            <w:tcW w:w="12211" w:type="dxa"/>
            <w:gridSpan w:val="2"/>
          </w:tcPr>
          <w:p w14:paraId="778E395E" w14:textId="77777777" w:rsidR="00BD155E" w:rsidRPr="00E71B56" w:rsidRDefault="00BD155E" w:rsidP="00A372FB">
            <w:pPr>
              <w:rPr>
                <w:lang w:val="es-ES"/>
              </w:rPr>
            </w:pPr>
            <w:r w:rsidRPr="00E71B56">
              <w:rPr>
                <w:lang w:val="es-ES"/>
              </w:rPr>
              <w:t>66 de la CMDT</w:t>
            </w:r>
          </w:p>
        </w:tc>
      </w:tr>
      <w:tr w:rsidR="00BD155E" w:rsidRPr="00E71B56" w14:paraId="0DD626EA" w14:textId="77777777" w:rsidTr="00A372FB">
        <w:trPr>
          <w:jc w:val="center"/>
        </w:trPr>
        <w:tc>
          <w:tcPr>
            <w:tcW w:w="3173" w:type="dxa"/>
          </w:tcPr>
          <w:p w14:paraId="5CC76688" w14:textId="77777777" w:rsidR="00BD155E" w:rsidRPr="00E71B56" w:rsidRDefault="00BD155E" w:rsidP="00A372FB">
            <w:pPr>
              <w:rPr>
                <w:b/>
                <w:lang w:val="es-ES"/>
              </w:rPr>
            </w:pPr>
            <w:r w:rsidRPr="00E71B56">
              <w:rPr>
                <w:b/>
                <w:bCs/>
                <w:lang w:val="es-ES"/>
              </w:rPr>
              <w:t>Cuestiones de las Comisiones de Estudio del UIT</w:t>
            </w:r>
            <w:r w:rsidRPr="00E71B56">
              <w:rPr>
                <w:b/>
                <w:bCs/>
                <w:lang w:val="es-ES"/>
              </w:rPr>
              <w:noBreakHyphen/>
              <w:t>D</w:t>
            </w:r>
          </w:p>
        </w:tc>
        <w:tc>
          <w:tcPr>
            <w:tcW w:w="12211" w:type="dxa"/>
            <w:gridSpan w:val="2"/>
          </w:tcPr>
          <w:p w14:paraId="68B5499E" w14:textId="77777777" w:rsidR="00BD155E" w:rsidRPr="00E71B56" w:rsidRDefault="00BD155E" w:rsidP="00A372FB">
            <w:pPr>
              <w:rPr>
                <w:lang w:val="es-ES"/>
              </w:rPr>
            </w:pPr>
            <w:r w:rsidRPr="00E71B56">
              <w:rPr>
                <w:lang w:val="es-ES"/>
              </w:rPr>
              <w:t>Cuestión 6/2 de la Comisión de Estudio 2 del UIT</w:t>
            </w:r>
            <w:r w:rsidRPr="00E71B56">
              <w:rPr>
                <w:lang w:val="es-ES"/>
              </w:rPr>
              <w:noBreakHyphen/>
              <w:t>D: TIC para el Medio Ambiente</w:t>
            </w:r>
          </w:p>
        </w:tc>
      </w:tr>
    </w:tbl>
    <w:p w14:paraId="6B9FA3CA" w14:textId="77777777" w:rsidR="00BD155E" w:rsidRPr="00E71B56" w:rsidRDefault="00BD155E" w:rsidP="00BD155E">
      <w:pPr>
        <w:rPr>
          <w:lang w:val="es-ES"/>
        </w:rPr>
      </w:pPr>
      <w:r w:rsidRPr="00E71B56">
        <w:rPr>
          <w:lang w:val="es-ES"/>
        </w:rPr>
        <w:br w:type="page"/>
      </w:r>
    </w:p>
    <w:tbl>
      <w:tblPr>
        <w:tblStyle w:val="TableGridLight"/>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10959"/>
        <w:gridCol w:w="3035"/>
      </w:tblGrid>
      <w:tr w:rsidR="00BD155E" w:rsidRPr="00E71B56" w14:paraId="5D51A90D" w14:textId="77777777" w:rsidTr="00A372FB">
        <w:trPr>
          <w:jc w:val="center"/>
        </w:trPr>
        <w:tc>
          <w:tcPr>
            <w:tcW w:w="15384" w:type="dxa"/>
            <w:gridSpan w:val="2"/>
            <w:shd w:val="clear" w:color="auto" w:fill="2F5496"/>
          </w:tcPr>
          <w:p w14:paraId="665B72D8" w14:textId="77777777" w:rsidR="00BD155E" w:rsidRPr="00E71B56" w:rsidRDefault="00BD155E" w:rsidP="00A372FB">
            <w:pPr>
              <w:pStyle w:val="Heading2"/>
              <w:spacing w:after="120"/>
              <w:jc w:val="center"/>
              <w:rPr>
                <w:i/>
                <w:iCs/>
                <w:color w:val="FFFFFF" w:themeColor="background1"/>
                <w:lang w:val="es-ES"/>
              </w:rPr>
            </w:pPr>
            <w:bookmarkStart w:id="57" w:name="_Toc212728832"/>
            <w:bookmarkStart w:id="58" w:name="_Toc213427980"/>
            <w:r w:rsidRPr="00E71B56">
              <w:rPr>
                <w:i/>
                <w:iCs/>
                <w:color w:val="FFFFFF" w:themeColor="background1"/>
                <w:lang w:val="es-ES"/>
              </w:rPr>
              <w:lastRenderedPageBreak/>
              <w:t>Factor habilitador 5 del UIT</w:t>
            </w:r>
            <w:r w:rsidRPr="00E71B56">
              <w:rPr>
                <w:i/>
                <w:iCs/>
                <w:color w:val="FFFFFF" w:themeColor="background1"/>
                <w:lang w:val="es-ES"/>
              </w:rPr>
              <w:noBreakHyphen/>
              <w:t>D: Excelencia en los recursos humanos e innovación institucional</w:t>
            </w:r>
            <w:bookmarkEnd w:id="57"/>
            <w:bookmarkEnd w:id="58"/>
          </w:p>
        </w:tc>
      </w:tr>
      <w:tr w:rsidR="00BD155E" w:rsidRPr="00E71B56" w14:paraId="13845165" w14:textId="77777777" w:rsidTr="00A372FB">
        <w:trPr>
          <w:jc w:val="center"/>
        </w:trPr>
        <w:tc>
          <w:tcPr>
            <w:tcW w:w="12061" w:type="dxa"/>
          </w:tcPr>
          <w:p w14:paraId="20CF36BC" w14:textId="77777777" w:rsidR="00BD155E" w:rsidRPr="00E71B56" w:rsidRDefault="00BD155E" w:rsidP="00A372FB">
            <w:pPr>
              <w:jc w:val="center"/>
              <w:rPr>
                <w:b/>
                <w:bCs/>
                <w:color w:val="0070C0"/>
                <w:lang w:val="es-ES"/>
              </w:rPr>
            </w:pPr>
            <w:r w:rsidRPr="00E71B56">
              <w:rPr>
                <w:b/>
                <w:bCs/>
                <w:color w:val="0070C0"/>
                <w:lang w:val="es-ES"/>
              </w:rPr>
              <w:t>Productos</w:t>
            </w:r>
          </w:p>
        </w:tc>
        <w:tc>
          <w:tcPr>
            <w:tcW w:w="3323" w:type="dxa"/>
          </w:tcPr>
          <w:p w14:paraId="48738A10" w14:textId="77777777" w:rsidR="00BD155E" w:rsidRPr="00E71B56" w:rsidRDefault="00BD155E" w:rsidP="00A372FB">
            <w:pPr>
              <w:jc w:val="center"/>
              <w:rPr>
                <w:b/>
                <w:bCs/>
                <w:color w:val="0070C0"/>
                <w:lang w:val="es-ES"/>
              </w:rPr>
            </w:pPr>
            <w:r w:rsidRPr="00E71B56">
              <w:rPr>
                <w:b/>
                <w:bCs/>
                <w:color w:val="0070C0"/>
                <w:lang w:val="es-ES"/>
              </w:rPr>
              <w:t>Aspectos destacados</w:t>
            </w:r>
          </w:p>
        </w:tc>
      </w:tr>
      <w:tr w:rsidR="00BD155E" w:rsidRPr="00E71B56" w14:paraId="5441843A" w14:textId="77777777" w:rsidTr="00A372FB">
        <w:trPr>
          <w:jc w:val="center"/>
        </w:trPr>
        <w:tc>
          <w:tcPr>
            <w:tcW w:w="12061" w:type="dxa"/>
          </w:tcPr>
          <w:p w14:paraId="56335167" w14:textId="77777777" w:rsidR="00BD155E" w:rsidRPr="00E71B56" w:rsidRDefault="00BD155E" w:rsidP="00A372FB">
            <w:pPr>
              <w:rPr>
                <w:lang w:val="es-ES"/>
              </w:rPr>
            </w:pPr>
            <w:r w:rsidRPr="00E71B56">
              <w:rPr>
                <w:lang w:val="es-ES"/>
              </w:rPr>
              <w:t>En 2023, el Director de la BDT puso en marcha una serie de iniciativas diseñadas para impulsar la excelencia organizacional y fortalecer la capacidad de innovación, con el objetivo global de mejorar la prestación de servicios en todas las áreas de trabajo.</w:t>
            </w:r>
          </w:p>
          <w:p w14:paraId="09C6C1BA" w14:textId="77777777" w:rsidR="00BD155E" w:rsidRPr="00E71B56" w:rsidRDefault="00BD155E" w:rsidP="00A372FB">
            <w:pPr>
              <w:rPr>
                <w:lang w:val="es-ES"/>
              </w:rPr>
            </w:pPr>
            <w:r w:rsidRPr="00E71B56">
              <w:rPr>
                <w:lang w:val="es-ES"/>
              </w:rPr>
              <w:t xml:space="preserve">El </w:t>
            </w:r>
            <w:r w:rsidRPr="00E71B56">
              <w:rPr>
                <w:b/>
                <w:bCs/>
                <w:lang w:val="es-ES"/>
              </w:rPr>
              <w:t>Retiro de la alta dirección de la BDT</w:t>
            </w:r>
            <w:r w:rsidRPr="00E71B56">
              <w:rPr>
                <w:lang w:val="es-ES"/>
              </w:rPr>
              <w:t xml:space="preserve"> celebrado en febrero de 2023 ofreció al nuevo equipo directivo la oportunidad de reflexionar sobre cuestiones como la manera de aumentar los efectos de la labor de la BDT, abordar los desafíos relativos a la implementación y reforzar la coherencia en los proyectos de la UIT, así como examinar las actividades del Plan Operacional, las iniciativas regionales y las Resoluciones de la CMDT. Los debates también garantizaron que el Plan Operacional de la BDT para el ciclo 2023-2026 estuviese firmemente en consonancia con las directrices proporcionadas por la CMDT-22 y la PP-22, manteniendo al mismo tiempo el enfoque en el logro de la conectividad universal y efectiva y la transformación digital sostenible.</w:t>
            </w:r>
          </w:p>
          <w:p w14:paraId="29029FDD" w14:textId="77777777" w:rsidR="00BD155E" w:rsidRPr="00E71B56" w:rsidRDefault="00BD155E" w:rsidP="00A372FB">
            <w:pPr>
              <w:rPr>
                <w:lang w:val="es-ES"/>
              </w:rPr>
            </w:pPr>
            <w:r w:rsidRPr="00E71B56">
              <w:rPr>
                <w:lang w:val="es-ES"/>
              </w:rPr>
              <w:t xml:space="preserve">El Director de la BDT también constituyó el </w:t>
            </w:r>
            <w:r w:rsidRPr="00E71B56">
              <w:rPr>
                <w:b/>
                <w:bCs/>
                <w:lang w:val="es-ES"/>
              </w:rPr>
              <w:t xml:space="preserve">Comité Ejecutivo de Gestión (MEC) </w:t>
            </w:r>
            <w:r w:rsidRPr="00E71B56">
              <w:rPr>
                <w:lang w:val="es-ES"/>
              </w:rPr>
              <w:t>formado por los Jefes de Departamento y los Directores Regionales, con autoridad para la toma de decisiones. Este nuevo órgano sustituyó al anterior Grupo de Gestión del Desarrollo (GGD), garantizando una estructura de liderazgo más ágil y efectiva.</w:t>
            </w:r>
          </w:p>
          <w:p w14:paraId="64BBA9F7" w14:textId="77777777" w:rsidR="00BD155E" w:rsidRPr="00E71B56" w:rsidRDefault="00BD155E" w:rsidP="00A372FB">
            <w:pPr>
              <w:rPr>
                <w:lang w:val="es-ES"/>
              </w:rPr>
            </w:pPr>
            <w:r w:rsidRPr="00E71B56">
              <w:rPr>
                <w:lang w:val="es-ES"/>
              </w:rPr>
              <w:t xml:space="preserve">En 2024, la BDT emprendió una </w:t>
            </w:r>
            <w:r w:rsidRPr="00E71B56">
              <w:rPr>
                <w:b/>
                <w:bCs/>
                <w:lang w:val="es-ES"/>
              </w:rPr>
              <w:t>readaptación estructural</w:t>
            </w:r>
            <w:r w:rsidRPr="00E71B56">
              <w:rPr>
                <w:lang w:val="es-ES"/>
              </w:rPr>
              <w:t xml:space="preserve"> para seguir reforzando la ejecución de proyectos y actividades del Plan Operacional en el plano regional. Entre otras medidas, esto incluyó la creación de tres nuevos puestos de grado P5 (Líderes del apoyo a la ejecución de proyectos) en el Departamento de Coordinación de Operaciones sobre el Terreno. Estos puestos se crearon para prestar un apoyo específico a los responsables de proyectos de las oficinas regionales, permitiéndoles </w:t>
            </w:r>
            <w:r w:rsidRPr="00E71B56">
              <w:rPr>
                <w:b/>
                <w:bCs/>
                <w:lang w:val="es-ES"/>
              </w:rPr>
              <w:t>llevar a cabo proyectos de manera más efectiva, eficaz y oportuna</w:t>
            </w:r>
            <w:r w:rsidRPr="00E71B56">
              <w:rPr>
                <w:lang w:val="es-ES"/>
              </w:rPr>
              <w:t xml:space="preserve">. Para seguir fortaleciendo la capacidad en la oficina regional, la BDT también empezó a contratar y asignar responsables de proyectos directamente en las regiones, una etapa que resultó necesaria a raíz del firme incremento del número de proyectos debido a la exitosa movilización de recursos para </w:t>
            </w:r>
            <w:r w:rsidRPr="00E71B56">
              <w:rPr>
                <w:b/>
                <w:bCs/>
                <w:lang w:val="es-ES"/>
              </w:rPr>
              <w:t>iniciativas orientadas a resultados</w:t>
            </w:r>
            <w:r w:rsidRPr="00E71B56">
              <w:rPr>
                <w:lang w:val="es-ES"/>
              </w:rPr>
              <w:t xml:space="preserve">. De manera colectiva, estos esfuerzos están contribuyendo a la </w:t>
            </w:r>
            <w:r w:rsidRPr="00E71B56">
              <w:rPr>
                <w:lang w:val="es-ES"/>
              </w:rPr>
              <w:lastRenderedPageBreak/>
              <w:t xml:space="preserve">aplicación de la </w:t>
            </w:r>
            <w:hyperlink r:id="rId415" w:history="1">
              <w:r w:rsidRPr="00E71B56">
                <w:rPr>
                  <w:rStyle w:val="Hyperlink"/>
                  <w:lang w:val="es-ES"/>
                </w:rPr>
                <w:t>Resolución 52 (Rev. Dubái, 2014) de la CMDT-22</w:t>
              </w:r>
            </w:hyperlink>
            <w:r w:rsidRPr="00E71B56">
              <w:rPr>
                <w:lang w:val="es-ES"/>
              </w:rPr>
              <w:t xml:space="preserve"> sobre el fortalecimiento del papel del Sector de Desarrollo de las Telecomunicaciones de la UIT como organismo ejecutivo</w:t>
            </w:r>
            <w:r w:rsidRPr="00E71B56">
              <w:rPr>
                <w:i/>
                <w:iCs/>
                <w:lang w:val="es-ES"/>
              </w:rPr>
              <w:t>.</w:t>
            </w:r>
            <w:hyperlink r:id="rId416" w:history="1"/>
          </w:p>
          <w:p w14:paraId="0E7449EA" w14:textId="77777777" w:rsidR="00BD155E" w:rsidRPr="00E71B56" w:rsidRDefault="00BD155E" w:rsidP="00A372FB">
            <w:pPr>
              <w:rPr>
                <w:lang w:val="es-ES"/>
              </w:rPr>
            </w:pPr>
            <w:r w:rsidRPr="00E71B56">
              <w:rPr>
                <w:lang w:val="es-ES"/>
              </w:rPr>
              <w:t>La nueva estructura organizacional también incluyó el ascenso de varios puestos de grado G6 al grado P2 en oficinas regionales para mejorar la colaboración con los equipos de las Naciones Unidas en los países. Además, se desplegaron cinco miembros del personal financiados por la TSB en las oficinas regionales de África, los Estados Árabes y Asia-Pacífico, lo que</w:t>
            </w:r>
            <w:r w:rsidRPr="00E71B56">
              <w:rPr>
                <w:b/>
                <w:bCs/>
                <w:lang w:val="es-ES"/>
              </w:rPr>
              <w:t xml:space="preserve"> reforzó aún más las sinergias intersectoriales</w:t>
            </w:r>
            <w:r w:rsidRPr="00E71B56">
              <w:rPr>
                <w:lang w:val="es-ES"/>
              </w:rPr>
              <w:t>.</w:t>
            </w:r>
          </w:p>
          <w:p w14:paraId="1E44600A" w14:textId="77777777" w:rsidR="00BD155E" w:rsidRPr="00E71B56" w:rsidRDefault="00BD155E" w:rsidP="00A372FB">
            <w:pPr>
              <w:rPr>
                <w:lang w:val="es-ES"/>
              </w:rPr>
            </w:pPr>
            <w:r w:rsidRPr="00E71B56">
              <w:rPr>
                <w:lang w:val="es-ES"/>
              </w:rPr>
              <w:t xml:space="preserve">También se creó una nueva unidad dedicada a dar apoyo a las necesidades de los PMA, los PDSL, los PEID y los países con necesidades especiales como parte de la readaptación en 2024, en consonancia con la </w:t>
            </w:r>
            <w:hyperlink r:id="rId417" w:history="1">
              <w:r w:rsidRPr="00E71B56">
                <w:rPr>
                  <w:rStyle w:val="Hyperlink"/>
                  <w:lang w:val="es-ES"/>
                </w:rPr>
                <w:t>Resolución 16 (Rev. Buenos Aires, 2017) de la CMDT-22</w:t>
              </w:r>
            </w:hyperlink>
            <w:r w:rsidRPr="00E71B56">
              <w:rPr>
                <w:lang w:val="es-ES"/>
              </w:rPr>
              <w:t xml:space="preserve"> sobre las acciones y medidas especiales para los países menos adelantados, los pequeños Estados insulares en desarrollo, los países en desarrollo sin litoral y los países con economías en transición</w:t>
            </w:r>
            <w:r w:rsidRPr="00E71B56">
              <w:rPr>
                <w:i/>
                <w:iCs/>
                <w:lang w:val="es-ES"/>
              </w:rPr>
              <w:t>.</w:t>
            </w:r>
            <w:r w:rsidRPr="00E71B56">
              <w:rPr>
                <w:lang w:val="es-ES"/>
              </w:rPr>
              <w:t xml:space="preserve"> La nueva unidad proporciona asistencia concentrada a los PMA, los PDSL, los PEID y los países con necesidades especiales en una serie de esferas prioritarias clave dentro del mandato de la BDT.</w:t>
            </w:r>
            <w:hyperlink r:id="rId418" w:history="1"/>
          </w:p>
          <w:p w14:paraId="402524CB" w14:textId="77777777" w:rsidR="00BD155E" w:rsidRPr="00E71B56" w:rsidRDefault="00BD155E" w:rsidP="00A372FB">
            <w:pPr>
              <w:rPr>
                <w:lang w:val="es-ES"/>
              </w:rPr>
            </w:pPr>
            <w:r w:rsidRPr="00E71B56">
              <w:rPr>
                <w:lang w:val="es-ES"/>
              </w:rPr>
              <w:t xml:space="preserve">Para garantizar la rendición de cuentas, la transparencia y la mejora continua, la BDT lleva a cabo </w:t>
            </w:r>
            <w:r w:rsidRPr="00E71B56">
              <w:rPr>
                <w:b/>
                <w:bCs/>
                <w:lang w:val="es-ES"/>
              </w:rPr>
              <w:t>exámenes trimestrales de los proyectos del UIT</w:t>
            </w:r>
            <w:r w:rsidRPr="00E71B56">
              <w:rPr>
                <w:b/>
                <w:bCs/>
                <w:lang w:val="es-ES"/>
              </w:rPr>
              <w:noBreakHyphen/>
              <w:t>D y las actividades del Plan Operacional del UIT</w:t>
            </w:r>
            <w:r w:rsidRPr="00E71B56">
              <w:rPr>
                <w:b/>
                <w:bCs/>
                <w:lang w:val="es-ES"/>
              </w:rPr>
              <w:noBreakHyphen/>
              <w:t>D</w:t>
            </w:r>
            <w:r w:rsidRPr="00E71B56">
              <w:rPr>
                <w:lang w:val="es-ES"/>
              </w:rPr>
              <w:t>, aplicando un enfoque de gestión basada en resultados. Estos exámenes se realizan en los planos regional y nacional, garantizando que la aplicación siga estando en consonancia con los objetivos estratégicos y responda a las necesidades de los Estados Miembros.</w:t>
            </w:r>
          </w:p>
          <w:p w14:paraId="6C014C52" w14:textId="77777777" w:rsidR="00BD155E" w:rsidRPr="00E71B56" w:rsidRDefault="00BD155E" w:rsidP="00A372FB">
            <w:pPr>
              <w:rPr>
                <w:lang w:val="es-ES"/>
              </w:rPr>
            </w:pPr>
            <w:r w:rsidRPr="00E71B56">
              <w:rPr>
                <w:lang w:val="es-ES"/>
              </w:rPr>
              <w:t>Durante el periodo 2023</w:t>
            </w:r>
            <w:r w:rsidRPr="00E71B56">
              <w:rPr>
                <w:lang w:val="es-ES"/>
              </w:rPr>
              <w:noBreakHyphen/>
              <w:t xml:space="preserve">2025, también se dio prioridad a la </w:t>
            </w:r>
            <w:r w:rsidRPr="00E71B56">
              <w:rPr>
                <w:b/>
                <w:bCs/>
                <w:lang w:val="es-ES"/>
              </w:rPr>
              <w:t>participación del personal</w:t>
            </w:r>
            <w:r w:rsidRPr="00E71B56">
              <w:rPr>
                <w:lang w:val="es-ES"/>
              </w:rPr>
              <w:t>. Se introdujeron reuniones periódicas de participación del personal, abiertas a todos los miembros con independencia de su situación contractual. Estas sesiones, que siguen celebrándose periódicamente, crean un lugar seguro para el diálogo abierto, alentando al personal a compartir opiniones, intercambiar ideas y contribuir a conformar una cultura institucional evolutiva en la BDT.</w:t>
            </w:r>
          </w:p>
          <w:p w14:paraId="08D9D80F" w14:textId="77777777" w:rsidR="00BD155E" w:rsidRPr="00E71B56" w:rsidRDefault="00BD155E" w:rsidP="00A372FB">
            <w:pPr>
              <w:spacing w:after="120"/>
              <w:rPr>
                <w:lang w:val="es-ES"/>
              </w:rPr>
            </w:pPr>
            <w:r w:rsidRPr="00E71B56">
              <w:rPr>
                <w:lang w:val="es-ES"/>
              </w:rPr>
              <w:t xml:space="preserve">La BDT sigue trabajando estrechamente con la Secretaría General de la UIT y las demás oficinas en diversas iniciativas destinadas a mejorar la eficiencia y eficacia operacionales. Estos esfuerzos se centran en el </w:t>
            </w:r>
            <w:r w:rsidRPr="00E71B56">
              <w:rPr>
                <w:b/>
                <w:bCs/>
                <w:lang w:val="es-ES"/>
              </w:rPr>
              <w:t>fortalecimiento de los procesos internos</w:t>
            </w:r>
            <w:r w:rsidRPr="00E71B56">
              <w:rPr>
                <w:lang w:val="es-ES"/>
              </w:rPr>
              <w:t xml:space="preserve">, en particular los recursos humanos, las TI y otros procesos </w:t>
            </w:r>
            <w:r w:rsidRPr="00E71B56">
              <w:rPr>
                <w:lang w:val="es-ES"/>
              </w:rPr>
              <w:lastRenderedPageBreak/>
              <w:t>administrativos, a la vez que</w:t>
            </w:r>
            <w:r w:rsidRPr="00E71B56">
              <w:rPr>
                <w:b/>
                <w:bCs/>
                <w:lang w:val="es-ES"/>
              </w:rPr>
              <w:t xml:space="preserve"> reducen las ineficiencias y la duplicación con el fin de acelerar la toma de decisiones</w:t>
            </w:r>
            <w:r w:rsidRPr="00E71B56">
              <w:rPr>
                <w:lang w:val="es-ES"/>
              </w:rPr>
              <w:t>.</w:t>
            </w:r>
          </w:p>
        </w:tc>
        <w:tc>
          <w:tcPr>
            <w:tcW w:w="3323" w:type="dxa"/>
          </w:tcPr>
          <w:p w14:paraId="28426B14" w14:textId="77777777" w:rsidR="00BD155E" w:rsidRPr="00E71B56" w:rsidRDefault="00BD155E" w:rsidP="00A372FB">
            <w:pPr>
              <w:pStyle w:val="enumlev1"/>
              <w:tabs>
                <w:tab w:val="clear" w:pos="1134"/>
                <w:tab w:val="left" w:pos="330"/>
              </w:tabs>
              <w:ind w:left="330" w:hanging="330"/>
              <w:rPr>
                <w:lang w:val="es-ES"/>
              </w:rPr>
            </w:pPr>
            <w:r w:rsidRPr="00E71B56">
              <w:rPr>
                <w:lang w:val="es-ES"/>
              </w:rPr>
              <w:lastRenderedPageBreak/>
              <w:t>○</w:t>
            </w:r>
            <w:r w:rsidRPr="00E71B56">
              <w:rPr>
                <w:lang w:val="es-ES"/>
              </w:rPr>
              <w:tab/>
              <w:t>Retiros de la Alta Dirección</w:t>
            </w:r>
          </w:p>
          <w:p w14:paraId="17129783"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Equilibrio de la vida personal y el trabajo</w:t>
            </w:r>
          </w:p>
          <w:p w14:paraId="3F4B4DBD"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Reuniones de implicación del personal</w:t>
            </w:r>
          </w:p>
          <w:p w14:paraId="46F21AA2"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Implementación eficaz y efectiva de proyectos y planes operacionales</w:t>
            </w:r>
          </w:p>
          <w:p w14:paraId="50F4A3EC" w14:textId="77777777" w:rsidR="00BD155E" w:rsidRPr="00E71B56" w:rsidRDefault="00BD155E" w:rsidP="00A372FB">
            <w:pPr>
              <w:pStyle w:val="enumlev1"/>
              <w:tabs>
                <w:tab w:val="clear" w:pos="1134"/>
                <w:tab w:val="left" w:pos="330"/>
              </w:tabs>
              <w:ind w:left="330" w:hanging="330"/>
              <w:rPr>
                <w:bCs/>
                <w:lang w:val="es-ES"/>
              </w:rPr>
            </w:pPr>
            <w:r w:rsidRPr="00E71B56">
              <w:rPr>
                <w:lang w:val="es-ES"/>
              </w:rPr>
              <w:t>○</w:t>
            </w:r>
            <w:r w:rsidRPr="00E71B56">
              <w:rPr>
                <w:lang w:val="es-ES"/>
              </w:rPr>
              <w:tab/>
              <w:t>Refuerzo de sinergias sectoriales</w:t>
            </w:r>
          </w:p>
        </w:tc>
      </w:tr>
    </w:tbl>
    <w:p w14:paraId="707A89B2" w14:textId="77777777" w:rsidR="00BD155E" w:rsidRPr="00E71B56" w:rsidRDefault="00BD155E" w:rsidP="00BD155E">
      <w:pPr>
        <w:pStyle w:val="Reasons"/>
        <w:rPr>
          <w:lang w:val="es-ES"/>
        </w:rPr>
      </w:pPr>
    </w:p>
    <w:p w14:paraId="28016FB2" w14:textId="77777777" w:rsidR="00BD155E" w:rsidRPr="00E71B56" w:rsidRDefault="00BD155E" w:rsidP="00BD155E">
      <w:pPr>
        <w:jc w:val="center"/>
        <w:rPr>
          <w:lang w:val="es-ES"/>
        </w:rPr>
      </w:pPr>
      <w:r w:rsidRPr="00E71B56">
        <w:rPr>
          <w:lang w:val="es-ES"/>
        </w:rPr>
        <w:t>______________</w:t>
      </w:r>
      <w:bookmarkEnd w:id="8"/>
    </w:p>
    <w:p w14:paraId="5A26C738" w14:textId="77777777" w:rsidR="00BD155E" w:rsidRPr="00E71B56" w:rsidRDefault="00BD155E" w:rsidP="00BD155E">
      <w:pPr>
        <w:jc w:val="center"/>
        <w:rPr>
          <w:lang w:val="es-ES"/>
        </w:rPr>
      </w:pPr>
    </w:p>
    <w:p w14:paraId="02785D15" w14:textId="38C76084" w:rsidR="00A023EF" w:rsidRPr="00E71B56" w:rsidRDefault="00A023EF" w:rsidP="002C63F6">
      <w:pPr>
        <w:tabs>
          <w:tab w:val="clear" w:pos="1134"/>
          <w:tab w:val="clear" w:pos="1871"/>
          <w:tab w:val="clear" w:pos="2268"/>
          <w:tab w:val="left" w:pos="1807"/>
        </w:tabs>
        <w:rPr>
          <w:lang w:val="es-ES"/>
        </w:rPr>
      </w:pPr>
    </w:p>
    <w:sectPr w:rsidR="00A023EF" w:rsidRPr="00E71B56" w:rsidSect="00440B43">
      <w:headerReference w:type="default" r:id="rId419"/>
      <w:footerReference w:type="even" r:id="rId420"/>
      <w:footerReference w:type="first" r:id="rId421"/>
      <w:pgSz w:w="16840" w:h="11907" w:orient="landscape" w:code="9"/>
      <w:pgMar w:top="1134" w:right="1418" w:bottom="1134" w:left="1418"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877B7" w14:textId="77777777" w:rsidR="000970EB" w:rsidRDefault="000970EB">
      <w:r>
        <w:separator/>
      </w:r>
    </w:p>
  </w:endnote>
  <w:endnote w:type="continuationSeparator" w:id="0">
    <w:p w14:paraId="55D923EA" w14:textId="77777777" w:rsidR="000970EB" w:rsidRDefault="00097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2D1A6" w14:textId="27AA83CD" w:rsidR="00BD155E" w:rsidRDefault="00BD155E">
    <w:pPr>
      <w:framePr w:wrap="around" w:vAnchor="text" w:hAnchor="margin" w:xAlign="right" w:y="1"/>
    </w:pPr>
    <w:r>
      <w:fldChar w:fldCharType="begin"/>
    </w:r>
    <w:r>
      <w:instrText xml:space="preserve">PAGE  </w:instrText>
    </w:r>
    <w:r>
      <w:fldChar w:fldCharType="separate"/>
    </w:r>
    <w:r>
      <w:rPr>
        <w:noProof/>
      </w:rPr>
      <w:t>1</w:t>
    </w:r>
    <w:r>
      <w:fldChar w:fldCharType="end"/>
    </w:r>
  </w:p>
  <w:p w14:paraId="12E181FB" w14:textId="51E3B6F4" w:rsidR="00BD155E" w:rsidRPr="0041348E" w:rsidRDefault="00BD155E">
    <w:pPr>
      <w:ind w:right="360"/>
      <w:rPr>
        <w:lang w:val="en-US"/>
      </w:rPr>
    </w:pPr>
    <w:r>
      <w:fldChar w:fldCharType="begin"/>
    </w:r>
    <w:r w:rsidRPr="0041348E">
      <w:rPr>
        <w:lang w:val="en-US"/>
      </w:rPr>
      <w:instrText xml:space="preserve"> FILENAME \p  \* MERGEFORMAT </w:instrText>
    </w:r>
    <w:r>
      <w:fldChar w:fldCharType="separate"/>
    </w:r>
    <w:r>
      <w:rPr>
        <w:noProof/>
        <w:lang w:val="en-US"/>
      </w:rPr>
      <w:t>P:\TRAD\S\ITU-D\CONF-D\WTDC17\DIV\413949 LIN S.docx</w:t>
    </w:r>
    <w:r>
      <w:fldChar w:fldCharType="end"/>
    </w:r>
    <w:r w:rsidRPr="0041348E">
      <w:rPr>
        <w:lang w:val="en-US"/>
      </w:rPr>
      <w:tab/>
    </w:r>
    <w:r>
      <w:fldChar w:fldCharType="begin"/>
    </w:r>
    <w:r>
      <w:instrText xml:space="preserve"> SAVEDATE \@ DD.MM.YY </w:instrText>
    </w:r>
    <w:r>
      <w:fldChar w:fldCharType="separate"/>
    </w:r>
    <w:r w:rsidR="00E71B56">
      <w:rPr>
        <w:noProof/>
      </w:rPr>
      <w:t>10.11.25</w:t>
    </w:r>
    <w:r>
      <w:fldChar w:fldCharType="end"/>
    </w:r>
    <w:r w:rsidRPr="0041348E">
      <w:rPr>
        <w:lang w:val="en-US"/>
      </w:rPr>
      <w:tab/>
    </w:r>
    <w:r>
      <w:fldChar w:fldCharType="begin"/>
    </w:r>
    <w:r>
      <w:instrText xml:space="preserve"> PRINTDATE \@ DD.MM.YY </w:instrText>
    </w:r>
    <w:r>
      <w:fldChar w:fldCharType="separate"/>
    </w:r>
    <w:r>
      <w:rPr>
        <w:noProof/>
      </w:rPr>
      <w:t>09.03.17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Layout w:type="fixed"/>
      <w:tblLook w:val="04A0" w:firstRow="1" w:lastRow="0" w:firstColumn="1" w:lastColumn="0" w:noHBand="0" w:noVBand="1"/>
    </w:tblPr>
    <w:tblGrid>
      <w:gridCol w:w="1134"/>
      <w:gridCol w:w="2552"/>
      <w:gridCol w:w="6095"/>
    </w:tblGrid>
    <w:tr w:rsidR="00BD155E" w:rsidRPr="00DE1BF3" w14:paraId="374DA68E" w14:textId="77777777" w:rsidTr="000B3246">
      <w:tc>
        <w:tcPr>
          <w:tcW w:w="1134" w:type="dxa"/>
          <w:tcBorders>
            <w:top w:val="single" w:sz="4" w:space="0" w:color="000000"/>
          </w:tcBorders>
        </w:tcPr>
        <w:p w14:paraId="0694F029" w14:textId="29EBCBBB" w:rsidR="00BD155E" w:rsidRPr="006E5F7D" w:rsidRDefault="00BD155E" w:rsidP="00D83BF5">
          <w:pPr>
            <w:pStyle w:val="FirstFooter"/>
            <w:tabs>
              <w:tab w:val="left" w:pos="1559"/>
              <w:tab w:val="left" w:pos="3828"/>
            </w:tabs>
            <w:rPr>
              <w:sz w:val="18"/>
              <w:szCs w:val="18"/>
            </w:rPr>
          </w:pPr>
          <w:r w:rsidRPr="006E5F7D">
            <w:rPr>
              <w:sz w:val="18"/>
              <w:szCs w:val="18"/>
              <w:lang w:val="en-US"/>
            </w:rPr>
            <w:t>Contacto:</w:t>
          </w:r>
        </w:p>
      </w:tc>
      <w:tc>
        <w:tcPr>
          <w:tcW w:w="2552" w:type="dxa"/>
          <w:tcBorders>
            <w:top w:val="single" w:sz="4" w:space="0" w:color="000000"/>
          </w:tcBorders>
        </w:tcPr>
        <w:p w14:paraId="1ACE02D4" w14:textId="77777777" w:rsidR="00BD155E" w:rsidRPr="004D495C" w:rsidRDefault="00BD155E" w:rsidP="000B1248">
          <w:pPr>
            <w:pStyle w:val="FirstFooter"/>
            <w:tabs>
              <w:tab w:val="left" w:pos="2302"/>
            </w:tabs>
            <w:ind w:left="2302" w:hanging="2302"/>
            <w:rPr>
              <w:sz w:val="18"/>
              <w:szCs w:val="18"/>
              <w:lang w:val="en-US"/>
            </w:rPr>
          </w:pPr>
          <w:r w:rsidRPr="004D495C">
            <w:rPr>
              <w:sz w:val="18"/>
              <w:szCs w:val="18"/>
              <w:lang w:val="en-US"/>
            </w:rPr>
            <w:t>N</w:t>
          </w:r>
          <w:r>
            <w:rPr>
              <w:sz w:val="18"/>
              <w:szCs w:val="18"/>
              <w:lang w:val="en-US"/>
            </w:rPr>
            <w:t>ombr</w:t>
          </w:r>
          <w:r w:rsidRPr="004D495C">
            <w:rPr>
              <w:sz w:val="18"/>
              <w:szCs w:val="18"/>
              <w:lang w:val="en-US"/>
            </w:rPr>
            <w:t>e/Organiza</w:t>
          </w:r>
          <w:r>
            <w:rPr>
              <w:sz w:val="18"/>
              <w:szCs w:val="18"/>
              <w:lang w:val="en-US"/>
            </w:rPr>
            <w:t>ción/Entidad</w:t>
          </w:r>
          <w:r w:rsidRPr="004D495C">
            <w:rPr>
              <w:sz w:val="18"/>
              <w:szCs w:val="18"/>
              <w:lang w:val="en-US"/>
            </w:rPr>
            <w:t>:</w:t>
          </w:r>
        </w:p>
      </w:tc>
      <w:tc>
        <w:tcPr>
          <w:tcW w:w="6095" w:type="dxa"/>
          <w:tcBorders>
            <w:top w:val="single" w:sz="4" w:space="0" w:color="000000"/>
          </w:tcBorders>
        </w:tcPr>
        <w:p w14:paraId="6C4F3FC0" w14:textId="77777777" w:rsidR="00BD155E" w:rsidRPr="006E5F7D" w:rsidRDefault="00BD155E" w:rsidP="000B3246">
          <w:pPr>
            <w:pStyle w:val="FirstFooter"/>
            <w:tabs>
              <w:tab w:val="left" w:pos="2302"/>
            </w:tabs>
            <w:rPr>
              <w:sz w:val="18"/>
              <w:szCs w:val="18"/>
              <w:highlight w:val="yellow"/>
              <w:lang w:val="es-ES"/>
            </w:rPr>
          </w:pPr>
          <w:r w:rsidRPr="006E5F7D">
            <w:rPr>
              <w:sz w:val="18"/>
              <w:szCs w:val="18"/>
              <w:lang w:val="es-ES"/>
            </w:rPr>
            <w:t>Sra. Archana Gulati, Directora Adjunta, Oficina de Desarrollo de las Telecomunicaciones</w:t>
          </w:r>
        </w:p>
      </w:tc>
    </w:tr>
    <w:tr w:rsidR="00BD155E" w:rsidRPr="004D495C" w14:paraId="2D66CE4C" w14:textId="77777777" w:rsidTr="000B3246">
      <w:tc>
        <w:tcPr>
          <w:tcW w:w="1134" w:type="dxa"/>
        </w:tcPr>
        <w:p w14:paraId="38FB6E87" w14:textId="77777777" w:rsidR="00BD155E" w:rsidRPr="006E5F7D" w:rsidRDefault="00BD155E" w:rsidP="00D83BF5">
          <w:pPr>
            <w:pStyle w:val="FirstFooter"/>
            <w:tabs>
              <w:tab w:val="left" w:pos="1559"/>
              <w:tab w:val="left" w:pos="3828"/>
            </w:tabs>
            <w:rPr>
              <w:sz w:val="18"/>
              <w:szCs w:val="18"/>
              <w:lang w:val="es-ES"/>
            </w:rPr>
          </w:pPr>
        </w:p>
      </w:tc>
      <w:tc>
        <w:tcPr>
          <w:tcW w:w="2552" w:type="dxa"/>
        </w:tcPr>
        <w:p w14:paraId="20CBFBD3" w14:textId="77777777" w:rsidR="00BD155E" w:rsidRPr="004D495C" w:rsidRDefault="00BD155E" w:rsidP="00D83BF5">
          <w:pPr>
            <w:pStyle w:val="FirstFooter"/>
            <w:tabs>
              <w:tab w:val="left" w:pos="2302"/>
            </w:tabs>
            <w:rPr>
              <w:sz w:val="18"/>
              <w:szCs w:val="18"/>
              <w:lang w:val="en-US"/>
            </w:rPr>
          </w:pPr>
          <w:r>
            <w:rPr>
              <w:sz w:val="18"/>
              <w:szCs w:val="18"/>
              <w:lang w:val="en-US"/>
            </w:rPr>
            <w:t>Teléfono</w:t>
          </w:r>
          <w:r w:rsidRPr="004D495C">
            <w:rPr>
              <w:sz w:val="18"/>
              <w:szCs w:val="18"/>
              <w:lang w:val="en-US"/>
            </w:rPr>
            <w:t>:</w:t>
          </w:r>
        </w:p>
      </w:tc>
      <w:tc>
        <w:tcPr>
          <w:tcW w:w="6095" w:type="dxa"/>
        </w:tcPr>
        <w:p w14:paraId="4C888BC4" w14:textId="77777777" w:rsidR="00BD155E" w:rsidRPr="004D495C" w:rsidRDefault="00BD155E" w:rsidP="00D83BF5">
          <w:pPr>
            <w:pStyle w:val="FirstFooter"/>
            <w:tabs>
              <w:tab w:val="left" w:pos="2302"/>
            </w:tabs>
            <w:rPr>
              <w:sz w:val="18"/>
              <w:szCs w:val="18"/>
              <w:highlight w:val="yellow"/>
              <w:lang w:val="en-US"/>
            </w:rPr>
          </w:pPr>
          <w:r w:rsidRPr="006E5F7D">
            <w:rPr>
              <w:sz w:val="18"/>
              <w:szCs w:val="18"/>
              <w:lang w:val="en-US"/>
            </w:rPr>
            <w:t>+41 22 730 6475</w:t>
          </w:r>
        </w:p>
      </w:tc>
    </w:tr>
    <w:tr w:rsidR="00BD155E" w:rsidRPr="004D495C" w14:paraId="44B6D945" w14:textId="77777777" w:rsidTr="000B3246">
      <w:tc>
        <w:tcPr>
          <w:tcW w:w="1134" w:type="dxa"/>
        </w:tcPr>
        <w:p w14:paraId="5C050942" w14:textId="77777777" w:rsidR="00BD155E" w:rsidRPr="006E5F7D" w:rsidRDefault="00BD155E" w:rsidP="00D83BF5">
          <w:pPr>
            <w:pStyle w:val="FirstFooter"/>
            <w:tabs>
              <w:tab w:val="left" w:pos="1559"/>
              <w:tab w:val="left" w:pos="3828"/>
            </w:tabs>
            <w:rPr>
              <w:sz w:val="18"/>
              <w:szCs w:val="18"/>
              <w:lang w:val="en-US"/>
            </w:rPr>
          </w:pPr>
        </w:p>
      </w:tc>
      <w:tc>
        <w:tcPr>
          <w:tcW w:w="2552" w:type="dxa"/>
        </w:tcPr>
        <w:p w14:paraId="4841060A" w14:textId="77777777" w:rsidR="00BD155E" w:rsidRPr="004D495C" w:rsidRDefault="00BD155E" w:rsidP="00D83BF5">
          <w:pPr>
            <w:pStyle w:val="FirstFooter"/>
            <w:tabs>
              <w:tab w:val="left" w:pos="2302"/>
            </w:tabs>
            <w:rPr>
              <w:sz w:val="18"/>
              <w:szCs w:val="18"/>
              <w:lang w:val="en-US"/>
            </w:rPr>
          </w:pPr>
          <w:r>
            <w:rPr>
              <w:sz w:val="18"/>
              <w:szCs w:val="18"/>
              <w:lang w:val="en-US"/>
            </w:rPr>
            <w:t>Correo-e</w:t>
          </w:r>
          <w:r w:rsidRPr="004D495C">
            <w:rPr>
              <w:sz w:val="18"/>
              <w:szCs w:val="18"/>
              <w:lang w:val="en-US"/>
            </w:rPr>
            <w:t>:</w:t>
          </w:r>
        </w:p>
      </w:tc>
      <w:tc>
        <w:tcPr>
          <w:tcW w:w="6095" w:type="dxa"/>
        </w:tcPr>
        <w:p w14:paraId="0191780A" w14:textId="77777777" w:rsidR="00BD155E" w:rsidRPr="004D495C" w:rsidRDefault="00BD155E" w:rsidP="00D83BF5">
          <w:pPr>
            <w:pStyle w:val="FirstFooter"/>
            <w:tabs>
              <w:tab w:val="left" w:pos="2302"/>
            </w:tabs>
            <w:rPr>
              <w:sz w:val="18"/>
              <w:szCs w:val="18"/>
              <w:highlight w:val="yellow"/>
              <w:lang w:val="en-US"/>
            </w:rPr>
          </w:pPr>
          <w:hyperlink r:id="rId1" w:history="1">
            <w:r w:rsidRPr="00544CE2">
              <w:rPr>
                <w:rStyle w:val="Hyperlink"/>
                <w:sz w:val="18"/>
                <w:szCs w:val="18"/>
                <w:lang w:val="en-US"/>
              </w:rPr>
              <w:t>archana.gulati@itu.int</w:t>
            </w:r>
          </w:hyperlink>
        </w:p>
      </w:tc>
    </w:tr>
  </w:tbl>
  <w:p w14:paraId="35BA0A67" w14:textId="77777777" w:rsidR="00BD155E" w:rsidRPr="002E6D87" w:rsidRDefault="00BD155E" w:rsidP="00616175">
    <w:pPr>
      <w:jc w:val="center"/>
      <w:rPr>
        <w:sz w:val="20"/>
      </w:rPr>
    </w:pPr>
    <w:hyperlink r:id="rId2" w:anchor="/es" w:history="1">
      <w:r>
        <w:rPr>
          <w:rStyle w:val="Hyperlink"/>
          <w:sz w:val="20"/>
        </w:rPr>
        <w:t>CMDT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FF89F" w14:textId="39EE4DBA" w:rsidR="00E45D05" w:rsidRDefault="00E45D05">
    <w:pPr>
      <w:framePr w:wrap="around" w:vAnchor="text" w:hAnchor="margin" w:xAlign="right" w:y="1"/>
    </w:pPr>
    <w:r>
      <w:fldChar w:fldCharType="begin"/>
    </w:r>
    <w:r>
      <w:instrText xml:space="preserve">PAGE  </w:instrText>
    </w:r>
    <w:r>
      <w:fldChar w:fldCharType="end"/>
    </w:r>
  </w:p>
  <w:p w14:paraId="5421BAA9" w14:textId="03E22D90"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D70CE0">
      <w:rPr>
        <w:noProof/>
        <w:lang w:val="en-US"/>
      </w:rPr>
      <w:t>P:\TRAD\S\ITU-D\CONF-D\WTDC17\DIV\413949 LIN S.docx</w:t>
    </w:r>
    <w:r>
      <w:fldChar w:fldCharType="end"/>
    </w:r>
    <w:r w:rsidRPr="0041348E">
      <w:rPr>
        <w:lang w:val="en-US"/>
      </w:rPr>
      <w:tab/>
    </w:r>
    <w:r>
      <w:fldChar w:fldCharType="begin"/>
    </w:r>
    <w:r>
      <w:instrText xml:space="preserve"> SAVEDATE \@ DD.MM.YY </w:instrText>
    </w:r>
    <w:r>
      <w:fldChar w:fldCharType="separate"/>
    </w:r>
    <w:r w:rsidR="00E71B56">
      <w:rPr>
        <w:noProof/>
      </w:rPr>
      <w:t>10.11.25</w:t>
    </w:r>
    <w:r>
      <w:fldChar w:fldCharType="end"/>
    </w:r>
    <w:r w:rsidRPr="0041348E">
      <w:rPr>
        <w:lang w:val="en-US"/>
      </w:rPr>
      <w:tab/>
    </w:r>
    <w:r>
      <w:fldChar w:fldCharType="begin"/>
    </w:r>
    <w:r>
      <w:instrText xml:space="preserve"> PRINTDATE \@ DD.MM.YY </w:instrText>
    </w:r>
    <w:r>
      <w:fldChar w:fldCharType="separate"/>
    </w:r>
    <w:r w:rsidR="00D70CE0">
      <w:rPr>
        <w:noProof/>
      </w:rPr>
      <w:t>09.03.17</w:t>
    </w:r>
    <w:r>
      <w:fldChar w:fldCharType="end"/>
    </w:r>
  </w:p>
  <w:p w14:paraId="716DC539" w14:textId="77777777" w:rsidR="00000000" w:rsidRDefault="003A37B1"/>
  <w:p w14:paraId="729C4333" w14:textId="77777777" w:rsidR="00000000" w:rsidRDefault="003A37B1"/>
  <w:p w14:paraId="4C7AFC01" w14:textId="77777777" w:rsidR="00000000" w:rsidRDefault="003A37B1"/>
  <w:p w14:paraId="3C5728D3" w14:textId="77777777" w:rsidR="00000000" w:rsidRDefault="003A37B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Layout w:type="fixed"/>
      <w:tblLook w:val="04A0" w:firstRow="1" w:lastRow="0" w:firstColumn="1" w:lastColumn="0" w:noHBand="0" w:noVBand="1"/>
    </w:tblPr>
    <w:tblGrid>
      <w:gridCol w:w="1134"/>
      <w:gridCol w:w="2552"/>
      <w:gridCol w:w="6095"/>
    </w:tblGrid>
    <w:tr w:rsidR="000B3246" w:rsidRPr="004D495C" w14:paraId="7EA83A66" w14:textId="77777777" w:rsidTr="000B3246">
      <w:tc>
        <w:tcPr>
          <w:tcW w:w="1134" w:type="dxa"/>
          <w:tcBorders>
            <w:top w:val="single" w:sz="4" w:space="0" w:color="000000"/>
          </w:tcBorders>
          <w:shd w:val="clear" w:color="auto" w:fill="auto"/>
        </w:tcPr>
        <w:p w14:paraId="54BF4A44" w14:textId="381A4F15" w:rsidR="000B3246" w:rsidRPr="004D495C" w:rsidRDefault="000B3246" w:rsidP="00D83BF5">
          <w:pPr>
            <w:pStyle w:val="FirstFooter"/>
            <w:tabs>
              <w:tab w:val="left" w:pos="1559"/>
              <w:tab w:val="left" w:pos="3828"/>
            </w:tabs>
            <w:rPr>
              <w:sz w:val="18"/>
              <w:szCs w:val="18"/>
            </w:rPr>
          </w:pPr>
          <w:r w:rsidRPr="004D495C">
            <w:rPr>
              <w:sz w:val="18"/>
              <w:szCs w:val="18"/>
              <w:lang w:val="en-US"/>
            </w:rPr>
            <w:t>Contact</w:t>
          </w:r>
          <w:r>
            <w:rPr>
              <w:sz w:val="18"/>
              <w:szCs w:val="18"/>
              <w:lang w:val="en-US"/>
            </w:rPr>
            <w:t>o</w:t>
          </w:r>
          <w:r w:rsidRPr="004D495C">
            <w:rPr>
              <w:sz w:val="18"/>
              <w:szCs w:val="18"/>
              <w:lang w:val="en-US"/>
            </w:rPr>
            <w:t>:</w:t>
          </w:r>
        </w:p>
      </w:tc>
      <w:tc>
        <w:tcPr>
          <w:tcW w:w="2552" w:type="dxa"/>
          <w:tcBorders>
            <w:top w:val="single" w:sz="4" w:space="0" w:color="000000"/>
          </w:tcBorders>
          <w:shd w:val="clear" w:color="auto" w:fill="auto"/>
        </w:tcPr>
        <w:p w14:paraId="4990EBCC" w14:textId="49B3D218" w:rsidR="000B3246" w:rsidRPr="004D495C" w:rsidRDefault="000B3246" w:rsidP="000B1248">
          <w:pPr>
            <w:pStyle w:val="FirstFooter"/>
            <w:tabs>
              <w:tab w:val="left" w:pos="2302"/>
            </w:tabs>
            <w:ind w:left="2302" w:hanging="2302"/>
            <w:rPr>
              <w:sz w:val="18"/>
              <w:szCs w:val="18"/>
              <w:lang w:val="en-US"/>
            </w:rPr>
          </w:pPr>
          <w:r w:rsidRPr="004D495C">
            <w:rPr>
              <w:sz w:val="18"/>
              <w:szCs w:val="18"/>
              <w:lang w:val="en-US"/>
            </w:rPr>
            <w:t>N</w:t>
          </w:r>
          <w:r>
            <w:rPr>
              <w:sz w:val="18"/>
              <w:szCs w:val="18"/>
              <w:lang w:val="en-US"/>
            </w:rPr>
            <w:t>ombr</w:t>
          </w:r>
          <w:r w:rsidRPr="004D495C">
            <w:rPr>
              <w:sz w:val="18"/>
              <w:szCs w:val="18"/>
              <w:lang w:val="en-US"/>
            </w:rPr>
            <w:t>e/Organiza</w:t>
          </w:r>
          <w:r>
            <w:rPr>
              <w:sz w:val="18"/>
              <w:szCs w:val="18"/>
              <w:lang w:val="en-US"/>
            </w:rPr>
            <w:t>ción/Entidad</w:t>
          </w:r>
          <w:r w:rsidRPr="004D495C">
            <w:rPr>
              <w:sz w:val="18"/>
              <w:szCs w:val="18"/>
              <w:lang w:val="en-US"/>
            </w:rPr>
            <w:t>:</w:t>
          </w:r>
        </w:p>
      </w:tc>
      <w:tc>
        <w:tcPr>
          <w:tcW w:w="6095" w:type="dxa"/>
          <w:tcBorders>
            <w:top w:val="single" w:sz="4" w:space="0" w:color="000000"/>
          </w:tcBorders>
          <w:shd w:val="clear" w:color="auto" w:fill="auto"/>
        </w:tcPr>
        <w:p w14:paraId="57B2BA77" w14:textId="77777777" w:rsidR="000B3246" w:rsidRPr="004D495C" w:rsidRDefault="000B3246" w:rsidP="002C63F6">
          <w:pPr>
            <w:pStyle w:val="FirstFooter"/>
            <w:tabs>
              <w:tab w:val="left" w:pos="2302"/>
            </w:tabs>
            <w:jc w:val="center"/>
            <w:rPr>
              <w:sz w:val="18"/>
              <w:szCs w:val="18"/>
              <w:highlight w:val="yellow"/>
              <w:lang w:val="en-US"/>
            </w:rPr>
          </w:pPr>
          <w:bookmarkStart w:id="60" w:name="OrgName"/>
          <w:bookmarkEnd w:id="60"/>
        </w:p>
      </w:tc>
    </w:tr>
    <w:tr w:rsidR="000B3246" w:rsidRPr="004D495C" w14:paraId="357B3672" w14:textId="77777777" w:rsidTr="000B3246">
      <w:tc>
        <w:tcPr>
          <w:tcW w:w="1134" w:type="dxa"/>
          <w:shd w:val="clear" w:color="auto" w:fill="auto"/>
        </w:tcPr>
        <w:p w14:paraId="16D54CB9" w14:textId="77777777" w:rsidR="000B3246" w:rsidRPr="004D495C" w:rsidRDefault="000B3246" w:rsidP="00D83BF5">
          <w:pPr>
            <w:pStyle w:val="FirstFooter"/>
            <w:tabs>
              <w:tab w:val="left" w:pos="1559"/>
              <w:tab w:val="left" w:pos="3828"/>
            </w:tabs>
            <w:rPr>
              <w:sz w:val="20"/>
              <w:lang w:val="en-US"/>
            </w:rPr>
          </w:pPr>
        </w:p>
      </w:tc>
      <w:tc>
        <w:tcPr>
          <w:tcW w:w="2552" w:type="dxa"/>
          <w:shd w:val="clear" w:color="auto" w:fill="auto"/>
        </w:tcPr>
        <w:p w14:paraId="0FED1DD1" w14:textId="31441479" w:rsidR="000B3246" w:rsidRPr="004D495C" w:rsidRDefault="000B3246" w:rsidP="00D83BF5">
          <w:pPr>
            <w:pStyle w:val="FirstFooter"/>
            <w:tabs>
              <w:tab w:val="left" w:pos="2302"/>
            </w:tabs>
            <w:rPr>
              <w:sz w:val="18"/>
              <w:szCs w:val="18"/>
              <w:lang w:val="en-US"/>
            </w:rPr>
          </w:pPr>
          <w:r>
            <w:rPr>
              <w:sz w:val="18"/>
              <w:szCs w:val="18"/>
              <w:lang w:val="en-US"/>
            </w:rPr>
            <w:t>Teléfono</w:t>
          </w:r>
          <w:r w:rsidRPr="004D495C">
            <w:rPr>
              <w:sz w:val="18"/>
              <w:szCs w:val="18"/>
              <w:lang w:val="en-US"/>
            </w:rPr>
            <w:t>:</w:t>
          </w:r>
        </w:p>
      </w:tc>
      <w:tc>
        <w:tcPr>
          <w:tcW w:w="6095" w:type="dxa"/>
          <w:shd w:val="clear" w:color="auto" w:fill="auto"/>
        </w:tcPr>
        <w:p w14:paraId="169D8EC7" w14:textId="77777777" w:rsidR="000B3246" w:rsidRPr="004D495C" w:rsidRDefault="000B3246" w:rsidP="00D83BF5">
          <w:pPr>
            <w:pStyle w:val="FirstFooter"/>
            <w:tabs>
              <w:tab w:val="left" w:pos="2302"/>
            </w:tabs>
            <w:rPr>
              <w:sz w:val="18"/>
              <w:szCs w:val="18"/>
              <w:highlight w:val="yellow"/>
              <w:lang w:val="en-US"/>
            </w:rPr>
          </w:pPr>
          <w:bookmarkStart w:id="61" w:name="PhoneNo"/>
          <w:bookmarkEnd w:id="61"/>
        </w:p>
      </w:tc>
    </w:tr>
    <w:tr w:rsidR="000B3246" w:rsidRPr="004D495C" w14:paraId="5CCDBCE4" w14:textId="77777777" w:rsidTr="000B3246">
      <w:tc>
        <w:tcPr>
          <w:tcW w:w="1134" w:type="dxa"/>
          <w:shd w:val="clear" w:color="auto" w:fill="auto"/>
        </w:tcPr>
        <w:p w14:paraId="52E47833" w14:textId="77777777" w:rsidR="000B3246" w:rsidRPr="004D495C" w:rsidRDefault="000B3246" w:rsidP="00D83BF5">
          <w:pPr>
            <w:pStyle w:val="FirstFooter"/>
            <w:tabs>
              <w:tab w:val="left" w:pos="1559"/>
              <w:tab w:val="left" w:pos="3828"/>
            </w:tabs>
            <w:rPr>
              <w:sz w:val="20"/>
              <w:lang w:val="en-US"/>
            </w:rPr>
          </w:pPr>
        </w:p>
      </w:tc>
      <w:tc>
        <w:tcPr>
          <w:tcW w:w="2552" w:type="dxa"/>
          <w:shd w:val="clear" w:color="auto" w:fill="auto"/>
        </w:tcPr>
        <w:p w14:paraId="21E40CA1" w14:textId="6A84B6B0" w:rsidR="000B3246" w:rsidRPr="004D495C" w:rsidRDefault="000B3246" w:rsidP="00D83BF5">
          <w:pPr>
            <w:pStyle w:val="FirstFooter"/>
            <w:tabs>
              <w:tab w:val="left" w:pos="2302"/>
            </w:tabs>
            <w:rPr>
              <w:sz w:val="18"/>
              <w:szCs w:val="18"/>
              <w:lang w:val="en-US"/>
            </w:rPr>
          </w:pPr>
          <w:r>
            <w:rPr>
              <w:sz w:val="18"/>
              <w:szCs w:val="18"/>
              <w:lang w:val="en-US"/>
            </w:rPr>
            <w:t>Correo-e</w:t>
          </w:r>
          <w:r w:rsidRPr="004D495C">
            <w:rPr>
              <w:sz w:val="18"/>
              <w:szCs w:val="18"/>
              <w:lang w:val="en-US"/>
            </w:rPr>
            <w:t>:</w:t>
          </w:r>
        </w:p>
      </w:tc>
      <w:tc>
        <w:tcPr>
          <w:tcW w:w="6095" w:type="dxa"/>
          <w:shd w:val="clear" w:color="auto" w:fill="auto"/>
        </w:tcPr>
        <w:p w14:paraId="44C536A2" w14:textId="77777777" w:rsidR="000B3246" w:rsidRPr="004D495C" w:rsidRDefault="000B3246" w:rsidP="00D83BF5">
          <w:pPr>
            <w:pStyle w:val="FirstFooter"/>
            <w:tabs>
              <w:tab w:val="left" w:pos="2302"/>
            </w:tabs>
            <w:rPr>
              <w:sz w:val="18"/>
              <w:szCs w:val="18"/>
              <w:highlight w:val="yellow"/>
              <w:lang w:val="en-US"/>
            </w:rPr>
          </w:pPr>
          <w:bookmarkStart w:id="62" w:name="Email"/>
          <w:bookmarkEnd w:id="62"/>
        </w:p>
      </w:tc>
    </w:tr>
  </w:tbl>
  <w:p w14:paraId="7D9D0578" w14:textId="41D71847" w:rsidR="000B1248" w:rsidRPr="00D83BF5" w:rsidRDefault="003A37B1" w:rsidP="00616175">
    <w:pPr>
      <w:jc w:val="center"/>
    </w:pPr>
    <w:hyperlink r:id="rId1" w:anchor="/es" w:history="1">
      <w:r w:rsidR="007E1CA3">
        <w:rPr>
          <w:rStyle w:val="Hyperlink"/>
          <w:sz w:val="20"/>
        </w:rPr>
        <w:t>CMDT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5A352" w14:textId="77777777" w:rsidR="000970EB" w:rsidRDefault="000970EB">
      <w:r>
        <w:rPr>
          <w:b/>
        </w:rPr>
        <w:t>_______________</w:t>
      </w:r>
    </w:p>
  </w:footnote>
  <w:footnote w:type="continuationSeparator" w:id="0">
    <w:p w14:paraId="327B2F06" w14:textId="77777777" w:rsidR="000970EB" w:rsidRDefault="00097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59B18" w14:textId="41851B00" w:rsidR="00BD155E" w:rsidRPr="00D83BF5" w:rsidRDefault="00BD155E" w:rsidP="00D02508">
    <w:pPr>
      <w:tabs>
        <w:tab w:val="clear" w:pos="1134"/>
        <w:tab w:val="clear" w:pos="1871"/>
        <w:tab w:val="clear" w:pos="2268"/>
        <w:tab w:val="center" w:pos="5103"/>
        <w:tab w:val="right" w:pos="10206"/>
      </w:tabs>
      <w:ind w:right="1"/>
      <w:rPr>
        <w:smallCaps/>
        <w:spacing w:val="24"/>
        <w:sz w:val="22"/>
        <w:szCs w:val="22"/>
        <w:lang w:val="es-ES_tradnl"/>
      </w:rPr>
    </w:pPr>
    <w:r w:rsidRPr="004D495C">
      <w:rPr>
        <w:sz w:val="22"/>
        <w:szCs w:val="22"/>
      </w:rPr>
      <w:tab/>
    </w:r>
    <w:r w:rsidRPr="00D02508">
      <w:rPr>
        <w:sz w:val="22"/>
        <w:szCs w:val="22"/>
        <w:lang w:val="de-CH"/>
      </w:rPr>
      <w:t>WTDC</w:t>
    </w:r>
    <w:r>
      <w:rPr>
        <w:sz w:val="22"/>
        <w:szCs w:val="22"/>
        <w:lang w:val="de-CH"/>
      </w:rPr>
      <w:t>-25</w:t>
    </w:r>
    <w:r w:rsidRPr="00D02508">
      <w:rPr>
        <w:sz w:val="22"/>
        <w:szCs w:val="22"/>
        <w:lang w:val="de-CH"/>
      </w:rPr>
      <w:t>/</w:t>
    </w:r>
    <w:r>
      <w:rPr>
        <w:sz w:val="22"/>
        <w:szCs w:val="22"/>
      </w:rPr>
      <w:t>2(Rev.1)-S</w:t>
    </w:r>
    <w:r w:rsidRPr="00FF089C">
      <w:rPr>
        <w:sz w:val="22"/>
        <w:szCs w:val="22"/>
        <w:lang w:val="es-ES_tradnl"/>
      </w:rPr>
      <w:tab/>
      <w:t>P</w:t>
    </w:r>
    <w:r>
      <w:rPr>
        <w:sz w:val="22"/>
        <w:szCs w:val="22"/>
        <w:lang w:val="es-ES_tradnl"/>
      </w:rPr>
      <w:t>ágina</w:t>
    </w:r>
    <w:r w:rsidRPr="00FF089C">
      <w:rPr>
        <w:sz w:val="22"/>
        <w:szCs w:val="22"/>
        <w:lang w:val="es-ES_tradnl"/>
      </w:rPr>
      <w:t xml:space="preserv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Pr>
        <w:noProof/>
        <w:sz w:val="22"/>
        <w:szCs w:val="22"/>
        <w:lang w:val="es-ES_tradnl"/>
      </w:rPr>
      <w:t>2</w:t>
    </w:r>
    <w:r w:rsidRPr="004D495C">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C4AC4" w14:textId="3EEC3B41" w:rsidR="00000000" w:rsidRPr="002C63F6" w:rsidRDefault="00D83BF5" w:rsidP="002C63F6">
    <w:pPr>
      <w:tabs>
        <w:tab w:val="clear" w:pos="1134"/>
        <w:tab w:val="clear" w:pos="1871"/>
        <w:tab w:val="clear" w:pos="2268"/>
        <w:tab w:val="center" w:pos="5103"/>
        <w:tab w:val="right" w:pos="10206"/>
      </w:tabs>
      <w:ind w:right="1"/>
      <w:rPr>
        <w:smallCaps/>
        <w:spacing w:val="24"/>
        <w:sz w:val="22"/>
        <w:szCs w:val="22"/>
        <w:lang w:val="es-ES_tradnl"/>
      </w:rPr>
    </w:pPr>
    <w:r w:rsidRPr="004D495C">
      <w:rPr>
        <w:sz w:val="22"/>
        <w:szCs w:val="22"/>
      </w:rPr>
      <w:tab/>
    </w:r>
    <w:bookmarkStart w:id="59" w:name="_Hlk56755748"/>
    <w:r w:rsidR="00D02508" w:rsidRPr="00D02508">
      <w:rPr>
        <w:sz w:val="22"/>
        <w:szCs w:val="22"/>
        <w:lang w:val="de-CH"/>
      </w:rPr>
      <w:t>WTDC</w:t>
    </w:r>
    <w:r w:rsidR="001451CC">
      <w:rPr>
        <w:sz w:val="22"/>
        <w:szCs w:val="22"/>
        <w:lang w:val="de-CH"/>
      </w:rPr>
      <w:t>-</w:t>
    </w:r>
    <w:r w:rsidR="00F87CC0">
      <w:rPr>
        <w:sz w:val="22"/>
        <w:szCs w:val="22"/>
        <w:lang w:val="de-CH"/>
      </w:rPr>
      <w:t>2</w:t>
    </w:r>
    <w:r w:rsidR="00F55058">
      <w:rPr>
        <w:sz w:val="22"/>
        <w:szCs w:val="22"/>
        <w:lang w:val="de-CH"/>
      </w:rPr>
      <w:t>5</w:t>
    </w:r>
    <w:r w:rsidR="00D02508" w:rsidRPr="00D02508">
      <w:rPr>
        <w:sz w:val="22"/>
        <w:szCs w:val="22"/>
        <w:lang w:val="de-CH"/>
      </w:rPr>
      <w:t>/</w:t>
    </w:r>
    <w:bookmarkEnd w:id="59"/>
    <w:r w:rsidR="002C63F6">
      <w:rPr>
        <w:sz w:val="22"/>
        <w:szCs w:val="22"/>
      </w:rPr>
      <w:t>2(Rev.1)</w:t>
    </w:r>
    <w:r w:rsidR="007A1872">
      <w:rPr>
        <w:sz w:val="22"/>
        <w:szCs w:val="22"/>
      </w:rPr>
      <w:t>-S</w:t>
    </w:r>
    <w:r w:rsidRPr="00FF089C">
      <w:rPr>
        <w:sz w:val="22"/>
        <w:szCs w:val="22"/>
        <w:lang w:val="es-ES_tradnl"/>
      </w:rPr>
      <w:tab/>
      <w:t>P</w:t>
    </w:r>
    <w:r w:rsidR="00BA70B7">
      <w:rPr>
        <w:sz w:val="22"/>
        <w:szCs w:val="22"/>
        <w:lang w:val="es-ES_tradnl"/>
      </w:rPr>
      <w:t>ágina</w:t>
    </w:r>
    <w:r w:rsidRPr="00FF089C">
      <w:rPr>
        <w:sz w:val="22"/>
        <w:szCs w:val="22"/>
        <w:lang w:val="es-ES_tradnl"/>
      </w:rPr>
      <w:t xml:space="preserv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687B47">
      <w:rPr>
        <w:noProof/>
        <w:sz w:val="22"/>
        <w:szCs w:val="22"/>
        <w:lang w:val="es-ES_tradnl"/>
      </w:rPr>
      <w:t>2</w:t>
    </w:r>
    <w:r w:rsidRPr="004D495C">
      <w:rPr>
        <w:sz w:val="22"/>
        <w:szCs w:val="22"/>
      </w:rPr>
      <w:fldChar w:fldCharType="end"/>
    </w:r>
  </w:p>
  <w:p w14:paraId="1A6D4476" w14:textId="77777777" w:rsidR="00000000" w:rsidRDefault="003A37B1"/>
  <w:p w14:paraId="0FD1F9B3" w14:textId="77777777" w:rsidR="00000000" w:rsidRDefault="003A37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1A826F1"/>
    <w:multiLevelType w:val="hybridMultilevel"/>
    <w:tmpl w:val="43A8D2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0AC0D"/>
    <w:multiLevelType w:val="hybridMultilevel"/>
    <w:tmpl w:val="8B560304"/>
    <w:lvl w:ilvl="0" w:tplc="804C721A">
      <w:start w:val="1"/>
      <w:numFmt w:val="bullet"/>
      <w:lvlText w:val="o"/>
      <w:lvlJc w:val="left"/>
      <w:pPr>
        <w:ind w:left="720" w:hanging="360"/>
      </w:pPr>
      <w:rPr>
        <w:rFonts w:ascii="Courier New" w:hAnsi="Courier New" w:hint="default"/>
      </w:rPr>
    </w:lvl>
    <w:lvl w:ilvl="1" w:tplc="A8D43F32">
      <w:start w:val="1"/>
      <w:numFmt w:val="bullet"/>
      <w:lvlText w:val="o"/>
      <w:lvlJc w:val="left"/>
      <w:pPr>
        <w:ind w:left="1440" w:hanging="360"/>
      </w:pPr>
      <w:rPr>
        <w:rFonts w:ascii="Courier New" w:hAnsi="Courier New" w:hint="default"/>
      </w:rPr>
    </w:lvl>
    <w:lvl w:ilvl="2" w:tplc="CA64EF3C">
      <w:start w:val="1"/>
      <w:numFmt w:val="bullet"/>
      <w:lvlText w:val=""/>
      <w:lvlJc w:val="left"/>
      <w:pPr>
        <w:ind w:left="2160" w:hanging="360"/>
      </w:pPr>
      <w:rPr>
        <w:rFonts w:ascii="Wingdings" w:hAnsi="Wingdings" w:hint="default"/>
      </w:rPr>
    </w:lvl>
    <w:lvl w:ilvl="3" w:tplc="72D030AC">
      <w:start w:val="1"/>
      <w:numFmt w:val="bullet"/>
      <w:lvlText w:val=""/>
      <w:lvlJc w:val="left"/>
      <w:pPr>
        <w:ind w:left="2880" w:hanging="360"/>
      </w:pPr>
      <w:rPr>
        <w:rFonts w:ascii="Symbol" w:hAnsi="Symbol" w:hint="default"/>
      </w:rPr>
    </w:lvl>
    <w:lvl w:ilvl="4" w:tplc="9FCCDD16">
      <w:start w:val="1"/>
      <w:numFmt w:val="bullet"/>
      <w:lvlText w:val="o"/>
      <w:lvlJc w:val="left"/>
      <w:pPr>
        <w:ind w:left="3600" w:hanging="360"/>
      </w:pPr>
      <w:rPr>
        <w:rFonts w:ascii="Courier New" w:hAnsi="Courier New" w:hint="default"/>
      </w:rPr>
    </w:lvl>
    <w:lvl w:ilvl="5" w:tplc="3DEA8AE0">
      <w:start w:val="1"/>
      <w:numFmt w:val="bullet"/>
      <w:lvlText w:val=""/>
      <w:lvlJc w:val="left"/>
      <w:pPr>
        <w:ind w:left="4320" w:hanging="360"/>
      </w:pPr>
      <w:rPr>
        <w:rFonts w:ascii="Wingdings" w:hAnsi="Wingdings" w:hint="default"/>
      </w:rPr>
    </w:lvl>
    <w:lvl w:ilvl="6" w:tplc="5760512E">
      <w:start w:val="1"/>
      <w:numFmt w:val="bullet"/>
      <w:lvlText w:val=""/>
      <w:lvlJc w:val="left"/>
      <w:pPr>
        <w:ind w:left="5040" w:hanging="360"/>
      </w:pPr>
      <w:rPr>
        <w:rFonts w:ascii="Symbol" w:hAnsi="Symbol" w:hint="default"/>
      </w:rPr>
    </w:lvl>
    <w:lvl w:ilvl="7" w:tplc="AE882B34">
      <w:start w:val="1"/>
      <w:numFmt w:val="bullet"/>
      <w:lvlText w:val="o"/>
      <w:lvlJc w:val="left"/>
      <w:pPr>
        <w:ind w:left="5760" w:hanging="360"/>
      </w:pPr>
      <w:rPr>
        <w:rFonts w:ascii="Courier New" w:hAnsi="Courier New" w:hint="default"/>
      </w:rPr>
    </w:lvl>
    <w:lvl w:ilvl="8" w:tplc="BAA2674E">
      <w:start w:val="1"/>
      <w:numFmt w:val="bullet"/>
      <w:lvlText w:val=""/>
      <w:lvlJc w:val="left"/>
      <w:pPr>
        <w:ind w:left="6480" w:hanging="360"/>
      </w:pPr>
      <w:rPr>
        <w:rFonts w:ascii="Wingdings" w:hAnsi="Wingdings" w:hint="default"/>
      </w:rPr>
    </w:lvl>
  </w:abstractNum>
  <w:abstractNum w:abstractNumId="4" w15:restartNumberingAfterBreak="0">
    <w:nsid w:val="049926FC"/>
    <w:multiLevelType w:val="hybridMultilevel"/>
    <w:tmpl w:val="FFFFFFFF"/>
    <w:lvl w:ilvl="0" w:tplc="AF027CAC">
      <w:start w:val="1"/>
      <w:numFmt w:val="bullet"/>
      <w:lvlText w:val="o"/>
      <w:lvlJc w:val="left"/>
      <w:pPr>
        <w:ind w:left="720" w:hanging="360"/>
      </w:pPr>
      <w:rPr>
        <w:rFonts w:ascii="Courier New" w:hAnsi="Courier New" w:hint="default"/>
      </w:rPr>
    </w:lvl>
    <w:lvl w:ilvl="1" w:tplc="650C15B2">
      <w:start w:val="1"/>
      <w:numFmt w:val="bullet"/>
      <w:lvlText w:val="o"/>
      <w:lvlJc w:val="left"/>
      <w:pPr>
        <w:ind w:left="1440" w:hanging="360"/>
      </w:pPr>
      <w:rPr>
        <w:rFonts w:ascii="Courier New" w:hAnsi="Courier New" w:hint="default"/>
      </w:rPr>
    </w:lvl>
    <w:lvl w:ilvl="2" w:tplc="B39620D8">
      <w:start w:val="1"/>
      <w:numFmt w:val="bullet"/>
      <w:lvlText w:val=""/>
      <w:lvlJc w:val="left"/>
      <w:pPr>
        <w:ind w:left="2160" w:hanging="360"/>
      </w:pPr>
      <w:rPr>
        <w:rFonts w:ascii="Wingdings" w:hAnsi="Wingdings" w:hint="default"/>
      </w:rPr>
    </w:lvl>
    <w:lvl w:ilvl="3" w:tplc="5EFA36A6">
      <w:start w:val="1"/>
      <w:numFmt w:val="bullet"/>
      <w:lvlText w:val=""/>
      <w:lvlJc w:val="left"/>
      <w:pPr>
        <w:ind w:left="2880" w:hanging="360"/>
      </w:pPr>
      <w:rPr>
        <w:rFonts w:ascii="Symbol" w:hAnsi="Symbol" w:hint="default"/>
      </w:rPr>
    </w:lvl>
    <w:lvl w:ilvl="4" w:tplc="DDF81094">
      <w:start w:val="1"/>
      <w:numFmt w:val="bullet"/>
      <w:lvlText w:val="o"/>
      <w:lvlJc w:val="left"/>
      <w:pPr>
        <w:ind w:left="3600" w:hanging="360"/>
      </w:pPr>
      <w:rPr>
        <w:rFonts w:ascii="Courier New" w:hAnsi="Courier New" w:hint="default"/>
      </w:rPr>
    </w:lvl>
    <w:lvl w:ilvl="5" w:tplc="63345438">
      <w:start w:val="1"/>
      <w:numFmt w:val="bullet"/>
      <w:lvlText w:val=""/>
      <w:lvlJc w:val="left"/>
      <w:pPr>
        <w:ind w:left="4320" w:hanging="360"/>
      </w:pPr>
      <w:rPr>
        <w:rFonts w:ascii="Wingdings" w:hAnsi="Wingdings" w:hint="default"/>
      </w:rPr>
    </w:lvl>
    <w:lvl w:ilvl="6" w:tplc="69D2F36A">
      <w:start w:val="1"/>
      <w:numFmt w:val="bullet"/>
      <w:lvlText w:val=""/>
      <w:lvlJc w:val="left"/>
      <w:pPr>
        <w:ind w:left="5040" w:hanging="360"/>
      </w:pPr>
      <w:rPr>
        <w:rFonts w:ascii="Symbol" w:hAnsi="Symbol" w:hint="default"/>
      </w:rPr>
    </w:lvl>
    <w:lvl w:ilvl="7" w:tplc="D1E03F86">
      <w:start w:val="1"/>
      <w:numFmt w:val="bullet"/>
      <w:lvlText w:val="o"/>
      <w:lvlJc w:val="left"/>
      <w:pPr>
        <w:ind w:left="5760" w:hanging="360"/>
      </w:pPr>
      <w:rPr>
        <w:rFonts w:ascii="Courier New" w:hAnsi="Courier New" w:hint="default"/>
      </w:rPr>
    </w:lvl>
    <w:lvl w:ilvl="8" w:tplc="6D46A646">
      <w:start w:val="1"/>
      <w:numFmt w:val="bullet"/>
      <w:lvlText w:val=""/>
      <w:lvlJc w:val="left"/>
      <w:pPr>
        <w:ind w:left="6480" w:hanging="360"/>
      </w:pPr>
      <w:rPr>
        <w:rFonts w:ascii="Wingdings" w:hAnsi="Wingdings" w:hint="default"/>
      </w:rPr>
    </w:lvl>
  </w:abstractNum>
  <w:abstractNum w:abstractNumId="5"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0DA79C5E"/>
    <w:multiLevelType w:val="hybridMultilevel"/>
    <w:tmpl w:val="FFFFFFFF"/>
    <w:lvl w:ilvl="0" w:tplc="30BA9492">
      <w:start w:val="1"/>
      <w:numFmt w:val="bullet"/>
      <w:lvlText w:val="o"/>
      <w:lvlJc w:val="left"/>
      <w:pPr>
        <w:ind w:left="720" w:hanging="360"/>
      </w:pPr>
      <w:rPr>
        <w:rFonts w:ascii="Courier New" w:hAnsi="Courier New" w:hint="default"/>
      </w:rPr>
    </w:lvl>
    <w:lvl w:ilvl="1" w:tplc="41CEDE72">
      <w:start w:val="1"/>
      <w:numFmt w:val="bullet"/>
      <w:lvlText w:val="o"/>
      <w:lvlJc w:val="left"/>
      <w:pPr>
        <w:ind w:left="1440" w:hanging="360"/>
      </w:pPr>
      <w:rPr>
        <w:rFonts w:ascii="Courier New" w:hAnsi="Courier New" w:hint="default"/>
      </w:rPr>
    </w:lvl>
    <w:lvl w:ilvl="2" w:tplc="728E44E0">
      <w:start w:val="1"/>
      <w:numFmt w:val="bullet"/>
      <w:lvlText w:val=""/>
      <w:lvlJc w:val="left"/>
      <w:pPr>
        <w:ind w:left="2160" w:hanging="360"/>
      </w:pPr>
      <w:rPr>
        <w:rFonts w:ascii="Wingdings" w:hAnsi="Wingdings" w:hint="default"/>
      </w:rPr>
    </w:lvl>
    <w:lvl w:ilvl="3" w:tplc="986E4CFA">
      <w:start w:val="1"/>
      <w:numFmt w:val="bullet"/>
      <w:lvlText w:val=""/>
      <w:lvlJc w:val="left"/>
      <w:pPr>
        <w:ind w:left="2880" w:hanging="360"/>
      </w:pPr>
      <w:rPr>
        <w:rFonts w:ascii="Symbol" w:hAnsi="Symbol" w:hint="default"/>
      </w:rPr>
    </w:lvl>
    <w:lvl w:ilvl="4" w:tplc="6D4A1D12">
      <w:start w:val="1"/>
      <w:numFmt w:val="bullet"/>
      <w:lvlText w:val="o"/>
      <w:lvlJc w:val="left"/>
      <w:pPr>
        <w:ind w:left="3600" w:hanging="360"/>
      </w:pPr>
      <w:rPr>
        <w:rFonts w:ascii="Courier New" w:hAnsi="Courier New" w:hint="default"/>
      </w:rPr>
    </w:lvl>
    <w:lvl w:ilvl="5" w:tplc="8416AC2A">
      <w:start w:val="1"/>
      <w:numFmt w:val="bullet"/>
      <w:lvlText w:val=""/>
      <w:lvlJc w:val="left"/>
      <w:pPr>
        <w:ind w:left="4320" w:hanging="360"/>
      </w:pPr>
      <w:rPr>
        <w:rFonts w:ascii="Wingdings" w:hAnsi="Wingdings" w:hint="default"/>
      </w:rPr>
    </w:lvl>
    <w:lvl w:ilvl="6" w:tplc="6C544260">
      <w:start w:val="1"/>
      <w:numFmt w:val="bullet"/>
      <w:lvlText w:val=""/>
      <w:lvlJc w:val="left"/>
      <w:pPr>
        <w:ind w:left="5040" w:hanging="360"/>
      </w:pPr>
      <w:rPr>
        <w:rFonts w:ascii="Symbol" w:hAnsi="Symbol" w:hint="default"/>
      </w:rPr>
    </w:lvl>
    <w:lvl w:ilvl="7" w:tplc="EB467992">
      <w:start w:val="1"/>
      <w:numFmt w:val="bullet"/>
      <w:lvlText w:val="o"/>
      <w:lvlJc w:val="left"/>
      <w:pPr>
        <w:ind w:left="5760" w:hanging="360"/>
      </w:pPr>
      <w:rPr>
        <w:rFonts w:ascii="Courier New" w:hAnsi="Courier New" w:hint="default"/>
      </w:rPr>
    </w:lvl>
    <w:lvl w:ilvl="8" w:tplc="43709FF6">
      <w:start w:val="1"/>
      <w:numFmt w:val="bullet"/>
      <w:lvlText w:val=""/>
      <w:lvlJc w:val="left"/>
      <w:pPr>
        <w:ind w:left="6480" w:hanging="360"/>
      </w:pPr>
      <w:rPr>
        <w:rFonts w:ascii="Wingdings" w:hAnsi="Wingdings" w:hint="default"/>
      </w:rPr>
    </w:lvl>
  </w:abstractNum>
  <w:abstractNum w:abstractNumId="7" w15:restartNumberingAfterBreak="0">
    <w:nsid w:val="0E9FF556"/>
    <w:multiLevelType w:val="hybridMultilevel"/>
    <w:tmpl w:val="FFFFFFFF"/>
    <w:lvl w:ilvl="0" w:tplc="5F244FB6">
      <w:start w:val="1"/>
      <w:numFmt w:val="bullet"/>
      <w:lvlText w:val="o"/>
      <w:lvlJc w:val="left"/>
      <w:pPr>
        <w:ind w:left="720" w:hanging="360"/>
      </w:pPr>
      <w:rPr>
        <w:rFonts w:ascii="Courier New" w:hAnsi="Courier New" w:hint="default"/>
      </w:rPr>
    </w:lvl>
    <w:lvl w:ilvl="1" w:tplc="82E61B10">
      <w:start w:val="1"/>
      <w:numFmt w:val="bullet"/>
      <w:lvlText w:val="o"/>
      <w:lvlJc w:val="left"/>
      <w:pPr>
        <w:ind w:left="1440" w:hanging="360"/>
      </w:pPr>
      <w:rPr>
        <w:rFonts w:ascii="Courier New" w:hAnsi="Courier New" w:hint="default"/>
      </w:rPr>
    </w:lvl>
    <w:lvl w:ilvl="2" w:tplc="A04615C2">
      <w:start w:val="1"/>
      <w:numFmt w:val="bullet"/>
      <w:lvlText w:val=""/>
      <w:lvlJc w:val="left"/>
      <w:pPr>
        <w:ind w:left="2160" w:hanging="360"/>
      </w:pPr>
      <w:rPr>
        <w:rFonts w:ascii="Wingdings" w:hAnsi="Wingdings" w:hint="default"/>
      </w:rPr>
    </w:lvl>
    <w:lvl w:ilvl="3" w:tplc="1F48615C">
      <w:start w:val="1"/>
      <w:numFmt w:val="bullet"/>
      <w:lvlText w:val=""/>
      <w:lvlJc w:val="left"/>
      <w:pPr>
        <w:ind w:left="2880" w:hanging="360"/>
      </w:pPr>
      <w:rPr>
        <w:rFonts w:ascii="Symbol" w:hAnsi="Symbol" w:hint="default"/>
      </w:rPr>
    </w:lvl>
    <w:lvl w:ilvl="4" w:tplc="A1B2B262">
      <w:start w:val="1"/>
      <w:numFmt w:val="bullet"/>
      <w:lvlText w:val="o"/>
      <w:lvlJc w:val="left"/>
      <w:pPr>
        <w:ind w:left="3600" w:hanging="360"/>
      </w:pPr>
      <w:rPr>
        <w:rFonts w:ascii="Courier New" w:hAnsi="Courier New" w:hint="default"/>
      </w:rPr>
    </w:lvl>
    <w:lvl w:ilvl="5" w:tplc="C8760E46">
      <w:start w:val="1"/>
      <w:numFmt w:val="bullet"/>
      <w:lvlText w:val=""/>
      <w:lvlJc w:val="left"/>
      <w:pPr>
        <w:ind w:left="4320" w:hanging="360"/>
      </w:pPr>
      <w:rPr>
        <w:rFonts w:ascii="Wingdings" w:hAnsi="Wingdings" w:hint="default"/>
      </w:rPr>
    </w:lvl>
    <w:lvl w:ilvl="6" w:tplc="0100D968">
      <w:start w:val="1"/>
      <w:numFmt w:val="bullet"/>
      <w:lvlText w:val=""/>
      <w:lvlJc w:val="left"/>
      <w:pPr>
        <w:ind w:left="5040" w:hanging="360"/>
      </w:pPr>
      <w:rPr>
        <w:rFonts w:ascii="Symbol" w:hAnsi="Symbol" w:hint="default"/>
      </w:rPr>
    </w:lvl>
    <w:lvl w:ilvl="7" w:tplc="1AD26482">
      <w:start w:val="1"/>
      <w:numFmt w:val="bullet"/>
      <w:lvlText w:val="o"/>
      <w:lvlJc w:val="left"/>
      <w:pPr>
        <w:ind w:left="5760" w:hanging="360"/>
      </w:pPr>
      <w:rPr>
        <w:rFonts w:ascii="Courier New" w:hAnsi="Courier New" w:hint="default"/>
      </w:rPr>
    </w:lvl>
    <w:lvl w:ilvl="8" w:tplc="3866EB28">
      <w:start w:val="1"/>
      <w:numFmt w:val="bullet"/>
      <w:lvlText w:val=""/>
      <w:lvlJc w:val="left"/>
      <w:pPr>
        <w:ind w:left="6480" w:hanging="360"/>
      </w:pPr>
      <w:rPr>
        <w:rFonts w:ascii="Wingdings" w:hAnsi="Wingdings" w:hint="default"/>
      </w:rPr>
    </w:lvl>
  </w:abstractNum>
  <w:abstractNum w:abstractNumId="8" w15:restartNumberingAfterBreak="0">
    <w:nsid w:val="0EC9628F"/>
    <w:multiLevelType w:val="hybridMultilevel"/>
    <w:tmpl w:val="A1605C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D33C51"/>
    <w:multiLevelType w:val="hybridMultilevel"/>
    <w:tmpl w:val="7B8287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444DF1"/>
    <w:multiLevelType w:val="hybridMultilevel"/>
    <w:tmpl w:val="FFFFFFFF"/>
    <w:lvl w:ilvl="0" w:tplc="0960F2F6">
      <w:start w:val="1"/>
      <w:numFmt w:val="bullet"/>
      <w:lvlText w:val="o"/>
      <w:lvlJc w:val="left"/>
      <w:pPr>
        <w:ind w:left="720" w:hanging="360"/>
      </w:pPr>
      <w:rPr>
        <w:rFonts w:ascii="Courier New" w:hAnsi="Courier New" w:hint="default"/>
      </w:rPr>
    </w:lvl>
    <w:lvl w:ilvl="1" w:tplc="7CDCA17C">
      <w:start w:val="1"/>
      <w:numFmt w:val="bullet"/>
      <w:lvlText w:val="o"/>
      <w:lvlJc w:val="left"/>
      <w:pPr>
        <w:ind w:left="1440" w:hanging="360"/>
      </w:pPr>
      <w:rPr>
        <w:rFonts w:ascii="Courier New" w:hAnsi="Courier New" w:hint="default"/>
      </w:rPr>
    </w:lvl>
    <w:lvl w:ilvl="2" w:tplc="917E069E">
      <w:start w:val="1"/>
      <w:numFmt w:val="bullet"/>
      <w:lvlText w:val=""/>
      <w:lvlJc w:val="left"/>
      <w:pPr>
        <w:ind w:left="2160" w:hanging="360"/>
      </w:pPr>
      <w:rPr>
        <w:rFonts w:ascii="Wingdings" w:hAnsi="Wingdings" w:hint="default"/>
      </w:rPr>
    </w:lvl>
    <w:lvl w:ilvl="3" w:tplc="2D7EA912">
      <w:start w:val="1"/>
      <w:numFmt w:val="bullet"/>
      <w:lvlText w:val=""/>
      <w:lvlJc w:val="left"/>
      <w:pPr>
        <w:ind w:left="2880" w:hanging="360"/>
      </w:pPr>
      <w:rPr>
        <w:rFonts w:ascii="Symbol" w:hAnsi="Symbol" w:hint="default"/>
      </w:rPr>
    </w:lvl>
    <w:lvl w:ilvl="4" w:tplc="85D4A0D6">
      <w:start w:val="1"/>
      <w:numFmt w:val="bullet"/>
      <w:lvlText w:val="o"/>
      <w:lvlJc w:val="left"/>
      <w:pPr>
        <w:ind w:left="3600" w:hanging="360"/>
      </w:pPr>
      <w:rPr>
        <w:rFonts w:ascii="Courier New" w:hAnsi="Courier New" w:hint="default"/>
      </w:rPr>
    </w:lvl>
    <w:lvl w:ilvl="5" w:tplc="CF4E76D0">
      <w:start w:val="1"/>
      <w:numFmt w:val="bullet"/>
      <w:lvlText w:val=""/>
      <w:lvlJc w:val="left"/>
      <w:pPr>
        <w:ind w:left="4320" w:hanging="360"/>
      </w:pPr>
      <w:rPr>
        <w:rFonts w:ascii="Wingdings" w:hAnsi="Wingdings" w:hint="default"/>
      </w:rPr>
    </w:lvl>
    <w:lvl w:ilvl="6" w:tplc="85301E68">
      <w:start w:val="1"/>
      <w:numFmt w:val="bullet"/>
      <w:lvlText w:val=""/>
      <w:lvlJc w:val="left"/>
      <w:pPr>
        <w:ind w:left="5040" w:hanging="360"/>
      </w:pPr>
      <w:rPr>
        <w:rFonts w:ascii="Symbol" w:hAnsi="Symbol" w:hint="default"/>
      </w:rPr>
    </w:lvl>
    <w:lvl w:ilvl="7" w:tplc="C060B1E0">
      <w:start w:val="1"/>
      <w:numFmt w:val="bullet"/>
      <w:lvlText w:val="o"/>
      <w:lvlJc w:val="left"/>
      <w:pPr>
        <w:ind w:left="5760" w:hanging="360"/>
      </w:pPr>
      <w:rPr>
        <w:rFonts w:ascii="Courier New" w:hAnsi="Courier New" w:hint="default"/>
      </w:rPr>
    </w:lvl>
    <w:lvl w:ilvl="8" w:tplc="6C0EF7E2">
      <w:start w:val="1"/>
      <w:numFmt w:val="bullet"/>
      <w:lvlText w:val=""/>
      <w:lvlJc w:val="left"/>
      <w:pPr>
        <w:ind w:left="6480" w:hanging="360"/>
      </w:pPr>
      <w:rPr>
        <w:rFonts w:ascii="Wingdings" w:hAnsi="Wingdings" w:hint="default"/>
      </w:rPr>
    </w:lvl>
  </w:abstractNum>
  <w:abstractNum w:abstractNumId="11" w15:restartNumberingAfterBreak="0">
    <w:nsid w:val="1B561DB1"/>
    <w:multiLevelType w:val="hybridMultilevel"/>
    <w:tmpl w:val="49A84746"/>
    <w:lvl w:ilvl="0" w:tplc="CD168528">
      <w:start w:val="1"/>
      <w:numFmt w:val="bullet"/>
      <w:lvlText w:val="o"/>
      <w:lvlJc w:val="left"/>
      <w:pPr>
        <w:ind w:left="2368" w:hanging="360"/>
      </w:pPr>
      <w:rPr>
        <w:rFonts w:ascii="Courier New" w:hAnsi="Courier New" w:hint="default"/>
      </w:rPr>
    </w:lvl>
    <w:lvl w:ilvl="1" w:tplc="C8B09956">
      <w:start w:val="1"/>
      <w:numFmt w:val="bullet"/>
      <w:lvlText w:val="o"/>
      <w:lvlJc w:val="left"/>
      <w:pPr>
        <w:ind w:left="3088" w:hanging="360"/>
      </w:pPr>
      <w:rPr>
        <w:rFonts w:ascii="Courier New" w:hAnsi="Courier New" w:hint="default"/>
      </w:rPr>
    </w:lvl>
    <w:lvl w:ilvl="2" w:tplc="153C1D2A">
      <w:start w:val="1"/>
      <w:numFmt w:val="bullet"/>
      <w:lvlText w:val=""/>
      <w:lvlJc w:val="left"/>
      <w:pPr>
        <w:ind w:left="3808" w:hanging="360"/>
      </w:pPr>
      <w:rPr>
        <w:rFonts w:ascii="Wingdings" w:hAnsi="Wingdings" w:hint="default"/>
      </w:rPr>
    </w:lvl>
    <w:lvl w:ilvl="3" w:tplc="276CD3A4">
      <w:start w:val="1"/>
      <w:numFmt w:val="bullet"/>
      <w:lvlText w:val=""/>
      <w:lvlJc w:val="left"/>
      <w:pPr>
        <w:ind w:left="4528" w:hanging="360"/>
      </w:pPr>
      <w:rPr>
        <w:rFonts w:ascii="Symbol" w:hAnsi="Symbol" w:hint="default"/>
      </w:rPr>
    </w:lvl>
    <w:lvl w:ilvl="4" w:tplc="B56EABF4">
      <w:start w:val="1"/>
      <w:numFmt w:val="bullet"/>
      <w:lvlText w:val="o"/>
      <w:lvlJc w:val="left"/>
      <w:pPr>
        <w:ind w:left="5248" w:hanging="360"/>
      </w:pPr>
      <w:rPr>
        <w:rFonts w:ascii="Courier New" w:hAnsi="Courier New" w:hint="default"/>
      </w:rPr>
    </w:lvl>
    <w:lvl w:ilvl="5" w:tplc="24FADD1A">
      <w:start w:val="1"/>
      <w:numFmt w:val="bullet"/>
      <w:lvlText w:val=""/>
      <w:lvlJc w:val="left"/>
      <w:pPr>
        <w:ind w:left="5968" w:hanging="360"/>
      </w:pPr>
      <w:rPr>
        <w:rFonts w:ascii="Wingdings" w:hAnsi="Wingdings" w:hint="default"/>
      </w:rPr>
    </w:lvl>
    <w:lvl w:ilvl="6" w:tplc="EC8A1458">
      <w:start w:val="1"/>
      <w:numFmt w:val="bullet"/>
      <w:lvlText w:val=""/>
      <w:lvlJc w:val="left"/>
      <w:pPr>
        <w:ind w:left="6688" w:hanging="360"/>
      </w:pPr>
      <w:rPr>
        <w:rFonts w:ascii="Symbol" w:hAnsi="Symbol" w:hint="default"/>
      </w:rPr>
    </w:lvl>
    <w:lvl w:ilvl="7" w:tplc="C4F80878">
      <w:start w:val="1"/>
      <w:numFmt w:val="bullet"/>
      <w:lvlText w:val="o"/>
      <w:lvlJc w:val="left"/>
      <w:pPr>
        <w:ind w:left="7408" w:hanging="360"/>
      </w:pPr>
      <w:rPr>
        <w:rFonts w:ascii="Courier New" w:hAnsi="Courier New" w:hint="default"/>
      </w:rPr>
    </w:lvl>
    <w:lvl w:ilvl="8" w:tplc="24D8E200">
      <w:start w:val="1"/>
      <w:numFmt w:val="bullet"/>
      <w:lvlText w:val=""/>
      <w:lvlJc w:val="left"/>
      <w:pPr>
        <w:ind w:left="8128" w:hanging="360"/>
      </w:pPr>
      <w:rPr>
        <w:rFonts w:ascii="Wingdings" w:hAnsi="Wingdings" w:hint="default"/>
      </w:rPr>
    </w:lvl>
  </w:abstractNum>
  <w:abstractNum w:abstractNumId="12" w15:restartNumberingAfterBreak="0">
    <w:nsid w:val="1CEEB5BD"/>
    <w:multiLevelType w:val="hybridMultilevel"/>
    <w:tmpl w:val="FFFFFFFF"/>
    <w:lvl w:ilvl="0" w:tplc="1E786AB2">
      <w:start w:val="1"/>
      <w:numFmt w:val="bullet"/>
      <w:lvlText w:val="o"/>
      <w:lvlJc w:val="left"/>
      <w:pPr>
        <w:ind w:left="720" w:hanging="360"/>
      </w:pPr>
      <w:rPr>
        <w:rFonts w:ascii="Courier New" w:hAnsi="Courier New" w:hint="default"/>
      </w:rPr>
    </w:lvl>
    <w:lvl w:ilvl="1" w:tplc="A04870CA">
      <w:start w:val="1"/>
      <w:numFmt w:val="bullet"/>
      <w:lvlText w:val="o"/>
      <w:lvlJc w:val="left"/>
      <w:pPr>
        <w:ind w:left="1440" w:hanging="360"/>
      </w:pPr>
      <w:rPr>
        <w:rFonts w:ascii="Courier New" w:hAnsi="Courier New" w:hint="default"/>
      </w:rPr>
    </w:lvl>
    <w:lvl w:ilvl="2" w:tplc="55365DDA">
      <w:start w:val="1"/>
      <w:numFmt w:val="bullet"/>
      <w:lvlText w:val=""/>
      <w:lvlJc w:val="left"/>
      <w:pPr>
        <w:ind w:left="2160" w:hanging="360"/>
      </w:pPr>
      <w:rPr>
        <w:rFonts w:ascii="Wingdings" w:hAnsi="Wingdings" w:hint="default"/>
      </w:rPr>
    </w:lvl>
    <w:lvl w:ilvl="3" w:tplc="017C72B2">
      <w:start w:val="1"/>
      <w:numFmt w:val="bullet"/>
      <w:lvlText w:val=""/>
      <w:lvlJc w:val="left"/>
      <w:pPr>
        <w:ind w:left="2880" w:hanging="360"/>
      </w:pPr>
      <w:rPr>
        <w:rFonts w:ascii="Symbol" w:hAnsi="Symbol" w:hint="default"/>
      </w:rPr>
    </w:lvl>
    <w:lvl w:ilvl="4" w:tplc="82B4B288">
      <w:start w:val="1"/>
      <w:numFmt w:val="bullet"/>
      <w:lvlText w:val="o"/>
      <w:lvlJc w:val="left"/>
      <w:pPr>
        <w:ind w:left="3600" w:hanging="360"/>
      </w:pPr>
      <w:rPr>
        <w:rFonts w:ascii="Courier New" w:hAnsi="Courier New" w:hint="default"/>
      </w:rPr>
    </w:lvl>
    <w:lvl w:ilvl="5" w:tplc="AA70377A">
      <w:start w:val="1"/>
      <w:numFmt w:val="bullet"/>
      <w:lvlText w:val=""/>
      <w:lvlJc w:val="left"/>
      <w:pPr>
        <w:ind w:left="4320" w:hanging="360"/>
      </w:pPr>
      <w:rPr>
        <w:rFonts w:ascii="Wingdings" w:hAnsi="Wingdings" w:hint="default"/>
      </w:rPr>
    </w:lvl>
    <w:lvl w:ilvl="6" w:tplc="BA9C84DE">
      <w:start w:val="1"/>
      <w:numFmt w:val="bullet"/>
      <w:lvlText w:val=""/>
      <w:lvlJc w:val="left"/>
      <w:pPr>
        <w:ind w:left="5040" w:hanging="360"/>
      </w:pPr>
      <w:rPr>
        <w:rFonts w:ascii="Symbol" w:hAnsi="Symbol" w:hint="default"/>
      </w:rPr>
    </w:lvl>
    <w:lvl w:ilvl="7" w:tplc="D54099B0">
      <w:start w:val="1"/>
      <w:numFmt w:val="bullet"/>
      <w:lvlText w:val="o"/>
      <w:lvlJc w:val="left"/>
      <w:pPr>
        <w:ind w:left="5760" w:hanging="360"/>
      </w:pPr>
      <w:rPr>
        <w:rFonts w:ascii="Courier New" w:hAnsi="Courier New" w:hint="default"/>
      </w:rPr>
    </w:lvl>
    <w:lvl w:ilvl="8" w:tplc="95A66880">
      <w:start w:val="1"/>
      <w:numFmt w:val="bullet"/>
      <w:lvlText w:val=""/>
      <w:lvlJc w:val="left"/>
      <w:pPr>
        <w:ind w:left="6480" w:hanging="360"/>
      </w:pPr>
      <w:rPr>
        <w:rFonts w:ascii="Wingdings" w:hAnsi="Wingdings" w:hint="default"/>
      </w:rPr>
    </w:lvl>
  </w:abstractNum>
  <w:abstractNum w:abstractNumId="13" w15:restartNumberingAfterBreak="0">
    <w:nsid w:val="220A0A5B"/>
    <w:multiLevelType w:val="hybridMultilevel"/>
    <w:tmpl w:val="ABE0236E"/>
    <w:lvl w:ilvl="0" w:tplc="09566450">
      <w:start w:val="1"/>
      <w:numFmt w:val="bullet"/>
      <w:lvlText w:val=""/>
      <w:lvlJc w:val="left"/>
      <w:pPr>
        <w:ind w:left="1080" w:hanging="360"/>
      </w:pPr>
      <w:rPr>
        <w:rFonts w:ascii="Wingdings" w:hAnsi="Wingdings" w:hint="default"/>
      </w:rPr>
    </w:lvl>
    <w:lvl w:ilvl="1" w:tplc="E03279E0">
      <w:start w:val="1"/>
      <w:numFmt w:val="bullet"/>
      <w:lvlText w:val="o"/>
      <w:lvlJc w:val="left"/>
      <w:pPr>
        <w:ind w:left="360" w:hanging="360"/>
      </w:pPr>
      <w:rPr>
        <w:rFonts w:ascii="Courier New" w:hAnsi="Courier New" w:hint="default"/>
      </w:rPr>
    </w:lvl>
    <w:lvl w:ilvl="2" w:tplc="26AE6830">
      <w:start w:val="1"/>
      <w:numFmt w:val="bullet"/>
      <w:lvlText w:val=""/>
      <w:lvlJc w:val="left"/>
      <w:pPr>
        <w:ind w:left="2520" w:hanging="360"/>
      </w:pPr>
      <w:rPr>
        <w:rFonts w:ascii="Wingdings" w:hAnsi="Wingdings" w:hint="default"/>
      </w:rPr>
    </w:lvl>
    <w:lvl w:ilvl="3" w:tplc="5E94BDBC">
      <w:numFmt w:val="bullet"/>
      <w:lvlText w:val="·"/>
      <w:lvlJc w:val="left"/>
      <w:pPr>
        <w:ind w:left="3600" w:hanging="720"/>
      </w:pPr>
      <w:rPr>
        <w:rFonts w:ascii="Calibri" w:hAnsi="Calibri" w:hint="default"/>
      </w:rPr>
    </w:lvl>
    <w:lvl w:ilvl="4" w:tplc="5672A97A" w:tentative="1">
      <w:start w:val="1"/>
      <w:numFmt w:val="bullet"/>
      <w:lvlText w:val="o"/>
      <w:lvlJc w:val="left"/>
      <w:pPr>
        <w:ind w:left="3960" w:hanging="360"/>
      </w:pPr>
      <w:rPr>
        <w:rFonts w:ascii="Courier New" w:hAnsi="Courier New" w:hint="default"/>
      </w:rPr>
    </w:lvl>
    <w:lvl w:ilvl="5" w:tplc="552C05F0" w:tentative="1">
      <w:start w:val="1"/>
      <w:numFmt w:val="bullet"/>
      <w:lvlText w:val=""/>
      <w:lvlJc w:val="left"/>
      <w:pPr>
        <w:ind w:left="4680" w:hanging="360"/>
      </w:pPr>
      <w:rPr>
        <w:rFonts w:ascii="Wingdings" w:hAnsi="Wingdings" w:hint="default"/>
      </w:rPr>
    </w:lvl>
    <w:lvl w:ilvl="6" w:tplc="1E4CC30C" w:tentative="1">
      <w:start w:val="1"/>
      <w:numFmt w:val="bullet"/>
      <w:lvlText w:val=""/>
      <w:lvlJc w:val="left"/>
      <w:pPr>
        <w:ind w:left="5400" w:hanging="360"/>
      </w:pPr>
      <w:rPr>
        <w:rFonts w:ascii="Symbol" w:hAnsi="Symbol" w:hint="default"/>
      </w:rPr>
    </w:lvl>
    <w:lvl w:ilvl="7" w:tplc="5B8210C6" w:tentative="1">
      <w:start w:val="1"/>
      <w:numFmt w:val="bullet"/>
      <w:lvlText w:val="o"/>
      <w:lvlJc w:val="left"/>
      <w:pPr>
        <w:ind w:left="6120" w:hanging="360"/>
      </w:pPr>
      <w:rPr>
        <w:rFonts w:ascii="Courier New" w:hAnsi="Courier New" w:hint="default"/>
      </w:rPr>
    </w:lvl>
    <w:lvl w:ilvl="8" w:tplc="C5FCDE46" w:tentative="1">
      <w:start w:val="1"/>
      <w:numFmt w:val="bullet"/>
      <w:lvlText w:val=""/>
      <w:lvlJc w:val="left"/>
      <w:pPr>
        <w:ind w:left="6840" w:hanging="360"/>
      </w:pPr>
      <w:rPr>
        <w:rFonts w:ascii="Wingdings" w:hAnsi="Wingdings" w:hint="default"/>
      </w:rPr>
    </w:lvl>
  </w:abstractNum>
  <w:abstractNum w:abstractNumId="14" w15:restartNumberingAfterBreak="0">
    <w:nsid w:val="2551C35A"/>
    <w:multiLevelType w:val="hybridMultilevel"/>
    <w:tmpl w:val="FFFFFFFF"/>
    <w:lvl w:ilvl="0" w:tplc="A32662BA">
      <w:start w:val="1"/>
      <w:numFmt w:val="bullet"/>
      <w:lvlText w:val="o"/>
      <w:lvlJc w:val="left"/>
      <w:pPr>
        <w:ind w:left="720" w:hanging="360"/>
      </w:pPr>
      <w:rPr>
        <w:rFonts w:ascii="Courier New" w:hAnsi="Courier New" w:hint="default"/>
      </w:rPr>
    </w:lvl>
    <w:lvl w:ilvl="1" w:tplc="F5B4B0C2">
      <w:start w:val="1"/>
      <w:numFmt w:val="bullet"/>
      <w:lvlText w:val="o"/>
      <w:lvlJc w:val="left"/>
      <w:pPr>
        <w:ind w:left="1440" w:hanging="360"/>
      </w:pPr>
      <w:rPr>
        <w:rFonts w:ascii="Courier New" w:hAnsi="Courier New" w:hint="default"/>
      </w:rPr>
    </w:lvl>
    <w:lvl w:ilvl="2" w:tplc="ADFAEC08">
      <w:start w:val="1"/>
      <w:numFmt w:val="bullet"/>
      <w:lvlText w:val=""/>
      <w:lvlJc w:val="left"/>
      <w:pPr>
        <w:ind w:left="2160" w:hanging="360"/>
      </w:pPr>
      <w:rPr>
        <w:rFonts w:ascii="Wingdings" w:hAnsi="Wingdings" w:hint="default"/>
      </w:rPr>
    </w:lvl>
    <w:lvl w:ilvl="3" w:tplc="7458D282">
      <w:start w:val="1"/>
      <w:numFmt w:val="bullet"/>
      <w:lvlText w:val=""/>
      <w:lvlJc w:val="left"/>
      <w:pPr>
        <w:ind w:left="2880" w:hanging="360"/>
      </w:pPr>
      <w:rPr>
        <w:rFonts w:ascii="Symbol" w:hAnsi="Symbol" w:hint="default"/>
      </w:rPr>
    </w:lvl>
    <w:lvl w:ilvl="4" w:tplc="6E7C150E">
      <w:start w:val="1"/>
      <w:numFmt w:val="bullet"/>
      <w:lvlText w:val="o"/>
      <w:lvlJc w:val="left"/>
      <w:pPr>
        <w:ind w:left="3600" w:hanging="360"/>
      </w:pPr>
      <w:rPr>
        <w:rFonts w:ascii="Courier New" w:hAnsi="Courier New" w:hint="default"/>
      </w:rPr>
    </w:lvl>
    <w:lvl w:ilvl="5" w:tplc="244E20DA">
      <w:start w:val="1"/>
      <w:numFmt w:val="bullet"/>
      <w:lvlText w:val=""/>
      <w:lvlJc w:val="left"/>
      <w:pPr>
        <w:ind w:left="4320" w:hanging="360"/>
      </w:pPr>
      <w:rPr>
        <w:rFonts w:ascii="Wingdings" w:hAnsi="Wingdings" w:hint="default"/>
      </w:rPr>
    </w:lvl>
    <w:lvl w:ilvl="6" w:tplc="A8566F42">
      <w:start w:val="1"/>
      <w:numFmt w:val="bullet"/>
      <w:lvlText w:val=""/>
      <w:lvlJc w:val="left"/>
      <w:pPr>
        <w:ind w:left="5040" w:hanging="360"/>
      </w:pPr>
      <w:rPr>
        <w:rFonts w:ascii="Symbol" w:hAnsi="Symbol" w:hint="default"/>
      </w:rPr>
    </w:lvl>
    <w:lvl w:ilvl="7" w:tplc="A1BE6B8E">
      <w:start w:val="1"/>
      <w:numFmt w:val="bullet"/>
      <w:lvlText w:val="o"/>
      <w:lvlJc w:val="left"/>
      <w:pPr>
        <w:ind w:left="5760" w:hanging="360"/>
      </w:pPr>
      <w:rPr>
        <w:rFonts w:ascii="Courier New" w:hAnsi="Courier New" w:hint="default"/>
      </w:rPr>
    </w:lvl>
    <w:lvl w:ilvl="8" w:tplc="8CC00BB0">
      <w:start w:val="1"/>
      <w:numFmt w:val="bullet"/>
      <w:lvlText w:val=""/>
      <w:lvlJc w:val="left"/>
      <w:pPr>
        <w:ind w:left="6480" w:hanging="360"/>
      </w:pPr>
      <w:rPr>
        <w:rFonts w:ascii="Wingdings" w:hAnsi="Wingdings" w:hint="default"/>
      </w:rPr>
    </w:lvl>
  </w:abstractNum>
  <w:abstractNum w:abstractNumId="15" w15:restartNumberingAfterBreak="0">
    <w:nsid w:val="262E1C7E"/>
    <w:multiLevelType w:val="hybridMultilevel"/>
    <w:tmpl w:val="D5ACA3E0"/>
    <w:lvl w:ilvl="0" w:tplc="5010F876">
      <w:start w:val="1"/>
      <w:numFmt w:val="bullet"/>
      <w:lvlText w:val="o"/>
      <w:lvlJc w:val="left"/>
      <w:pPr>
        <w:ind w:left="451" w:hanging="360"/>
      </w:pPr>
      <w:rPr>
        <w:rFonts w:ascii="Courier New" w:hAnsi="Courier New" w:hint="default"/>
      </w:rPr>
    </w:lvl>
    <w:lvl w:ilvl="1" w:tplc="88B8940E">
      <w:start w:val="1"/>
      <w:numFmt w:val="bullet"/>
      <w:lvlText w:val="o"/>
      <w:lvlJc w:val="left"/>
      <w:pPr>
        <w:ind w:left="1440" w:hanging="360"/>
      </w:pPr>
      <w:rPr>
        <w:rFonts w:ascii="Courier New" w:hAnsi="Courier New" w:hint="default"/>
      </w:rPr>
    </w:lvl>
    <w:lvl w:ilvl="2" w:tplc="6228FD68">
      <w:start w:val="1"/>
      <w:numFmt w:val="bullet"/>
      <w:lvlText w:val=""/>
      <w:lvlJc w:val="left"/>
      <w:pPr>
        <w:ind w:left="2160" w:hanging="360"/>
      </w:pPr>
      <w:rPr>
        <w:rFonts w:ascii="Wingdings" w:hAnsi="Wingdings" w:hint="default"/>
      </w:rPr>
    </w:lvl>
    <w:lvl w:ilvl="3" w:tplc="2DB4CA88">
      <w:start w:val="1"/>
      <w:numFmt w:val="bullet"/>
      <w:lvlText w:val=""/>
      <w:lvlJc w:val="left"/>
      <w:pPr>
        <w:ind w:left="2880" w:hanging="360"/>
      </w:pPr>
      <w:rPr>
        <w:rFonts w:ascii="Symbol" w:hAnsi="Symbol" w:hint="default"/>
      </w:rPr>
    </w:lvl>
    <w:lvl w:ilvl="4" w:tplc="7EA0320E">
      <w:start w:val="1"/>
      <w:numFmt w:val="bullet"/>
      <w:lvlText w:val="o"/>
      <w:lvlJc w:val="left"/>
      <w:pPr>
        <w:ind w:left="3600" w:hanging="360"/>
      </w:pPr>
      <w:rPr>
        <w:rFonts w:ascii="Courier New" w:hAnsi="Courier New" w:hint="default"/>
      </w:rPr>
    </w:lvl>
    <w:lvl w:ilvl="5" w:tplc="ABA46006">
      <w:start w:val="1"/>
      <w:numFmt w:val="bullet"/>
      <w:lvlText w:val=""/>
      <w:lvlJc w:val="left"/>
      <w:pPr>
        <w:ind w:left="4320" w:hanging="360"/>
      </w:pPr>
      <w:rPr>
        <w:rFonts w:ascii="Wingdings" w:hAnsi="Wingdings" w:hint="default"/>
      </w:rPr>
    </w:lvl>
    <w:lvl w:ilvl="6" w:tplc="3B9AD680">
      <w:start w:val="1"/>
      <w:numFmt w:val="bullet"/>
      <w:lvlText w:val=""/>
      <w:lvlJc w:val="left"/>
      <w:pPr>
        <w:ind w:left="5040" w:hanging="360"/>
      </w:pPr>
      <w:rPr>
        <w:rFonts w:ascii="Symbol" w:hAnsi="Symbol" w:hint="default"/>
      </w:rPr>
    </w:lvl>
    <w:lvl w:ilvl="7" w:tplc="665A2752">
      <w:start w:val="1"/>
      <w:numFmt w:val="bullet"/>
      <w:lvlText w:val="o"/>
      <w:lvlJc w:val="left"/>
      <w:pPr>
        <w:ind w:left="5760" w:hanging="360"/>
      </w:pPr>
      <w:rPr>
        <w:rFonts w:ascii="Courier New" w:hAnsi="Courier New" w:hint="default"/>
      </w:rPr>
    </w:lvl>
    <w:lvl w:ilvl="8" w:tplc="C5BEC814">
      <w:start w:val="1"/>
      <w:numFmt w:val="bullet"/>
      <w:lvlText w:val=""/>
      <w:lvlJc w:val="left"/>
      <w:pPr>
        <w:ind w:left="6480" w:hanging="360"/>
      </w:pPr>
      <w:rPr>
        <w:rFonts w:ascii="Wingdings" w:hAnsi="Wingdings" w:hint="default"/>
      </w:rPr>
    </w:lvl>
  </w:abstractNum>
  <w:abstractNum w:abstractNumId="16" w15:restartNumberingAfterBreak="0">
    <w:nsid w:val="31BA6D12"/>
    <w:multiLevelType w:val="hybridMultilevel"/>
    <w:tmpl w:val="10420F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ADCBD3"/>
    <w:multiLevelType w:val="hybridMultilevel"/>
    <w:tmpl w:val="DFDEDE38"/>
    <w:lvl w:ilvl="0" w:tplc="C79E8D06">
      <w:start w:val="1"/>
      <w:numFmt w:val="bullet"/>
      <w:lvlText w:val="o"/>
      <w:lvlJc w:val="left"/>
      <w:pPr>
        <w:ind w:left="360" w:hanging="360"/>
      </w:pPr>
      <w:rPr>
        <w:rFonts w:ascii="Courier New" w:hAnsi="Courier New" w:hint="default"/>
      </w:rPr>
    </w:lvl>
    <w:lvl w:ilvl="1" w:tplc="A70ABD46">
      <w:start w:val="1"/>
      <w:numFmt w:val="bullet"/>
      <w:lvlText w:val="o"/>
      <w:lvlJc w:val="left"/>
      <w:pPr>
        <w:ind w:left="1440" w:hanging="360"/>
      </w:pPr>
      <w:rPr>
        <w:rFonts w:ascii="Courier New" w:hAnsi="Courier New" w:hint="default"/>
      </w:rPr>
    </w:lvl>
    <w:lvl w:ilvl="2" w:tplc="9EE649C4">
      <w:start w:val="1"/>
      <w:numFmt w:val="bullet"/>
      <w:lvlText w:val=""/>
      <w:lvlJc w:val="left"/>
      <w:pPr>
        <w:ind w:left="2160" w:hanging="360"/>
      </w:pPr>
      <w:rPr>
        <w:rFonts w:ascii="Wingdings" w:hAnsi="Wingdings" w:hint="default"/>
      </w:rPr>
    </w:lvl>
    <w:lvl w:ilvl="3" w:tplc="4F4460FC">
      <w:start w:val="1"/>
      <w:numFmt w:val="bullet"/>
      <w:lvlText w:val=""/>
      <w:lvlJc w:val="left"/>
      <w:pPr>
        <w:ind w:left="2880" w:hanging="360"/>
      </w:pPr>
      <w:rPr>
        <w:rFonts w:ascii="Symbol" w:hAnsi="Symbol" w:hint="default"/>
      </w:rPr>
    </w:lvl>
    <w:lvl w:ilvl="4" w:tplc="1BF4E86E">
      <w:start w:val="1"/>
      <w:numFmt w:val="bullet"/>
      <w:lvlText w:val="o"/>
      <w:lvlJc w:val="left"/>
      <w:pPr>
        <w:ind w:left="3600" w:hanging="360"/>
      </w:pPr>
      <w:rPr>
        <w:rFonts w:ascii="Courier New" w:hAnsi="Courier New" w:hint="default"/>
      </w:rPr>
    </w:lvl>
    <w:lvl w:ilvl="5" w:tplc="620CC9A8">
      <w:start w:val="1"/>
      <w:numFmt w:val="bullet"/>
      <w:lvlText w:val=""/>
      <w:lvlJc w:val="left"/>
      <w:pPr>
        <w:ind w:left="4320" w:hanging="360"/>
      </w:pPr>
      <w:rPr>
        <w:rFonts w:ascii="Wingdings" w:hAnsi="Wingdings" w:hint="default"/>
      </w:rPr>
    </w:lvl>
    <w:lvl w:ilvl="6" w:tplc="D92AB16E">
      <w:start w:val="1"/>
      <w:numFmt w:val="bullet"/>
      <w:lvlText w:val=""/>
      <w:lvlJc w:val="left"/>
      <w:pPr>
        <w:ind w:left="5040" w:hanging="360"/>
      </w:pPr>
      <w:rPr>
        <w:rFonts w:ascii="Symbol" w:hAnsi="Symbol" w:hint="default"/>
      </w:rPr>
    </w:lvl>
    <w:lvl w:ilvl="7" w:tplc="71484FB8">
      <w:start w:val="1"/>
      <w:numFmt w:val="bullet"/>
      <w:lvlText w:val="o"/>
      <w:lvlJc w:val="left"/>
      <w:pPr>
        <w:ind w:left="5760" w:hanging="360"/>
      </w:pPr>
      <w:rPr>
        <w:rFonts w:ascii="Courier New" w:hAnsi="Courier New" w:hint="default"/>
      </w:rPr>
    </w:lvl>
    <w:lvl w:ilvl="8" w:tplc="94340A08">
      <w:start w:val="1"/>
      <w:numFmt w:val="bullet"/>
      <w:lvlText w:val=""/>
      <w:lvlJc w:val="left"/>
      <w:pPr>
        <w:ind w:left="6480" w:hanging="360"/>
      </w:pPr>
      <w:rPr>
        <w:rFonts w:ascii="Wingdings" w:hAnsi="Wingdings" w:hint="default"/>
      </w:rPr>
    </w:lvl>
  </w:abstractNum>
  <w:abstractNum w:abstractNumId="18" w15:restartNumberingAfterBreak="0">
    <w:nsid w:val="3CD15B3D"/>
    <w:multiLevelType w:val="hybridMultilevel"/>
    <w:tmpl w:val="0D2210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5733C7"/>
    <w:multiLevelType w:val="hybridMultilevel"/>
    <w:tmpl w:val="2B605D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362253"/>
    <w:multiLevelType w:val="multilevel"/>
    <w:tmpl w:val="ED8CD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54C70D"/>
    <w:multiLevelType w:val="hybridMultilevel"/>
    <w:tmpl w:val="FFFFFFFF"/>
    <w:lvl w:ilvl="0" w:tplc="0674060C">
      <w:start w:val="1"/>
      <w:numFmt w:val="bullet"/>
      <w:lvlText w:val="o"/>
      <w:lvlJc w:val="left"/>
      <w:pPr>
        <w:ind w:left="720" w:hanging="360"/>
      </w:pPr>
      <w:rPr>
        <w:rFonts w:ascii="Courier New" w:hAnsi="Courier New" w:hint="default"/>
      </w:rPr>
    </w:lvl>
    <w:lvl w:ilvl="1" w:tplc="7D0CA9B0">
      <w:start w:val="1"/>
      <w:numFmt w:val="bullet"/>
      <w:lvlText w:val="o"/>
      <w:lvlJc w:val="left"/>
      <w:pPr>
        <w:ind w:left="1440" w:hanging="360"/>
      </w:pPr>
      <w:rPr>
        <w:rFonts w:ascii="Courier New" w:hAnsi="Courier New" w:hint="default"/>
      </w:rPr>
    </w:lvl>
    <w:lvl w:ilvl="2" w:tplc="776000BC">
      <w:start w:val="1"/>
      <w:numFmt w:val="bullet"/>
      <w:lvlText w:val=""/>
      <w:lvlJc w:val="left"/>
      <w:pPr>
        <w:ind w:left="2160" w:hanging="360"/>
      </w:pPr>
      <w:rPr>
        <w:rFonts w:ascii="Wingdings" w:hAnsi="Wingdings" w:hint="default"/>
      </w:rPr>
    </w:lvl>
    <w:lvl w:ilvl="3" w:tplc="76C4BA74">
      <w:start w:val="1"/>
      <w:numFmt w:val="bullet"/>
      <w:lvlText w:val=""/>
      <w:lvlJc w:val="left"/>
      <w:pPr>
        <w:ind w:left="2880" w:hanging="360"/>
      </w:pPr>
      <w:rPr>
        <w:rFonts w:ascii="Symbol" w:hAnsi="Symbol" w:hint="default"/>
      </w:rPr>
    </w:lvl>
    <w:lvl w:ilvl="4" w:tplc="74765E20">
      <w:start w:val="1"/>
      <w:numFmt w:val="bullet"/>
      <w:lvlText w:val="o"/>
      <w:lvlJc w:val="left"/>
      <w:pPr>
        <w:ind w:left="3600" w:hanging="360"/>
      </w:pPr>
      <w:rPr>
        <w:rFonts w:ascii="Courier New" w:hAnsi="Courier New" w:hint="default"/>
      </w:rPr>
    </w:lvl>
    <w:lvl w:ilvl="5" w:tplc="7D64DB9E">
      <w:start w:val="1"/>
      <w:numFmt w:val="bullet"/>
      <w:lvlText w:val=""/>
      <w:lvlJc w:val="left"/>
      <w:pPr>
        <w:ind w:left="4320" w:hanging="360"/>
      </w:pPr>
      <w:rPr>
        <w:rFonts w:ascii="Wingdings" w:hAnsi="Wingdings" w:hint="default"/>
      </w:rPr>
    </w:lvl>
    <w:lvl w:ilvl="6" w:tplc="F926ADF0">
      <w:start w:val="1"/>
      <w:numFmt w:val="bullet"/>
      <w:lvlText w:val=""/>
      <w:lvlJc w:val="left"/>
      <w:pPr>
        <w:ind w:left="5040" w:hanging="360"/>
      </w:pPr>
      <w:rPr>
        <w:rFonts w:ascii="Symbol" w:hAnsi="Symbol" w:hint="default"/>
      </w:rPr>
    </w:lvl>
    <w:lvl w:ilvl="7" w:tplc="5D6A11EC">
      <w:start w:val="1"/>
      <w:numFmt w:val="bullet"/>
      <w:lvlText w:val="o"/>
      <w:lvlJc w:val="left"/>
      <w:pPr>
        <w:ind w:left="5760" w:hanging="360"/>
      </w:pPr>
      <w:rPr>
        <w:rFonts w:ascii="Courier New" w:hAnsi="Courier New" w:hint="default"/>
      </w:rPr>
    </w:lvl>
    <w:lvl w:ilvl="8" w:tplc="F88A9044">
      <w:start w:val="1"/>
      <w:numFmt w:val="bullet"/>
      <w:lvlText w:val=""/>
      <w:lvlJc w:val="left"/>
      <w:pPr>
        <w:ind w:left="6480" w:hanging="360"/>
      </w:pPr>
      <w:rPr>
        <w:rFonts w:ascii="Wingdings" w:hAnsi="Wingdings" w:hint="default"/>
      </w:rPr>
    </w:lvl>
  </w:abstractNum>
  <w:abstractNum w:abstractNumId="22" w15:restartNumberingAfterBreak="0">
    <w:nsid w:val="4189A991"/>
    <w:multiLevelType w:val="hybridMultilevel"/>
    <w:tmpl w:val="FA4CC778"/>
    <w:lvl w:ilvl="0" w:tplc="EB30219E">
      <w:start w:val="1"/>
      <w:numFmt w:val="bullet"/>
      <w:lvlText w:val="o"/>
      <w:lvlJc w:val="left"/>
      <w:pPr>
        <w:ind w:left="720" w:hanging="360"/>
      </w:pPr>
      <w:rPr>
        <w:rFonts w:ascii="Courier New" w:hAnsi="Courier New" w:hint="default"/>
      </w:rPr>
    </w:lvl>
    <w:lvl w:ilvl="1" w:tplc="1ED055B8">
      <w:start w:val="1"/>
      <w:numFmt w:val="bullet"/>
      <w:lvlText w:val="o"/>
      <w:lvlJc w:val="left"/>
      <w:pPr>
        <w:ind w:left="1440" w:hanging="360"/>
      </w:pPr>
      <w:rPr>
        <w:rFonts w:ascii="Courier New" w:hAnsi="Courier New" w:hint="default"/>
      </w:rPr>
    </w:lvl>
    <w:lvl w:ilvl="2" w:tplc="0A7460B2">
      <w:start w:val="1"/>
      <w:numFmt w:val="bullet"/>
      <w:lvlText w:val=""/>
      <w:lvlJc w:val="left"/>
      <w:pPr>
        <w:ind w:left="2160" w:hanging="360"/>
      </w:pPr>
      <w:rPr>
        <w:rFonts w:ascii="Wingdings" w:hAnsi="Wingdings" w:hint="default"/>
      </w:rPr>
    </w:lvl>
    <w:lvl w:ilvl="3" w:tplc="FE6AE876">
      <w:start w:val="1"/>
      <w:numFmt w:val="bullet"/>
      <w:lvlText w:val=""/>
      <w:lvlJc w:val="left"/>
      <w:pPr>
        <w:ind w:left="2880" w:hanging="360"/>
      </w:pPr>
      <w:rPr>
        <w:rFonts w:ascii="Symbol" w:hAnsi="Symbol" w:hint="default"/>
      </w:rPr>
    </w:lvl>
    <w:lvl w:ilvl="4" w:tplc="A2EA8C56">
      <w:start w:val="1"/>
      <w:numFmt w:val="bullet"/>
      <w:lvlText w:val="o"/>
      <w:lvlJc w:val="left"/>
      <w:pPr>
        <w:ind w:left="3600" w:hanging="360"/>
      </w:pPr>
      <w:rPr>
        <w:rFonts w:ascii="Courier New" w:hAnsi="Courier New" w:hint="default"/>
      </w:rPr>
    </w:lvl>
    <w:lvl w:ilvl="5" w:tplc="5CE2CCC2">
      <w:start w:val="1"/>
      <w:numFmt w:val="bullet"/>
      <w:lvlText w:val=""/>
      <w:lvlJc w:val="left"/>
      <w:pPr>
        <w:ind w:left="4320" w:hanging="360"/>
      </w:pPr>
      <w:rPr>
        <w:rFonts w:ascii="Wingdings" w:hAnsi="Wingdings" w:hint="default"/>
      </w:rPr>
    </w:lvl>
    <w:lvl w:ilvl="6" w:tplc="A99AEB08">
      <w:start w:val="1"/>
      <w:numFmt w:val="bullet"/>
      <w:lvlText w:val=""/>
      <w:lvlJc w:val="left"/>
      <w:pPr>
        <w:ind w:left="5040" w:hanging="360"/>
      </w:pPr>
      <w:rPr>
        <w:rFonts w:ascii="Symbol" w:hAnsi="Symbol" w:hint="default"/>
      </w:rPr>
    </w:lvl>
    <w:lvl w:ilvl="7" w:tplc="38C40AC8">
      <w:start w:val="1"/>
      <w:numFmt w:val="bullet"/>
      <w:lvlText w:val="o"/>
      <w:lvlJc w:val="left"/>
      <w:pPr>
        <w:ind w:left="5760" w:hanging="360"/>
      </w:pPr>
      <w:rPr>
        <w:rFonts w:ascii="Courier New" w:hAnsi="Courier New" w:hint="default"/>
      </w:rPr>
    </w:lvl>
    <w:lvl w:ilvl="8" w:tplc="0CFA0EE6">
      <w:start w:val="1"/>
      <w:numFmt w:val="bullet"/>
      <w:lvlText w:val=""/>
      <w:lvlJc w:val="left"/>
      <w:pPr>
        <w:ind w:left="6480" w:hanging="360"/>
      </w:pPr>
      <w:rPr>
        <w:rFonts w:ascii="Wingdings" w:hAnsi="Wingdings" w:hint="default"/>
      </w:rPr>
    </w:lvl>
  </w:abstractNum>
  <w:abstractNum w:abstractNumId="23" w15:restartNumberingAfterBreak="0">
    <w:nsid w:val="41EA602F"/>
    <w:multiLevelType w:val="hybridMultilevel"/>
    <w:tmpl w:val="0FAA3FB4"/>
    <w:lvl w:ilvl="0" w:tplc="37681FB2">
      <w:start w:val="1"/>
      <w:numFmt w:val="bullet"/>
      <w:lvlText w:val="o"/>
      <w:lvlJc w:val="left"/>
      <w:pPr>
        <w:ind w:left="720" w:hanging="360"/>
      </w:pPr>
      <w:rPr>
        <w:rFonts w:ascii="Courier New" w:hAnsi="Courier New" w:hint="default"/>
      </w:rPr>
    </w:lvl>
    <w:lvl w:ilvl="1" w:tplc="588EB750">
      <w:start w:val="1"/>
      <w:numFmt w:val="bullet"/>
      <w:lvlText w:val="o"/>
      <w:lvlJc w:val="left"/>
      <w:pPr>
        <w:ind w:left="1440" w:hanging="360"/>
      </w:pPr>
      <w:rPr>
        <w:rFonts w:ascii="Courier New" w:hAnsi="Courier New" w:hint="default"/>
      </w:rPr>
    </w:lvl>
    <w:lvl w:ilvl="2" w:tplc="264CA50E">
      <w:start w:val="1"/>
      <w:numFmt w:val="bullet"/>
      <w:lvlText w:val=""/>
      <w:lvlJc w:val="left"/>
      <w:pPr>
        <w:ind w:left="2160" w:hanging="360"/>
      </w:pPr>
      <w:rPr>
        <w:rFonts w:ascii="Wingdings" w:hAnsi="Wingdings" w:hint="default"/>
      </w:rPr>
    </w:lvl>
    <w:lvl w:ilvl="3" w:tplc="B18E4164">
      <w:start w:val="1"/>
      <w:numFmt w:val="bullet"/>
      <w:lvlText w:val=""/>
      <w:lvlJc w:val="left"/>
      <w:pPr>
        <w:ind w:left="2880" w:hanging="360"/>
      </w:pPr>
      <w:rPr>
        <w:rFonts w:ascii="Symbol" w:hAnsi="Symbol" w:hint="default"/>
      </w:rPr>
    </w:lvl>
    <w:lvl w:ilvl="4" w:tplc="01429B10">
      <w:start w:val="1"/>
      <w:numFmt w:val="bullet"/>
      <w:lvlText w:val="o"/>
      <w:lvlJc w:val="left"/>
      <w:pPr>
        <w:ind w:left="3600" w:hanging="360"/>
      </w:pPr>
      <w:rPr>
        <w:rFonts w:ascii="Courier New" w:hAnsi="Courier New" w:hint="default"/>
      </w:rPr>
    </w:lvl>
    <w:lvl w:ilvl="5" w:tplc="26C4A320">
      <w:start w:val="1"/>
      <w:numFmt w:val="bullet"/>
      <w:lvlText w:val=""/>
      <w:lvlJc w:val="left"/>
      <w:pPr>
        <w:ind w:left="4320" w:hanging="360"/>
      </w:pPr>
      <w:rPr>
        <w:rFonts w:ascii="Wingdings" w:hAnsi="Wingdings" w:hint="default"/>
      </w:rPr>
    </w:lvl>
    <w:lvl w:ilvl="6" w:tplc="AB8CC2F6">
      <w:start w:val="1"/>
      <w:numFmt w:val="bullet"/>
      <w:lvlText w:val=""/>
      <w:lvlJc w:val="left"/>
      <w:pPr>
        <w:ind w:left="5040" w:hanging="360"/>
      </w:pPr>
      <w:rPr>
        <w:rFonts w:ascii="Symbol" w:hAnsi="Symbol" w:hint="default"/>
      </w:rPr>
    </w:lvl>
    <w:lvl w:ilvl="7" w:tplc="F2EE41CE">
      <w:start w:val="1"/>
      <w:numFmt w:val="bullet"/>
      <w:lvlText w:val="o"/>
      <w:lvlJc w:val="left"/>
      <w:pPr>
        <w:ind w:left="5760" w:hanging="360"/>
      </w:pPr>
      <w:rPr>
        <w:rFonts w:ascii="Courier New" w:hAnsi="Courier New" w:hint="default"/>
      </w:rPr>
    </w:lvl>
    <w:lvl w:ilvl="8" w:tplc="D2DCF528">
      <w:start w:val="1"/>
      <w:numFmt w:val="bullet"/>
      <w:lvlText w:val=""/>
      <w:lvlJc w:val="left"/>
      <w:pPr>
        <w:ind w:left="6480" w:hanging="360"/>
      </w:pPr>
      <w:rPr>
        <w:rFonts w:ascii="Wingdings" w:hAnsi="Wingdings" w:hint="default"/>
      </w:rPr>
    </w:lvl>
  </w:abstractNum>
  <w:abstractNum w:abstractNumId="24" w15:restartNumberingAfterBreak="0">
    <w:nsid w:val="45164E83"/>
    <w:multiLevelType w:val="hybridMultilevel"/>
    <w:tmpl w:val="FFFFFFFF"/>
    <w:lvl w:ilvl="0" w:tplc="DC88DE18">
      <w:start w:val="1"/>
      <w:numFmt w:val="bullet"/>
      <w:lvlText w:val="o"/>
      <w:lvlJc w:val="left"/>
      <w:pPr>
        <w:ind w:left="720" w:hanging="360"/>
      </w:pPr>
      <w:rPr>
        <w:rFonts w:ascii="Courier New" w:hAnsi="Courier New" w:hint="default"/>
      </w:rPr>
    </w:lvl>
    <w:lvl w:ilvl="1" w:tplc="D2A6D084">
      <w:start w:val="1"/>
      <w:numFmt w:val="bullet"/>
      <w:lvlText w:val="o"/>
      <w:lvlJc w:val="left"/>
      <w:pPr>
        <w:ind w:left="1440" w:hanging="360"/>
      </w:pPr>
      <w:rPr>
        <w:rFonts w:ascii="Courier New" w:hAnsi="Courier New" w:hint="default"/>
      </w:rPr>
    </w:lvl>
    <w:lvl w:ilvl="2" w:tplc="D220C288">
      <w:start w:val="1"/>
      <w:numFmt w:val="bullet"/>
      <w:lvlText w:val=""/>
      <w:lvlJc w:val="left"/>
      <w:pPr>
        <w:ind w:left="2160" w:hanging="360"/>
      </w:pPr>
      <w:rPr>
        <w:rFonts w:ascii="Wingdings" w:hAnsi="Wingdings" w:hint="default"/>
      </w:rPr>
    </w:lvl>
    <w:lvl w:ilvl="3" w:tplc="8220918A">
      <w:start w:val="1"/>
      <w:numFmt w:val="bullet"/>
      <w:lvlText w:val=""/>
      <w:lvlJc w:val="left"/>
      <w:pPr>
        <w:ind w:left="2880" w:hanging="360"/>
      </w:pPr>
      <w:rPr>
        <w:rFonts w:ascii="Symbol" w:hAnsi="Symbol" w:hint="default"/>
      </w:rPr>
    </w:lvl>
    <w:lvl w:ilvl="4" w:tplc="F7A4CF98">
      <w:start w:val="1"/>
      <w:numFmt w:val="bullet"/>
      <w:lvlText w:val="o"/>
      <w:lvlJc w:val="left"/>
      <w:pPr>
        <w:ind w:left="3600" w:hanging="360"/>
      </w:pPr>
      <w:rPr>
        <w:rFonts w:ascii="Courier New" w:hAnsi="Courier New" w:hint="default"/>
      </w:rPr>
    </w:lvl>
    <w:lvl w:ilvl="5" w:tplc="8CD65A88">
      <w:start w:val="1"/>
      <w:numFmt w:val="bullet"/>
      <w:lvlText w:val=""/>
      <w:lvlJc w:val="left"/>
      <w:pPr>
        <w:ind w:left="4320" w:hanging="360"/>
      </w:pPr>
      <w:rPr>
        <w:rFonts w:ascii="Wingdings" w:hAnsi="Wingdings" w:hint="default"/>
      </w:rPr>
    </w:lvl>
    <w:lvl w:ilvl="6" w:tplc="67E40C26">
      <w:start w:val="1"/>
      <w:numFmt w:val="bullet"/>
      <w:lvlText w:val=""/>
      <w:lvlJc w:val="left"/>
      <w:pPr>
        <w:ind w:left="5040" w:hanging="360"/>
      </w:pPr>
      <w:rPr>
        <w:rFonts w:ascii="Symbol" w:hAnsi="Symbol" w:hint="default"/>
      </w:rPr>
    </w:lvl>
    <w:lvl w:ilvl="7" w:tplc="7F28B57C">
      <w:start w:val="1"/>
      <w:numFmt w:val="bullet"/>
      <w:lvlText w:val="o"/>
      <w:lvlJc w:val="left"/>
      <w:pPr>
        <w:ind w:left="5760" w:hanging="360"/>
      </w:pPr>
      <w:rPr>
        <w:rFonts w:ascii="Courier New" w:hAnsi="Courier New" w:hint="default"/>
      </w:rPr>
    </w:lvl>
    <w:lvl w:ilvl="8" w:tplc="F01C0068">
      <w:start w:val="1"/>
      <w:numFmt w:val="bullet"/>
      <w:lvlText w:val=""/>
      <w:lvlJc w:val="left"/>
      <w:pPr>
        <w:ind w:left="6480" w:hanging="360"/>
      </w:pPr>
      <w:rPr>
        <w:rFonts w:ascii="Wingdings" w:hAnsi="Wingdings" w:hint="default"/>
      </w:rPr>
    </w:lvl>
  </w:abstractNum>
  <w:abstractNum w:abstractNumId="25" w15:restartNumberingAfterBreak="0">
    <w:nsid w:val="492AC1EB"/>
    <w:multiLevelType w:val="hybridMultilevel"/>
    <w:tmpl w:val="0EB6A854"/>
    <w:lvl w:ilvl="0" w:tplc="2A928820">
      <w:start w:val="1"/>
      <w:numFmt w:val="bullet"/>
      <w:lvlText w:val="o"/>
      <w:lvlJc w:val="left"/>
      <w:pPr>
        <w:ind w:left="501" w:hanging="360"/>
      </w:pPr>
      <w:rPr>
        <w:rFonts w:ascii="Courier New" w:hAnsi="Courier New" w:hint="default"/>
        <w:color w:val="auto"/>
      </w:rPr>
    </w:lvl>
    <w:lvl w:ilvl="1" w:tplc="AE96218A">
      <w:start w:val="1"/>
      <w:numFmt w:val="bullet"/>
      <w:lvlText w:val="o"/>
      <w:lvlJc w:val="left"/>
      <w:pPr>
        <w:ind w:left="1440" w:hanging="360"/>
      </w:pPr>
      <w:rPr>
        <w:rFonts w:ascii="Courier New" w:hAnsi="Courier New" w:hint="default"/>
      </w:rPr>
    </w:lvl>
    <w:lvl w:ilvl="2" w:tplc="0E146F60">
      <w:start w:val="1"/>
      <w:numFmt w:val="bullet"/>
      <w:lvlText w:val=""/>
      <w:lvlJc w:val="left"/>
      <w:pPr>
        <w:ind w:left="2160" w:hanging="360"/>
      </w:pPr>
      <w:rPr>
        <w:rFonts w:ascii="Wingdings" w:hAnsi="Wingdings" w:hint="default"/>
      </w:rPr>
    </w:lvl>
    <w:lvl w:ilvl="3" w:tplc="22CE9698">
      <w:start w:val="1"/>
      <w:numFmt w:val="bullet"/>
      <w:lvlText w:val=""/>
      <w:lvlJc w:val="left"/>
      <w:pPr>
        <w:ind w:left="2880" w:hanging="360"/>
      </w:pPr>
      <w:rPr>
        <w:rFonts w:ascii="Symbol" w:hAnsi="Symbol" w:hint="default"/>
      </w:rPr>
    </w:lvl>
    <w:lvl w:ilvl="4" w:tplc="F308379C">
      <w:start w:val="1"/>
      <w:numFmt w:val="bullet"/>
      <w:lvlText w:val="o"/>
      <w:lvlJc w:val="left"/>
      <w:pPr>
        <w:ind w:left="3600" w:hanging="360"/>
      </w:pPr>
      <w:rPr>
        <w:rFonts w:ascii="Courier New" w:hAnsi="Courier New" w:hint="default"/>
      </w:rPr>
    </w:lvl>
    <w:lvl w:ilvl="5" w:tplc="CC2AE626">
      <w:start w:val="1"/>
      <w:numFmt w:val="bullet"/>
      <w:lvlText w:val=""/>
      <w:lvlJc w:val="left"/>
      <w:pPr>
        <w:ind w:left="4320" w:hanging="360"/>
      </w:pPr>
      <w:rPr>
        <w:rFonts w:ascii="Wingdings" w:hAnsi="Wingdings" w:hint="default"/>
      </w:rPr>
    </w:lvl>
    <w:lvl w:ilvl="6" w:tplc="CD141BF4">
      <w:start w:val="1"/>
      <w:numFmt w:val="bullet"/>
      <w:lvlText w:val=""/>
      <w:lvlJc w:val="left"/>
      <w:pPr>
        <w:ind w:left="5040" w:hanging="360"/>
      </w:pPr>
      <w:rPr>
        <w:rFonts w:ascii="Symbol" w:hAnsi="Symbol" w:hint="default"/>
      </w:rPr>
    </w:lvl>
    <w:lvl w:ilvl="7" w:tplc="BB7E8B62">
      <w:start w:val="1"/>
      <w:numFmt w:val="bullet"/>
      <w:lvlText w:val="o"/>
      <w:lvlJc w:val="left"/>
      <w:pPr>
        <w:ind w:left="5760" w:hanging="360"/>
      </w:pPr>
      <w:rPr>
        <w:rFonts w:ascii="Courier New" w:hAnsi="Courier New" w:hint="default"/>
      </w:rPr>
    </w:lvl>
    <w:lvl w:ilvl="8" w:tplc="9E0EFF4C">
      <w:start w:val="1"/>
      <w:numFmt w:val="bullet"/>
      <w:lvlText w:val=""/>
      <w:lvlJc w:val="left"/>
      <w:pPr>
        <w:ind w:left="6480" w:hanging="360"/>
      </w:pPr>
      <w:rPr>
        <w:rFonts w:ascii="Wingdings" w:hAnsi="Wingdings" w:hint="default"/>
      </w:rPr>
    </w:lvl>
  </w:abstractNum>
  <w:abstractNum w:abstractNumId="26" w15:restartNumberingAfterBreak="0">
    <w:nsid w:val="49A5CF10"/>
    <w:multiLevelType w:val="hybridMultilevel"/>
    <w:tmpl w:val="FFFFFFFF"/>
    <w:lvl w:ilvl="0" w:tplc="12ACCCEE">
      <w:start w:val="1"/>
      <w:numFmt w:val="bullet"/>
      <w:lvlText w:val="o"/>
      <w:lvlJc w:val="left"/>
      <w:pPr>
        <w:ind w:left="720" w:hanging="360"/>
      </w:pPr>
      <w:rPr>
        <w:rFonts w:ascii="Courier New" w:hAnsi="Courier New" w:hint="default"/>
      </w:rPr>
    </w:lvl>
    <w:lvl w:ilvl="1" w:tplc="55725C94">
      <w:start w:val="1"/>
      <w:numFmt w:val="bullet"/>
      <w:lvlText w:val="o"/>
      <w:lvlJc w:val="left"/>
      <w:pPr>
        <w:ind w:left="1440" w:hanging="360"/>
      </w:pPr>
      <w:rPr>
        <w:rFonts w:ascii="Courier New" w:hAnsi="Courier New" w:hint="default"/>
      </w:rPr>
    </w:lvl>
    <w:lvl w:ilvl="2" w:tplc="139A4F0A">
      <w:start w:val="1"/>
      <w:numFmt w:val="bullet"/>
      <w:lvlText w:val=""/>
      <w:lvlJc w:val="left"/>
      <w:pPr>
        <w:ind w:left="2160" w:hanging="360"/>
      </w:pPr>
      <w:rPr>
        <w:rFonts w:ascii="Wingdings" w:hAnsi="Wingdings" w:hint="default"/>
      </w:rPr>
    </w:lvl>
    <w:lvl w:ilvl="3" w:tplc="806A00E0">
      <w:start w:val="1"/>
      <w:numFmt w:val="bullet"/>
      <w:lvlText w:val=""/>
      <w:lvlJc w:val="left"/>
      <w:pPr>
        <w:ind w:left="2880" w:hanging="360"/>
      </w:pPr>
      <w:rPr>
        <w:rFonts w:ascii="Symbol" w:hAnsi="Symbol" w:hint="default"/>
      </w:rPr>
    </w:lvl>
    <w:lvl w:ilvl="4" w:tplc="DC9CD960">
      <w:start w:val="1"/>
      <w:numFmt w:val="bullet"/>
      <w:lvlText w:val="o"/>
      <w:lvlJc w:val="left"/>
      <w:pPr>
        <w:ind w:left="3600" w:hanging="360"/>
      </w:pPr>
      <w:rPr>
        <w:rFonts w:ascii="Courier New" w:hAnsi="Courier New" w:hint="default"/>
      </w:rPr>
    </w:lvl>
    <w:lvl w:ilvl="5" w:tplc="C228F9E6">
      <w:start w:val="1"/>
      <w:numFmt w:val="bullet"/>
      <w:lvlText w:val=""/>
      <w:lvlJc w:val="left"/>
      <w:pPr>
        <w:ind w:left="4320" w:hanging="360"/>
      </w:pPr>
      <w:rPr>
        <w:rFonts w:ascii="Wingdings" w:hAnsi="Wingdings" w:hint="default"/>
      </w:rPr>
    </w:lvl>
    <w:lvl w:ilvl="6" w:tplc="74C6419C">
      <w:start w:val="1"/>
      <w:numFmt w:val="bullet"/>
      <w:lvlText w:val=""/>
      <w:lvlJc w:val="left"/>
      <w:pPr>
        <w:ind w:left="5040" w:hanging="360"/>
      </w:pPr>
      <w:rPr>
        <w:rFonts w:ascii="Symbol" w:hAnsi="Symbol" w:hint="default"/>
      </w:rPr>
    </w:lvl>
    <w:lvl w:ilvl="7" w:tplc="90A80638">
      <w:start w:val="1"/>
      <w:numFmt w:val="bullet"/>
      <w:lvlText w:val="o"/>
      <w:lvlJc w:val="left"/>
      <w:pPr>
        <w:ind w:left="5760" w:hanging="360"/>
      </w:pPr>
      <w:rPr>
        <w:rFonts w:ascii="Courier New" w:hAnsi="Courier New" w:hint="default"/>
      </w:rPr>
    </w:lvl>
    <w:lvl w:ilvl="8" w:tplc="15F6E702">
      <w:start w:val="1"/>
      <w:numFmt w:val="bullet"/>
      <w:lvlText w:val=""/>
      <w:lvlJc w:val="left"/>
      <w:pPr>
        <w:ind w:left="6480" w:hanging="360"/>
      </w:pPr>
      <w:rPr>
        <w:rFonts w:ascii="Wingdings" w:hAnsi="Wingdings" w:hint="default"/>
      </w:rPr>
    </w:lvl>
  </w:abstractNum>
  <w:abstractNum w:abstractNumId="27" w15:restartNumberingAfterBreak="0">
    <w:nsid w:val="4A3C2F0E"/>
    <w:multiLevelType w:val="hybridMultilevel"/>
    <w:tmpl w:val="4CCEEEEA"/>
    <w:lvl w:ilvl="0" w:tplc="08090003">
      <w:start w:val="1"/>
      <w:numFmt w:val="bullet"/>
      <w:lvlText w:val="o"/>
      <w:lvlJc w:val="left"/>
      <w:pPr>
        <w:ind w:left="720" w:hanging="360"/>
      </w:pPr>
      <w:rPr>
        <w:rFonts w:ascii="Courier New" w:hAnsi="Courier New" w:cs="Courier New" w:hint="default"/>
      </w:rPr>
    </w:lvl>
    <w:lvl w:ilvl="1" w:tplc="5F244FB6">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438E3"/>
    <w:multiLevelType w:val="multilevel"/>
    <w:tmpl w:val="146E2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149682"/>
    <w:multiLevelType w:val="hybridMultilevel"/>
    <w:tmpl w:val="C6BEF476"/>
    <w:lvl w:ilvl="0" w:tplc="4802F3E0">
      <w:start w:val="1"/>
      <w:numFmt w:val="bullet"/>
      <w:lvlText w:val="o"/>
      <w:lvlJc w:val="left"/>
      <w:pPr>
        <w:ind w:left="811" w:hanging="360"/>
      </w:pPr>
      <w:rPr>
        <w:rFonts w:ascii="Courier New" w:hAnsi="Courier New" w:hint="default"/>
      </w:rPr>
    </w:lvl>
    <w:lvl w:ilvl="1" w:tplc="93F6D4E6">
      <w:start w:val="1"/>
      <w:numFmt w:val="bullet"/>
      <w:lvlText w:val="o"/>
      <w:lvlJc w:val="left"/>
      <w:pPr>
        <w:ind w:left="1440" w:hanging="360"/>
      </w:pPr>
      <w:rPr>
        <w:rFonts w:ascii="Courier New" w:hAnsi="Courier New" w:hint="default"/>
      </w:rPr>
    </w:lvl>
    <w:lvl w:ilvl="2" w:tplc="FC481572">
      <w:start w:val="1"/>
      <w:numFmt w:val="bullet"/>
      <w:lvlText w:val=""/>
      <w:lvlJc w:val="left"/>
      <w:pPr>
        <w:ind w:left="2160" w:hanging="360"/>
      </w:pPr>
      <w:rPr>
        <w:rFonts w:ascii="Wingdings" w:hAnsi="Wingdings" w:hint="default"/>
      </w:rPr>
    </w:lvl>
    <w:lvl w:ilvl="3" w:tplc="21CAC05C">
      <w:start w:val="1"/>
      <w:numFmt w:val="bullet"/>
      <w:lvlText w:val=""/>
      <w:lvlJc w:val="left"/>
      <w:pPr>
        <w:ind w:left="2880" w:hanging="360"/>
      </w:pPr>
      <w:rPr>
        <w:rFonts w:ascii="Symbol" w:hAnsi="Symbol" w:hint="default"/>
      </w:rPr>
    </w:lvl>
    <w:lvl w:ilvl="4" w:tplc="072A56B8">
      <w:start w:val="1"/>
      <w:numFmt w:val="bullet"/>
      <w:lvlText w:val="o"/>
      <w:lvlJc w:val="left"/>
      <w:pPr>
        <w:ind w:left="3600" w:hanging="360"/>
      </w:pPr>
      <w:rPr>
        <w:rFonts w:ascii="Courier New" w:hAnsi="Courier New" w:hint="default"/>
      </w:rPr>
    </w:lvl>
    <w:lvl w:ilvl="5" w:tplc="45509596">
      <w:start w:val="1"/>
      <w:numFmt w:val="bullet"/>
      <w:lvlText w:val=""/>
      <w:lvlJc w:val="left"/>
      <w:pPr>
        <w:ind w:left="4320" w:hanging="360"/>
      </w:pPr>
      <w:rPr>
        <w:rFonts w:ascii="Wingdings" w:hAnsi="Wingdings" w:hint="default"/>
      </w:rPr>
    </w:lvl>
    <w:lvl w:ilvl="6" w:tplc="2AA0B82C">
      <w:start w:val="1"/>
      <w:numFmt w:val="bullet"/>
      <w:lvlText w:val=""/>
      <w:lvlJc w:val="left"/>
      <w:pPr>
        <w:ind w:left="5040" w:hanging="360"/>
      </w:pPr>
      <w:rPr>
        <w:rFonts w:ascii="Symbol" w:hAnsi="Symbol" w:hint="default"/>
      </w:rPr>
    </w:lvl>
    <w:lvl w:ilvl="7" w:tplc="0D6677A6">
      <w:start w:val="1"/>
      <w:numFmt w:val="bullet"/>
      <w:lvlText w:val="o"/>
      <w:lvlJc w:val="left"/>
      <w:pPr>
        <w:ind w:left="5760" w:hanging="360"/>
      </w:pPr>
      <w:rPr>
        <w:rFonts w:ascii="Courier New" w:hAnsi="Courier New" w:hint="default"/>
      </w:rPr>
    </w:lvl>
    <w:lvl w:ilvl="8" w:tplc="A782D9E6">
      <w:start w:val="1"/>
      <w:numFmt w:val="bullet"/>
      <w:lvlText w:val=""/>
      <w:lvlJc w:val="left"/>
      <w:pPr>
        <w:ind w:left="6480" w:hanging="360"/>
      </w:pPr>
      <w:rPr>
        <w:rFonts w:ascii="Wingdings" w:hAnsi="Wingdings" w:hint="default"/>
      </w:rPr>
    </w:lvl>
  </w:abstractNum>
  <w:abstractNum w:abstractNumId="30" w15:restartNumberingAfterBreak="0">
    <w:nsid w:val="5A583278"/>
    <w:multiLevelType w:val="hybridMultilevel"/>
    <w:tmpl w:val="A4AC056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32" w15:restartNumberingAfterBreak="0">
    <w:nsid w:val="5C70D34B"/>
    <w:multiLevelType w:val="hybridMultilevel"/>
    <w:tmpl w:val="FFFFFFFF"/>
    <w:lvl w:ilvl="0" w:tplc="FAD68056">
      <w:start w:val="1"/>
      <w:numFmt w:val="bullet"/>
      <w:lvlText w:val="o"/>
      <w:lvlJc w:val="left"/>
      <w:pPr>
        <w:ind w:left="720" w:hanging="360"/>
      </w:pPr>
      <w:rPr>
        <w:rFonts w:ascii="Courier New" w:hAnsi="Courier New" w:hint="default"/>
      </w:rPr>
    </w:lvl>
    <w:lvl w:ilvl="1" w:tplc="D9C2708C">
      <w:start w:val="1"/>
      <w:numFmt w:val="bullet"/>
      <w:lvlText w:val="o"/>
      <w:lvlJc w:val="left"/>
      <w:pPr>
        <w:ind w:left="1440" w:hanging="360"/>
      </w:pPr>
      <w:rPr>
        <w:rFonts w:ascii="Courier New" w:hAnsi="Courier New" w:hint="default"/>
      </w:rPr>
    </w:lvl>
    <w:lvl w:ilvl="2" w:tplc="13FACEFC">
      <w:start w:val="1"/>
      <w:numFmt w:val="bullet"/>
      <w:lvlText w:val=""/>
      <w:lvlJc w:val="left"/>
      <w:pPr>
        <w:ind w:left="2160" w:hanging="360"/>
      </w:pPr>
      <w:rPr>
        <w:rFonts w:ascii="Wingdings" w:hAnsi="Wingdings" w:hint="default"/>
      </w:rPr>
    </w:lvl>
    <w:lvl w:ilvl="3" w:tplc="1F08CCCC">
      <w:start w:val="1"/>
      <w:numFmt w:val="bullet"/>
      <w:lvlText w:val=""/>
      <w:lvlJc w:val="left"/>
      <w:pPr>
        <w:ind w:left="2880" w:hanging="360"/>
      </w:pPr>
      <w:rPr>
        <w:rFonts w:ascii="Symbol" w:hAnsi="Symbol" w:hint="default"/>
      </w:rPr>
    </w:lvl>
    <w:lvl w:ilvl="4" w:tplc="46EC62E0">
      <w:start w:val="1"/>
      <w:numFmt w:val="bullet"/>
      <w:lvlText w:val="o"/>
      <w:lvlJc w:val="left"/>
      <w:pPr>
        <w:ind w:left="3600" w:hanging="360"/>
      </w:pPr>
      <w:rPr>
        <w:rFonts w:ascii="Courier New" w:hAnsi="Courier New" w:hint="default"/>
      </w:rPr>
    </w:lvl>
    <w:lvl w:ilvl="5" w:tplc="863AD454">
      <w:start w:val="1"/>
      <w:numFmt w:val="bullet"/>
      <w:lvlText w:val=""/>
      <w:lvlJc w:val="left"/>
      <w:pPr>
        <w:ind w:left="4320" w:hanging="360"/>
      </w:pPr>
      <w:rPr>
        <w:rFonts w:ascii="Wingdings" w:hAnsi="Wingdings" w:hint="default"/>
      </w:rPr>
    </w:lvl>
    <w:lvl w:ilvl="6" w:tplc="129AFECC">
      <w:start w:val="1"/>
      <w:numFmt w:val="bullet"/>
      <w:lvlText w:val=""/>
      <w:lvlJc w:val="left"/>
      <w:pPr>
        <w:ind w:left="5040" w:hanging="360"/>
      </w:pPr>
      <w:rPr>
        <w:rFonts w:ascii="Symbol" w:hAnsi="Symbol" w:hint="default"/>
      </w:rPr>
    </w:lvl>
    <w:lvl w:ilvl="7" w:tplc="79342A84">
      <w:start w:val="1"/>
      <w:numFmt w:val="bullet"/>
      <w:lvlText w:val="o"/>
      <w:lvlJc w:val="left"/>
      <w:pPr>
        <w:ind w:left="5760" w:hanging="360"/>
      </w:pPr>
      <w:rPr>
        <w:rFonts w:ascii="Courier New" w:hAnsi="Courier New" w:hint="default"/>
      </w:rPr>
    </w:lvl>
    <w:lvl w:ilvl="8" w:tplc="4D88EC08">
      <w:start w:val="1"/>
      <w:numFmt w:val="bullet"/>
      <w:lvlText w:val=""/>
      <w:lvlJc w:val="left"/>
      <w:pPr>
        <w:ind w:left="6480" w:hanging="360"/>
      </w:pPr>
      <w:rPr>
        <w:rFonts w:ascii="Wingdings" w:hAnsi="Wingdings" w:hint="default"/>
      </w:rPr>
    </w:lvl>
  </w:abstractNum>
  <w:abstractNum w:abstractNumId="33" w15:restartNumberingAfterBreak="0">
    <w:nsid w:val="5D4732AE"/>
    <w:multiLevelType w:val="hybridMultilevel"/>
    <w:tmpl w:val="F0687B50"/>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DF6071F"/>
    <w:multiLevelType w:val="hybridMultilevel"/>
    <w:tmpl w:val="94228A9A"/>
    <w:lvl w:ilvl="0" w:tplc="9BBC0E14">
      <w:start w:val="1"/>
      <w:numFmt w:val="bullet"/>
      <w:lvlText w:val="o"/>
      <w:lvlJc w:val="left"/>
      <w:pPr>
        <w:ind w:left="720" w:hanging="360"/>
      </w:pPr>
      <w:rPr>
        <w:rFonts w:ascii="Courier New" w:hAnsi="Courier New" w:hint="default"/>
      </w:rPr>
    </w:lvl>
    <w:lvl w:ilvl="1" w:tplc="6C2A01D6">
      <w:start w:val="1"/>
      <w:numFmt w:val="bullet"/>
      <w:lvlText w:val="o"/>
      <w:lvlJc w:val="left"/>
      <w:pPr>
        <w:ind w:left="1440" w:hanging="360"/>
      </w:pPr>
      <w:rPr>
        <w:rFonts w:ascii="Courier New" w:hAnsi="Courier New" w:hint="default"/>
      </w:rPr>
    </w:lvl>
    <w:lvl w:ilvl="2" w:tplc="C8D2D926">
      <w:start w:val="1"/>
      <w:numFmt w:val="bullet"/>
      <w:lvlText w:val=""/>
      <w:lvlJc w:val="left"/>
      <w:pPr>
        <w:ind w:left="2160" w:hanging="360"/>
      </w:pPr>
      <w:rPr>
        <w:rFonts w:ascii="Wingdings" w:hAnsi="Wingdings" w:hint="default"/>
      </w:rPr>
    </w:lvl>
    <w:lvl w:ilvl="3" w:tplc="238C03F8">
      <w:start w:val="1"/>
      <w:numFmt w:val="bullet"/>
      <w:lvlText w:val=""/>
      <w:lvlJc w:val="left"/>
      <w:pPr>
        <w:ind w:left="2880" w:hanging="360"/>
      </w:pPr>
      <w:rPr>
        <w:rFonts w:ascii="Symbol" w:hAnsi="Symbol" w:hint="default"/>
      </w:rPr>
    </w:lvl>
    <w:lvl w:ilvl="4" w:tplc="928C9F04">
      <w:start w:val="1"/>
      <w:numFmt w:val="bullet"/>
      <w:lvlText w:val="o"/>
      <w:lvlJc w:val="left"/>
      <w:pPr>
        <w:ind w:left="3600" w:hanging="360"/>
      </w:pPr>
      <w:rPr>
        <w:rFonts w:ascii="Courier New" w:hAnsi="Courier New" w:hint="default"/>
      </w:rPr>
    </w:lvl>
    <w:lvl w:ilvl="5" w:tplc="F48C4260">
      <w:start w:val="1"/>
      <w:numFmt w:val="bullet"/>
      <w:lvlText w:val=""/>
      <w:lvlJc w:val="left"/>
      <w:pPr>
        <w:ind w:left="4320" w:hanging="360"/>
      </w:pPr>
      <w:rPr>
        <w:rFonts w:ascii="Wingdings" w:hAnsi="Wingdings" w:hint="default"/>
      </w:rPr>
    </w:lvl>
    <w:lvl w:ilvl="6" w:tplc="DF181B98">
      <w:start w:val="1"/>
      <w:numFmt w:val="bullet"/>
      <w:lvlText w:val=""/>
      <w:lvlJc w:val="left"/>
      <w:pPr>
        <w:ind w:left="5040" w:hanging="360"/>
      </w:pPr>
      <w:rPr>
        <w:rFonts w:ascii="Symbol" w:hAnsi="Symbol" w:hint="default"/>
      </w:rPr>
    </w:lvl>
    <w:lvl w:ilvl="7" w:tplc="1F3EDA94">
      <w:start w:val="1"/>
      <w:numFmt w:val="bullet"/>
      <w:lvlText w:val="o"/>
      <w:lvlJc w:val="left"/>
      <w:pPr>
        <w:ind w:left="5760" w:hanging="360"/>
      </w:pPr>
      <w:rPr>
        <w:rFonts w:ascii="Courier New" w:hAnsi="Courier New" w:hint="default"/>
      </w:rPr>
    </w:lvl>
    <w:lvl w:ilvl="8" w:tplc="FFE4940A">
      <w:start w:val="1"/>
      <w:numFmt w:val="bullet"/>
      <w:lvlText w:val=""/>
      <w:lvlJc w:val="left"/>
      <w:pPr>
        <w:ind w:left="6480" w:hanging="360"/>
      </w:pPr>
      <w:rPr>
        <w:rFonts w:ascii="Wingdings" w:hAnsi="Wingdings" w:hint="default"/>
      </w:rPr>
    </w:lvl>
  </w:abstractNum>
  <w:abstractNum w:abstractNumId="35" w15:restartNumberingAfterBreak="0">
    <w:nsid w:val="5F22682A"/>
    <w:multiLevelType w:val="hybridMultilevel"/>
    <w:tmpl w:val="E1E82D26"/>
    <w:lvl w:ilvl="0" w:tplc="E286C4D2">
      <w:start w:val="1"/>
      <w:numFmt w:val="bullet"/>
      <w:lvlText w:val="o"/>
      <w:lvlJc w:val="left"/>
      <w:pPr>
        <w:ind w:left="811" w:hanging="360"/>
      </w:pPr>
      <w:rPr>
        <w:rFonts w:ascii="Courier New" w:hAnsi="Courier New" w:hint="default"/>
      </w:rPr>
    </w:lvl>
    <w:lvl w:ilvl="1" w:tplc="34029622">
      <w:start w:val="1"/>
      <w:numFmt w:val="bullet"/>
      <w:lvlText w:val="o"/>
      <w:lvlJc w:val="left"/>
      <w:pPr>
        <w:ind w:left="1531" w:hanging="360"/>
      </w:pPr>
      <w:rPr>
        <w:rFonts w:ascii="Courier New" w:hAnsi="Courier New" w:hint="default"/>
      </w:rPr>
    </w:lvl>
    <w:lvl w:ilvl="2" w:tplc="1EF86B04" w:tentative="1">
      <w:start w:val="1"/>
      <w:numFmt w:val="bullet"/>
      <w:lvlText w:val=""/>
      <w:lvlJc w:val="left"/>
      <w:pPr>
        <w:ind w:left="2251" w:hanging="360"/>
      </w:pPr>
      <w:rPr>
        <w:rFonts w:ascii="Wingdings" w:hAnsi="Wingdings" w:hint="default"/>
      </w:rPr>
    </w:lvl>
    <w:lvl w:ilvl="3" w:tplc="DA6E4E4E" w:tentative="1">
      <w:start w:val="1"/>
      <w:numFmt w:val="bullet"/>
      <w:lvlText w:val=""/>
      <w:lvlJc w:val="left"/>
      <w:pPr>
        <w:ind w:left="2971" w:hanging="360"/>
      </w:pPr>
      <w:rPr>
        <w:rFonts w:ascii="Symbol" w:hAnsi="Symbol" w:hint="default"/>
      </w:rPr>
    </w:lvl>
    <w:lvl w:ilvl="4" w:tplc="655617AE" w:tentative="1">
      <w:start w:val="1"/>
      <w:numFmt w:val="bullet"/>
      <w:lvlText w:val="o"/>
      <w:lvlJc w:val="left"/>
      <w:pPr>
        <w:ind w:left="3691" w:hanging="360"/>
      </w:pPr>
      <w:rPr>
        <w:rFonts w:ascii="Courier New" w:hAnsi="Courier New" w:hint="default"/>
      </w:rPr>
    </w:lvl>
    <w:lvl w:ilvl="5" w:tplc="BA60806C" w:tentative="1">
      <w:start w:val="1"/>
      <w:numFmt w:val="bullet"/>
      <w:lvlText w:val=""/>
      <w:lvlJc w:val="left"/>
      <w:pPr>
        <w:ind w:left="4411" w:hanging="360"/>
      </w:pPr>
      <w:rPr>
        <w:rFonts w:ascii="Wingdings" w:hAnsi="Wingdings" w:hint="default"/>
      </w:rPr>
    </w:lvl>
    <w:lvl w:ilvl="6" w:tplc="43B01F42" w:tentative="1">
      <w:start w:val="1"/>
      <w:numFmt w:val="bullet"/>
      <w:lvlText w:val=""/>
      <w:lvlJc w:val="left"/>
      <w:pPr>
        <w:ind w:left="5131" w:hanging="360"/>
      </w:pPr>
      <w:rPr>
        <w:rFonts w:ascii="Symbol" w:hAnsi="Symbol" w:hint="default"/>
      </w:rPr>
    </w:lvl>
    <w:lvl w:ilvl="7" w:tplc="67A4723A" w:tentative="1">
      <w:start w:val="1"/>
      <w:numFmt w:val="bullet"/>
      <w:lvlText w:val="o"/>
      <w:lvlJc w:val="left"/>
      <w:pPr>
        <w:ind w:left="5851" w:hanging="360"/>
      </w:pPr>
      <w:rPr>
        <w:rFonts w:ascii="Courier New" w:hAnsi="Courier New" w:hint="default"/>
      </w:rPr>
    </w:lvl>
    <w:lvl w:ilvl="8" w:tplc="98B62652" w:tentative="1">
      <w:start w:val="1"/>
      <w:numFmt w:val="bullet"/>
      <w:lvlText w:val=""/>
      <w:lvlJc w:val="left"/>
      <w:pPr>
        <w:ind w:left="6571" w:hanging="360"/>
      </w:pPr>
      <w:rPr>
        <w:rFonts w:ascii="Wingdings" w:hAnsi="Wingdings" w:hint="default"/>
      </w:rPr>
    </w:lvl>
  </w:abstractNum>
  <w:abstractNum w:abstractNumId="36" w15:restartNumberingAfterBreak="0">
    <w:nsid w:val="6892B473"/>
    <w:multiLevelType w:val="hybridMultilevel"/>
    <w:tmpl w:val="FFFFFFFF"/>
    <w:lvl w:ilvl="0" w:tplc="08B45BB2">
      <w:start w:val="1"/>
      <w:numFmt w:val="bullet"/>
      <w:lvlText w:val="o"/>
      <w:lvlJc w:val="left"/>
      <w:pPr>
        <w:ind w:left="720" w:hanging="360"/>
      </w:pPr>
      <w:rPr>
        <w:rFonts w:ascii="Courier New" w:hAnsi="Courier New" w:hint="default"/>
      </w:rPr>
    </w:lvl>
    <w:lvl w:ilvl="1" w:tplc="489E2F8E">
      <w:start w:val="1"/>
      <w:numFmt w:val="bullet"/>
      <w:lvlText w:val="o"/>
      <w:lvlJc w:val="left"/>
      <w:pPr>
        <w:ind w:left="1440" w:hanging="360"/>
      </w:pPr>
      <w:rPr>
        <w:rFonts w:ascii="Courier New" w:hAnsi="Courier New" w:hint="default"/>
      </w:rPr>
    </w:lvl>
    <w:lvl w:ilvl="2" w:tplc="A6B03C3A">
      <w:start w:val="1"/>
      <w:numFmt w:val="bullet"/>
      <w:lvlText w:val=""/>
      <w:lvlJc w:val="left"/>
      <w:pPr>
        <w:ind w:left="2160" w:hanging="360"/>
      </w:pPr>
      <w:rPr>
        <w:rFonts w:ascii="Wingdings" w:hAnsi="Wingdings" w:hint="default"/>
      </w:rPr>
    </w:lvl>
    <w:lvl w:ilvl="3" w:tplc="CE1C9BFE">
      <w:start w:val="1"/>
      <w:numFmt w:val="bullet"/>
      <w:lvlText w:val=""/>
      <w:lvlJc w:val="left"/>
      <w:pPr>
        <w:ind w:left="2880" w:hanging="360"/>
      </w:pPr>
      <w:rPr>
        <w:rFonts w:ascii="Symbol" w:hAnsi="Symbol" w:hint="default"/>
      </w:rPr>
    </w:lvl>
    <w:lvl w:ilvl="4" w:tplc="ED6AABC6">
      <w:start w:val="1"/>
      <w:numFmt w:val="bullet"/>
      <w:lvlText w:val="o"/>
      <w:lvlJc w:val="left"/>
      <w:pPr>
        <w:ind w:left="3600" w:hanging="360"/>
      </w:pPr>
      <w:rPr>
        <w:rFonts w:ascii="Courier New" w:hAnsi="Courier New" w:hint="default"/>
      </w:rPr>
    </w:lvl>
    <w:lvl w:ilvl="5" w:tplc="60CE33D6">
      <w:start w:val="1"/>
      <w:numFmt w:val="bullet"/>
      <w:lvlText w:val=""/>
      <w:lvlJc w:val="left"/>
      <w:pPr>
        <w:ind w:left="4320" w:hanging="360"/>
      </w:pPr>
      <w:rPr>
        <w:rFonts w:ascii="Wingdings" w:hAnsi="Wingdings" w:hint="default"/>
      </w:rPr>
    </w:lvl>
    <w:lvl w:ilvl="6" w:tplc="F2FEB1BC">
      <w:start w:val="1"/>
      <w:numFmt w:val="bullet"/>
      <w:lvlText w:val=""/>
      <w:lvlJc w:val="left"/>
      <w:pPr>
        <w:ind w:left="5040" w:hanging="360"/>
      </w:pPr>
      <w:rPr>
        <w:rFonts w:ascii="Symbol" w:hAnsi="Symbol" w:hint="default"/>
      </w:rPr>
    </w:lvl>
    <w:lvl w:ilvl="7" w:tplc="2432F4CC">
      <w:start w:val="1"/>
      <w:numFmt w:val="bullet"/>
      <w:lvlText w:val="o"/>
      <w:lvlJc w:val="left"/>
      <w:pPr>
        <w:ind w:left="5760" w:hanging="360"/>
      </w:pPr>
      <w:rPr>
        <w:rFonts w:ascii="Courier New" w:hAnsi="Courier New" w:hint="default"/>
      </w:rPr>
    </w:lvl>
    <w:lvl w:ilvl="8" w:tplc="DDD4917E">
      <w:start w:val="1"/>
      <w:numFmt w:val="bullet"/>
      <w:lvlText w:val=""/>
      <w:lvlJc w:val="left"/>
      <w:pPr>
        <w:ind w:left="6480" w:hanging="360"/>
      </w:pPr>
      <w:rPr>
        <w:rFonts w:ascii="Wingdings" w:hAnsi="Wingdings" w:hint="default"/>
      </w:rPr>
    </w:lvl>
  </w:abstractNum>
  <w:abstractNum w:abstractNumId="37" w15:restartNumberingAfterBreak="0">
    <w:nsid w:val="6A841A01"/>
    <w:multiLevelType w:val="hybridMultilevel"/>
    <w:tmpl w:val="9EC0CA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183BDE"/>
    <w:multiLevelType w:val="hybridMultilevel"/>
    <w:tmpl w:val="F6C0E27A"/>
    <w:lvl w:ilvl="0" w:tplc="08090003">
      <w:start w:val="1"/>
      <w:numFmt w:val="bullet"/>
      <w:lvlText w:val="o"/>
      <w:lvlJc w:val="left"/>
      <w:pPr>
        <w:ind w:left="796" w:hanging="360"/>
      </w:pPr>
      <w:rPr>
        <w:rFonts w:ascii="Courier New" w:hAnsi="Courier New" w:cs="Courier New"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39" w15:restartNumberingAfterBreak="0">
    <w:nsid w:val="6C395485"/>
    <w:multiLevelType w:val="hybridMultilevel"/>
    <w:tmpl w:val="FFFFFFFF"/>
    <w:lvl w:ilvl="0" w:tplc="5CCEA964">
      <w:start w:val="1"/>
      <w:numFmt w:val="bullet"/>
      <w:lvlText w:val="o"/>
      <w:lvlJc w:val="left"/>
      <w:pPr>
        <w:ind w:left="720" w:hanging="360"/>
      </w:pPr>
      <w:rPr>
        <w:rFonts w:ascii="Courier New" w:hAnsi="Courier New" w:hint="default"/>
      </w:rPr>
    </w:lvl>
    <w:lvl w:ilvl="1" w:tplc="CE4270A0">
      <w:start w:val="1"/>
      <w:numFmt w:val="bullet"/>
      <w:lvlText w:val="o"/>
      <w:lvlJc w:val="left"/>
      <w:pPr>
        <w:ind w:left="1440" w:hanging="360"/>
      </w:pPr>
      <w:rPr>
        <w:rFonts w:ascii="Courier New" w:hAnsi="Courier New" w:hint="default"/>
      </w:rPr>
    </w:lvl>
    <w:lvl w:ilvl="2" w:tplc="1E702CA0">
      <w:start w:val="1"/>
      <w:numFmt w:val="bullet"/>
      <w:lvlText w:val=""/>
      <w:lvlJc w:val="left"/>
      <w:pPr>
        <w:ind w:left="2160" w:hanging="360"/>
      </w:pPr>
      <w:rPr>
        <w:rFonts w:ascii="Wingdings" w:hAnsi="Wingdings" w:hint="default"/>
      </w:rPr>
    </w:lvl>
    <w:lvl w:ilvl="3" w:tplc="67628AA2">
      <w:start w:val="1"/>
      <w:numFmt w:val="bullet"/>
      <w:lvlText w:val=""/>
      <w:lvlJc w:val="left"/>
      <w:pPr>
        <w:ind w:left="2880" w:hanging="360"/>
      </w:pPr>
      <w:rPr>
        <w:rFonts w:ascii="Symbol" w:hAnsi="Symbol" w:hint="default"/>
      </w:rPr>
    </w:lvl>
    <w:lvl w:ilvl="4" w:tplc="D482FA94">
      <w:start w:val="1"/>
      <w:numFmt w:val="bullet"/>
      <w:lvlText w:val="o"/>
      <w:lvlJc w:val="left"/>
      <w:pPr>
        <w:ind w:left="3600" w:hanging="360"/>
      </w:pPr>
      <w:rPr>
        <w:rFonts w:ascii="Courier New" w:hAnsi="Courier New" w:hint="default"/>
      </w:rPr>
    </w:lvl>
    <w:lvl w:ilvl="5" w:tplc="BABE8642">
      <w:start w:val="1"/>
      <w:numFmt w:val="bullet"/>
      <w:lvlText w:val=""/>
      <w:lvlJc w:val="left"/>
      <w:pPr>
        <w:ind w:left="4320" w:hanging="360"/>
      </w:pPr>
      <w:rPr>
        <w:rFonts w:ascii="Wingdings" w:hAnsi="Wingdings" w:hint="default"/>
      </w:rPr>
    </w:lvl>
    <w:lvl w:ilvl="6" w:tplc="37B0CC12">
      <w:start w:val="1"/>
      <w:numFmt w:val="bullet"/>
      <w:lvlText w:val=""/>
      <w:lvlJc w:val="left"/>
      <w:pPr>
        <w:ind w:left="5040" w:hanging="360"/>
      </w:pPr>
      <w:rPr>
        <w:rFonts w:ascii="Symbol" w:hAnsi="Symbol" w:hint="default"/>
      </w:rPr>
    </w:lvl>
    <w:lvl w:ilvl="7" w:tplc="6B806476">
      <w:start w:val="1"/>
      <w:numFmt w:val="bullet"/>
      <w:lvlText w:val="o"/>
      <w:lvlJc w:val="left"/>
      <w:pPr>
        <w:ind w:left="5760" w:hanging="360"/>
      </w:pPr>
      <w:rPr>
        <w:rFonts w:ascii="Courier New" w:hAnsi="Courier New" w:hint="default"/>
      </w:rPr>
    </w:lvl>
    <w:lvl w:ilvl="8" w:tplc="75E68B2A">
      <w:start w:val="1"/>
      <w:numFmt w:val="bullet"/>
      <w:lvlText w:val=""/>
      <w:lvlJc w:val="left"/>
      <w:pPr>
        <w:ind w:left="6480" w:hanging="360"/>
      </w:pPr>
      <w:rPr>
        <w:rFonts w:ascii="Wingdings" w:hAnsi="Wingdings" w:hint="default"/>
      </w:rPr>
    </w:lvl>
  </w:abstractNum>
  <w:abstractNum w:abstractNumId="40"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10497A"/>
    <w:multiLevelType w:val="hybridMultilevel"/>
    <w:tmpl w:val="1570D196"/>
    <w:lvl w:ilvl="0" w:tplc="22604034">
      <w:start w:val="1"/>
      <w:numFmt w:val="bullet"/>
      <w:lvlText w:val="o"/>
      <w:lvlJc w:val="left"/>
      <w:pPr>
        <w:ind w:left="360" w:hanging="360"/>
      </w:pPr>
      <w:rPr>
        <w:rFonts w:ascii="Courier New" w:hAnsi="Courier New" w:cs="Courier New"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51D38B7"/>
    <w:multiLevelType w:val="hybridMultilevel"/>
    <w:tmpl w:val="C9FEBE94"/>
    <w:lvl w:ilvl="0" w:tplc="08090003">
      <w:start w:val="1"/>
      <w:numFmt w:val="bullet"/>
      <w:lvlText w:val="o"/>
      <w:lvlJc w:val="left"/>
      <w:pPr>
        <w:ind w:left="436" w:hanging="360"/>
      </w:pPr>
      <w:rPr>
        <w:rFonts w:ascii="Courier New" w:hAnsi="Courier New" w:cs="Courier New"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43" w15:restartNumberingAfterBreak="0">
    <w:nsid w:val="77A721E3"/>
    <w:multiLevelType w:val="hybridMultilevel"/>
    <w:tmpl w:val="F0EC1898"/>
    <w:lvl w:ilvl="0" w:tplc="D36A1E9A">
      <w:start w:val="1"/>
      <w:numFmt w:val="bullet"/>
      <w:lvlText w:val="o"/>
      <w:lvlJc w:val="left"/>
      <w:pPr>
        <w:ind w:left="811" w:hanging="360"/>
      </w:pPr>
      <w:rPr>
        <w:rFonts w:ascii="Courier New" w:hAnsi="Courier New" w:hint="default"/>
        <w:color w:val="auto"/>
      </w:rPr>
    </w:lvl>
    <w:lvl w:ilvl="1" w:tplc="7496F992" w:tentative="1">
      <w:start w:val="1"/>
      <w:numFmt w:val="bullet"/>
      <w:lvlText w:val="o"/>
      <w:lvlJc w:val="left"/>
      <w:pPr>
        <w:ind w:left="1531" w:hanging="360"/>
      </w:pPr>
      <w:rPr>
        <w:rFonts w:ascii="Courier New" w:hAnsi="Courier New" w:hint="default"/>
      </w:rPr>
    </w:lvl>
    <w:lvl w:ilvl="2" w:tplc="1E90C80C" w:tentative="1">
      <w:start w:val="1"/>
      <w:numFmt w:val="bullet"/>
      <w:lvlText w:val=""/>
      <w:lvlJc w:val="left"/>
      <w:pPr>
        <w:ind w:left="2251" w:hanging="360"/>
      </w:pPr>
      <w:rPr>
        <w:rFonts w:ascii="Wingdings" w:hAnsi="Wingdings" w:hint="default"/>
      </w:rPr>
    </w:lvl>
    <w:lvl w:ilvl="3" w:tplc="2EF82914" w:tentative="1">
      <w:start w:val="1"/>
      <w:numFmt w:val="bullet"/>
      <w:lvlText w:val=""/>
      <w:lvlJc w:val="left"/>
      <w:pPr>
        <w:ind w:left="2971" w:hanging="360"/>
      </w:pPr>
      <w:rPr>
        <w:rFonts w:ascii="Symbol" w:hAnsi="Symbol" w:hint="default"/>
      </w:rPr>
    </w:lvl>
    <w:lvl w:ilvl="4" w:tplc="63BEDE3E" w:tentative="1">
      <w:start w:val="1"/>
      <w:numFmt w:val="bullet"/>
      <w:lvlText w:val="o"/>
      <w:lvlJc w:val="left"/>
      <w:pPr>
        <w:ind w:left="3691" w:hanging="360"/>
      </w:pPr>
      <w:rPr>
        <w:rFonts w:ascii="Courier New" w:hAnsi="Courier New" w:hint="default"/>
      </w:rPr>
    </w:lvl>
    <w:lvl w:ilvl="5" w:tplc="6DC69CA0" w:tentative="1">
      <w:start w:val="1"/>
      <w:numFmt w:val="bullet"/>
      <w:lvlText w:val=""/>
      <w:lvlJc w:val="left"/>
      <w:pPr>
        <w:ind w:left="4411" w:hanging="360"/>
      </w:pPr>
      <w:rPr>
        <w:rFonts w:ascii="Wingdings" w:hAnsi="Wingdings" w:hint="default"/>
      </w:rPr>
    </w:lvl>
    <w:lvl w:ilvl="6" w:tplc="300E07DA" w:tentative="1">
      <w:start w:val="1"/>
      <w:numFmt w:val="bullet"/>
      <w:lvlText w:val=""/>
      <w:lvlJc w:val="left"/>
      <w:pPr>
        <w:ind w:left="5131" w:hanging="360"/>
      </w:pPr>
      <w:rPr>
        <w:rFonts w:ascii="Symbol" w:hAnsi="Symbol" w:hint="default"/>
      </w:rPr>
    </w:lvl>
    <w:lvl w:ilvl="7" w:tplc="9FF60D90" w:tentative="1">
      <w:start w:val="1"/>
      <w:numFmt w:val="bullet"/>
      <w:lvlText w:val="o"/>
      <w:lvlJc w:val="left"/>
      <w:pPr>
        <w:ind w:left="5851" w:hanging="360"/>
      </w:pPr>
      <w:rPr>
        <w:rFonts w:ascii="Courier New" w:hAnsi="Courier New" w:hint="default"/>
      </w:rPr>
    </w:lvl>
    <w:lvl w:ilvl="8" w:tplc="BC4AEE78" w:tentative="1">
      <w:start w:val="1"/>
      <w:numFmt w:val="bullet"/>
      <w:lvlText w:val=""/>
      <w:lvlJc w:val="left"/>
      <w:pPr>
        <w:ind w:left="6571" w:hanging="360"/>
      </w:pPr>
      <w:rPr>
        <w:rFonts w:ascii="Wingdings" w:hAnsi="Wingdings" w:hint="default"/>
      </w:rPr>
    </w:lvl>
  </w:abstractNum>
  <w:abstractNum w:abstractNumId="44" w15:restartNumberingAfterBreak="0">
    <w:nsid w:val="7C2B497A"/>
    <w:multiLevelType w:val="hybridMultilevel"/>
    <w:tmpl w:val="FFFFFFFF"/>
    <w:lvl w:ilvl="0" w:tplc="5320614C">
      <w:start w:val="1"/>
      <w:numFmt w:val="bullet"/>
      <w:lvlText w:val="o"/>
      <w:lvlJc w:val="left"/>
      <w:pPr>
        <w:ind w:left="720" w:hanging="360"/>
      </w:pPr>
      <w:rPr>
        <w:rFonts w:ascii="Courier New" w:hAnsi="Courier New" w:hint="default"/>
      </w:rPr>
    </w:lvl>
    <w:lvl w:ilvl="1" w:tplc="F45CEE98">
      <w:start w:val="1"/>
      <w:numFmt w:val="bullet"/>
      <w:lvlText w:val="o"/>
      <w:lvlJc w:val="left"/>
      <w:pPr>
        <w:ind w:left="1440" w:hanging="360"/>
      </w:pPr>
      <w:rPr>
        <w:rFonts w:ascii="Courier New" w:hAnsi="Courier New" w:hint="default"/>
      </w:rPr>
    </w:lvl>
    <w:lvl w:ilvl="2" w:tplc="DE7866AC">
      <w:start w:val="1"/>
      <w:numFmt w:val="bullet"/>
      <w:lvlText w:val=""/>
      <w:lvlJc w:val="left"/>
      <w:pPr>
        <w:ind w:left="2160" w:hanging="360"/>
      </w:pPr>
      <w:rPr>
        <w:rFonts w:ascii="Wingdings" w:hAnsi="Wingdings" w:hint="default"/>
      </w:rPr>
    </w:lvl>
    <w:lvl w:ilvl="3" w:tplc="3A3A3A78">
      <w:start w:val="1"/>
      <w:numFmt w:val="bullet"/>
      <w:lvlText w:val=""/>
      <w:lvlJc w:val="left"/>
      <w:pPr>
        <w:ind w:left="2880" w:hanging="360"/>
      </w:pPr>
      <w:rPr>
        <w:rFonts w:ascii="Symbol" w:hAnsi="Symbol" w:hint="default"/>
      </w:rPr>
    </w:lvl>
    <w:lvl w:ilvl="4" w:tplc="58C04BB6">
      <w:start w:val="1"/>
      <w:numFmt w:val="bullet"/>
      <w:lvlText w:val="o"/>
      <w:lvlJc w:val="left"/>
      <w:pPr>
        <w:ind w:left="3600" w:hanging="360"/>
      </w:pPr>
      <w:rPr>
        <w:rFonts w:ascii="Courier New" w:hAnsi="Courier New" w:hint="default"/>
      </w:rPr>
    </w:lvl>
    <w:lvl w:ilvl="5" w:tplc="0DFE3F3C">
      <w:start w:val="1"/>
      <w:numFmt w:val="bullet"/>
      <w:lvlText w:val=""/>
      <w:lvlJc w:val="left"/>
      <w:pPr>
        <w:ind w:left="4320" w:hanging="360"/>
      </w:pPr>
      <w:rPr>
        <w:rFonts w:ascii="Wingdings" w:hAnsi="Wingdings" w:hint="default"/>
      </w:rPr>
    </w:lvl>
    <w:lvl w:ilvl="6" w:tplc="64103A0A">
      <w:start w:val="1"/>
      <w:numFmt w:val="bullet"/>
      <w:lvlText w:val=""/>
      <w:lvlJc w:val="left"/>
      <w:pPr>
        <w:ind w:left="5040" w:hanging="360"/>
      </w:pPr>
      <w:rPr>
        <w:rFonts w:ascii="Symbol" w:hAnsi="Symbol" w:hint="default"/>
      </w:rPr>
    </w:lvl>
    <w:lvl w:ilvl="7" w:tplc="0450B140">
      <w:start w:val="1"/>
      <w:numFmt w:val="bullet"/>
      <w:lvlText w:val="o"/>
      <w:lvlJc w:val="left"/>
      <w:pPr>
        <w:ind w:left="5760" w:hanging="360"/>
      </w:pPr>
      <w:rPr>
        <w:rFonts w:ascii="Courier New" w:hAnsi="Courier New" w:hint="default"/>
      </w:rPr>
    </w:lvl>
    <w:lvl w:ilvl="8" w:tplc="7BA4C868">
      <w:start w:val="1"/>
      <w:numFmt w:val="bullet"/>
      <w:lvlText w:val=""/>
      <w:lvlJc w:val="left"/>
      <w:pPr>
        <w:ind w:left="6480" w:hanging="360"/>
      </w:pPr>
      <w:rPr>
        <w:rFonts w:ascii="Wingdings" w:hAnsi="Wingdings" w:hint="default"/>
      </w:rPr>
    </w:lvl>
  </w:abstractNum>
  <w:abstractNum w:abstractNumId="45" w15:restartNumberingAfterBreak="0">
    <w:nsid w:val="7ED16CF1"/>
    <w:multiLevelType w:val="hybridMultilevel"/>
    <w:tmpl w:val="5D3660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40"/>
  </w:num>
  <w:num w:numId="4">
    <w:abstractNumId w:val="5"/>
  </w:num>
  <w:num w:numId="5">
    <w:abstractNumId w:val="31"/>
  </w:num>
  <w:num w:numId="6">
    <w:abstractNumId w:val="21"/>
  </w:num>
  <w:num w:numId="7">
    <w:abstractNumId w:val="36"/>
  </w:num>
  <w:num w:numId="8">
    <w:abstractNumId w:val="10"/>
  </w:num>
  <w:num w:numId="9">
    <w:abstractNumId w:val="39"/>
  </w:num>
  <w:num w:numId="10">
    <w:abstractNumId w:val="24"/>
  </w:num>
  <w:num w:numId="11">
    <w:abstractNumId w:val="3"/>
  </w:num>
  <w:num w:numId="12">
    <w:abstractNumId w:val="29"/>
  </w:num>
  <w:num w:numId="13">
    <w:abstractNumId w:val="13"/>
  </w:num>
  <w:num w:numId="14">
    <w:abstractNumId w:val="43"/>
  </w:num>
  <w:num w:numId="15">
    <w:abstractNumId w:val="35"/>
  </w:num>
  <w:num w:numId="16">
    <w:abstractNumId w:val="34"/>
  </w:num>
  <w:num w:numId="17">
    <w:abstractNumId w:val="25"/>
  </w:num>
  <w:num w:numId="18">
    <w:abstractNumId w:val="15"/>
  </w:num>
  <w:num w:numId="19">
    <w:abstractNumId w:val="17"/>
  </w:num>
  <w:num w:numId="20">
    <w:abstractNumId w:val="11"/>
  </w:num>
  <w:num w:numId="21">
    <w:abstractNumId w:val="22"/>
  </w:num>
  <w:num w:numId="22">
    <w:abstractNumId w:val="23"/>
  </w:num>
  <w:num w:numId="23">
    <w:abstractNumId w:val="41"/>
  </w:num>
  <w:num w:numId="24">
    <w:abstractNumId w:val="18"/>
  </w:num>
  <w:num w:numId="25">
    <w:abstractNumId w:val="37"/>
  </w:num>
  <w:num w:numId="26">
    <w:abstractNumId w:val="28"/>
  </w:num>
  <w:num w:numId="27">
    <w:abstractNumId w:val="32"/>
  </w:num>
  <w:num w:numId="28">
    <w:abstractNumId w:val="12"/>
  </w:num>
  <w:num w:numId="29">
    <w:abstractNumId w:val="14"/>
  </w:num>
  <w:num w:numId="30">
    <w:abstractNumId w:val="7"/>
  </w:num>
  <w:num w:numId="31">
    <w:abstractNumId w:val="6"/>
  </w:num>
  <w:num w:numId="32">
    <w:abstractNumId w:val="44"/>
  </w:num>
  <w:num w:numId="33">
    <w:abstractNumId w:val="4"/>
  </w:num>
  <w:num w:numId="34">
    <w:abstractNumId w:val="26"/>
  </w:num>
  <w:num w:numId="35">
    <w:abstractNumId w:val="45"/>
  </w:num>
  <w:num w:numId="36">
    <w:abstractNumId w:val="9"/>
  </w:num>
  <w:num w:numId="37">
    <w:abstractNumId w:val="33"/>
  </w:num>
  <w:num w:numId="38">
    <w:abstractNumId w:val="8"/>
  </w:num>
  <w:num w:numId="39">
    <w:abstractNumId w:val="19"/>
  </w:num>
  <w:num w:numId="40">
    <w:abstractNumId w:val="2"/>
  </w:num>
  <w:num w:numId="41">
    <w:abstractNumId w:val="30"/>
  </w:num>
  <w:num w:numId="42">
    <w:abstractNumId w:val="27"/>
  </w:num>
  <w:num w:numId="43">
    <w:abstractNumId w:val="16"/>
  </w:num>
  <w:num w:numId="44">
    <w:abstractNumId w:val="20"/>
  </w:num>
  <w:num w:numId="45">
    <w:abstractNumId w:val="42"/>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intFractionalCharacterWidth/>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22A29"/>
    <w:rsid w:val="0003264C"/>
    <w:rsid w:val="000355FD"/>
    <w:rsid w:val="00051E39"/>
    <w:rsid w:val="00071048"/>
    <w:rsid w:val="00075C63"/>
    <w:rsid w:val="00076615"/>
    <w:rsid w:val="00077239"/>
    <w:rsid w:val="00080905"/>
    <w:rsid w:val="000822BE"/>
    <w:rsid w:val="00085BBC"/>
    <w:rsid w:val="00086491"/>
    <w:rsid w:val="00091346"/>
    <w:rsid w:val="000970EB"/>
    <w:rsid w:val="000B1248"/>
    <w:rsid w:val="000B3246"/>
    <w:rsid w:val="000F73FF"/>
    <w:rsid w:val="00114CF7"/>
    <w:rsid w:val="00123B68"/>
    <w:rsid w:val="00126F2E"/>
    <w:rsid w:val="00141C80"/>
    <w:rsid w:val="00143B37"/>
    <w:rsid w:val="001451CC"/>
    <w:rsid w:val="00146F6F"/>
    <w:rsid w:val="00147DA1"/>
    <w:rsid w:val="00152957"/>
    <w:rsid w:val="00162685"/>
    <w:rsid w:val="00187BD9"/>
    <w:rsid w:val="00190B55"/>
    <w:rsid w:val="00194CFB"/>
    <w:rsid w:val="001B2ED3"/>
    <w:rsid w:val="001C3B5F"/>
    <w:rsid w:val="001D058F"/>
    <w:rsid w:val="001D2F09"/>
    <w:rsid w:val="002009EA"/>
    <w:rsid w:val="00202CA0"/>
    <w:rsid w:val="002154A6"/>
    <w:rsid w:val="002162CD"/>
    <w:rsid w:val="002255B3"/>
    <w:rsid w:val="00236E8A"/>
    <w:rsid w:val="00245A45"/>
    <w:rsid w:val="00271316"/>
    <w:rsid w:val="00296313"/>
    <w:rsid w:val="002A2717"/>
    <w:rsid w:val="002B507B"/>
    <w:rsid w:val="002C63F6"/>
    <w:rsid w:val="002D58BE"/>
    <w:rsid w:val="003013EE"/>
    <w:rsid w:val="003711D7"/>
    <w:rsid w:val="00371686"/>
    <w:rsid w:val="00372AEE"/>
    <w:rsid w:val="00377BD3"/>
    <w:rsid w:val="00384088"/>
    <w:rsid w:val="0038489B"/>
    <w:rsid w:val="0039169B"/>
    <w:rsid w:val="003A37B1"/>
    <w:rsid w:val="003A7F8C"/>
    <w:rsid w:val="003B532E"/>
    <w:rsid w:val="003B6F14"/>
    <w:rsid w:val="003D009F"/>
    <w:rsid w:val="003D0F8B"/>
    <w:rsid w:val="004131D4"/>
    <w:rsid w:val="0041348E"/>
    <w:rsid w:val="00437E3B"/>
    <w:rsid w:val="00440B43"/>
    <w:rsid w:val="00447308"/>
    <w:rsid w:val="004765FF"/>
    <w:rsid w:val="00492075"/>
    <w:rsid w:val="004969AD"/>
    <w:rsid w:val="004B13CB"/>
    <w:rsid w:val="004B4FDF"/>
    <w:rsid w:val="004D5D5C"/>
    <w:rsid w:val="004E0DD0"/>
    <w:rsid w:val="004E5C86"/>
    <w:rsid w:val="0050139F"/>
    <w:rsid w:val="00521223"/>
    <w:rsid w:val="00524DF1"/>
    <w:rsid w:val="00531FE9"/>
    <w:rsid w:val="0055140B"/>
    <w:rsid w:val="00554C4F"/>
    <w:rsid w:val="00561D72"/>
    <w:rsid w:val="005964AB"/>
    <w:rsid w:val="005B44F5"/>
    <w:rsid w:val="005C099A"/>
    <w:rsid w:val="005C31A5"/>
    <w:rsid w:val="005E1050"/>
    <w:rsid w:val="005E10C9"/>
    <w:rsid w:val="005E61DD"/>
    <w:rsid w:val="005E6321"/>
    <w:rsid w:val="006023DF"/>
    <w:rsid w:val="00607EF3"/>
    <w:rsid w:val="00616175"/>
    <w:rsid w:val="0064322F"/>
    <w:rsid w:val="00657DE0"/>
    <w:rsid w:val="0067199F"/>
    <w:rsid w:val="00685313"/>
    <w:rsid w:val="00687B47"/>
    <w:rsid w:val="00696297"/>
    <w:rsid w:val="006A3B90"/>
    <w:rsid w:val="006A6E9B"/>
    <w:rsid w:val="006A75BC"/>
    <w:rsid w:val="006B7C2A"/>
    <w:rsid w:val="006C23DA"/>
    <w:rsid w:val="006C59B9"/>
    <w:rsid w:val="006C5E3F"/>
    <w:rsid w:val="006E3D45"/>
    <w:rsid w:val="006F5B9F"/>
    <w:rsid w:val="007149F9"/>
    <w:rsid w:val="00716D34"/>
    <w:rsid w:val="00733A30"/>
    <w:rsid w:val="00745AEE"/>
    <w:rsid w:val="007479EA"/>
    <w:rsid w:val="00750F10"/>
    <w:rsid w:val="007742CA"/>
    <w:rsid w:val="007935AD"/>
    <w:rsid w:val="007A1872"/>
    <w:rsid w:val="007D06F0"/>
    <w:rsid w:val="007D45E3"/>
    <w:rsid w:val="007D5320"/>
    <w:rsid w:val="007E1CA3"/>
    <w:rsid w:val="007F735C"/>
    <w:rsid w:val="00800972"/>
    <w:rsid w:val="00804475"/>
    <w:rsid w:val="00811633"/>
    <w:rsid w:val="00821CEF"/>
    <w:rsid w:val="00832828"/>
    <w:rsid w:val="0083645A"/>
    <w:rsid w:val="00840B0F"/>
    <w:rsid w:val="008631A7"/>
    <w:rsid w:val="0086376E"/>
    <w:rsid w:val="008711AE"/>
    <w:rsid w:val="00872FC8"/>
    <w:rsid w:val="008801D3"/>
    <w:rsid w:val="008845D0"/>
    <w:rsid w:val="008B43F2"/>
    <w:rsid w:val="008B61EA"/>
    <w:rsid w:val="008B6CFF"/>
    <w:rsid w:val="00910B26"/>
    <w:rsid w:val="009274B4"/>
    <w:rsid w:val="00934EA2"/>
    <w:rsid w:val="00944A5C"/>
    <w:rsid w:val="00952A66"/>
    <w:rsid w:val="009618DD"/>
    <w:rsid w:val="009766C5"/>
    <w:rsid w:val="009C56E5"/>
    <w:rsid w:val="009D2796"/>
    <w:rsid w:val="009E5FC8"/>
    <w:rsid w:val="009E687A"/>
    <w:rsid w:val="00A023EF"/>
    <w:rsid w:val="00A03C5C"/>
    <w:rsid w:val="00A066F1"/>
    <w:rsid w:val="00A141AF"/>
    <w:rsid w:val="00A16D29"/>
    <w:rsid w:val="00A20E5E"/>
    <w:rsid w:val="00A30305"/>
    <w:rsid w:val="00A31D2D"/>
    <w:rsid w:val="00A4600A"/>
    <w:rsid w:val="00A538A6"/>
    <w:rsid w:val="00A54C25"/>
    <w:rsid w:val="00A56AB8"/>
    <w:rsid w:val="00A56F19"/>
    <w:rsid w:val="00A710E7"/>
    <w:rsid w:val="00A72661"/>
    <w:rsid w:val="00A7372E"/>
    <w:rsid w:val="00A8357E"/>
    <w:rsid w:val="00A93B85"/>
    <w:rsid w:val="00AA0B18"/>
    <w:rsid w:val="00AA14C0"/>
    <w:rsid w:val="00AA666F"/>
    <w:rsid w:val="00AB4927"/>
    <w:rsid w:val="00B004E5"/>
    <w:rsid w:val="00B15F9D"/>
    <w:rsid w:val="00B639E9"/>
    <w:rsid w:val="00B817CD"/>
    <w:rsid w:val="00B911B2"/>
    <w:rsid w:val="00B951D0"/>
    <w:rsid w:val="00BA70B7"/>
    <w:rsid w:val="00BB29C8"/>
    <w:rsid w:val="00BB3A95"/>
    <w:rsid w:val="00BC0382"/>
    <w:rsid w:val="00BD155E"/>
    <w:rsid w:val="00BE1A9F"/>
    <w:rsid w:val="00C0018F"/>
    <w:rsid w:val="00C20466"/>
    <w:rsid w:val="00C214ED"/>
    <w:rsid w:val="00C234E6"/>
    <w:rsid w:val="00C324A8"/>
    <w:rsid w:val="00C54517"/>
    <w:rsid w:val="00C571D9"/>
    <w:rsid w:val="00C64CD8"/>
    <w:rsid w:val="00C90466"/>
    <w:rsid w:val="00C97C68"/>
    <w:rsid w:val="00CA1A47"/>
    <w:rsid w:val="00CB2BB6"/>
    <w:rsid w:val="00CC247A"/>
    <w:rsid w:val="00CE5E47"/>
    <w:rsid w:val="00CF020F"/>
    <w:rsid w:val="00CF1551"/>
    <w:rsid w:val="00CF2B5B"/>
    <w:rsid w:val="00D01145"/>
    <w:rsid w:val="00D02508"/>
    <w:rsid w:val="00D14CE0"/>
    <w:rsid w:val="00D36333"/>
    <w:rsid w:val="00D5651D"/>
    <w:rsid w:val="00D61C5B"/>
    <w:rsid w:val="00D70CE0"/>
    <w:rsid w:val="00D74898"/>
    <w:rsid w:val="00D801ED"/>
    <w:rsid w:val="00D81E43"/>
    <w:rsid w:val="00D83BF5"/>
    <w:rsid w:val="00D90A5E"/>
    <w:rsid w:val="00D925C2"/>
    <w:rsid w:val="00D936BC"/>
    <w:rsid w:val="00D9621A"/>
    <w:rsid w:val="00D96530"/>
    <w:rsid w:val="00D96B4B"/>
    <w:rsid w:val="00DA2345"/>
    <w:rsid w:val="00DA453A"/>
    <w:rsid w:val="00DA7078"/>
    <w:rsid w:val="00DD08B4"/>
    <w:rsid w:val="00DD44AF"/>
    <w:rsid w:val="00DE2AC3"/>
    <w:rsid w:val="00DE434C"/>
    <w:rsid w:val="00DE5692"/>
    <w:rsid w:val="00DF6F8E"/>
    <w:rsid w:val="00E03C94"/>
    <w:rsid w:val="00E07105"/>
    <w:rsid w:val="00E245CC"/>
    <w:rsid w:val="00E26226"/>
    <w:rsid w:val="00E33DB7"/>
    <w:rsid w:val="00E4165C"/>
    <w:rsid w:val="00E45D05"/>
    <w:rsid w:val="00E55816"/>
    <w:rsid w:val="00E55AEF"/>
    <w:rsid w:val="00E71B56"/>
    <w:rsid w:val="00E976C1"/>
    <w:rsid w:val="00EA12E5"/>
    <w:rsid w:val="00ED052A"/>
    <w:rsid w:val="00F02766"/>
    <w:rsid w:val="00F04067"/>
    <w:rsid w:val="00F05BD4"/>
    <w:rsid w:val="00F10562"/>
    <w:rsid w:val="00F11A98"/>
    <w:rsid w:val="00F21A1D"/>
    <w:rsid w:val="00F2683C"/>
    <w:rsid w:val="00F55058"/>
    <w:rsid w:val="00F65C19"/>
    <w:rsid w:val="00F87CC0"/>
    <w:rsid w:val="00F9616C"/>
    <w:rsid w:val="00FD2546"/>
    <w:rsid w:val="00FD772E"/>
    <w:rsid w:val="00FE3926"/>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DD73D2"/>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uiPriority w:val="9"/>
    <w:qFormat/>
    <w:pPr>
      <w:keepNext/>
      <w:keepLines/>
      <w:spacing w:before="280"/>
      <w:ind w:left="1134" w:hanging="1134"/>
      <w:outlineLvl w:val="0"/>
    </w:pPr>
    <w:rPr>
      <w:b/>
      <w:sz w:val="28"/>
    </w:rPr>
  </w:style>
  <w:style w:type="paragraph" w:styleId="Heading2">
    <w:name w:val="heading 2"/>
    <w:basedOn w:val="Heading1"/>
    <w:next w:val="Normal"/>
    <w:link w:val="Heading2Char"/>
    <w:qFormat/>
    <w:pPr>
      <w:spacing w:before="200"/>
      <w:outlineLvl w:val="1"/>
    </w:pPr>
    <w:rPr>
      <w:sz w:val="24"/>
    </w:rPr>
  </w:style>
  <w:style w:type="paragraph" w:styleId="Heading3">
    <w:name w:val="heading 3"/>
    <w:basedOn w:val="Heading1"/>
    <w:next w:val="Normal"/>
    <w:link w:val="Heading3Char"/>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2154A6"/>
    <w:rPr>
      <w:rFonts w:asciiTheme="minorHAnsi" w:hAnsiTheme="minorHAnsi"/>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uiPriority w:val="99"/>
    <w:rsid w:val="00745AEE"/>
    <w:pPr>
      <w:spacing w:before="0"/>
      <w:jc w:val="center"/>
    </w:pPr>
    <w:rPr>
      <w:sz w:val="18"/>
    </w:rPr>
  </w:style>
  <w:style w:type="character" w:customStyle="1" w:styleId="HeaderChar">
    <w:name w:val="Header Char"/>
    <w:basedOn w:val="DefaultParagraphFont"/>
    <w:link w:val="Header"/>
    <w:uiPriority w:val="99"/>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uiPriority w:val="39"/>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uiPriority w:val="39"/>
    <w:rsid w:val="001D058F"/>
    <w:pPr>
      <w:spacing w:before="120"/>
    </w:pPr>
  </w:style>
  <w:style w:type="paragraph" w:styleId="TOC3">
    <w:name w:val="toc 3"/>
    <w:basedOn w:val="TOC2"/>
    <w:uiPriority w:val="39"/>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link w:val="Title1Char"/>
    <w:qFormat/>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NUMBERED PARAGRAPH,List Paragraph 1,List Paragraph (numbered (a)),Use Case List Paragraph,References,ReferencesCxSpLast,lp1,List Paragraph1,Recommendation,List Paragraph11,Bullet List,FooterText,numbered,Paragraphe de liste1,Bullet 1,O5"/>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UnresolvedMention">
    <w:name w:val="Unresolved Mention"/>
    <w:basedOn w:val="DefaultParagraphFont"/>
    <w:uiPriority w:val="99"/>
    <w:semiHidden/>
    <w:unhideWhenUsed/>
    <w:rsid w:val="00616175"/>
    <w:rPr>
      <w:color w:val="605E5C"/>
      <w:shd w:val="clear" w:color="auto" w:fill="E1DFDD"/>
    </w:rPr>
  </w:style>
  <w:style w:type="character" w:customStyle="1" w:styleId="Title1Char">
    <w:name w:val="Title 1 Char"/>
    <w:link w:val="Title1"/>
    <w:qFormat/>
    <w:locked/>
    <w:rsid w:val="002C63F6"/>
    <w:rPr>
      <w:rFonts w:asciiTheme="minorHAnsi" w:hAnsiTheme="minorHAnsi"/>
      <w:caps/>
      <w:sz w:val="28"/>
      <w:lang w:val="en-GB" w:eastAsia="en-US"/>
    </w:rPr>
  </w:style>
  <w:style w:type="paragraph" w:styleId="Index7">
    <w:name w:val="index 7"/>
    <w:basedOn w:val="Normal"/>
    <w:next w:val="Normal"/>
    <w:semiHidden/>
    <w:rsid w:val="00BD155E"/>
    <w:pPr>
      <w:tabs>
        <w:tab w:val="clear" w:pos="1134"/>
        <w:tab w:val="clear" w:pos="1871"/>
        <w:tab w:val="clear" w:pos="2268"/>
        <w:tab w:val="left" w:pos="794"/>
        <w:tab w:val="left" w:pos="1191"/>
        <w:tab w:val="left" w:pos="1588"/>
        <w:tab w:val="left" w:pos="1985"/>
      </w:tabs>
      <w:ind w:left="1698"/>
      <w:jc w:val="both"/>
    </w:pPr>
    <w:rPr>
      <w:rFonts w:eastAsia="SimSun"/>
    </w:rPr>
  </w:style>
  <w:style w:type="paragraph" w:styleId="Index6">
    <w:name w:val="index 6"/>
    <w:basedOn w:val="Normal"/>
    <w:next w:val="Normal"/>
    <w:semiHidden/>
    <w:rsid w:val="00BD155E"/>
    <w:pPr>
      <w:tabs>
        <w:tab w:val="clear" w:pos="1134"/>
        <w:tab w:val="clear" w:pos="1871"/>
        <w:tab w:val="clear" w:pos="2268"/>
        <w:tab w:val="left" w:pos="794"/>
        <w:tab w:val="left" w:pos="1191"/>
        <w:tab w:val="left" w:pos="1588"/>
        <w:tab w:val="left" w:pos="1985"/>
      </w:tabs>
      <w:ind w:left="1415"/>
      <w:jc w:val="both"/>
    </w:pPr>
    <w:rPr>
      <w:rFonts w:eastAsia="SimSun"/>
    </w:rPr>
  </w:style>
  <w:style w:type="paragraph" w:styleId="Index5">
    <w:name w:val="index 5"/>
    <w:basedOn w:val="Normal"/>
    <w:next w:val="Normal"/>
    <w:semiHidden/>
    <w:rsid w:val="00BD155E"/>
    <w:pPr>
      <w:tabs>
        <w:tab w:val="clear" w:pos="1134"/>
        <w:tab w:val="clear" w:pos="1871"/>
        <w:tab w:val="clear" w:pos="2268"/>
        <w:tab w:val="left" w:pos="794"/>
        <w:tab w:val="left" w:pos="1191"/>
        <w:tab w:val="left" w:pos="1588"/>
        <w:tab w:val="left" w:pos="1985"/>
      </w:tabs>
      <w:ind w:left="1132"/>
      <w:jc w:val="both"/>
    </w:pPr>
    <w:rPr>
      <w:rFonts w:eastAsia="SimSun"/>
    </w:rPr>
  </w:style>
  <w:style w:type="paragraph" w:styleId="Index4">
    <w:name w:val="index 4"/>
    <w:basedOn w:val="Normal"/>
    <w:next w:val="Normal"/>
    <w:semiHidden/>
    <w:rsid w:val="00BD155E"/>
    <w:pPr>
      <w:tabs>
        <w:tab w:val="clear" w:pos="1134"/>
        <w:tab w:val="clear" w:pos="1871"/>
        <w:tab w:val="clear" w:pos="2268"/>
        <w:tab w:val="left" w:pos="794"/>
        <w:tab w:val="left" w:pos="1191"/>
        <w:tab w:val="left" w:pos="1588"/>
        <w:tab w:val="left" w:pos="1985"/>
      </w:tabs>
      <w:ind w:left="849"/>
      <w:jc w:val="both"/>
    </w:pPr>
    <w:rPr>
      <w:rFonts w:eastAsia="SimSun"/>
    </w:rPr>
  </w:style>
  <w:style w:type="paragraph" w:styleId="Index3">
    <w:name w:val="index 3"/>
    <w:basedOn w:val="Normal"/>
    <w:next w:val="Normal"/>
    <w:semiHidden/>
    <w:rsid w:val="00BD155E"/>
    <w:pPr>
      <w:tabs>
        <w:tab w:val="clear" w:pos="1134"/>
        <w:tab w:val="clear" w:pos="1871"/>
        <w:tab w:val="clear" w:pos="2268"/>
        <w:tab w:val="left" w:pos="794"/>
        <w:tab w:val="left" w:pos="1191"/>
        <w:tab w:val="left" w:pos="1588"/>
        <w:tab w:val="left" w:pos="1985"/>
      </w:tabs>
      <w:ind w:left="566"/>
      <w:jc w:val="both"/>
    </w:pPr>
    <w:rPr>
      <w:rFonts w:eastAsia="SimSun"/>
    </w:rPr>
  </w:style>
  <w:style w:type="paragraph" w:styleId="Index2">
    <w:name w:val="index 2"/>
    <w:basedOn w:val="Normal"/>
    <w:next w:val="Normal"/>
    <w:semiHidden/>
    <w:rsid w:val="00BD155E"/>
    <w:pPr>
      <w:tabs>
        <w:tab w:val="clear" w:pos="1134"/>
        <w:tab w:val="clear" w:pos="1871"/>
        <w:tab w:val="clear" w:pos="2268"/>
        <w:tab w:val="left" w:pos="794"/>
        <w:tab w:val="left" w:pos="1191"/>
        <w:tab w:val="left" w:pos="1588"/>
        <w:tab w:val="left" w:pos="1985"/>
      </w:tabs>
      <w:ind w:left="283"/>
      <w:jc w:val="both"/>
    </w:pPr>
    <w:rPr>
      <w:rFonts w:eastAsia="SimSun"/>
    </w:rPr>
  </w:style>
  <w:style w:type="paragraph" w:styleId="Index1">
    <w:name w:val="index 1"/>
    <w:basedOn w:val="Normal"/>
    <w:next w:val="Normal"/>
    <w:semiHidden/>
    <w:rsid w:val="00BD155E"/>
    <w:pPr>
      <w:tabs>
        <w:tab w:val="clear" w:pos="1134"/>
        <w:tab w:val="clear" w:pos="1871"/>
        <w:tab w:val="clear" w:pos="2268"/>
        <w:tab w:val="left" w:pos="794"/>
        <w:tab w:val="left" w:pos="1191"/>
        <w:tab w:val="left" w:pos="1588"/>
        <w:tab w:val="left" w:pos="1985"/>
      </w:tabs>
      <w:jc w:val="both"/>
    </w:pPr>
    <w:rPr>
      <w:rFonts w:eastAsia="SimSun"/>
    </w:rPr>
  </w:style>
  <w:style w:type="character" w:styleId="LineNumber">
    <w:name w:val="line number"/>
    <w:basedOn w:val="DefaultParagraphFont"/>
    <w:rsid w:val="00BD155E"/>
  </w:style>
  <w:style w:type="paragraph" w:styleId="IndexHeading">
    <w:name w:val="index heading"/>
    <w:basedOn w:val="Normal"/>
    <w:next w:val="Index1"/>
    <w:semiHidden/>
    <w:rsid w:val="00BD155E"/>
    <w:pPr>
      <w:tabs>
        <w:tab w:val="clear" w:pos="1134"/>
        <w:tab w:val="clear" w:pos="1871"/>
        <w:tab w:val="clear" w:pos="2268"/>
        <w:tab w:val="left" w:pos="794"/>
        <w:tab w:val="left" w:pos="1191"/>
        <w:tab w:val="left" w:pos="1588"/>
        <w:tab w:val="left" w:pos="1985"/>
      </w:tabs>
      <w:jc w:val="both"/>
    </w:pPr>
    <w:rPr>
      <w:rFonts w:eastAsia="SimSun"/>
    </w:rPr>
  </w:style>
  <w:style w:type="paragraph" w:customStyle="1" w:styleId="toc0">
    <w:name w:val="toc 0"/>
    <w:basedOn w:val="Normal"/>
    <w:next w:val="TOC1"/>
    <w:rsid w:val="00BD155E"/>
    <w:pPr>
      <w:tabs>
        <w:tab w:val="clear" w:pos="1134"/>
        <w:tab w:val="clear" w:pos="1871"/>
        <w:tab w:val="clear" w:pos="2268"/>
        <w:tab w:val="right" w:pos="9781"/>
      </w:tabs>
      <w:jc w:val="both"/>
    </w:pPr>
    <w:rPr>
      <w:rFonts w:eastAsia="SimSun"/>
      <w:b/>
    </w:rPr>
  </w:style>
  <w:style w:type="paragraph" w:customStyle="1" w:styleId="ASN1">
    <w:name w:val="ASN.1"/>
    <w:basedOn w:val="Normal"/>
    <w:rsid w:val="00BD155E"/>
    <w:pPr>
      <w:tabs>
        <w:tab w:val="clear" w:pos="1871"/>
        <w:tab w:val="left" w:pos="567"/>
        <w:tab w:val="left" w:pos="1701"/>
        <w:tab w:val="left" w:pos="2835"/>
        <w:tab w:val="left" w:pos="3402"/>
        <w:tab w:val="left" w:pos="3969"/>
        <w:tab w:val="left" w:pos="4536"/>
        <w:tab w:val="left" w:pos="5103"/>
        <w:tab w:val="left" w:pos="5670"/>
      </w:tabs>
      <w:spacing w:before="0"/>
      <w:jc w:val="both"/>
    </w:pPr>
    <w:rPr>
      <w:rFonts w:ascii="Times New Roman Bold" w:eastAsia="SimSun" w:hAnsi="Times New Roman Bold"/>
      <w:b/>
      <w:noProof/>
      <w:sz w:val="20"/>
    </w:rPr>
  </w:style>
  <w:style w:type="paragraph" w:styleId="TOC9">
    <w:name w:val="toc 9"/>
    <w:basedOn w:val="TOC3"/>
    <w:next w:val="Normal"/>
    <w:semiHidden/>
    <w:rsid w:val="00BD155E"/>
    <w:pPr>
      <w:keepLines w:val="0"/>
      <w:tabs>
        <w:tab w:val="clear" w:pos="1871"/>
        <w:tab w:val="clear" w:pos="7938"/>
        <w:tab w:val="clear" w:pos="9526"/>
      </w:tabs>
      <w:spacing w:before="0"/>
      <w:ind w:left="1920" w:firstLine="0"/>
    </w:pPr>
    <w:rPr>
      <w:rFonts w:eastAsia="SimSun" w:cstheme="minorHAnsi"/>
      <w:sz w:val="20"/>
    </w:rPr>
  </w:style>
  <w:style w:type="paragraph" w:customStyle="1" w:styleId="ddate">
    <w:name w:val="ddate"/>
    <w:basedOn w:val="Normal"/>
    <w:rsid w:val="00BD155E"/>
    <w:pPr>
      <w:framePr w:hSpace="181" w:wrap="around" w:vAnchor="page" w:hAnchor="margin" w:y="852"/>
      <w:shd w:val="solid" w:color="FFFFFF" w:fill="FFFFFF"/>
      <w:spacing w:before="0"/>
      <w:jc w:val="both"/>
    </w:pPr>
    <w:rPr>
      <w:rFonts w:eastAsia="SimSun"/>
      <w:b/>
      <w:bCs/>
    </w:rPr>
  </w:style>
  <w:style w:type="paragraph" w:customStyle="1" w:styleId="dnum">
    <w:name w:val="dnum"/>
    <w:basedOn w:val="Normal"/>
    <w:rsid w:val="00BD155E"/>
    <w:pPr>
      <w:framePr w:hSpace="181" w:wrap="around" w:vAnchor="page" w:hAnchor="margin" w:y="852"/>
      <w:shd w:val="solid" w:color="FFFFFF" w:fill="FFFFFF"/>
      <w:jc w:val="both"/>
    </w:pPr>
    <w:rPr>
      <w:rFonts w:eastAsia="SimSun"/>
      <w:b/>
      <w:bCs/>
    </w:rPr>
  </w:style>
  <w:style w:type="paragraph" w:customStyle="1" w:styleId="dorlang">
    <w:name w:val="dorlang"/>
    <w:basedOn w:val="Normal"/>
    <w:rsid w:val="00BD155E"/>
    <w:pPr>
      <w:framePr w:hSpace="181" w:wrap="around" w:vAnchor="page" w:hAnchor="margin" w:y="852"/>
      <w:shd w:val="solid" w:color="FFFFFF" w:fill="FFFFFF"/>
      <w:spacing w:before="0"/>
      <w:jc w:val="both"/>
    </w:pPr>
    <w:rPr>
      <w:rFonts w:eastAsia="SimSun"/>
      <w:b/>
      <w:bCs/>
    </w:rPr>
  </w:style>
  <w:style w:type="character" w:styleId="EndnoteReference">
    <w:name w:val="endnote reference"/>
    <w:basedOn w:val="DefaultParagraphFont"/>
    <w:semiHidden/>
    <w:rsid w:val="00BD155E"/>
    <w:rPr>
      <w:vertAlign w:val="superscript"/>
    </w:rPr>
  </w:style>
  <w:style w:type="paragraph" w:customStyle="1" w:styleId="Recref">
    <w:name w:val="Rec_ref"/>
    <w:basedOn w:val="Rectitle"/>
    <w:next w:val="Recdate"/>
    <w:rsid w:val="00BD155E"/>
    <w:pPr>
      <w:tabs>
        <w:tab w:val="clear" w:pos="1134"/>
        <w:tab w:val="clear" w:pos="1871"/>
        <w:tab w:val="clear" w:pos="2268"/>
      </w:tabs>
      <w:spacing w:before="120"/>
    </w:pPr>
    <w:rPr>
      <w:rFonts w:eastAsia="SimSun"/>
      <w:b w:val="0"/>
      <w:i/>
      <w:sz w:val="24"/>
    </w:rPr>
  </w:style>
  <w:style w:type="paragraph" w:customStyle="1" w:styleId="Questionref">
    <w:name w:val="Question_ref"/>
    <w:basedOn w:val="Recref"/>
    <w:next w:val="Questiondate"/>
    <w:rsid w:val="00BD155E"/>
  </w:style>
  <w:style w:type="character" w:customStyle="1" w:styleId="Recdef">
    <w:name w:val="Rec_def"/>
    <w:basedOn w:val="DefaultParagraphFont"/>
    <w:rsid w:val="00BD155E"/>
    <w:rPr>
      <w:rFonts w:asciiTheme="minorHAnsi" w:hAnsiTheme="minorHAnsi"/>
      <w:b/>
    </w:rPr>
  </w:style>
  <w:style w:type="paragraph" w:customStyle="1" w:styleId="Reftext">
    <w:name w:val="Ref_text"/>
    <w:basedOn w:val="Normal"/>
    <w:rsid w:val="00BD155E"/>
    <w:pPr>
      <w:tabs>
        <w:tab w:val="clear" w:pos="1134"/>
        <w:tab w:val="clear" w:pos="1871"/>
        <w:tab w:val="clear" w:pos="2268"/>
        <w:tab w:val="left" w:pos="794"/>
        <w:tab w:val="left" w:pos="1191"/>
        <w:tab w:val="left" w:pos="1588"/>
        <w:tab w:val="left" w:pos="1985"/>
      </w:tabs>
      <w:ind w:left="794" w:hanging="794"/>
      <w:jc w:val="both"/>
    </w:pPr>
    <w:rPr>
      <w:rFonts w:eastAsia="SimSun"/>
    </w:rPr>
  </w:style>
  <w:style w:type="paragraph" w:customStyle="1" w:styleId="Reftitle">
    <w:name w:val="Ref_title"/>
    <w:basedOn w:val="Normal"/>
    <w:next w:val="Reftext"/>
    <w:rsid w:val="00BD155E"/>
    <w:pPr>
      <w:tabs>
        <w:tab w:val="clear" w:pos="1134"/>
        <w:tab w:val="clear" w:pos="1871"/>
        <w:tab w:val="clear" w:pos="2268"/>
        <w:tab w:val="left" w:pos="794"/>
        <w:tab w:val="left" w:pos="1191"/>
        <w:tab w:val="left" w:pos="1588"/>
        <w:tab w:val="left" w:pos="1985"/>
      </w:tabs>
      <w:spacing w:before="480"/>
      <w:jc w:val="center"/>
    </w:pPr>
    <w:rPr>
      <w:rFonts w:eastAsia="SimSun"/>
    </w:rPr>
  </w:style>
  <w:style w:type="paragraph" w:customStyle="1" w:styleId="Repdate">
    <w:name w:val="Rep_date"/>
    <w:basedOn w:val="Recdate"/>
    <w:next w:val="Normalaftertitle"/>
    <w:rsid w:val="00BD155E"/>
    <w:pPr>
      <w:tabs>
        <w:tab w:val="clear" w:pos="1134"/>
        <w:tab w:val="clear" w:pos="1871"/>
        <w:tab w:val="clear" w:pos="2268"/>
      </w:tabs>
    </w:pPr>
    <w:rPr>
      <w:rFonts w:eastAsia="SimSun"/>
      <w:i/>
    </w:rPr>
  </w:style>
  <w:style w:type="paragraph" w:customStyle="1" w:styleId="RepNo">
    <w:name w:val="Rep_No"/>
    <w:basedOn w:val="RecNo"/>
    <w:next w:val="Reptitle"/>
    <w:rsid w:val="00BD155E"/>
    <w:pPr>
      <w:tabs>
        <w:tab w:val="clear" w:pos="1134"/>
        <w:tab w:val="clear" w:pos="1871"/>
        <w:tab w:val="clear" w:pos="2268"/>
        <w:tab w:val="left" w:pos="794"/>
        <w:tab w:val="left" w:pos="1191"/>
        <w:tab w:val="left" w:pos="1588"/>
        <w:tab w:val="left" w:pos="1985"/>
      </w:tabs>
    </w:pPr>
    <w:rPr>
      <w:rFonts w:eastAsia="SimSun"/>
      <w:caps w:val="0"/>
    </w:rPr>
  </w:style>
  <w:style w:type="paragraph" w:customStyle="1" w:styleId="Reptitle">
    <w:name w:val="Rep_title"/>
    <w:basedOn w:val="Rectitle"/>
    <w:next w:val="Repref"/>
    <w:rsid w:val="00BD155E"/>
    <w:pPr>
      <w:tabs>
        <w:tab w:val="clear" w:pos="1134"/>
        <w:tab w:val="clear" w:pos="1871"/>
        <w:tab w:val="clear" w:pos="2268"/>
        <w:tab w:val="left" w:pos="794"/>
        <w:tab w:val="left" w:pos="1191"/>
        <w:tab w:val="left" w:pos="1588"/>
        <w:tab w:val="left" w:pos="1985"/>
      </w:tabs>
    </w:pPr>
    <w:rPr>
      <w:rFonts w:eastAsia="SimSun"/>
    </w:rPr>
  </w:style>
  <w:style w:type="paragraph" w:customStyle="1" w:styleId="Repref">
    <w:name w:val="Rep_ref"/>
    <w:basedOn w:val="Recref"/>
    <w:next w:val="Repdate"/>
    <w:rsid w:val="00BD155E"/>
  </w:style>
  <w:style w:type="paragraph" w:customStyle="1" w:styleId="Resdate">
    <w:name w:val="Res_date"/>
    <w:basedOn w:val="Recdate"/>
    <w:next w:val="Normalaftertitle"/>
    <w:rsid w:val="00BD155E"/>
    <w:pPr>
      <w:tabs>
        <w:tab w:val="clear" w:pos="1134"/>
        <w:tab w:val="clear" w:pos="1871"/>
        <w:tab w:val="clear" w:pos="2268"/>
      </w:tabs>
    </w:pPr>
    <w:rPr>
      <w:rFonts w:eastAsia="SimSun"/>
      <w:i/>
    </w:rPr>
  </w:style>
  <w:style w:type="character" w:customStyle="1" w:styleId="Resdef">
    <w:name w:val="Res_def"/>
    <w:basedOn w:val="DefaultParagraphFont"/>
    <w:rsid w:val="00BD155E"/>
    <w:rPr>
      <w:rFonts w:asciiTheme="minorHAnsi" w:hAnsiTheme="minorHAnsi"/>
      <w:b/>
    </w:rPr>
  </w:style>
  <w:style w:type="paragraph" w:customStyle="1" w:styleId="Resref">
    <w:name w:val="Res_ref"/>
    <w:basedOn w:val="Recref"/>
    <w:next w:val="Resdate"/>
    <w:rsid w:val="00BD155E"/>
  </w:style>
  <w:style w:type="character" w:styleId="PageNumber">
    <w:name w:val="page number"/>
    <w:basedOn w:val="DefaultParagraphFont"/>
    <w:rsid w:val="00BD155E"/>
    <w:rPr>
      <w:rFonts w:asciiTheme="minorHAnsi" w:hAnsiTheme="minorHAnsi"/>
    </w:rPr>
  </w:style>
  <w:style w:type="table" w:styleId="TableGrid">
    <w:name w:val="Table Grid"/>
    <w:basedOn w:val="TableNormal"/>
    <w:uiPriority w:val="39"/>
    <w:rsid w:val="00BD155E"/>
    <w:rPr>
      <w:rFonts w:ascii="CG Times" w:eastAsia="SimSun"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DTLogo">
    <w:name w:val="BDT_Logo"/>
    <w:uiPriority w:val="99"/>
    <w:rsid w:val="00BD155E"/>
    <w:pPr>
      <w:jc w:val="center"/>
    </w:pPr>
    <w:rPr>
      <w:rFonts w:ascii="Calibri" w:eastAsia="SimHei" w:hAnsi="Calibri" w:cs="Simplified Arabic"/>
      <w:sz w:val="22"/>
      <w:szCs w:val="28"/>
      <w:lang w:val="en-GB" w:eastAsia="en-US"/>
    </w:rPr>
  </w:style>
  <w:style w:type="character" w:styleId="FollowedHyperlink">
    <w:name w:val="FollowedHyperlink"/>
    <w:basedOn w:val="DefaultParagraphFont"/>
    <w:semiHidden/>
    <w:unhideWhenUsed/>
    <w:rsid w:val="00BD155E"/>
    <w:rPr>
      <w:color w:val="800080" w:themeColor="followedHyperlink"/>
      <w:u w:val="single"/>
    </w:rPr>
  </w:style>
  <w:style w:type="table" w:customStyle="1" w:styleId="GridTable2-Accent11">
    <w:name w:val="Grid Table 2 - Accent 11"/>
    <w:basedOn w:val="TableNormal"/>
    <w:uiPriority w:val="47"/>
    <w:rsid w:val="00BD155E"/>
    <w:rPr>
      <w:rFonts w:ascii="CG Times" w:eastAsia="SimSun" w:hAnsi="CG Time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
    <w:name w:val="Table Grid1"/>
    <w:basedOn w:val="TableNormal"/>
    <w:next w:val="TableGrid"/>
    <w:uiPriority w:val="39"/>
    <w:rsid w:val="00BD155E"/>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notaalpie1">
    <w:name w:val="de nota al pie1"/>
    <w:basedOn w:val="DefaultParagraphFont"/>
    <w:uiPriority w:val="99"/>
    <w:rsid w:val="00BD155E"/>
    <w:rPr>
      <w:rFonts w:ascii="Calibri" w:hAnsi="Calibri"/>
      <w:position w:val="6"/>
      <w:sz w:val="18"/>
    </w:rPr>
  </w:style>
  <w:style w:type="table" w:customStyle="1" w:styleId="GridTable4-Accent11">
    <w:name w:val="Grid Table 4 - Accent 11"/>
    <w:basedOn w:val="TableNormal"/>
    <w:uiPriority w:val="49"/>
    <w:rsid w:val="00BD155E"/>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11">
    <w:name w:val="List Table 6 Colorful - Accent 11"/>
    <w:basedOn w:val="TableNormal"/>
    <w:uiPriority w:val="51"/>
    <w:rsid w:val="00BD155E"/>
    <w:rPr>
      <w:rFonts w:asciiTheme="minorHAnsi" w:eastAsiaTheme="minorHAnsi" w:hAnsiTheme="minorHAnsi" w:cstheme="minorBidi"/>
      <w:color w:val="365F91" w:themeColor="accent1" w:themeShade="BF"/>
      <w:sz w:val="22"/>
      <w:szCs w:val="22"/>
      <w:lang w:val="en-GB"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BD155E"/>
    <w:rPr>
      <w:rFonts w:asciiTheme="minorHAnsi" w:eastAsia="SimSun" w:hAnsiTheme="minorHAnsi"/>
      <w:sz w:val="24"/>
      <w:lang w:val="en-GB" w:eastAsia="en-US"/>
    </w:rPr>
  </w:style>
  <w:style w:type="table" w:customStyle="1" w:styleId="GridTable4-Accent12">
    <w:name w:val="Grid Table 4 - Accent 12"/>
    <w:basedOn w:val="TableNormal"/>
    <w:uiPriority w:val="49"/>
    <w:rsid w:val="00BD155E"/>
    <w:rPr>
      <w:rFonts w:ascii="CG Times" w:eastAsia="SimSun" w:hAnsi="CG Time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1">
    <w:name w:val="Grid Table 41"/>
    <w:basedOn w:val="TableNormal"/>
    <w:uiPriority w:val="49"/>
    <w:rsid w:val="00BD155E"/>
    <w:rPr>
      <w:rFonts w:ascii="CG Times" w:eastAsia="SimSun" w:hAnsi="CG Tim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cimalAligned">
    <w:name w:val="Decimal Aligned"/>
    <w:basedOn w:val="Normal"/>
    <w:uiPriority w:val="40"/>
    <w:qFormat/>
    <w:rsid w:val="00BD155E"/>
    <w:pPr>
      <w:tabs>
        <w:tab w:val="clear" w:pos="1134"/>
        <w:tab w:val="clear" w:pos="1871"/>
        <w:tab w:val="clear" w:pos="2268"/>
        <w:tab w:val="decimal" w:pos="360"/>
      </w:tabs>
      <w:overflowPunct/>
      <w:autoSpaceDE/>
      <w:autoSpaceDN/>
      <w:adjustRightInd/>
      <w:spacing w:before="0" w:after="200" w:line="276" w:lineRule="auto"/>
      <w:jc w:val="both"/>
      <w:textAlignment w:val="auto"/>
    </w:pPr>
    <w:rPr>
      <w:rFonts w:eastAsiaTheme="minorEastAsia"/>
      <w:sz w:val="22"/>
      <w:szCs w:val="22"/>
    </w:rPr>
  </w:style>
  <w:style w:type="character" w:styleId="SubtleEmphasis">
    <w:name w:val="Subtle Emphasis"/>
    <w:basedOn w:val="DefaultParagraphFont"/>
    <w:uiPriority w:val="19"/>
    <w:qFormat/>
    <w:rsid w:val="00BD155E"/>
    <w:rPr>
      <w:i/>
      <w:iCs/>
    </w:rPr>
  </w:style>
  <w:style w:type="table" w:styleId="MediumShading2-Accent5">
    <w:name w:val="Medium Shading 2 Accent 5"/>
    <w:basedOn w:val="TableNormal"/>
    <w:uiPriority w:val="64"/>
    <w:rsid w:val="00BD155E"/>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UnresolvedMention1">
    <w:name w:val="Unresolved Mention1"/>
    <w:basedOn w:val="DefaultParagraphFont"/>
    <w:uiPriority w:val="99"/>
    <w:semiHidden/>
    <w:unhideWhenUsed/>
    <w:rsid w:val="00BD155E"/>
    <w:rPr>
      <w:color w:val="605E5C"/>
      <w:shd w:val="clear" w:color="auto" w:fill="E1DFDD"/>
    </w:rPr>
  </w:style>
  <w:style w:type="paragraph" w:styleId="NormalWeb">
    <w:name w:val="Normal (Web)"/>
    <w:basedOn w:val="Normal"/>
    <w:uiPriority w:val="99"/>
    <w:unhideWhenUsed/>
    <w:rsid w:val="00BD155E"/>
    <w:pPr>
      <w:tabs>
        <w:tab w:val="clear" w:pos="1134"/>
        <w:tab w:val="clear" w:pos="1871"/>
        <w:tab w:val="clear" w:pos="2268"/>
        <w:tab w:val="left" w:pos="794"/>
        <w:tab w:val="left" w:pos="1191"/>
        <w:tab w:val="left" w:pos="1588"/>
        <w:tab w:val="left" w:pos="1985"/>
      </w:tabs>
      <w:jc w:val="both"/>
    </w:pPr>
    <w:rPr>
      <w:rFonts w:ascii="Times New Roman" w:eastAsia="SimSun" w:hAnsi="Times New Roman"/>
      <w:szCs w:val="24"/>
    </w:rPr>
  </w:style>
  <w:style w:type="character" w:customStyle="1" w:styleId="normaltextrun">
    <w:name w:val="normaltextrun"/>
    <w:basedOn w:val="DefaultParagraphFont"/>
    <w:rsid w:val="00BD155E"/>
  </w:style>
  <w:style w:type="character" w:styleId="CommentReference">
    <w:name w:val="annotation reference"/>
    <w:basedOn w:val="DefaultParagraphFont"/>
    <w:uiPriority w:val="99"/>
    <w:semiHidden/>
    <w:unhideWhenUsed/>
    <w:rsid w:val="00BD155E"/>
    <w:rPr>
      <w:sz w:val="16"/>
      <w:szCs w:val="16"/>
    </w:rPr>
  </w:style>
  <w:style w:type="paragraph" w:styleId="CommentText">
    <w:name w:val="annotation text"/>
    <w:basedOn w:val="Normal"/>
    <w:link w:val="CommentTextChar"/>
    <w:uiPriority w:val="99"/>
    <w:unhideWhenUsed/>
    <w:rsid w:val="00BD155E"/>
    <w:pPr>
      <w:tabs>
        <w:tab w:val="clear" w:pos="1134"/>
        <w:tab w:val="clear" w:pos="1871"/>
        <w:tab w:val="clear" w:pos="2268"/>
        <w:tab w:val="left" w:pos="794"/>
        <w:tab w:val="left" w:pos="1191"/>
        <w:tab w:val="left" w:pos="1588"/>
        <w:tab w:val="left" w:pos="1985"/>
      </w:tabs>
      <w:jc w:val="both"/>
    </w:pPr>
    <w:rPr>
      <w:rFonts w:eastAsia="SimSun"/>
      <w:sz w:val="20"/>
    </w:rPr>
  </w:style>
  <w:style w:type="character" w:customStyle="1" w:styleId="CommentTextChar">
    <w:name w:val="Comment Text Char"/>
    <w:basedOn w:val="DefaultParagraphFont"/>
    <w:link w:val="CommentText"/>
    <w:uiPriority w:val="99"/>
    <w:rsid w:val="00BD155E"/>
    <w:rPr>
      <w:rFonts w:asciiTheme="minorHAnsi" w:eastAsia="SimSun" w:hAnsiTheme="minorHAnsi"/>
      <w:lang w:val="en-GB" w:eastAsia="en-US"/>
    </w:rPr>
  </w:style>
  <w:style w:type="paragraph" w:styleId="CommentSubject">
    <w:name w:val="annotation subject"/>
    <w:basedOn w:val="CommentText"/>
    <w:next w:val="CommentText"/>
    <w:link w:val="CommentSubjectChar"/>
    <w:semiHidden/>
    <w:unhideWhenUsed/>
    <w:rsid w:val="00BD155E"/>
    <w:rPr>
      <w:b/>
      <w:bCs/>
    </w:rPr>
  </w:style>
  <w:style w:type="character" w:customStyle="1" w:styleId="CommentSubjectChar">
    <w:name w:val="Comment Subject Char"/>
    <w:basedOn w:val="CommentTextChar"/>
    <w:link w:val="CommentSubject"/>
    <w:semiHidden/>
    <w:rsid w:val="00BD155E"/>
    <w:rPr>
      <w:rFonts w:asciiTheme="minorHAnsi" w:eastAsia="SimSun" w:hAnsiTheme="minorHAnsi"/>
      <w:b/>
      <w:bCs/>
      <w:lang w:val="en-GB" w:eastAsia="en-US"/>
    </w:rPr>
  </w:style>
  <w:style w:type="paragraph" w:customStyle="1" w:styleId="Pa13">
    <w:name w:val="Pa13"/>
    <w:basedOn w:val="Normal"/>
    <w:next w:val="Normal"/>
    <w:uiPriority w:val="99"/>
    <w:rsid w:val="00BD155E"/>
    <w:pPr>
      <w:tabs>
        <w:tab w:val="clear" w:pos="1134"/>
        <w:tab w:val="clear" w:pos="1871"/>
        <w:tab w:val="clear" w:pos="2268"/>
      </w:tabs>
      <w:overflowPunct/>
      <w:spacing w:before="0" w:line="201" w:lineRule="atLeast"/>
      <w:textAlignment w:val="auto"/>
    </w:pPr>
    <w:rPr>
      <w:rFonts w:ascii="Calibri Light" w:eastAsia="SimSun" w:hAnsi="Calibri Light" w:cs="Calibri Light"/>
      <w:szCs w:val="24"/>
      <w:lang w:eastAsia="zh-CN"/>
    </w:rPr>
  </w:style>
  <w:style w:type="character" w:customStyle="1" w:styleId="eop">
    <w:name w:val="eop"/>
    <w:basedOn w:val="DefaultParagraphFont"/>
    <w:rsid w:val="00BD155E"/>
  </w:style>
  <w:style w:type="paragraph" w:customStyle="1" w:styleId="paragraph">
    <w:name w:val="paragraph"/>
    <w:basedOn w:val="Normal"/>
    <w:rsid w:val="00BD155E"/>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SimSun" w:hAnsi="Times New Roman"/>
      <w:szCs w:val="24"/>
      <w:lang w:eastAsia="en-GB"/>
    </w:rPr>
  </w:style>
  <w:style w:type="character" w:customStyle="1" w:styleId="ui-provider">
    <w:name w:val="ui-provider"/>
    <w:basedOn w:val="DefaultParagraphFont"/>
    <w:rsid w:val="00BD155E"/>
  </w:style>
  <w:style w:type="character" w:customStyle="1" w:styleId="Mention1">
    <w:name w:val="Mention1"/>
    <w:basedOn w:val="DefaultParagraphFont"/>
    <w:uiPriority w:val="99"/>
    <w:unhideWhenUsed/>
    <w:rsid w:val="00BD155E"/>
    <w:rPr>
      <w:color w:val="2B579A"/>
      <w:shd w:val="clear" w:color="auto" w:fill="E1DFDD"/>
    </w:rPr>
  </w:style>
  <w:style w:type="character" w:customStyle="1" w:styleId="ListParagraphChar">
    <w:name w:val="List Paragraph Char"/>
    <w:aliases w:val="NUMBERED PARAGRAPH Char,List Paragraph 1 Char,List Paragraph (numbered (a)) Char,Use Case List Paragraph Char,References Char,ReferencesCxSpLast Char,lp1 Char,List Paragraph1 Char,Recommendation Char,List Paragraph11 Char,O5 Char"/>
    <w:basedOn w:val="DefaultParagraphFont"/>
    <w:link w:val="ListParagraph"/>
    <w:uiPriority w:val="34"/>
    <w:qFormat/>
    <w:locked/>
    <w:rsid w:val="00BD155E"/>
    <w:rPr>
      <w:rFonts w:asciiTheme="minorHAnsi" w:hAnsiTheme="minorHAnsi"/>
      <w:sz w:val="24"/>
      <w:lang w:val="en-GB" w:eastAsia="en-US"/>
    </w:rPr>
  </w:style>
  <w:style w:type="table" w:customStyle="1" w:styleId="TableGrid2">
    <w:name w:val="Table Grid2"/>
    <w:basedOn w:val="TableNormal"/>
    <w:next w:val="TableGrid"/>
    <w:uiPriority w:val="39"/>
    <w:rsid w:val="00BD155E"/>
    <w:rPr>
      <w:rFonts w:ascii="Calibri" w:eastAsia="Calibri" w:hAnsi="Calibr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D155E"/>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D155E"/>
    <w:rPr>
      <w:rFonts w:ascii="Calibri" w:eastAsia="Calibri" w:hAnsi="Calibr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155E"/>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D155E"/>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D155E"/>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D155E"/>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BD155E"/>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BD155E"/>
    <w:rPr>
      <w:rFonts w:asciiTheme="minorHAnsi" w:hAnsiTheme="minorHAnsi"/>
      <w:b/>
      <w:sz w:val="24"/>
      <w:lang w:val="en-GB" w:eastAsia="en-US"/>
    </w:rPr>
  </w:style>
  <w:style w:type="table" w:customStyle="1" w:styleId="TableGrid10">
    <w:name w:val="Table Grid10"/>
    <w:basedOn w:val="TableNormal"/>
    <w:next w:val="TableGrid"/>
    <w:uiPriority w:val="39"/>
    <w:rsid w:val="00BD155E"/>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D155E"/>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D155E"/>
    <w:rPr>
      <w:b/>
      <w:bCs/>
    </w:rPr>
  </w:style>
  <w:style w:type="paragraph" w:customStyle="1" w:styleId="pf0">
    <w:name w:val="pf0"/>
    <w:basedOn w:val="Normal"/>
    <w:rsid w:val="00BD155E"/>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apple-converted-space">
    <w:name w:val="apple-converted-space"/>
    <w:basedOn w:val="DefaultParagraphFont"/>
    <w:rsid w:val="00BD155E"/>
  </w:style>
  <w:style w:type="character" w:customStyle="1" w:styleId="xnormaltextrun">
    <w:name w:val="x_normaltextrun"/>
    <w:basedOn w:val="DefaultParagraphFont"/>
    <w:rsid w:val="00BD155E"/>
  </w:style>
  <w:style w:type="character" w:customStyle="1" w:styleId="xfindhit">
    <w:name w:val="x_findhit"/>
    <w:basedOn w:val="DefaultParagraphFont"/>
    <w:rsid w:val="00BD155E"/>
  </w:style>
  <w:style w:type="character" w:customStyle="1" w:styleId="xeop">
    <w:name w:val="x_eop"/>
    <w:basedOn w:val="DefaultParagraphFont"/>
    <w:rsid w:val="00BD155E"/>
  </w:style>
  <w:style w:type="character" w:customStyle="1" w:styleId="Heading2Char">
    <w:name w:val="Heading 2 Char"/>
    <w:basedOn w:val="DefaultParagraphFont"/>
    <w:link w:val="Heading2"/>
    <w:rsid w:val="00BD155E"/>
    <w:rPr>
      <w:rFonts w:asciiTheme="minorHAnsi" w:hAnsiTheme="minorHAnsi"/>
      <w:b/>
      <w:sz w:val="24"/>
      <w:lang w:val="en-GB" w:eastAsia="en-US"/>
    </w:rPr>
  </w:style>
  <w:style w:type="paragraph" w:styleId="TOCHeading">
    <w:name w:val="TOC Heading"/>
    <w:basedOn w:val="Heading1"/>
    <w:next w:val="Normal"/>
    <w:uiPriority w:val="39"/>
    <w:unhideWhenUsed/>
    <w:qFormat/>
    <w:rsid w:val="00BD155E"/>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Theme="majorHAnsi" w:eastAsiaTheme="majorEastAsia" w:hAnsiTheme="majorHAnsi" w:cstheme="majorBidi"/>
      <w:bCs/>
      <w:color w:val="365F91" w:themeColor="accent1" w:themeShade="BF"/>
      <w:sz w:val="24"/>
      <w:szCs w:val="28"/>
      <w:lang w:val="en-US" w:eastAsia="zh-CN"/>
    </w:rPr>
  </w:style>
  <w:style w:type="paragraph" w:styleId="Title">
    <w:name w:val="Title"/>
    <w:basedOn w:val="Normal"/>
    <w:next w:val="Normal"/>
    <w:link w:val="TitleChar"/>
    <w:qFormat/>
    <w:rsid w:val="00BD155E"/>
    <w:pPr>
      <w:tabs>
        <w:tab w:val="clear" w:pos="1134"/>
        <w:tab w:val="clear" w:pos="1871"/>
        <w:tab w:val="clear" w:pos="2268"/>
        <w:tab w:val="left" w:pos="794"/>
        <w:tab w:val="left" w:pos="1191"/>
        <w:tab w:val="left" w:pos="1588"/>
        <w:tab w:val="left" w:pos="1985"/>
      </w:tabs>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sid w:val="00BD155E"/>
    <w:rPr>
      <w:rFonts w:asciiTheme="majorHAnsi" w:eastAsiaTheme="majorEastAsia" w:hAnsiTheme="majorHAnsi" w:cstheme="majorBidi"/>
      <w:b/>
      <w:bCs/>
      <w:sz w:val="32"/>
      <w:szCs w:val="32"/>
      <w:lang w:val="en-GB" w:eastAsia="en-US"/>
    </w:rPr>
  </w:style>
  <w:style w:type="table" w:styleId="TableGridLight">
    <w:name w:val="Grid Table Light"/>
    <w:basedOn w:val="TableNormal"/>
    <w:uiPriority w:val="40"/>
    <w:rsid w:val="00BD155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D155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tu.int/itu-d/sites/digital-impact-unlocked/digital-training-empowers-vanilla-farmers-in-papua-new-guinea-to-find-new-markets/" TargetMode="External"/><Relationship Id="rId299" Type="http://schemas.openxmlformats.org/officeDocument/2006/relationships/hyperlink" Target="https://www.itu.int/en/ITU-D/Study-Groups/2022-2025/Pages/events_workshops.aspx" TargetMode="External"/><Relationship Id="rId21" Type="http://schemas.openxmlformats.org/officeDocument/2006/relationships/hyperlink" Target="https://www.itu.int/md/D22-TDAG32-C-0002/en" TargetMode="External"/><Relationship Id="rId63" Type="http://schemas.openxmlformats.org/officeDocument/2006/relationships/hyperlink" Target="https://www.itu.int/en/ITU-D/Technology/Pages/infrastructure_mapping_and_analysis.aspx" TargetMode="External"/><Relationship Id="rId159" Type="http://schemas.openxmlformats.org/officeDocument/2006/relationships/hyperlink" Target="https://www.itu.int/dms_pub/itu-d/opb/res/D-RES-D.48-2022-PDF-E.pdf" TargetMode="External"/><Relationship Id="rId324" Type="http://schemas.openxmlformats.org/officeDocument/2006/relationships/hyperlink" Target="https://www.itu.int/dms_pub/itu-d/opb/res/D-RES-D.88-2022-PDF-S.pdf" TargetMode="External"/><Relationship Id="rId366" Type="http://schemas.openxmlformats.org/officeDocument/2006/relationships/hyperlink" Target="https://www.itu.int/en/ITU-D/Pages/accessible-events/2025/default.aspx" TargetMode="External"/><Relationship Id="rId170" Type="http://schemas.openxmlformats.org/officeDocument/2006/relationships/hyperlink" Target="https://www.itu.int/itu-d/sites/ra-network/" TargetMode="External"/><Relationship Id="rId226" Type="http://schemas.openxmlformats.org/officeDocument/2006/relationships/hyperlink" Target="https://www.worldbank.org/en/programs/global-data-facility/brief/putting-mobile-phone-data-to-work-for-policy" TargetMode="External"/><Relationship Id="rId268" Type="http://schemas.openxmlformats.org/officeDocument/2006/relationships/hyperlink" Target="https://www.itu.int/dms_pub/itu-d/opb/res/D-RES-D.69-2022-PDF-E.pdf" TargetMode="External"/><Relationship Id="rId32" Type="http://schemas.openxmlformats.org/officeDocument/2006/relationships/hyperlink" Target="https://www.itu.int/md/D22-TDAG32-C-0002/en" TargetMode="External"/><Relationship Id="rId74" Type="http://schemas.openxmlformats.org/officeDocument/2006/relationships/hyperlink" Target="https://www.itu.int/hub/publication/d-stg-sg01.01.03.05-2024/" TargetMode="External"/><Relationship Id="rId128" Type="http://schemas.openxmlformats.org/officeDocument/2006/relationships/hyperlink" Target="https://www.itu.int/en/ITU-D/Study-Groups/2022-2025/Pages/events_workshops.aspx" TargetMode="External"/><Relationship Id="rId335" Type="http://schemas.openxmlformats.org/officeDocument/2006/relationships/hyperlink" Target="https://www.itu.int/dms_pub/itu-d/opb/res/D-RES-D.55-2022-PDF-E.pdf" TargetMode="External"/><Relationship Id="rId377" Type="http://schemas.openxmlformats.org/officeDocument/2006/relationships/hyperlink" Target="https://www.itu.int/hub/publication/d-hdb-gender-2023-01/" TargetMode="External"/><Relationship Id="rId5" Type="http://schemas.openxmlformats.org/officeDocument/2006/relationships/customXml" Target="../customXml/item5.xml"/><Relationship Id="rId181" Type="http://schemas.openxmlformats.org/officeDocument/2006/relationships/hyperlink" Target="https://app.gen5.digital/tracker/metrics" TargetMode="External"/><Relationship Id="rId237" Type="http://schemas.openxmlformats.org/officeDocument/2006/relationships/hyperlink" Target="https://www.itu.int/itu-d/meetings/wtis25/" TargetMode="External"/><Relationship Id="rId402" Type="http://schemas.openxmlformats.org/officeDocument/2006/relationships/hyperlink" Target="https://greeningdigital.itu.int/" TargetMode="External"/><Relationship Id="rId279" Type="http://schemas.openxmlformats.org/officeDocument/2006/relationships/hyperlink" Target="https://www.youtube.com/watch?v=JaViMZqdvV4&amp;list=PLpoIPNlF8P2OR11LS6OrAuzUr7aJHwP0X&amp;index=1&amp;pp=iAQB" TargetMode="External"/><Relationship Id="rId43" Type="http://schemas.openxmlformats.org/officeDocument/2006/relationships/hyperlink" Target="https://www.itu.int/en/ITU-D/Emergency-Telecommunications/Pages/Disaster-Connectivity-Map.aspx" TargetMode="External"/><Relationship Id="rId139" Type="http://schemas.openxmlformats.org/officeDocument/2006/relationships/hyperlink" Target="https://academy.itu.int/partners/capacity-development-digital-transformation-project" TargetMode="External"/><Relationship Id="rId290" Type="http://schemas.openxmlformats.org/officeDocument/2006/relationships/hyperlink" Target="https://www.itu.int/es/ITU-D/Cybersecurity/Pages/Skills-Development/Cyber-Diplomacy/RSCCD-25.aspx" TargetMode="External"/><Relationship Id="rId304" Type="http://schemas.openxmlformats.org/officeDocument/2006/relationships/hyperlink" Target="https://www.itu.int/net/epub/BDT/2024-GSR-24-Best-Practice-Guidelines/" TargetMode="External"/><Relationship Id="rId346" Type="http://schemas.openxmlformats.org/officeDocument/2006/relationships/hyperlink" Target="https://www.itu.int/generationconnect/empower/generation-connect-young-leadership-programme-in-partnership-with-huawei/itu-generation-connect-young-leadership-programme-cohort-2025/" TargetMode="External"/><Relationship Id="rId388" Type="http://schemas.openxmlformats.org/officeDocument/2006/relationships/hyperlink" Target="https://academy.itu.int/training-courses/full-catalogue/e-waste-policy-and-extended-producer-responsibility-epr" TargetMode="External"/><Relationship Id="rId85" Type="http://schemas.openxmlformats.org/officeDocument/2006/relationships/hyperlink" Target="https://www.itu.int/en/ITU-D/Study-Groups/2022-2025/Pages/events_workshops.aspx" TargetMode="External"/><Relationship Id="rId150" Type="http://schemas.openxmlformats.org/officeDocument/2006/relationships/hyperlink" Target="https://www.itu.int/en/ITU-D/Regional-Presence/Europe/Pages/Projects/AE/About.aspx" TargetMode="External"/><Relationship Id="rId192" Type="http://schemas.openxmlformats.org/officeDocument/2006/relationships/hyperlink" Target="https://www.itu.int/hub/publication/d-pref-asean-01-2023/" TargetMode="External"/><Relationship Id="rId206" Type="http://schemas.openxmlformats.org/officeDocument/2006/relationships/hyperlink" Target="https://www.itu.int/en/ITU-D/Statistics/Pages/expertgroups.aspx" TargetMode="External"/><Relationship Id="rId413" Type="http://schemas.openxmlformats.org/officeDocument/2006/relationships/hyperlink" Target="https://www.itu.int/en/ITU-D/Study-Groups/2022-2025/Pages/events_workshops.aspx" TargetMode="External"/><Relationship Id="rId248" Type="http://schemas.openxmlformats.org/officeDocument/2006/relationships/hyperlink" Target="https://www.itu.int/itu-d/sites/i-codi/" TargetMode="External"/><Relationship Id="rId12" Type="http://schemas.openxmlformats.org/officeDocument/2006/relationships/image" Target="media/image1.jpeg"/><Relationship Id="rId108" Type="http://schemas.openxmlformats.org/officeDocument/2006/relationships/hyperlink" Target="https://www.itu.int/en/ITU-D/Innovation/Pages/Ecosystem-Development-Strategies-and-Roadmaps.aspx" TargetMode="External"/><Relationship Id="rId315" Type="http://schemas.openxmlformats.org/officeDocument/2006/relationships/hyperlink" Target="https://www.itu.int/en/ITU-D/Study-Groups/2022-2025/Pages/reference/Questions-under-study.aspx" TargetMode="External"/><Relationship Id="rId357" Type="http://schemas.openxmlformats.org/officeDocument/2006/relationships/hyperlink" Target="https://www.itu.int/en/ITU-D/Regional-Presence/ArabStates/Pages/Events/2023/AccessibleARB/Accessible-ARB2023.aspx" TargetMode="External"/><Relationship Id="rId54" Type="http://schemas.openxmlformats.org/officeDocument/2006/relationships/hyperlink" Target="https://www.itu.int/en/ITU-D/Emergency-Telecommunications/Pages/NETPs.aspx" TargetMode="External"/><Relationship Id="rId96" Type="http://schemas.openxmlformats.org/officeDocument/2006/relationships/hyperlink" Target="https://www.itu.int/en/ITU-D/Innovation/Pages/Digital-Transformation-Lab.aspx" TargetMode="External"/><Relationship Id="rId161" Type="http://schemas.openxmlformats.org/officeDocument/2006/relationships/hyperlink" Target="https://www.itu.int/itu-d/meetings/gsr-23/wp-content/uploads/sites/20/2023/06/GSR-23_Best-Practice-Guidelines-E.pdf" TargetMode="External"/><Relationship Id="rId217" Type="http://schemas.openxmlformats.org/officeDocument/2006/relationships/hyperlink" Target="https://datahub.itu.int/dashboards/idi/?y=2025" TargetMode="External"/><Relationship Id="rId399" Type="http://schemas.openxmlformats.org/officeDocument/2006/relationships/hyperlink" Target="https://www.itu.int/en/ITU-D/Environment/Pages/Climate-Change/EGTI-Sub-group-GHG.aspx" TargetMode="External"/><Relationship Id="rId259" Type="http://schemas.openxmlformats.org/officeDocument/2006/relationships/hyperlink" Target="https://www.itu.int/en/ITU-D/Cybersecurity/pages/global-cybersecurity-index.aspx" TargetMode="External"/><Relationship Id="rId23" Type="http://schemas.openxmlformats.org/officeDocument/2006/relationships/hyperlink" Target="https://www.itu.int/md/D22-WTDC25-C-0002" TargetMode="External"/><Relationship Id="rId119" Type="http://schemas.openxmlformats.org/officeDocument/2006/relationships/hyperlink" Target="https://www.itu.int/itu-d/sites/digital-impact-unlocked/digital-training-empowers-vanilla-farmers-in-papua-new-guinea-to-find-new-markets/" TargetMode="External"/><Relationship Id="rId270" Type="http://schemas.openxmlformats.org/officeDocument/2006/relationships/hyperlink" Target="https://www.itu.int/en/ITU-D/Cybersecurity/Pages/Skills-Development/Her-CyberTracks.aspx" TargetMode="External"/><Relationship Id="rId326" Type="http://schemas.openxmlformats.org/officeDocument/2006/relationships/hyperlink" Target="https://www.itu.int/es/ITU-D/Study-Groups/2022-2025/Pages/reference/Questions-under-study.aspx" TargetMode="External"/><Relationship Id="rId65" Type="http://schemas.openxmlformats.org/officeDocument/2006/relationships/hyperlink" Target="https://www.itu.int/en/ITU-D/Technology/Pages/bbmaps-toolkit.aspx" TargetMode="External"/><Relationship Id="rId130" Type="http://schemas.openxmlformats.org/officeDocument/2006/relationships/hyperlink" Target="https://www.itu.int/en/ITU-D/Study-Groups/2022-2025/Pages/events_workshops.aspx" TargetMode="External"/><Relationship Id="rId368" Type="http://schemas.openxmlformats.org/officeDocument/2006/relationships/hyperlink" Target="https://www.itu.int/women-and-girls/girls-in-ict/" TargetMode="External"/><Relationship Id="rId172" Type="http://schemas.openxmlformats.org/officeDocument/2006/relationships/hyperlink" Target="https://digitalregulation.org/" TargetMode="External"/><Relationship Id="rId228" Type="http://schemas.openxmlformats.org/officeDocument/2006/relationships/hyperlink" Target="https://www.itu.int/en/ITU-D/Statistics/Pages/capacitydev/default.aspx" TargetMode="External"/><Relationship Id="rId281" Type="http://schemas.openxmlformats.org/officeDocument/2006/relationships/hyperlink" Target="https://www.itu.int/cop/sangosadventures/" TargetMode="External"/><Relationship Id="rId337" Type="http://schemas.openxmlformats.org/officeDocument/2006/relationships/hyperlink" Target="https://www.itu.int/dms_pub/itu-d/opb/res/D-RES-D.76-2022-PDF-E.pdf" TargetMode="External"/><Relationship Id="rId34" Type="http://schemas.openxmlformats.org/officeDocument/2006/relationships/header" Target="header1.xml"/><Relationship Id="rId76" Type="http://schemas.openxmlformats.org/officeDocument/2006/relationships/hyperlink" Target="https://www.itu.int/en/ITU-D/Study-Groups/2022-2025/Pages/events_workshops.aspx" TargetMode="External"/><Relationship Id="rId141" Type="http://schemas.openxmlformats.org/officeDocument/2006/relationships/hyperlink" Target="https://academy.itu.int/itu-d/projects-activities/digital-transformation-centres-initiative" TargetMode="External"/><Relationship Id="rId379" Type="http://schemas.openxmlformats.org/officeDocument/2006/relationships/hyperlink" Target="https://equalsbadges.itu.int/equals" TargetMode="External"/><Relationship Id="rId7" Type="http://schemas.openxmlformats.org/officeDocument/2006/relationships/styles" Target="styles.xml"/><Relationship Id="rId183" Type="http://schemas.openxmlformats.org/officeDocument/2006/relationships/hyperlink" Target="https://gen5.digital/" TargetMode="External"/><Relationship Id="rId239" Type="http://schemas.openxmlformats.org/officeDocument/2006/relationships/hyperlink" Target="https://www.itu.int/itu-d/sites/projectumc/home/the-umc-project/" TargetMode="External"/><Relationship Id="rId390" Type="http://schemas.openxmlformats.org/officeDocument/2006/relationships/hyperlink" Target="https://academy.itu.int/training-courses/full-catalogue/green-and-digital-entrepreneurship" TargetMode="External"/><Relationship Id="rId404" Type="http://schemas.openxmlformats.org/officeDocument/2006/relationships/hyperlink" Target="https://www.itu.int/pub/D-HDB-E%20WASTE-2023-WB" TargetMode="External"/><Relationship Id="rId250" Type="http://schemas.openxmlformats.org/officeDocument/2006/relationships/hyperlink" Target="https://chrome-extension/efaidnbmnnnibpcajpcglclefindmkaj/https:/www.itu.int/en/ITU-D/Regional-Presence/Europe/Documents/May%202025_Maltas%20Innovation%20Landscape%20Best%20Practices%20and%20Future%20Directions_vf%20with%20cover.pdf" TargetMode="External"/><Relationship Id="rId292" Type="http://schemas.openxmlformats.org/officeDocument/2006/relationships/hyperlink" Target="https://www.itu.int/en/ITU-D/Cybersecurity/Pages/CyberDrill-2023/ARB-CIS-CD-2023.aspx" TargetMode="External"/><Relationship Id="rId306" Type="http://schemas.openxmlformats.org/officeDocument/2006/relationships/hyperlink" Target="https://www.itu.int/dms_pub/itu-d/opb/res/D-RES-D.71-2022-PDF-S.pdf" TargetMode="External"/><Relationship Id="rId45" Type="http://schemas.openxmlformats.org/officeDocument/2006/relationships/hyperlink" Target="https://www.itu.int/en/ITU-D/Emergency-Telecommunications/Pages/Early-Warnings-for-All-Initiative.aspx" TargetMode="External"/><Relationship Id="rId87" Type="http://schemas.openxmlformats.org/officeDocument/2006/relationships/hyperlink" Target="https://www.itu.int/dms_pub/itu-d/opb/res/D-RES-D.89-2022-PDF-S.pdf" TargetMode="External"/><Relationship Id="rId110" Type="http://schemas.openxmlformats.org/officeDocument/2006/relationships/hyperlink" Target="https://www.itu.int/en/ITU-D/Innovation/Pages/RIA/Workshop%20Concept%20on%20Asia%20and%20the%20Pacific%20Regional%20Initiative/Workshop-Concept-on-Asia-and-th.aspx" TargetMode="External"/><Relationship Id="rId348" Type="http://schemas.openxmlformats.org/officeDocument/2006/relationships/hyperlink" Target="https://www.itu.int/en/ITU-D/Digital-Inclusion/Women-and-Girls/NoW/Pages/default.aspx" TargetMode="External"/><Relationship Id="rId152" Type="http://schemas.openxmlformats.org/officeDocument/2006/relationships/hyperlink" Target="https://www.itu.int/en/ITU-D/Study-Groups/2022-2025/Pages/events_workshops.aspx" TargetMode="External"/><Relationship Id="rId194" Type="http://schemas.openxmlformats.org/officeDocument/2006/relationships/hyperlink" Target="https://www.itu.int/hub/publication/d-pref-asean-01-2023/" TargetMode="External"/><Relationship Id="rId208" Type="http://schemas.openxmlformats.org/officeDocument/2006/relationships/hyperlink" Target="https://www.itu.int/en/ITU-D/Statistics/Documents/publications/manual/ITU_HHManual_ICTskills_rev2025.pdf" TargetMode="External"/><Relationship Id="rId415" Type="http://schemas.openxmlformats.org/officeDocument/2006/relationships/hyperlink" Target="https://www.itu.int/pub/D-RES-D.52-2014/es" TargetMode="External"/><Relationship Id="rId261" Type="http://schemas.openxmlformats.org/officeDocument/2006/relationships/hyperlink" Target="https://www.itu.int/en/ITU-D/Cybersecurity/Pages/national-CIRT.aspx" TargetMode="External"/><Relationship Id="rId14" Type="http://schemas.openxmlformats.org/officeDocument/2006/relationships/hyperlink" Target="https://www.itu.int/dms_pub/itu-d/opb/tdc/D-TDC-WTDC-2022-PDF-S.pdf" TargetMode="External"/><Relationship Id="rId56" Type="http://schemas.openxmlformats.org/officeDocument/2006/relationships/hyperlink" Target="https://www.itu.int/en/ITU-D/Regional-Presence/AsiaPacific/Pages/Events/2025/Resilience%20Japan/WORKSHOP-ON-RESILIENT-INFRASTRUCTURE-FOR-EFFECTIVE-EARLY-WARNING-DISSEMINATION.aspx" TargetMode="External"/><Relationship Id="rId317" Type="http://schemas.openxmlformats.org/officeDocument/2006/relationships/hyperlink" Target="https://www.itu.int/en/ITU-D/Study-Groups/2022-2025/Pages/reference/Ongoing-Work.aspx" TargetMode="External"/><Relationship Id="rId359" Type="http://schemas.openxmlformats.org/officeDocument/2006/relationships/hyperlink" Target="https://www.itu.int/en/ITU-D/Pages/accessible-events/2025/default.aspx" TargetMode="External"/><Relationship Id="rId98" Type="http://schemas.openxmlformats.org/officeDocument/2006/relationships/hyperlink" Target="https://www.itu.int/itu-d/sites/innovation-alliance/board-members/" TargetMode="External"/><Relationship Id="rId121" Type="http://schemas.openxmlformats.org/officeDocument/2006/relationships/hyperlink" Target="https://www.itu.int/en/ITU-D/Regional-Presence/AsiaPacific/Pages/Events/2023/Smart-Village-Pakistan-Project-Official-Launch-of-Gokina-Smart-Village.aspx" TargetMode="External"/><Relationship Id="rId163" Type="http://schemas.openxmlformats.org/officeDocument/2006/relationships/hyperlink" Target="https://www.itu.int/itu-d/meetings/gsr-24/wp-content/uploads/sites/24/2024/08/GSR-2024_BestPracticeGuidelines.pdf" TargetMode="External"/><Relationship Id="rId219" Type="http://schemas.openxmlformats.org/officeDocument/2006/relationships/hyperlink" Target="https://datahub.itu.int/dashboards/idi/?y=2025" TargetMode="External"/><Relationship Id="rId370" Type="http://schemas.openxmlformats.org/officeDocument/2006/relationships/hyperlink" Target="https://www.itu.int/itu-d/meetings/global-youth-summit-25/" TargetMode="External"/><Relationship Id="rId230" Type="http://schemas.openxmlformats.org/officeDocument/2006/relationships/hyperlink" Target="https://academy.itu.int/training-courses/full-catalogue/summer-school-evidence-based-digital-policies-universal-and-meaningful-connectivity" TargetMode="External"/><Relationship Id="rId25" Type="http://schemas.openxmlformats.org/officeDocument/2006/relationships/hyperlink" Target="https://www.itu.int/md/D22-WTDC25-C-0002" TargetMode="External"/><Relationship Id="rId67" Type="http://schemas.openxmlformats.org/officeDocument/2006/relationships/hyperlink" Target="https://www.itu.int/en/ITU-D/Technology/Pages/infrastructure_mapping_and_analysis.aspx" TargetMode="External"/><Relationship Id="rId272" Type="http://schemas.openxmlformats.org/officeDocument/2006/relationships/hyperlink" Target="https://www.itu.int/en/ITU-D/Cybersecurity/Pages/Skills-Development/Her-CyberTracks.aspx" TargetMode="External"/><Relationship Id="rId328" Type="http://schemas.openxmlformats.org/officeDocument/2006/relationships/hyperlink" Target="https://www.itu.int/itu-d/meetings/rdf/" TargetMode="External"/><Relationship Id="rId132" Type="http://schemas.openxmlformats.org/officeDocument/2006/relationships/hyperlink" Target="https://www.itu.int/en/ITU-D/Study-Groups/2022-2025/Pages/events_workshops.aspx" TargetMode="External"/><Relationship Id="rId174" Type="http://schemas.openxmlformats.org/officeDocument/2006/relationships/hyperlink" Target="https://www.itu.int/itu-d/reports/regulatory-market/usf-financial-efficiency-toolkit/" TargetMode="External"/><Relationship Id="rId381" Type="http://schemas.openxmlformats.org/officeDocument/2006/relationships/hyperlink" Target="https://www.itu.int/itu-d/sites/digital-impact-unlocked/inclusive-digital-education-for-visually-impaired-people-in-pakistan/" TargetMode="External"/><Relationship Id="rId241" Type="http://schemas.openxmlformats.org/officeDocument/2006/relationships/hyperlink" Target="https://www.itu.int/en/ITU-D/Regional-Presence/Americas/Pages/EVENTS/2024/IPEC-2024.aspx" TargetMode="External"/><Relationship Id="rId36" Type="http://schemas.openxmlformats.org/officeDocument/2006/relationships/footer" Target="footer2.xml"/><Relationship Id="rId283" Type="http://schemas.openxmlformats.org/officeDocument/2006/relationships/hyperlink" Target="https://www.youtube.com/watch?v=JaViMZqdvV4&amp;list=PLpoIPNlF8P2OR11LS6OrAuzUr7aJHwP0X&amp;index=1&amp;pp=iAQB" TargetMode="External"/><Relationship Id="rId339" Type="http://schemas.openxmlformats.org/officeDocument/2006/relationships/hyperlink" Target="https://www.itu.int/hub/publication/d-phcb-equal-03-2023" TargetMode="External"/><Relationship Id="rId78" Type="http://schemas.openxmlformats.org/officeDocument/2006/relationships/hyperlink" Target="https://www.itu.int/md/D22-SG01-C-0488/en" TargetMode="External"/><Relationship Id="rId101" Type="http://schemas.openxmlformats.org/officeDocument/2006/relationships/hyperlink" Target="https://www.itu.int/itu-d/sites/innovation-alliance/network-of-itu-acceleration-centres/" TargetMode="External"/><Relationship Id="rId143" Type="http://schemas.openxmlformats.org/officeDocument/2006/relationships/hyperlink" Target="https://www.itu.int/en/ITU-D/Digital-Inclusion/Youth-and-Children/Pages/Digital-Skills-Toolkit.aspx" TargetMode="External"/><Relationship Id="rId185" Type="http://schemas.openxmlformats.org/officeDocument/2006/relationships/hyperlink" Target="https://www.itu.int/en/ITU-D/Regulatory-Market/Pages/gdro23.aspx" TargetMode="External"/><Relationship Id="rId350" Type="http://schemas.openxmlformats.org/officeDocument/2006/relationships/hyperlink" Target="https://www.itu.int/en/ITU-D/Digital-Inclusion/Indigenous-Peoples/Pages/default.aspx" TargetMode="External"/><Relationship Id="rId406" Type="http://schemas.openxmlformats.org/officeDocument/2006/relationships/hyperlink" Target="https://www.itu.int/en/ITU-D/Emergency-Telecommunications/Pages/Events/2023/COP-28-EW4All.aspx" TargetMode="External"/><Relationship Id="rId9" Type="http://schemas.openxmlformats.org/officeDocument/2006/relationships/webSettings" Target="webSettings.xml"/><Relationship Id="rId210" Type="http://schemas.openxmlformats.org/officeDocument/2006/relationships/hyperlink" Target="https://www.itu.int/en/ITU-D/Statistics/Pages/publications/anapub.aspx" TargetMode="External"/><Relationship Id="rId392" Type="http://schemas.openxmlformats.org/officeDocument/2006/relationships/hyperlink" Target="https://academy.itu.int/" TargetMode="External"/><Relationship Id="rId252" Type="http://schemas.openxmlformats.org/officeDocument/2006/relationships/hyperlink" Target="https://www.itu.int/en/ITU-D/Innovation/Pages/RIA/Regional-Initiative-Accelerator.aspx" TargetMode="External"/><Relationship Id="rId294" Type="http://schemas.openxmlformats.org/officeDocument/2006/relationships/hyperlink" Target="https://www.itu.int/en/ITU-D/Regional-Presence/CIS/Pages/Events/2024/CyberDrill.aspx" TargetMode="External"/><Relationship Id="rId308" Type="http://schemas.openxmlformats.org/officeDocument/2006/relationships/hyperlink" Target="https://www.itu.int/dms_pub/itu-d/opb/res/D-RES-D.71-2022-PDF-E.pdf" TargetMode="External"/><Relationship Id="rId47" Type="http://schemas.openxmlformats.org/officeDocument/2006/relationships/hyperlink" Target="https://www.itu.int/en/ITU-D/Emergency-Telecommunications/Pages/AI-Sub-Group-EW4All-.aspx" TargetMode="External"/><Relationship Id="rId89" Type="http://schemas.openxmlformats.org/officeDocument/2006/relationships/hyperlink" Target="https://www.itu.int/dms_pub/itu-d/opb/res/D-RES-D.89-2022-PDF-E.pdf" TargetMode="External"/><Relationship Id="rId112" Type="http://schemas.openxmlformats.org/officeDocument/2006/relationships/hyperlink" Target="https://www.itu.int/en/ITU-D/Regional-Presence/Europe/Pages/Events/2025/02.11-13_Regional%20Initiative%20Accelerator%20Workshop/Western-Balkan-Countries.aspx" TargetMode="External"/><Relationship Id="rId154" Type="http://schemas.openxmlformats.org/officeDocument/2006/relationships/hyperlink" Target="https://www.itu.int/en/ITU-D/Study-Groups/2022-2025/Pages/events_workshops.aspx" TargetMode="External"/><Relationship Id="rId361" Type="http://schemas.openxmlformats.org/officeDocument/2006/relationships/hyperlink" Target="https://www.itu.int/en/ITU-D/Regional-Presence/Americas/Pages/EVENTS/2023/AA-2023.aspx" TargetMode="External"/><Relationship Id="rId196" Type="http://schemas.openxmlformats.org/officeDocument/2006/relationships/hyperlink" Target="https://www.itu.int/en/ITU-D/Regional-Presence/Americas/Pages/EVENTS/2025/IPEC-2025.aspx" TargetMode="External"/><Relationship Id="rId417" Type="http://schemas.openxmlformats.org/officeDocument/2006/relationships/hyperlink" Target="https://www.itu.int/pub/D-RES-D.16-2017/es" TargetMode="External"/><Relationship Id="rId16" Type="http://schemas.openxmlformats.org/officeDocument/2006/relationships/hyperlink" Target="https://www.itu.int/md/D22-TDAG31-C-0002/es" TargetMode="External"/><Relationship Id="rId221" Type="http://schemas.openxmlformats.org/officeDocument/2006/relationships/hyperlink" Target="https://www.itu.int/itu-d/reports/statistics/sddt/" TargetMode="External"/><Relationship Id="rId263" Type="http://schemas.openxmlformats.org/officeDocument/2006/relationships/hyperlink" Target="https://www.itu.int/itu-d/sites/digital-impact-unlocked/bdt4impact-case-study-record-breaking-cyber-response-trainings/" TargetMode="External"/><Relationship Id="rId319" Type="http://schemas.openxmlformats.org/officeDocument/2006/relationships/hyperlink" Target="https://www.itu.int/dms_pub/itu-d/opb/res/D-RES-D.9-2022-PDF-E.pdf" TargetMode="External"/><Relationship Id="rId58" Type="http://schemas.openxmlformats.org/officeDocument/2006/relationships/hyperlink" Target="https://www.itu.int/en/ITU-D/Emergency-Telecommunications/Pages/TampereConvention.aspx" TargetMode="External"/><Relationship Id="rId123" Type="http://schemas.openxmlformats.org/officeDocument/2006/relationships/hyperlink" Target="https://www.itu.int/en/ITU-D/Regional-Presence/AsiaPacific/Pages/Events/2023/Smart-Village-Pakistan-Project-Official-Launch-of-Gokina-Smart-Village.aspx" TargetMode="External"/><Relationship Id="rId330" Type="http://schemas.openxmlformats.org/officeDocument/2006/relationships/hyperlink" Target="https://www.itu.int/dms_pub/itu-d/opb/res/D-RES-D.46-2022-PDF-S.pdf" TargetMode="External"/><Relationship Id="rId165" Type="http://schemas.openxmlformats.org/officeDocument/2006/relationships/hyperlink" Target="https://www.itu.int/net/epub/BDT/2025-GSR-25-Best-Practice-Guidelines/index.html" TargetMode="External"/><Relationship Id="rId372" Type="http://schemas.openxmlformats.org/officeDocument/2006/relationships/hyperlink" Target="https://www.itu.int/en/ITU-D/Digital-Inclusion/Documents/2025/itu-who-toolkit/ITU-WHO-Implementation-toolkit-for-accessible-telehealth-services.pdf" TargetMode="External"/><Relationship Id="rId232" Type="http://schemas.openxmlformats.org/officeDocument/2006/relationships/hyperlink" Target="https://www.itu.int/itu-d/sites/projectumc/information-hub/events/" TargetMode="External"/><Relationship Id="rId274" Type="http://schemas.openxmlformats.org/officeDocument/2006/relationships/hyperlink" Target="https://www.itu.int/dms_pub/itu-d/opb/res/D-RES-D.67-2022-PDF-S.pdf" TargetMode="External"/><Relationship Id="rId27" Type="http://schemas.openxmlformats.org/officeDocument/2006/relationships/hyperlink" Target="https://www.itu.int/md/D22-TDAG31-C-0002/es" TargetMode="External"/><Relationship Id="rId69" Type="http://schemas.openxmlformats.org/officeDocument/2006/relationships/hyperlink" Target="https://www.itu.int/hub/publication/d-pref-ef-ict_struct_kit-2023/" TargetMode="External"/><Relationship Id="rId134" Type="http://schemas.openxmlformats.org/officeDocument/2006/relationships/hyperlink" Target="https://www.itu.int/en/ITU-D/Study-Groups/2022-2025/Pages/events_workshops.aspx" TargetMode="External"/><Relationship Id="rId80" Type="http://schemas.openxmlformats.org/officeDocument/2006/relationships/hyperlink" Target="https://www.itu.int/md/D22-SG02-C-0361/es" TargetMode="External"/><Relationship Id="rId176" Type="http://schemas.openxmlformats.org/officeDocument/2006/relationships/hyperlink" Target="https://app.gen5.digital/unified-framework/about" TargetMode="External"/><Relationship Id="rId341" Type="http://schemas.openxmlformats.org/officeDocument/2006/relationships/hyperlink" Target="https://www.itu.int/hub/publication/d-phcb-equal-03-2023" TargetMode="External"/><Relationship Id="rId383" Type="http://schemas.openxmlformats.org/officeDocument/2006/relationships/hyperlink" Target="https://www.itu.int/md/D22-SG01-C-0490/es" TargetMode="External"/><Relationship Id="rId201" Type="http://schemas.openxmlformats.org/officeDocument/2006/relationships/hyperlink" Target="https://www.itu.int/en/ITU-D/Statistics/Pages/expertgroups.aspx" TargetMode="External"/><Relationship Id="rId243" Type="http://schemas.openxmlformats.org/officeDocument/2006/relationships/hyperlink" Target="https://www.itu.int/en/ITU-D/Innovation/Pages/RIA/Regional-Initiative-Accelerator.aspx" TargetMode="External"/><Relationship Id="rId285" Type="http://schemas.openxmlformats.org/officeDocument/2006/relationships/hyperlink" Target="https://www.itu.int/en/ITU-D/Cybersecurity/Pages/COP/COP%20Industry%20Connect/COP-Industry-Connect.aspx" TargetMode="External"/><Relationship Id="rId17" Type="http://schemas.openxmlformats.org/officeDocument/2006/relationships/hyperlink" Target="https://www.itu.int/md/D22-TDAG32-C-0002/es" TargetMode="External"/><Relationship Id="rId38" Type="http://schemas.openxmlformats.org/officeDocument/2006/relationships/hyperlink" Target="https://www.itu.int/pub/D-RES-D.34-2022/es" TargetMode="External"/><Relationship Id="rId59" Type="http://schemas.openxmlformats.org/officeDocument/2006/relationships/hyperlink" Target="https://www.itu.int/en/ITU-D/Study-Groups/2022-2025/Pages/events_workshops.aspx" TargetMode="External"/><Relationship Id="rId103" Type="http://schemas.openxmlformats.org/officeDocument/2006/relationships/hyperlink" Target="https://www.itu.int/itu-d/meetings/gif-24/" TargetMode="External"/><Relationship Id="rId124" Type="http://schemas.openxmlformats.org/officeDocument/2006/relationships/hyperlink" Target="https://www.itu.int/en/ITU-D/Regional-Presence/Europe/Pages/Events/2023/0313%20-%20Workshop%20on%20Rethinking%20Public%20Services/Workshop-on-%E2%80%9CRethinking-Public-Services-Strategies-for-Achieving-Digital-Transformation-Goals%E2%80%9D.aspx" TargetMode="External"/><Relationship Id="rId310" Type="http://schemas.openxmlformats.org/officeDocument/2006/relationships/hyperlink" Target="https://www.itu.int/en/ITU-D/Study-Groups/2022-2025/Pages/reference/Questions-under-study.aspx" TargetMode="External"/><Relationship Id="rId70" Type="http://schemas.openxmlformats.org/officeDocument/2006/relationships/hyperlink" Target="https://www.itu.int/hub/publication/d-pref-ef-ict_struct_kit-2023/" TargetMode="External"/><Relationship Id="rId91" Type="http://schemas.openxmlformats.org/officeDocument/2006/relationships/hyperlink" Target="https://www.itu.int/itu-d/sites/innovation-alliance/network-of-itu-acceleration-centres/" TargetMode="External"/><Relationship Id="rId145" Type="http://schemas.openxmlformats.org/officeDocument/2006/relationships/hyperlink" Target="https://www.itu.int/itu-d/meetings/digital-skills-forum/" TargetMode="External"/><Relationship Id="rId166" Type="http://schemas.openxmlformats.org/officeDocument/2006/relationships/hyperlink" Target="https://www.itu.int/itu-d/meetings/gsr-24/wp-content/uploads/sites/24/2024/08/GSR-2024_BestPracticeGuidelines.pdf" TargetMode="External"/><Relationship Id="rId187" Type="http://schemas.openxmlformats.org/officeDocument/2006/relationships/hyperlink" Target="https://www.itu.int/en/ITU-D/Regulatory-Market/Pages/collaborative-regulation-country-reviews/default.aspx" TargetMode="External"/><Relationship Id="rId331" Type="http://schemas.openxmlformats.org/officeDocument/2006/relationships/hyperlink" Target="https://www.itu.int/dms_pub/itu-d/opb/res/D-RES-D.55-2022-PDF-S.pdf" TargetMode="External"/><Relationship Id="rId352" Type="http://schemas.openxmlformats.org/officeDocument/2006/relationships/hyperlink" Target="https://www.itu.int/women-and-girls/women-in-ict/ai-skills-accelerator-for-girls/" TargetMode="External"/><Relationship Id="rId373" Type="http://schemas.openxmlformats.org/officeDocument/2006/relationships/hyperlink" Target="https://www.itu.int/en/ITU-D/Digital-Inclusion/Documents/2025/itu-who-toolkit/ITU-WHO-Implementation-toolkit-for-accessible-telehealth-services.pdf" TargetMode="External"/><Relationship Id="rId394" Type="http://schemas.openxmlformats.org/officeDocument/2006/relationships/hyperlink" Target="https://www.itu.int/en/ITU-D/Environment/Pages/Publications/The-Global-E-waste-Monitor-2024.aspx" TargetMode="External"/><Relationship Id="rId408" Type="http://schemas.openxmlformats.org/officeDocument/2006/relationships/hyperlink" Target="https://www.itu.int/en/ITU-D/Emergency-Telecommunications/Pages/Events/2023/COP-28-EW4All.aspx" TargetMode="External"/><Relationship Id="rId1" Type="http://schemas.openxmlformats.org/officeDocument/2006/relationships/customXml" Target="../customXml/item1.xml"/><Relationship Id="rId212" Type="http://schemas.openxmlformats.org/officeDocument/2006/relationships/hyperlink" Target="https://www.itu.int/en/ITU-D/Statistics/Pages/publications/anapub.aspx" TargetMode="External"/><Relationship Id="rId233" Type="http://schemas.openxmlformats.org/officeDocument/2006/relationships/hyperlink" Target="https://academy.itu.int/training-courses/full-catalogue/summer-school-evidence-based-digital-policies-universal-and-meaningful-connectivity" TargetMode="External"/><Relationship Id="rId254" Type="http://schemas.openxmlformats.org/officeDocument/2006/relationships/hyperlink" Target="https://www.itu.int/itu-d/meetings/gif-24/" TargetMode="External"/><Relationship Id="rId28" Type="http://schemas.openxmlformats.org/officeDocument/2006/relationships/hyperlink" Target="https://www.itu.int/md/D22-TDAG32-C-0002/es" TargetMode="External"/><Relationship Id="rId49" Type="http://schemas.openxmlformats.org/officeDocument/2006/relationships/hyperlink" Target="https://www.itu.int/en/ITU-D/Emergency-Telecommunications/Pages/Early-Warnings-for-All-Initiative.aspx" TargetMode="External"/><Relationship Id="rId114" Type="http://schemas.openxmlformats.org/officeDocument/2006/relationships/hyperlink" Target="https://www.itu.int/en/ITU-D/ICT-Applications/Pages/digital-government.aspx" TargetMode="External"/><Relationship Id="rId275" Type="http://schemas.openxmlformats.org/officeDocument/2006/relationships/hyperlink" Target="https://www.itu.int/en/ITU-D/Cybersecurity/Pages/COP/Trainings.aspx" TargetMode="External"/><Relationship Id="rId296" Type="http://schemas.openxmlformats.org/officeDocument/2006/relationships/hyperlink" Target="https://www.itu.int/en/ITU-D/Study-Groups/2022-2025/Pages/events_workshops.aspx" TargetMode="External"/><Relationship Id="rId300" Type="http://schemas.openxmlformats.org/officeDocument/2006/relationships/hyperlink" Target="https://www.itu.int/en/ITU-D/Study-Groups/2022-2025/Pages/reference/Ongoing-Work.aspx" TargetMode="External"/><Relationship Id="rId60" Type="http://schemas.openxmlformats.org/officeDocument/2006/relationships/hyperlink" Target="https://www.itu.int/hub/publication/d-stg-sg01.01.03.05-2024/" TargetMode="External"/><Relationship Id="rId81" Type="http://schemas.openxmlformats.org/officeDocument/2006/relationships/hyperlink" Target="https://www.itu.int/en/ITU-D/Study-Groups/2022-2025/Pages/events_workshops.aspx" TargetMode="External"/><Relationship Id="rId135" Type="http://schemas.openxmlformats.org/officeDocument/2006/relationships/hyperlink" Target="https://www.itu.int/md/D22-SG02-C-0359/en" TargetMode="External"/><Relationship Id="rId156" Type="http://schemas.openxmlformats.org/officeDocument/2006/relationships/hyperlink" Target="https://www.itu.int/dms_pub/itu-d/opb/res/D-RES-D.48-2022-PDF-S.pdf" TargetMode="External"/><Relationship Id="rId177" Type="http://schemas.openxmlformats.org/officeDocument/2006/relationships/hyperlink" Target="https://app.gen5.digital/tracker/metrics" TargetMode="External"/><Relationship Id="rId198" Type="http://schemas.openxmlformats.org/officeDocument/2006/relationships/hyperlink" Target="https://www.itu.int/dms_pub/itu-d/opb/res/D-RES-D.8-2022-PDF-S.pdf" TargetMode="External"/><Relationship Id="rId321" Type="http://schemas.openxmlformats.org/officeDocument/2006/relationships/hyperlink" Target="https://www.itu.int/dms_pub/itu-d/opb/res/D-RES-D.1-2022-PDF-E.pdf" TargetMode="External"/><Relationship Id="rId342" Type="http://schemas.openxmlformats.org/officeDocument/2006/relationships/hyperlink" Target="https://www.itu.int/generationconnect/generation-connect-youth-envoys/" TargetMode="External"/><Relationship Id="rId363" Type="http://schemas.openxmlformats.org/officeDocument/2006/relationships/hyperlink" Target="https://www.itu.int/en/ITU-D/Regional-Presence/Europe/Pages/Events/2023/1205-06%20-%20Accessible%20Europe/Accessible-Europe-23.aspx" TargetMode="External"/><Relationship Id="rId384" Type="http://schemas.openxmlformats.org/officeDocument/2006/relationships/hyperlink" Target="https://www.itu.int/en/ITU-D/Study-Groups/2022-2025/Pages/events_workshops.aspx" TargetMode="External"/><Relationship Id="rId419" Type="http://schemas.openxmlformats.org/officeDocument/2006/relationships/header" Target="header2.xml"/><Relationship Id="rId202" Type="http://schemas.openxmlformats.org/officeDocument/2006/relationships/hyperlink" Target="https://www.itu.int/en/ITU-D/Statistics/Pages/IDI/default.aspx" TargetMode="External"/><Relationship Id="rId223" Type="http://schemas.openxmlformats.org/officeDocument/2006/relationships/hyperlink" Target="https://www.itu.int/en/ITU-D/Statistics/Pages/ICTprices/default.aspx" TargetMode="External"/><Relationship Id="rId244" Type="http://schemas.openxmlformats.org/officeDocument/2006/relationships/hyperlink" Target="https://giga.global/" TargetMode="External"/><Relationship Id="rId18" Type="http://schemas.openxmlformats.org/officeDocument/2006/relationships/hyperlink" Target="https://www.itu.int/md/D22-RPMCIS-C-0002/es" TargetMode="External"/><Relationship Id="rId39" Type="http://schemas.openxmlformats.org/officeDocument/2006/relationships/hyperlink" Target="https://earlywarningsforall.org/site/early-warnings-all/about-ew4all" TargetMode="External"/><Relationship Id="rId265" Type="http://schemas.openxmlformats.org/officeDocument/2006/relationships/hyperlink" Target="https://www.itu.int/itu-d/sites/digital-impact-unlocked/bdt4impact-case-study-record-breaking-cyber-response-trainings/" TargetMode="External"/><Relationship Id="rId286" Type="http://schemas.openxmlformats.org/officeDocument/2006/relationships/hyperlink" Target="https://www.itu-cop-guidelines.com/implementation" TargetMode="External"/><Relationship Id="rId50" Type="http://schemas.openxmlformats.org/officeDocument/2006/relationships/hyperlink" Target="https://www.itu.int/en/ITU-D/Emergency-Telecommunications/Pages/Common-Alerting-Protocol-and-Call-to-Action.aspx" TargetMode="External"/><Relationship Id="rId104" Type="http://schemas.openxmlformats.org/officeDocument/2006/relationships/hyperlink" Target="https://www.itu.int/en/ITU-D/Regional-Presence/Europe/Documents/May%202025_Maltas%20Innovation%20Landscape%20Best%20Practices%20and%20Future%20Directions_vf%20with%20cover.pdf" TargetMode="External"/><Relationship Id="rId125" Type="http://schemas.openxmlformats.org/officeDocument/2006/relationships/hyperlink" Target="https://www.itu.int/en/ITU-D/Regional-Presence/Europe/Pages/Events/2023/0313%20-%20Workshop%20on%20Rethinking%20Public%20Services/Workshop-on-%E2%80%9CRethinking-Public-Services-Strategies-for-Achieving-Digital-Transformation-Goals%E2%80%9D.aspx" TargetMode="External"/><Relationship Id="rId146" Type="http://schemas.openxmlformats.org/officeDocument/2006/relationships/hyperlink" Target="https://academy.itu.int/index.php/main-activities/ilo-itu-digital-skills-campaign" TargetMode="External"/><Relationship Id="rId167" Type="http://schemas.openxmlformats.org/officeDocument/2006/relationships/hyperlink" Target="https://www.itu.int/itu-d/meetings/gsr-24/wp-content/uploads/sites/24/2024/08/GSR-2024_BestPracticeGuidelines.pdf" TargetMode="External"/><Relationship Id="rId188" Type="http://schemas.openxmlformats.org/officeDocument/2006/relationships/hyperlink" Target="https://www.itu.int/hub/publication/d-pref-econ.mod-2025/" TargetMode="External"/><Relationship Id="rId311" Type="http://schemas.openxmlformats.org/officeDocument/2006/relationships/hyperlink" Target="https://www.itu.int/md/D22-WTDC25-C-0011/es" TargetMode="External"/><Relationship Id="rId332" Type="http://schemas.openxmlformats.org/officeDocument/2006/relationships/hyperlink" Target="https://www.itu.int/dms_pub/itu-d/opb/res/D-RES-D.58-2022-PDF-S.pdf" TargetMode="External"/><Relationship Id="rId353" Type="http://schemas.openxmlformats.org/officeDocument/2006/relationships/hyperlink" Target="https://www.itu.int/women-and-girls/women-in-ict/ai-skills-accelerator-for-girls/" TargetMode="External"/><Relationship Id="rId374" Type="http://schemas.openxmlformats.org/officeDocument/2006/relationships/hyperlink" Target="https://www.itu.int/en/ITU-D/Digital-Inclusion/Pages/itu-ilo/default.aspx" TargetMode="External"/><Relationship Id="rId395" Type="http://schemas.openxmlformats.org/officeDocument/2006/relationships/hyperlink" Target="https://www.itu.int/en/ITU-D/Environment/Pages/Publications/GDC-25.aspx" TargetMode="External"/><Relationship Id="rId409" Type="http://schemas.openxmlformats.org/officeDocument/2006/relationships/hyperlink" Target="https://www.itu.int/initiatives/green-digital-action/events/all/cop29/" TargetMode="External"/><Relationship Id="rId71" Type="http://schemas.openxmlformats.org/officeDocument/2006/relationships/hyperlink" Target="https://www.itu.int/dms_pub/itu-d/opb/res/D-RES-D.9-2022-PDF-S.pdf" TargetMode="External"/><Relationship Id="rId92" Type="http://schemas.openxmlformats.org/officeDocument/2006/relationships/hyperlink" Target="https://www.itu.int/en/ITU-D/Regional-Presence/AsiaPacific/Pages/v2/RD's%20Corner/2023/ITU-South-Asia-Presence-for-Inclusive-Digital-Transformation-.aspx" TargetMode="External"/><Relationship Id="rId213" Type="http://schemas.openxmlformats.org/officeDocument/2006/relationships/hyperlink" Target="https://www.itu.int/itu-d/sites/projectumc/" TargetMode="External"/><Relationship Id="rId234" Type="http://schemas.openxmlformats.org/officeDocument/2006/relationships/hyperlink" Target="https://www.itu.int/en/ITU-D/Statistics/Pages/events/default.aspx" TargetMode="External"/><Relationship Id="rId420" Type="http://schemas.openxmlformats.org/officeDocument/2006/relationships/footer" Target="footer3.xml"/><Relationship Id="rId2" Type="http://schemas.openxmlformats.org/officeDocument/2006/relationships/customXml" Target="../customXml/item2.xml"/><Relationship Id="rId29" Type="http://schemas.openxmlformats.org/officeDocument/2006/relationships/hyperlink" Target="https://www.itu.int/md/D22-RPMCIS-C-0002/es" TargetMode="External"/><Relationship Id="rId255" Type="http://schemas.openxmlformats.org/officeDocument/2006/relationships/hyperlink" Target="https://www.itu.int/dms_pub/itu-d/opb/res/D-RES-D.45-2022-PDF-S.pdf" TargetMode="External"/><Relationship Id="rId276" Type="http://schemas.openxmlformats.org/officeDocument/2006/relationships/hyperlink" Target="https://www.itu.int/en/ITU-D/Cybersecurity/Pages/COP/Trainings.aspx" TargetMode="External"/><Relationship Id="rId297" Type="http://schemas.openxmlformats.org/officeDocument/2006/relationships/hyperlink" Target="https://www.itu.int/en/ITU-D/Study-Groups/2022-2025/Pages/reference/Ongoing-Work.aspx" TargetMode="External"/><Relationship Id="rId40" Type="http://schemas.openxmlformats.org/officeDocument/2006/relationships/hyperlink" Target="https://www.itu.int/pub/D-RES-D.34-2022" TargetMode="External"/><Relationship Id="rId115" Type="http://schemas.openxmlformats.org/officeDocument/2006/relationships/hyperlink" Target="https://www.itu.int/en/ITU-D/ICT-Applications/Pages/digital-government.aspx" TargetMode="External"/><Relationship Id="rId136" Type="http://schemas.openxmlformats.org/officeDocument/2006/relationships/hyperlink" Target="https://academy.itu.int/itu-d/projects-activities/itu-academy-training-centres/itu-atc-overview" TargetMode="External"/><Relationship Id="rId157" Type="http://schemas.openxmlformats.org/officeDocument/2006/relationships/hyperlink" Target="https://www.itu.int/itu-d/meetings/gsr-23/" TargetMode="External"/><Relationship Id="rId178" Type="http://schemas.openxmlformats.org/officeDocument/2006/relationships/hyperlink" Target="https://app.gen5.digital/benchmark/metrics" TargetMode="External"/><Relationship Id="rId301" Type="http://schemas.openxmlformats.org/officeDocument/2006/relationships/hyperlink" Target="https://www.itu.int/md/D22-SG02-C-0360/en" TargetMode="External"/><Relationship Id="rId322" Type="http://schemas.openxmlformats.org/officeDocument/2006/relationships/hyperlink" Target="https://www.itu.int/dms_pub/itu-d/opb/res/D-RES-D.30-2022-PDF-S.pdf" TargetMode="External"/><Relationship Id="rId343" Type="http://schemas.openxmlformats.org/officeDocument/2006/relationships/hyperlink" Target="https://www.itu.int/en/ITU-D/Conferences/TDAG/Pages/2024/TDAG_ICG_GYS.aspx" TargetMode="External"/><Relationship Id="rId364" Type="http://schemas.openxmlformats.org/officeDocument/2006/relationships/hyperlink" Target="https://www.itu.int/en/ITU-D/Regional-Presence/ArabStates/Pages/Events/2023/AccessibleARB/Accessible-ARB2023.aspx" TargetMode="External"/><Relationship Id="rId61" Type="http://schemas.openxmlformats.org/officeDocument/2006/relationships/hyperlink" Target="https://www.itu.int/en/ITU-D/Study-Groups/2022-2025/Pages/events_workshops.aspx" TargetMode="External"/><Relationship Id="rId82" Type="http://schemas.openxmlformats.org/officeDocument/2006/relationships/hyperlink" Target="https://www.itu.int/md/D22-SG02-C-0361/en" TargetMode="External"/><Relationship Id="rId199" Type="http://schemas.openxmlformats.org/officeDocument/2006/relationships/hyperlink" Target="https://www.itu.int/dms_pub/itu-d/opb/res/D-RES-D.8-2022-PDF-E.pdf" TargetMode="External"/><Relationship Id="rId203" Type="http://schemas.openxmlformats.org/officeDocument/2006/relationships/hyperlink" Target="https://www.itu.int/en/ITU-D/Statistics/Documents/publications/manual/ITU_HHManual_ICTskills_rev2025.pdf" TargetMode="External"/><Relationship Id="rId385" Type="http://schemas.openxmlformats.org/officeDocument/2006/relationships/hyperlink" Target="https://www.itu.int/md/D22-SG01-C-0490/en" TargetMode="External"/><Relationship Id="rId19" Type="http://schemas.openxmlformats.org/officeDocument/2006/relationships/hyperlink" Target="https://www.itu.int/md/D22-TDAG30-C-0002/en" TargetMode="External"/><Relationship Id="rId224" Type="http://schemas.openxmlformats.org/officeDocument/2006/relationships/hyperlink" Target="https://datahub.itu.int/dashboards/idi/?y=2025" TargetMode="External"/><Relationship Id="rId245" Type="http://schemas.openxmlformats.org/officeDocument/2006/relationships/hyperlink" Target="https://www.itu.int/dms_pub/itu-d/opb/res/D-RES-D.73-2022-PDF-S.pdf" TargetMode="External"/><Relationship Id="rId266" Type="http://schemas.openxmlformats.org/officeDocument/2006/relationships/hyperlink" Target="https://www.itu.int/itu-d/sites/digital-impact-unlocked/itu-global-cyberdrill-2025-makes-an-impact-around-the-world/" TargetMode="External"/><Relationship Id="rId287" Type="http://schemas.openxmlformats.org/officeDocument/2006/relationships/hyperlink" Target="https://www.itu-cop-guidelines.com/implementation" TargetMode="External"/><Relationship Id="rId410" Type="http://schemas.openxmlformats.org/officeDocument/2006/relationships/hyperlink" Target="https://www.itu.int/en/ITU-D/Conferences/GSR/Pages/GSR.aspx" TargetMode="External"/><Relationship Id="rId30" Type="http://schemas.openxmlformats.org/officeDocument/2006/relationships/hyperlink" Target="https://www.itu.int/md/D22-TDAG30-C-0002/en" TargetMode="External"/><Relationship Id="rId105" Type="http://schemas.openxmlformats.org/officeDocument/2006/relationships/hyperlink" Target="https://www.itu.int/en/ITU-D/Innovation/Pages/Global-Innovation-Forum.aspx" TargetMode="External"/><Relationship Id="rId126" Type="http://schemas.openxmlformats.org/officeDocument/2006/relationships/hyperlink" Target="https://www.itu.int/en/ITU-D/Regional-Presence/CIS/Pages/Events/2023/Minsk-SSC.aspx" TargetMode="External"/><Relationship Id="rId147" Type="http://schemas.openxmlformats.org/officeDocument/2006/relationships/hyperlink" Target="https://academy.itu.int/index.php/main-activities/ilo-itu-digital-skills-campaign" TargetMode="External"/><Relationship Id="rId168" Type="http://schemas.openxmlformats.org/officeDocument/2006/relationships/hyperlink" Target="https://www.itu.int/itu-d/meetings/gsr-24/" TargetMode="External"/><Relationship Id="rId312" Type="http://schemas.openxmlformats.org/officeDocument/2006/relationships/hyperlink" Target="https://www.itu.int/md/D22-WTDC25-C-0012/es" TargetMode="External"/><Relationship Id="rId333" Type="http://schemas.openxmlformats.org/officeDocument/2006/relationships/hyperlink" Target="https://www.itu.int/dms_pub/itu-d/opb/res/D-RES-D.76-2022-PDF-S.pdf" TargetMode="External"/><Relationship Id="rId354" Type="http://schemas.openxmlformats.org/officeDocument/2006/relationships/hyperlink" Target="https://www.itu.int/es/ITU-D/Regional-Presence/Americas/Pages/EVENTS/2023/AA-2023.aspx" TargetMode="External"/><Relationship Id="rId51" Type="http://schemas.openxmlformats.org/officeDocument/2006/relationships/hyperlink" Target="https://www.itu.int/en/ITU-D/Emergency-Telecommunications/Pages/AI-Sub-Group-EW4All-.aspx" TargetMode="External"/><Relationship Id="rId72" Type="http://schemas.openxmlformats.org/officeDocument/2006/relationships/hyperlink" Target="https://www.itu.int/dms_pub/itu-d/opb/res/D-RES-D.9-2022-PDF-E.pdf" TargetMode="External"/><Relationship Id="rId93" Type="http://schemas.openxmlformats.org/officeDocument/2006/relationships/hyperlink" Target="https://www.itu.int/itu-d/sites/innovation-alliance/" TargetMode="External"/><Relationship Id="rId189" Type="http://schemas.openxmlformats.org/officeDocument/2006/relationships/hyperlink" Target="https://www.itu.int/hub/publication/d-pref-econ.mod-2025/" TargetMode="External"/><Relationship Id="rId375" Type="http://schemas.openxmlformats.org/officeDocument/2006/relationships/hyperlink" Target="https://www.itu.int/en/ITU-D/Digital-Inclusion/Pages/itu-ilo/default.aspx" TargetMode="External"/><Relationship Id="rId396" Type="http://schemas.openxmlformats.org/officeDocument/2006/relationships/hyperlink" Target="https://www.itu.int/en/ITU-D/Environment/Pages/Publications/The-Global-E-waste-Monitor-2024.aspx" TargetMode="External"/><Relationship Id="rId3" Type="http://schemas.openxmlformats.org/officeDocument/2006/relationships/customXml" Target="../customXml/item3.xml"/><Relationship Id="rId214" Type="http://schemas.openxmlformats.org/officeDocument/2006/relationships/hyperlink" Target="https://www.itu.int/en/ITU-D/Statistics/Pages/facts/default.aspx" TargetMode="External"/><Relationship Id="rId235" Type="http://schemas.openxmlformats.org/officeDocument/2006/relationships/hyperlink" Target="https://www.itu.int/itu-d/meetings/wtis25/" TargetMode="External"/><Relationship Id="rId256" Type="http://schemas.openxmlformats.org/officeDocument/2006/relationships/hyperlink" Target="https://www.itu.int/dms_pub/itu-d/opb/res/D-RES-D.45-2022-PDF-E.pdf" TargetMode="External"/><Relationship Id="rId277" Type="http://schemas.openxmlformats.org/officeDocument/2006/relationships/hyperlink" Target="https://www.itu.int/cop/askme/" TargetMode="External"/><Relationship Id="rId298" Type="http://schemas.openxmlformats.org/officeDocument/2006/relationships/hyperlink" Target="https://www.itu.int/md/D22-SG02-C-0360/es" TargetMode="External"/><Relationship Id="rId400" Type="http://schemas.openxmlformats.org/officeDocument/2006/relationships/hyperlink" Target="https://www.itu.int/en/ITU-D/Statistics/Pages/expertgroups.aspx" TargetMode="External"/><Relationship Id="rId421" Type="http://schemas.openxmlformats.org/officeDocument/2006/relationships/footer" Target="footer4.xml"/><Relationship Id="rId116" Type="http://schemas.openxmlformats.org/officeDocument/2006/relationships/hyperlink" Target="https://www.govstack.global/about/govstack-principles/" TargetMode="External"/><Relationship Id="rId137" Type="http://schemas.openxmlformats.org/officeDocument/2006/relationships/hyperlink" Target="https://academy.itu.int/itu-d/projects-activities/itu-academy-training-centres/itu-atc-overview" TargetMode="External"/><Relationship Id="rId158" Type="http://schemas.openxmlformats.org/officeDocument/2006/relationships/hyperlink" Target="https://www.itu.int/itu-d/meetings/gsr-23/wp-content/uploads/sites/20/2023/06/GSR-23_Best-Practice-Guidelines-S.pdf" TargetMode="External"/><Relationship Id="rId302" Type="http://schemas.openxmlformats.org/officeDocument/2006/relationships/hyperlink" Target="https://www.itu.int/itu-d/sites/membership/iagdi-cro/" TargetMode="External"/><Relationship Id="rId323" Type="http://schemas.openxmlformats.org/officeDocument/2006/relationships/hyperlink" Target="https://www.itu.int/dms_pub/itu-d/opb/res/D-RES-D.30-2022-PDF-E.pdf" TargetMode="External"/><Relationship Id="rId344" Type="http://schemas.openxmlformats.org/officeDocument/2006/relationships/hyperlink" Target="https://www.itu.int/generationconnect/generation-connect-youth-envoys/" TargetMode="External"/><Relationship Id="rId20" Type="http://schemas.openxmlformats.org/officeDocument/2006/relationships/hyperlink" Target="https://www.itu.int/md/D22-TDAG31-C-0002/en" TargetMode="External"/><Relationship Id="rId41" Type="http://schemas.openxmlformats.org/officeDocument/2006/relationships/hyperlink" Target="https://www.itu.int/en/ITU-D/Emergency-Telecommunications/Pages/Disaster-Connectivity-Map.aspx" TargetMode="External"/><Relationship Id="rId62" Type="http://schemas.openxmlformats.org/officeDocument/2006/relationships/hyperlink" Target="https://www.itu.int/hub/publication/d-stg-sg01.01.03.05-2024/" TargetMode="External"/><Relationship Id="rId83" Type="http://schemas.openxmlformats.org/officeDocument/2006/relationships/hyperlink" Target="https://www.itu.int/en/ITU-D/Study-Groups/2022-2025/Pages/events_workshops.aspx" TargetMode="External"/><Relationship Id="rId179" Type="http://schemas.openxmlformats.org/officeDocument/2006/relationships/hyperlink" Target="https://gen5.digital/" TargetMode="External"/><Relationship Id="rId365" Type="http://schemas.openxmlformats.org/officeDocument/2006/relationships/hyperlink" Target="https://www.itu.int/en/ITU-D/Pages/accessible-events/2025/default.aspx" TargetMode="External"/><Relationship Id="rId386" Type="http://schemas.openxmlformats.org/officeDocument/2006/relationships/hyperlink" Target="https://www.itu.int/dms_pub/itu-d/opb/res/D-RES-D.66-2022-PDF-S.pdf" TargetMode="External"/><Relationship Id="rId190" Type="http://schemas.openxmlformats.org/officeDocument/2006/relationships/hyperlink" Target="https://www.itu.int/hub/publication/d-pref-dig.01-2025/" TargetMode="External"/><Relationship Id="rId204" Type="http://schemas.openxmlformats.org/officeDocument/2006/relationships/hyperlink" Target="https://www.itu.int/en/ITU-D/Statistics/Documents/ICT_Prices/ITU_IPBQManual_2025.pdf" TargetMode="External"/><Relationship Id="rId225" Type="http://schemas.openxmlformats.org/officeDocument/2006/relationships/hyperlink" Target="https://datahub.itu.int/" TargetMode="External"/><Relationship Id="rId246" Type="http://schemas.openxmlformats.org/officeDocument/2006/relationships/hyperlink" Target="https://www.itu.int/dms_pub/itu-d/opb/res/D-RES-D.73-2022-PDF-E.pdf" TargetMode="External"/><Relationship Id="rId267" Type="http://schemas.openxmlformats.org/officeDocument/2006/relationships/hyperlink" Target="https://www.itu.int/dms_pub/itu-d/opb/res/D-RES-D.69-2022-PDF-S.pdf" TargetMode="External"/><Relationship Id="rId288" Type="http://schemas.openxmlformats.org/officeDocument/2006/relationships/hyperlink" Target="https://www.itu.int/en/ITU-D/Cybersecurity/Pages/COP/POP.aspx" TargetMode="External"/><Relationship Id="rId411" Type="http://schemas.openxmlformats.org/officeDocument/2006/relationships/hyperlink" Target="https://www.itu.int/en/ITU-D/Study-Groups/2022-2025/Pages/events_workshops.aspx" TargetMode="External"/><Relationship Id="rId106" Type="http://schemas.openxmlformats.org/officeDocument/2006/relationships/hyperlink" Target="https://www.itu.int/itu-d/meetings/gif-24/" TargetMode="External"/><Relationship Id="rId127" Type="http://schemas.openxmlformats.org/officeDocument/2006/relationships/hyperlink" Target="https://www.itu.int/en/ITU-D/Regional-Presence/CIS/Pages/Events/2023/Minsk-SSC.aspx" TargetMode="External"/><Relationship Id="rId313" Type="http://schemas.openxmlformats.org/officeDocument/2006/relationships/hyperlink" Target="https://www.itu.int/en/ITU-D/Study-Groups/2022-2025/Pages/events_workshops.aspx" TargetMode="External"/><Relationship Id="rId10" Type="http://schemas.openxmlformats.org/officeDocument/2006/relationships/footnotes" Target="footnotes.xml"/><Relationship Id="rId31" Type="http://schemas.openxmlformats.org/officeDocument/2006/relationships/hyperlink" Target="https://www.itu.int/md/D22-TDAG31-C-0002/en" TargetMode="External"/><Relationship Id="rId52" Type="http://schemas.openxmlformats.org/officeDocument/2006/relationships/hyperlink" Target="https://www.itu.int/en/ITU-D/Emergency-Telecommunications/Pages/EW4ALL/EW4ALL%20AI%20Solutions/AI-for-EW4ALL.aspx" TargetMode="External"/><Relationship Id="rId73" Type="http://schemas.openxmlformats.org/officeDocument/2006/relationships/hyperlink" Target="https://www.itu.int/en/ITU-D/Study-Groups/2022-2025/Pages/events_workshops.aspx" TargetMode="External"/><Relationship Id="rId94" Type="http://schemas.openxmlformats.org/officeDocument/2006/relationships/hyperlink" Target="https://www.itu.int/itu-d/sites/innovation-alliance/network-of-itu-acceleration-centres/" TargetMode="External"/><Relationship Id="rId148" Type="http://schemas.openxmlformats.org/officeDocument/2006/relationships/hyperlink" Target="https://www.itu.int/en/ITU-D/Regional-Presence/Americas/Pages/ACTVTS/DTK/DTK-AMS.aspx" TargetMode="External"/><Relationship Id="rId169" Type="http://schemas.openxmlformats.org/officeDocument/2006/relationships/hyperlink" Target="https://www.itu.int/net/epub/BDT/2025-GSR-25-Best-Practice-Guidelines/index.html" TargetMode="External"/><Relationship Id="rId334" Type="http://schemas.openxmlformats.org/officeDocument/2006/relationships/hyperlink" Target="https://www.itu.int/dms_pub/itu-d/opb/res/D-RES-D.46-2022-PDF-E.pdf" TargetMode="External"/><Relationship Id="rId355" Type="http://schemas.openxmlformats.org/officeDocument/2006/relationships/hyperlink" Target="https://www.itu.int/en/ITU-D/Regional-Presence/Americas/Pages/EVENTS/2024/AA-2024.aspx" TargetMode="External"/><Relationship Id="rId376" Type="http://schemas.openxmlformats.org/officeDocument/2006/relationships/hyperlink" Target="https://www.itu.int/hub/publication/d-hdb-gender-2023-01/" TargetMode="External"/><Relationship Id="rId397" Type="http://schemas.openxmlformats.org/officeDocument/2006/relationships/hyperlink" Target="https://www.itu.int/en/ITU-D/Environment/Pages/Publications/GDC-25.aspx" TargetMode="External"/><Relationship Id="rId422" Type="http://schemas.openxmlformats.org/officeDocument/2006/relationships/fontTable" Target="fontTable.xml"/><Relationship Id="rId180" Type="http://schemas.openxmlformats.org/officeDocument/2006/relationships/hyperlink" Target="https://app.gen5.digital/unified-framework/about" TargetMode="External"/><Relationship Id="rId215" Type="http://schemas.openxmlformats.org/officeDocument/2006/relationships/hyperlink" Target="https://www.itu.int/en/ITU-D/Statistics/Pages/facts/default.aspx" TargetMode="External"/><Relationship Id="rId236" Type="http://schemas.openxmlformats.org/officeDocument/2006/relationships/hyperlink" Target="https://www.itu.int/en/ITU-D/Statistics/Pages/events/default.aspx" TargetMode="External"/><Relationship Id="rId257" Type="http://schemas.openxmlformats.org/officeDocument/2006/relationships/hyperlink" Target="https://www.itu.int/en/ITU-D/Cybersecurity/pages/cyberdrills.aspx" TargetMode="External"/><Relationship Id="rId278" Type="http://schemas.openxmlformats.org/officeDocument/2006/relationships/hyperlink" Target="https://www.itu.int/cop/sangosadventures/" TargetMode="External"/><Relationship Id="rId401" Type="http://schemas.openxmlformats.org/officeDocument/2006/relationships/hyperlink" Target="https://chrome-extension://efaidnbmnnnibpcajpcglclefindmkaj/https:/www.itu.int/en/ITU-D/Statistics/Documents/expertgroups/EGTI_Environmental_Indicators_Sub-Group_ToR.pdf" TargetMode="External"/><Relationship Id="rId303" Type="http://schemas.openxmlformats.org/officeDocument/2006/relationships/hyperlink" Target="https://www.itu.int/itu-d/sites/membership/iagdi-cro/" TargetMode="External"/><Relationship Id="rId42" Type="http://schemas.openxmlformats.org/officeDocument/2006/relationships/hyperlink" Target="https://www.itu.int/en/ITU-D/Emergency-Telecommunications/Pages/AI-Sub-Group-EW4All-.aspx" TargetMode="External"/><Relationship Id="rId84" Type="http://schemas.openxmlformats.org/officeDocument/2006/relationships/hyperlink" Target="https://www.itu.int/md/D22-SG02-C-0364/es" TargetMode="External"/><Relationship Id="rId138" Type="http://schemas.openxmlformats.org/officeDocument/2006/relationships/hyperlink" Target="https://academy.itu.int/partners/capacity-development-digital-transformation-project" TargetMode="External"/><Relationship Id="rId345" Type="http://schemas.openxmlformats.org/officeDocument/2006/relationships/hyperlink" Target="https://www.itu.int/en/ITU-D/Conferences/TDAG/Pages/2024/TDAG_ICG_GYS.aspx" TargetMode="External"/><Relationship Id="rId387" Type="http://schemas.openxmlformats.org/officeDocument/2006/relationships/hyperlink" Target="https://www.itu.int/dms_pub/itu-d/opb/res/D-RES-D.66-2022-PDF-E.pdf" TargetMode="External"/><Relationship Id="rId191" Type="http://schemas.openxmlformats.org/officeDocument/2006/relationships/hyperlink" Target="https://www.itu.int/hub/publication/d-pref-dig.01-2025/" TargetMode="External"/><Relationship Id="rId205" Type="http://schemas.openxmlformats.org/officeDocument/2006/relationships/hyperlink" Target="https://www.itu.int/en/ITU-D/Statistics/Pages/expertgroups.aspx" TargetMode="External"/><Relationship Id="rId247" Type="http://schemas.openxmlformats.org/officeDocument/2006/relationships/hyperlink" Target="https://www.itu.int/itu-d/sites/i-codi/" TargetMode="External"/><Relationship Id="rId412" Type="http://schemas.openxmlformats.org/officeDocument/2006/relationships/hyperlink" Target="https://www.itu.int/md/D22-SG02-C-0363/en" TargetMode="External"/><Relationship Id="rId107" Type="http://schemas.openxmlformats.org/officeDocument/2006/relationships/hyperlink" Target="chrome-extension://efaidnbmnnnibpcajpcglclefindmkaj/https:/www.itu.int/en/ITU-D/Regional-Presence/Europe/Documents/May%202025_Maltas%20Innovation%20Landscape%20Best%20Practices%20and%20Future%20Directions_vf%20with%20cover.pdf" TargetMode="External"/><Relationship Id="rId289" Type="http://schemas.openxmlformats.org/officeDocument/2006/relationships/hyperlink" Target="https://www.itu.int/en/ITU-D/Cybersecurity/Pages/COP/POP.aspx" TargetMode="External"/><Relationship Id="rId11" Type="http://schemas.openxmlformats.org/officeDocument/2006/relationships/endnotes" Target="endnotes.xml"/><Relationship Id="rId53" Type="http://schemas.openxmlformats.org/officeDocument/2006/relationships/hyperlink" Target="https://www.itu.int/en/ITU-D/Emergency-Telecommunications/Pages/NETPs.aspx" TargetMode="External"/><Relationship Id="rId149" Type="http://schemas.openxmlformats.org/officeDocument/2006/relationships/hyperlink" Target="https://www.itu.int/en/ITU-D/Regional-Presence/Americas/Pages/ACTVTS/DTK/DTK-AMS.aspx" TargetMode="External"/><Relationship Id="rId314" Type="http://schemas.openxmlformats.org/officeDocument/2006/relationships/hyperlink" Target="https://www.itu.int/en/ITU-D/Study-Groups/2022-2025/Pages/reference/Ongoing-Work.aspx" TargetMode="External"/><Relationship Id="rId356" Type="http://schemas.openxmlformats.org/officeDocument/2006/relationships/hyperlink" Target="https://www.itu.int/en/ITU-D/Regional-Presence/Europe/Pages/Events/2023/1205-06%20-%20Accessible%20Europe/Accessible-Europe-23.aspx" TargetMode="External"/><Relationship Id="rId398" Type="http://schemas.openxmlformats.org/officeDocument/2006/relationships/hyperlink" Target="https://www.itu.int/en/ITU-D/Statistics/Pages/expertgroups.aspx" TargetMode="External"/><Relationship Id="rId95" Type="http://schemas.openxmlformats.org/officeDocument/2006/relationships/hyperlink" Target="https://www.itu.int/en/ITU-D/Regional-Presence/AsiaPacific/Pages/v2/RD's%20Corner/2023/ITU-South-Asia-Presence-for-Inclusive-Digital-Transformation-.aspx" TargetMode="External"/><Relationship Id="rId160" Type="http://schemas.openxmlformats.org/officeDocument/2006/relationships/hyperlink" Target="https://www.itu.int/itu-d/meetings/gsr-23/" TargetMode="External"/><Relationship Id="rId216" Type="http://schemas.openxmlformats.org/officeDocument/2006/relationships/hyperlink" Target="https://www.itu.int/itu-d/reports/statistics/idi2025/" TargetMode="External"/><Relationship Id="rId423" Type="http://schemas.openxmlformats.org/officeDocument/2006/relationships/theme" Target="theme/theme1.xml"/><Relationship Id="rId258" Type="http://schemas.openxmlformats.org/officeDocument/2006/relationships/hyperlink" Target="https://www.itu.int/en/ITU-D/Cybersecurity/Pages/national-CIRT.aspx" TargetMode="External"/><Relationship Id="rId22" Type="http://schemas.openxmlformats.org/officeDocument/2006/relationships/hyperlink" Target="https://www.itu.int/md/D22-RPMCIS-C-0002/en" TargetMode="External"/><Relationship Id="rId64" Type="http://schemas.openxmlformats.org/officeDocument/2006/relationships/hyperlink" Target="https://www.itu.int/en/ITU-D/Technology/Pages/infrastructure_mapping_and_analysis.aspx" TargetMode="External"/><Relationship Id="rId118" Type="http://schemas.openxmlformats.org/officeDocument/2006/relationships/hyperlink" Target="https://www.govstack.global/about/govstack-principles/" TargetMode="External"/><Relationship Id="rId325" Type="http://schemas.openxmlformats.org/officeDocument/2006/relationships/hyperlink" Target="https://www.itu.int/dms_pub/itu-d/opb/res/D-RES-D.88-2022-PDF-E.pdf" TargetMode="External"/><Relationship Id="rId367" Type="http://schemas.openxmlformats.org/officeDocument/2006/relationships/hyperlink" Target="https://www.itu.int/en/ITU-D/Pages/accessible-events/2025/default.aspx" TargetMode="External"/><Relationship Id="rId171" Type="http://schemas.openxmlformats.org/officeDocument/2006/relationships/hyperlink" Target="https://www.itu.int/itu-d/sites/ra-network/" TargetMode="External"/><Relationship Id="rId227" Type="http://schemas.openxmlformats.org/officeDocument/2006/relationships/hyperlink" Target="https://www.worldbank.org/en/programs/global-data-facility/brief/putting-mobile-phone-data-to-work-for-policy" TargetMode="External"/><Relationship Id="rId269" Type="http://schemas.openxmlformats.org/officeDocument/2006/relationships/hyperlink" Target="https://www.itu.int/en/ITU-D/Cybersecurity/Pages/Women-in-Cyber/Women-in-Cyber-Mentorship-Programme.aspx" TargetMode="External"/><Relationship Id="rId33" Type="http://schemas.openxmlformats.org/officeDocument/2006/relationships/hyperlink" Target="https://www.itu.int/md/D22-RPMCIS-C-0002/en" TargetMode="External"/><Relationship Id="rId129" Type="http://schemas.openxmlformats.org/officeDocument/2006/relationships/hyperlink" Target="https://www.itu.int/md/D22-SG02-C-0358/es" TargetMode="External"/><Relationship Id="rId280" Type="http://schemas.openxmlformats.org/officeDocument/2006/relationships/hyperlink" Target="https://www.itu.int/cop/askme/" TargetMode="External"/><Relationship Id="rId336" Type="http://schemas.openxmlformats.org/officeDocument/2006/relationships/hyperlink" Target="https://www.itu.int/dms_pub/itu-d/opb/res/D-RES-D.58-2022-PDF-E.pdf" TargetMode="External"/><Relationship Id="rId75" Type="http://schemas.openxmlformats.org/officeDocument/2006/relationships/hyperlink" Target="https://www.itu.int/md/D22-SG01-C-0488/es" TargetMode="External"/><Relationship Id="rId140" Type="http://schemas.openxmlformats.org/officeDocument/2006/relationships/hyperlink" Target="https://academy.itu.int/itu-d/projects-activities/digital-transformation-centres-initiative" TargetMode="External"/><Relationship Id="rId182" Type="http://schemas.openxmlformats.org/officeDocument/2006/relationships/hyperlink" Target="https://app.gen5.digital/benchmark/metrics" TargetMode="External"/><Relationship Id="rId378" Type="http://schemas.openxmlformats.org/officeDocument/2006/relationships/hyperlink" Target="https://www.equalsintech.org/_files/ugd/04bfff_cc8e6f166c2e41beabc88cbb3226f66f.pdf" TargetMode="External"/><Relationship Id="rId403" Type="http://schemas.openxmlformats.org/officeDocument/2006/relationships/hyperlink" Target="https://greeningdigital.itu.int/" TargetMode="External"/><Relationship Id="rId6" Type="http://schemas.openxmlformats.org/officeDocument/2006/relationships/numbering" Target="numbering.xml"/><Relationship Id="rId238" Type="http://schemas.openxmlformats.org/officeDocument/2006/relationships/hyperlink" Target="https://www.itu.int/itu-d/sites/projectumc/home/the-umc-project/" TargetMode="External"/><Relationship Id="rId291" Type="http://schemas.openxmlformats.org/officeDocument/2006/relationships/hyperlink" Target="https://www.itu.int/en/ITU-D/Cybersecurity/Pages/Skills-Development/Cyber-Diplomacy/RSCCD-25.aspx" TargetMode="External"/><Relationship Id="rId305" Type="http://schemas.openxmlformats.org/officeDocument/2006/relationships/hyperlink" Target="https://www.itu.int/net/epub/BDT/2024-GSR-24-Best-Practice-Guidelines/" TargetMode="External"/><Relationship Id="rId347" Type="http://schemas.openxmlformats.org/officeDocument/2006/relationships/hyperlink" Target="https://www.itu.int/generationconnect/empower/generation-connect-young-leadership-programme-in-partnership-with-huawei/itu-generation-connect-young-leadership-programme-cohort-2025/" TargetMode="External"/><Relationship Id="rId44" Type="http://schemas.openxmlformats.org/officeDocument/2006/relationships/hyperlink" Target="https://www.itu.int/en/ITU-D/Emergency-Telecommunications/Pages/AI-Sub-Group-EW4All-.aspx" TargetMode="External"/><Relationship Id="rId86" Type="http://schemas.openxmlformats.org/officeDocument/2006/relationships/hyperlink" Target="https://www.itu.int/md/D22-SG02-C-0364/en" TargetMode="External"/><Relationship Id="rId151" Type="http://schemas.openxmlformats.org/officeDocument/2006/relationships/hyperlink" Target="https://www.itu.int/en/ITU-D/Regional-Presence/Europe/Pages/Projects/AE/About.aspx" TargetMode="External"/><Relationship Id="rId389" Type="http://schemas.openxmlformats.org/officeDocument/2006/relationships/hyperlink" Target="https://academy.itu.int/training-courses/full-catalogue/e-waste-policy-and-extended-producer-responsibility-epr" TargetMode="External"/><Relationship Id="rId193" Type="http://schemas.openxmlformats.org/officeDocument/2006/relationships/hyperlink" Target="http://www.itu.int/go/policy_repository_asp" TargetMode="External"/><Relationship Id="rId207" Type="http://schemas.openxmlformats.org/officeDocument/2006/relationships/hyperlink" Target="https://www.itu.int/en/ITU-D/Statistics/Pages/IDI/default.aspx" TargetMode="External"/><Relationship Id="rId249" Type="http://schemas.openxmlformats.org/officeDocument/2006/relationships/hyperlink" Target="https://www.itu.int/itu-d/sites/innovation-alliance/" TargetMode="External"/><Relationship Id="rId414" Type="http://schemas.openxmlformats.org/officeDocument/2006/relationships/hyperlink" Target="https://www.itu.int/md/D22-SG02-C-0363/en" TargetMode="External"/><Relationship Id="rId13" Type="http://schemas.openxmlformats.org/officeDocument/2006/relationships/image" Target="media/image2.png"/><Relationship Id="rId109" Type="http://schemas.openxmlformats.org/officeDocument/2006/relationships/hyperlink" Target="https://www.itu.int/en/ITU-D/Innovation/Pages/Ecosystem-Development-Strategies-and-Roadmaps.aspx" TargetMode="External"/><Relationship Id="rId260" Type="http://schemas.openxmlformats.org/officeDocument/2006/relationships/hyperlink" Target="https://www.itu.int/en/ITU-D/Cybersecurity/pages/cyberdrills.aspx" TargetMode="External"/><Relationship Id="rId316" Type="http://schemas.openxmlformats.org/officeDocument/2006/relationships/hyperlink" Target="https://www.itu.int/en/ITU-D/Study-Groups/2022-2025/Pages/events_workshops.aspx" TargetMode="External"/><Relationship Id="rId55" Type="http://schemas.openxmlformats.org/officeDocument/2006/relationships/hyperlink" Target="https://www.itu.int/en/ITU-D/Regional-Presence/AsiaPacific/Pages/Events/2025/Resilience%20Japan/WORKSHOP-ON-RESILIENT-INFRASTRUCTURE-FOR-EFFECTIVE-EARLY-WARNING-DISSEMINATION.aspx" TargetMode="External"/><Relationship Id="rId97" Type="http://schemas.openxmlformats.org/officeDocument/2006/relationships/hyperlink" Target="https://www.itu.int/en/ITU-D/Innovation/Pages/Digital-Transformation-Lab.aspx" TargetMode="External"/><Relationship Id="rId120" Type="http://schemas.openxmlformats.org/officeDocument/2006/relationships/hyperlink" Target="https://www.itu.int/dms_pub/itu-d/opb/res/D-RES-D.85-2022-PDF-S.pdf" TargetMode="External"/><Relationship Id="rId358" Type="http://schemas.openxmlformats.org/officeDocument/2006/relationships/hyperlink" Target="https://www.itu.int/en/ITU-D/Pages/accessible-events/2025/default.aspx" TargetMode="External"/><Relationship Id="rId162" Type="http://schemas.openxmlformats.org/officeDocument/2006/relationships/hyperlink" Target="https://www.itu.int/itu-d/meetings/gsr-25/" TargetMode="External"/><Relationship Id="rId218" Type="http://schemas.openxmlformats.org/officeDocument/2006/relationships/hyperlink" Target="https://www.itu.int/itu-d/reports/statistics/idi2025/" TargetMode="External"/><Relationship Id="rId271" Type="http://schemas.openxmlformats.org/officeDocument/2006/relationships/hyperlink" Target="https://www.itu.int/en/ITU-D/Cybersecurity/Pages/Women-in-Cyber/Women-in-Cyber-Mentorship-Programme.aspx" TargetMode="External"/><Relationship Id="rId24" Type="http://schemas.openxmlformats.org/officeDocument/2006/relationships/hyperlink" Target="https://www.itu.int/md/D22-WTDC25-C-0002" TargetMode="External"/><Relationship Id="rId66" Type="http://schemas.openxmlformats.org/officeDocument/2006/relationships/hyperlink" Target="https://www.itu.int/en/ITU-D/Technology/Pages/infrastructure_mapping_and_analysis.aspx" TargetMode="External"/><Relationship Id="rId131" Type="http://schemas.openxmlformats.org/officeDocument/2006/relationships/hyperlink" Target="https://www.itu.int/md/D22-SG02-C-0358/en" TargetMode="External"/><Relationship Id="rId327" Type="http://schemas.openxmlformats.org/officeDocument/2006/relationships/hyperlink" Target="https://www.itu.int/en/ITU-D/Study-Groups/2022-2025/Pages/reference/Questions-under-study.aspx" TargetMode="External"/><Relationship Id="rId369" Type="http://schemas.openxmlformats.org/officeDocument/2006/relationships/hyperlink" Target="https://www.itu.int/women-and-girls/girls-in-ict/" TargetMode="External"/><Relationship Id="rId173" Type="http://schemas.openxmlformats.org/officeDocument/2006/relationships/hyperlink" Target="https://digitalregulation.org/" TargetMode="External"/><Relationship Id="rId229" Type="http://schemas.openxmlformats.org/officeDocument/2006/relationships/hyperlink" Target="https://www.itu.int/itu-d/sites/projectumc/information-hub/events/" TargetMode="External"/><Relationship Id="rId380" Type="http://schemas.openxmlformats.org/officeDocument/2006/relationships/hyperlink" Target="https://www.itu.int/itu-d/sites/digital-impact-unlocked/inclusive-digital-education-for-visually-impaired-people-in-pakistan/" TargetMode="External"/><Relationship Id="rId240" Type="http://schemas.openxmlformats.org/officeDocument/2006/relationships/hyperlink" Target="https://www.itu.int/en/ITU-D/Regional-Presence/Americas/Pages/EVENTS/2024/IPEC-2024.aspx" TargetMode="External"/><Relationship Id="rId35" Type="http://schemas.openxmlformats.org/officeDocument/2006/relationships/footer" Target="footer1.xml"/><Relationship Id="rId77" Type="http://schemas.openxmlformats.org/officeDocument/2006/relationships/hyperlink" Target="https://www.itu.int/hub/publication/d-stg-sg01.01.03.05-2024/" TargetMode="External"/><Relationship Id="rId100" Type="http://schemas.openxmlformats.org/officeDocument/2006/relationships/hyperlink" Target="https://www.itu.int/itu-d/sites/innovation-alliance/board-members/" TargetMode="External"/><Relationship Id="rId282" Type="http://schemas.openxmlformats.org/officeDocument/2006/relationships/hyperlink" Target="https://www.itu.int/cop/sangosadventures/" TargetMode="External"/><Relationship Id="rId338" Type="http://schemas.openxmlformats.org/officeDocument/2006/relationships/hyperlink" Target="https://www.itu.int/hub/publication/d-phcb-equal-02-2023" TargetMode="External"/><Relationship Id="rId8" Type="http://schemas.openxmlformats.org/officeDocument/2006/relationships/settings" Target="settings.xml"/><Relationship Id="rId142" Type="http://schemas.openxmlformats.org/officeDocument/2006/relationships/hyperlink" Target="https://www.itu.int/en/ITU-D/Digital-Inclusion/Youth-and-Children/Pages/Digital-Skills-Toolkit.aspx" TargetMode="External"/><Relationship Id="rId184" Type="http://schemas.openxmlformats.org/officeDocument/2006/relationships/hyperlink" Target="https://www.itu.int/en/ITU-D/Regulatory-Market/Pages/gdro23.aspx" TargetMode="External"/><Relationship Id="rId391" Type="http://schemas.openxmlformats.org/officeDocument/2006/relationships/hyperlink" Target="https://academy.itu.int/training-courses/full-catalogue/e-waste-policy-and-extended-producer-responsibility-epr" TargetMode="External"/><Relationship Id="rId405" Type="http://schemas.openxmlformats.org/officeDocument/2006/relationships/hyperlink" Target="https://chrome-extension://efaidnbmnnnibpcajpcglclefindmkaj/https:/ewastemonitor.info/wp-content/uploads/2023/12/Regional-E-waste-Monitor-Western-Balkans-2023.pdf" TargetMode="External"/><Relationship Id="rId251" Type="http://schemas.openxmlformats.org/officeDocument/2006/relationships/hyperlink" Target="https://www.itu.int/itu-d/meetings/gif-24/" TargetMode="External"/><Relationship Id="rId46" Type="http://schemas.openxmlformats.org/officeDocument/2006/relationships/hyperlink" Target="https://www.itu.int/en/ITU-D/Emergency-Telecommunications/Pages/Common-Alerting-Protocol-and-Call-to-Action.aspx" TargetMode="External"/><Relationship Id="rId293" Type="http://schemas.openxmlformats.org/officeDocument/2006/relationships/hyperlink" Target="https://www.itu.int/en/ITU-D/Cybersecurity/Pages/CyberDrill-2023/ARB-CIS-CD-2023.aspx" TargetMode="External"/><Relationship Id="rId307" Type="http://schemas.openxmlformats.org/officeDocument/2006/relationships/hyperlink" Target="https://www.itu.int/md/D22-WTDC25-INF-0001/" TargetMode="External"/><Relationship Id="rId349" Type="http://schemas.openxmlformats.org/officeDocument/2006/relationships/hyperlink" Target="https://www.itu.int/en/ITU-D/Digital-Inclusion/Women-and-Girls/NoW/Pages/mentorship/2024/Empowering-Women-Leaders-Mentorship-Programme.aspx" TargetMode="External"/><Relationship Id="rId88" Type="http://schemas.openxmlformats.org/officeDocument/2006/relationships/hyperlink" Target="https://www.itu.int/dms_pub/itu-d/opb/res/D-RES-D.90-2022-PDF-S.pdf" TargetMode="External"/><Relationship Id="rId111" Type="http://schemas.openxmlformats.org/officeDocument/2006/relationships/hyperlink" Target="https://www.itu.int/en/ITU-D/Innovation/Pages/RIA/Workshop%20Concept%20on%20Asia%20and%20the%20Pacific%20Regional%20Initiative/Workshop-Concept-on-Asia-and-th.aspx" TargetMode="External"/><Relationship Id="rId153" Type="http://schemas.openxmlformats.org/officeDocument/2006/relationships/hyperlink" Target="https://www.itu.int/md/D22-SG02-C-0362/es" TargetMode="External"/><Relationship Id="rId195" Type="http://schemas.openxmlformats.org/officeDocument/2006/relationships/hyperlink" Target="http://www.itu.int/go/policy_repository_asp" TargetMode="External"/><Relationship Id="rId209" Type="http://schemas.openxmlformats.org/officeDocument/2006/relationships/hyperlink" Target="https://www.itu.int/en/ITU-D/Statistics/Documents/ICT_Prices/ITU_IPBQManual_2025.pdf" TargetMode="External"/><Relationship Id="rId360" Type="http://schemas.openxmlformats.org/officeDocument/2006/relationships/hyperlink" Target="https://www.itu.int/en/ITU-D/Pages/accessible-events/2025/default.aspx" TargetMode="External"/><Relationship Id="rId416" Type="http://schemas.openxmlformats.org/officeDocument/2006/relationships/hyperlink" Target="https://www.itu.int/pub/publications.aspx?lang=en&amp;parent=D-RES-D.52-2014" TargetMode="External"/><Relationship Id="rId220" Type="http://schemas.openxmlformats.org/officeDocument/2006/relationships/hyperlink" Target="https://www.itu.int/itu-d/reports/statistics/sddt/" TargetMode="External"/><Relationship Id="rId15" Type="http://schemas.openxmlformats.org/officeDocument/2006/relationships/hyperlink" Target="https://www.itu.int/md/D22-TDAG30-C-0002/es" TargetMode="External"/><Relationship Id="rId57" Type="http://schemas.openxmlformats.org/officeDocument/2006/relationships/hyperlink" Target="https://www.itu.int/en/ITU-D/Emergency-Telecommunications/Pages/TampereConvention.aspx" TargetMode="External"/><Relationship Id="rId262" Type="http://schemas.openxmlformats.org/officeDocument/2006/relationships/hyperlink" Target="https://www.itu.int/en/ITU-D/Cybersecurity/pages/global-cybersecurity-index.aspx" TargetMode="External"/><Relationship Id="rId318" Type="http://schemas.openxmlformats.org/officeDocument/2006/relationships/hyperlink" Target="https://www.itu.int/dms_pub/itu-d/opb/res/D-RES-D.9-2022-PDF-S.pdf" TargetMode="External"/><Relationship Id="rId99" Type="http://schemas.openxmlformats.org/officeDocument/2006/relationships/hyperlink" Target="https://www.itu.int/itu-d/sites/innovation-alliance/the-expert-network/" TargetMode="External"/><Relationship Id="rId122" Type="http://schemas.openxmlformats.org/officeDocument/2006/relationships/hyperlink" Target="https://www.itu.int/dms_pub/itu-d/opb/res/D-RES-D.85-2022-PDF-E.pdf" TargetMode="External"/><Relationship Id="rId164" Type="http://schemas.openxmlformats.org/officeDocument/2006/relationships/hyperlink" Target="https://www.itu.int/itu-d/meetings/gsr-25/" TargetMode="External"/><Relationship Id="rId371" Type="http://schemas.openxmlformats.org/officeDocument/2006/relationships/hyperlink" Target="https://www.itu.int/itu-d/meetings/global-youth-summit-25/" TargetMode="External"/><Relationship Id="rId26" Type="http://schemas.openxmlformats.org/officeDocument/2006/relationships/hyperlink" Target="https://www.itu.int/md/D22-TDAG30-C-0002/es" TargetMode="External"/><Relationship Id="rId231" Type="http://schemas.openxmlformats.org/officeDocument/2006/relationships/hyperlink" Target="https://www.itu.int/en/ITU-D/Statistics/Pages/capacitydev/default.aspx" TargetMode="External"/><Relationship Id="rId273" Type="http://schemas.openxmlformats.org/officeDocument/2006/relationships/hyperlink" Target="https://www.itu.int/en/ITU-D/Cybersecurity/Pages/COP/COP.aspx" TargetMode="External"/><Relationship Id="rId329" Type="http://schemas.openxmlformats.org/officeDocument/2006/relationships/hyperlink" Target="https://www.itu.int/itu-d/meetings/rdf/" TargetMode="External"/><Relationship Id="rId68" Type="http://schemas.openxmlformats.org/officeDocument/2006/relationships/hyperlink" Target="https://www.itu.int/en/ITU-D/Technology/Pages/bbmaps-toolkit.aspx" TargetMode="External"/><Relationship Id="rId133" Type="http://schemas.openxmlformats.org/officeDocument/2006/relationships/hyperlink" Target="https://www.itu.int/md/D22-SG02-C-0359/es" TargetMode="External"/><Relationship Id="rId175" Type="http://schemas.openxmlformats.org/officeDocument/2006/relationships/hyperlink" Target="https://www.itu.int/itu-d/reports/regulatory-market/usf-financial-efficiency-toolkit/" TargetMode="External"/><Relationship Id="rId340" Type="http://schemas.openxmlformats.org/officeDocument/2006/relationships/hyperlink" Target="https://www.itu.int/hub/publication/d-phcb-equal-02-2023" TargetMode="External"/><Relationship Id="rId200" Type="http://schemas.openxmlformats.org/officeDocument/2006/relationships/hyperlink" Target="https://www.itu.int/en/ITU-D/Statistics/Pages/expertgroups.aspx" TargetMode="External"/><Relationship Id="rId382" Type="http://schemas.openxmlformats.org/officeDocument/2006/relationships/hyperlink" Target="https://www.itu.int/en/ITU-D/Study-Groups/2022-2025/Pages/events_workshops.aspx" TargetMode="External"/><Relationship Id="rId242" Type="http://schemas.openxmlformats.org/officeDocument/2006/relationships/hyperlink" Target="https://www.itu.int/en/ITU-D/Innovation/Pages/RIA/Regional-Initiative-Accelerator.aspx" TargetMode="External"/><Relationship Id="rId284" Type="http://schemas.openxmlformats.org/officeDocument/2006/relationships/hyperlink" Target="https://www.itu.int/en/ITU-D/Cybersecurity/Pages/COP/COP%20Industry%20Connect/COP-Industry-Connect.aspx" TargetMode="External"/><Relationship Id="rId37" Type="http://schemas.openxmlformats.org/officeDocument/2006/relationships/hyperlink" Target="https://earlywarningsforall.org/site/early-warnings-all/about-ew4all" TargetMode="External"/><Relationship Id="rId79" Type="http://schemas.openxmlformats.org/officeDocument/2006/relationships/hyperlink" Target="https://www.itu.int/en/ITU-D/Study-Groups/2022-2025/Pages/events_workshops.aspx" TargetMode="External"/><Relationship Id="rId102" Type="http://schemas.openxmlformats.org/officeDocument/2006/relationships/hyperlink" Target="https://www.itu.int/en/ITU-D/Innovation/Pages/Global-Innovation-Forum.aspx" TargetMode="External"/><Relationship Id="rId144" Type="http://schemas.openxmlformats.org/officeDocument/2006/relationships/hyperlink" Target="https://www.itu.int/itu-d/meetings/digital-skills-forum/" TargetMode="External"/><Relationship Id="rId90" Type="http://schemas.openxmlformats.org/officeDocument/2006/relationships/hyperlink" Target="https://www.itu.int/dms_pub/itu-d/opb/res/D-RES-D.90-2022-PDF-E.pdf" TargetMode="External"/><Relationship Id="rId186" Type="http://schemas.openxmlformats.org/officeDocument/2006/relationships/hyperlink" Target="https://www.itu.int/en/ITU-D/Regulatory-Market/Pages/collaborative-regulation-country-reviews/default.aspx" TargetMode="External"/><Relationship Id="rId351" Type="http://schemas.openxmlformats.org/officeDocument/2006/relationships/hyperlink" Target="https://www.itu.int/en/ITU-D/Digital-Inclusion/Indigenous-Peoples/Pages/default.aspx" TargetMode="External"/><Relationship Id="rId393" Type="http://schemas.openxmlformats.org/officeDocument/2006/relationships/hyperlink" Target="https://academy.itu.int/training-courses/full-catalogue/green-and-digital-entrepreneurship" TargetMode="External"/><Relationship Id="rId407" Type="http://schemas.openxmlformats.org/officeDocument/2006/relationships/hyperlink" Target="https://www.itu.int/initiatives/green-digital-action/events/all/cop29/" TargetMode="External"/><Relationship Id="rId211" Type="http://schemas.openxmlformats.org/officeDocument/2006/relationships/hyperlink" Target="https://www.itu.int/itu-d/sites/projectumc/" TargetMode="External"/><Relationship Id="rId253" Type="http://schemas.openxmlformats.org/officeDocument/2006/relationships/hyperlink" Target="https://chrome-extension://efaidnbmnnnibpcajpcglclefindmkaj/https:/www.itu.int/en/ITU-D/Regional-Presence/Europe/Documents/May%202025_Maltas%20Innovation%20Landscape%20Best%20Practices%20and%20Future%20Directions_vf%20with%20cover.pdf" TargetMode="External"/><Relationship Id="rId295" Type="http://schemas.openxmlformats.org/officeDocument/2006/relationships/hyperlink" Target="https://www.itu.int/en/ITU-D/Regional-Presence/CIS/Pages/Events/2024/CyberDrill.aspx" TargetMode="External"/><Relationship Id="rId309" Type="http://schemas.openxmlformats.org/officeDocument/2006/relationships/hyperlink" Target="https://www.itu.int/md/D22-WTDC25-INF-0001/" TargetMode="External"/><Relationship Id="rId48" Type="http://schemas.openxmlformats.org/officeDocument/2006/relationships/hyperlink" Target="https://www.itu.int/en/ITU-D/Emergency-Telecommunications/Pages/EW4ALL/EW4ALL%20AI%20Solutions/AI-for-EW4ALL.aspx" TargetMode="External"/><Relationship Id="rId113" Type="http://schemas.openxmlformats.org/officeDocument/2006/relationships/hyperlink" Target="https://www.itu.int/en/ITU-D/Regional-Presence/Europe/Pages/Events/2025/02.11-13_Regional%20Initiative%20Accelerator%20Workshop/Western-Balkan-Countries.aspx" TargetMode="External"/><Relationship Id="rId320" Type="http://schemas.openxmlformats.org/officeDocument/2006/relationships/hyperlink" Target="https://www.itu.int/en/ITU-D/Study-Groups/2022-2025/Pages/Publications.aspx" TargetMode="External"/><Relationship Id="rId155" Type="http://schemas.openxmlformats.org/officeDocument/2006/relationships/hyperlink" Target="https://www.itu.int/md/D22-SG02-C-0362/en" TargetMode="External"/><Relationship Id="rId197" Type="http://schemas.openxmlformats.org/officeDocument/2006/relationships/hyperlink" Target="https://www.itu.int/en/ITU-D/Regional-Presence/Americas/Pages/EVENTS/2025/IPEC-2025.aspx" TargetMode="External"/><Relationship Id="rId362" Type="http://schemas.openxmlformats.org/officeDocument/2006/relationships/hyperlink" Target="https://www.itu.int/en/ITU-D/Regional-Presence/Americas/Pages/EVENTS/2024/AA-2024.aspx" TargetMode="External"/><Relationship Id="rId418" Type="http://schemas.openxmlformats.org/officeDocument/2006/relationships/hyperlink" Target="https://www.itu.int/pub/D-RES-D.16-2017" TargetMode="External"/><Relationship Id="rId222" Type="http://schemas.openxmlformats.org/officeDocument/2006/relationships/hyperlink" Target="https://www.itu.int/en/ITU-D/Statistics/Pages/ICTprices/default.aspx" TargetMode="External"/><Relationship Id="rId264" Type="http://schemas.openxmlformats.org/officeDocument/2006/relationships/hyperlink" Target="https://www.itu.int/itu-d/sites/digital-impact-unlocked/itu-global-cyberdrill-2025-makes-an-impact-around-the-world/"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itu.int/itu-d/meetings/wtdc25/" TargetMode="External"/><Relationship Id="rId1" Type="http://schemas.openxmlformats.org/officeDocument/2006/relationships/hyperlink" Target="mailto:archana.gulati@itu.int"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itu.int/itu-d/meetings/wtdc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b6109c62-af78-494c-a825-80e1ffe32798" xsi:nil="true"/>
    <DPM_x0020_Author xmlns="b6109c62-af78-494c-a825-80e1ffe32798" xsi:nil="true"/>
    <DPM_x0020_Version xmlns="b6109c62-af78-494c-a825-80e1ffe32798" xsi:nil="true"/>
    <lcf76f155ced4ddcb4097134ff3c332f xmlns="b6109c62-af78-494c-a825-80e1ffe32798">
      <Terms xmlns="http://schemas.microsoft.com/office/infopath/2007/PartnerControls"/>
    </lcf76f155ced4ddcb4097134ff3c332f>
    <DateandTime xmlns="b6109c62-af78-494c-a825-80e1ffe32798" xsi:nil="true"/>
    <Order0 xmlns="b6109c62-af78-494c-a825-80e1ffe32798" xsi:nil="true"/>
    <TaxCatchAll xmlns="54151c7f-6a84-4427-a6ce-bf1d7f28364f" xsi:nil="true"/>
    <Approval xmlns="b6109c62-af78-494c-a825-80e1ffe32798">Pending</Approval>
    <ApprovalStatus xmlns="b6109c62-af78-494c-a825-80e1ffe3279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25" ma:contentTypeDescription="Create a new document." ma:contentTypeScope="" ma:versionID="828997ff14c7b602ab12ed3e47e772d7">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6ba4e7d468aa3e2c5be62f8bd596abe1"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element ref="ns2:Approval" minOccurs="0"/>
                <xsd:element ref="ns2:ApprovalStatus" minOccurs="0"/>
                <xsd:element ref="ns2:DateandTime" minOccurs="0"/>
                <xsd:element ref="ns2:DPM_x0020_Author" minOccurs="0"/>
                <xsd:element ref="ns2:DPM_x0020_File_x0020_name"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element name="Approval" ma:index="24" nillable="true" ma:displayName="Approval" ma:default="Pending" ma:format="Dropdown" ma:internalName="Approval">
      <xsd:simpleType>
        <xsd:restriction base="dms:Choice">
          <xsd:enumeration value="Pending"/>
          <xsd:enumeration value="Approved"/>
          <xsd:enumeration value="Rejected"/>
        </xsd:restriction>
      </xsd:simpleType>
    </xsd:element>
    <xsd:element name="ApprovalStatus" ma:index="25" nillable="true" ma:displayName="Approval Status" ma:format="Dropdown" ma:internalName="ApprovalStatus">
      <xsd:simpleType>
        <xsd:restriction base="dms:Choice">
          <xsd:enumeration value="Rejected"/>
          <xsd:enumeration value="Approved"/>
          <xsd:enumeration value="Pending"/>
        </xsd:restriction>
      </xsd:simpleType>
    </xsd:element>
    <xsd:element name="DateandTime" ma:index="26" nillable="true" ma:displayName="Date and Time" ma:format="DateOnly" ma:internalName="DateandTime">
      <xsd:simpleType>
        <xsd:restriction base="dms:DateTime"/>
      </xsd:simpleType>
    </xsd:element>
    <xsd:element name="DPM_x0020_Author" ma:index="27" nillable="true" ma:displayName="DPM Author" ma:internalName="DPM_x0020_Author">
      <xsd:simpleType>
        <xsd:restriction base="dms:Text">
          <xsd:maxLength value="255"/>
        </xsd:restriction>
      </xsd:simpleType>
    </xsd:element>
    <xsd:element name="DPM_x0020_File_x0020_name" ma:index="28" nillable="true" ma:displayName="DPM File name" ma:internalName="DPM_x0020_File_x0020_name">
      <xsd:simpleType>
        <xsd:restriction base="dms:Text">
          <xsd:maxLength value="255"/>
        </xsd:restriction>
      </xsd:simpleType>
    </xsd:element>
    <xsd:element name="DPM_x0020_Version" ma:index="29" nillable="true" ma:displayName="DPM Version" ma:internalName="DPM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7C67D6-CEFE-4AFE-8EC3-4585BFEF5BAE}">
  <ds:schemaRefs>
    <ds:schemaRef ds:uri="http://schemas.openxmlformats.org/package/2006/metadata/core-properties"/>
    <ds:schemaRef ds:uri="32a1a8c5-2265-4ebc-b7a0-2071e2c5c9bb"/>
    <ds:schemaRef ds:uri="http://schemas.microsoft.com/office/2006/documentManagement/types"/>
    <ds:schemaRef ds:uri="http://purl.org/dc/elements/1.1/"/>
    <ds:schemaRef ds:uri="http://schemas.microsoft.com/office/2006/metadata/properties"/>
    <ds:schemaRef ds:uri="996b2e75-67fd-4955-a3b0-5ab9934cb50b"/>
    <ds:schemaRef ds:uri="http://www.w3.org/XML/1998/namespace"/>
    <ds:schemaRef ds:uri="http://purl.org/dc/dcmityp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803CDCD7-C5F2-4771-8AAE-52A9BB39F545}">
  <ds:schemaRefs>
    <ds:schemaRef ds:uri="http://schemas.openxmlformats.org/officeDocument/2006/bibliography"/>
  </ds:schemaRefs>
</ds:datastoreItem>
</file>

<file path=customXml/itemProps3.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4.xml><?xml version="1.0" encoding="utf-8"?>
<ds:datastoreItem xmlns:ds="http://schemas.openxmlformats.org/officeDocument/2006/customXml" ds:itemID="{47521D40-C62B-4F87-A955-65C7F6FF5E1F}">
  <ds:schemaRefs>
    <ds:schemaRef ds:uri="http://schemas.microsoft.com/sharepoint/events"/>
  </ds:schemaRefs>
</ds:datastoreItem>
</file>

<file path=customXml/itemProps5.xml><?xml version="1.0" encoding="utf-8"?>
<ds:datastoreItem xmlns:ds="http://schemas.openxmlformats.org/officeDocument/2006/customXml" ds:itemID="{EF03F420-FA37-4A13-9F5E-EBC7A5EAB527}"/>
</file>

<file path=docProps/app.xml><?xml version="1.0" encoding="utf-8"?>
<Properties xmlns="http://schemas.openxmlformats.org/officeDocument/2006/extended-properties" xmlns:vt="http://schemas.openxmlformats.org/officeDocument/2006/docPropsVTypes">
  <Template>Normal.dotm</Template>
  <TotalTime>53</TotalTime>
  <Pages>101</Pages>
  <Words>40847</Words>
  <Characters>263186</Characters>
  <Application>Microsoft Office Word</Application>
  <DocSecurity>0</DocSecurity>
  <Lines>2193</Lines>
  <Paragraphs>606</Paragraphs>
  <ScaleCrop>false</ScaleCrop>
  <HeadingPairs>
    <vt:vector size="2" baseType="variant">
      <vt:variant>
        <vt:lpstr>Title</vt:lpstr>
      </vt:variant>
      <vt:variant>
        <vt:i4>1</vt:i4>
      </vt:variant>
    </vt:vector>
  </HeadingPairs>
  <TitlesOfParts>
    <vt:vector size="1" baseType="lpstr">
      <vt:lpstr>WTDC-25</vt:lpstr>
    </vt:vector>
  </TitlesOfParts>
  <Manager>General Secretariat - Pool</Manager>
  <Company/>
  <LinksUpToDate>false</LinksUpToDate>
  <CharactersWithSpaces>303427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subject/>
  <dc:creator>Manias, Michel</dc:creator>
  <cp:keywords/>
  <dc:description/>
  <cp:lastModifiedBy>Spanish</cp:lastModifiedBy>
  <cp:revision>13</cp:revision>
  <cp:lastPrinted>2017-03-09T15:07:00Z</cp:lastPrinted>
  <dcterms:created xsi:type="dcterms:W3CDTF">2025-11-10T10:55:00Z</dcterms:created>
  <dcterms:modified xsi:type="dcterms:W3CDTF">2025-11-10T12:58:00Z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ies>
</file>