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47" w:type="pct"/>
        <w:tblLayout w:type="fixed"/>
        <w:tblLook w:val="0000" w:firstRow="0" w:lastRow="0" w:firstColumn="0" w:lastColumn="0" w:noHBand="0" w:noVBand="0"/>
      </w:tblPr>
      <w:tblGrid>
        <w:gridCol w:w="1498"/>
        <w:gridCol w:w="4886"/>
        <w:gridCol w:w="1554"/>
        <w:gridCol w:w="1984"/>
      </w:tblGrid>
      <w:tr w:rsidR="00961D12" w:rsidRPr="00C83DA9" w14:paraId="23658664" w14:textId="77777777" w:rsidTr="00AC2258">
        <w:trPr>
          <w:cantSplit/>
          <w:trHeight w:val="1134"/>
        </w:trPr>
        <w:tc>
          <w:tcPr>
            <w:tcW w:w="755" w:type="pct"/>
          </w:tcPr>
          <w:p w14:paraId="7B75E2CA" w14:textId="2314B8B9" w:rsidR="00E80D1A" w:rsidRPr="00C83DA9" w:rsidRDefault="00A864A5" w:rsidP="00AA25E0">
            <w:pPr>
              <w:tabs>
                <w:tab w:val="clear" w:pos="1134"/>
              </w:tabs>
              <w:rPr>
                <w:b/>
                <w:bCs/>
                <w:szCs w:val="24"/>
                <w:lang w:val="fr-FR"/>
              </w:rPr>
            </w:pPr>
            <w:r w:rsidRPr="00C83DA9">
              <w:rPr>
                <w:noProof/>
                <w:lang w:val="fr-FR" w:eastAsia="fr-FR"/>
              </w:rPr>
              <w:drawing>
                <wp:inline distT="0" distB="0" distL="0" distR="0" wp14:anchorId="6CFF4907" wp14:editId="18A177BF">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245" w:type="pct"/>
            <w:gridSpan w:val="2"/>
          </w:tcPr>
          <w:p w14:paraId="7B7782C2" w14:textId="12F8F096" w:rsidR="00E80D1A" w:rsidRPr="00C83DA9" w:rsidRDefault="00E80D1A" w:rsidP="0055124D">
            <w:pPr>
              <w:tabs>
                <w:tab w:val="clear" w:pos="1134"/>
              </w:tabs>
              <w:spacing w:before="240" w:line="240" w:lineRule="atLeast"/>
              <w:ind w:left="34"/>
              <w:rPr>
                <w:rFonts w:cstheme="minorHAnsi"/>
                <w:lang w:val="fr-FR"/>
              </w:rPr>
            </w:pPr>
            <w:r w:rsidRPr="00C83DA9">
              <w:rPr>
                <w:b/>
                <w:bCs/>
                <w:sz w:val="30"/>
                <w:szCs w:val="30"/>
                <w:lang w:val="fr-FR"/>
              </w:rPr>
              <w:t>Conférence mondiale de développement des télécommunications de 2025 (CMDT-25)</w:t>
            </w:r>
            <w:r w:rsidRPr="00C83DA9">
              <w:rPr>
                <w:b/>
                <w:bCs/>
                <w:sz w:val="32"/>
                <w:szCs w:val="32"/>
                <w:lang w:val="fr-FR"/>
              </w:rPr>
              <w:br/>
            </w:r>
            <w:r w:rsidRPr="00C83DA9">
              <w:rPr>
                <w:b/>
                <w:bCs/>
                <w:szCs w:val="24"/>
                <w:lang w:val="fr-FR"/>
              </w:rPr>
              <w:t>Bakou (République d</w:t>
            </w:r>
            <w:r w:rsidR="00456505" w:rsidRPr="00C83DA9">
              <w:rPr>
                <w:b/>
                <w:bCs/>
                <w:szCs w:val="24"/>
                <w:lang w:val="fr-FR"/>
              </w:rPr>
              <w:t>'</w:t>
            </w:r>
            <w:r w:rsidRPr="00C83DA9">
              <w:rPr>
                <w:b/>
                <w:bCs/>
                <w:szCs w:val="24"/>
                <w:lang w:val="fr-FR"/>
              </w:rPr>
              <w:t>Azerbaïdjan), 17</w:t>
            </w:r>
            <w:r w:rsidR="009903FC" w:rsidRPr="00C83DA9">
              <w:rPr>
                <w:b/>
                <w:bCs/>
                <w:szCs w:val="24"/>
                <w:lang w:val="fr-FR"/>
              </w:rPr>
              <w:t>-</w:t>
            </w:r>
            <w:r w:rsidRPr="00C83DA9">
              <w:rPr>
                <w:b/>
                <w:bCs/>
                <w:szCs w:val="24"/>
                <w:lang w:val="fr-FR"/>
              </w:rPr>
              <w:t>28 novembre 2025</w:t>
            </w:r>
          </w:p>
        </w:tc>
        <w:tc>
          <w:tcPr>
            <w:tcW w:w="1000" w:type="pct"/>
          </w:tcPr>
          <w:p w14:paraId="2C5DBE98" w14:textId="2E00326C" w:rsidR="00E80D1A" w:rsidRPr="00C83DA9" w:rsidRDefault="00A864A5" w:rsidP="0055124D">
            <w:pPr>
              <w:tabs>
                <w:tab w:val="clear" w:pos="1134"/>
              </w:tabs>
              <w:spacing w:line="240" w:lineRule="atLeast"/>
              <w:ind w:left="34"/>
              <w:jc w:val="right"/>
              <w:rPr>
                <w:rFonts w:cstheme="minorHAnsi"/>
                <w:lang w:val="fr-FR"/>
              </w:rPr>
            </w:pPr>
            <w:r w:rsidRPr="00C83DA9">
              <w:rPr>
                <w:b/>
                <w:bCs/>
                <w:noProof/>
                <w:sz w:val="32"/>
                <w:szCs w:val="32"/>
                <w:lang w:val="fr-FR"/>
              </w:rPr>
              <w:drawing>
                <wp:inline distT="0" distB="0" distL="0" distR="0" wp14:anchorId="589B2DD4" wp14:editId="7A3A6804">
                  <wp:extent cx="1080000" cy="1008000"/>
                  <wp:effectExtent l="0" t="0" r="6350" b="0"/>
                  <wp:docPr id="128422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09" t="8474" r="25062" b="15570"/>
                          <a:stretch/>
                        </pic:blipFill>
                        <pic:spPr bwMode="auto">
                          <a:xfrm>
                            <a:off x="0" y="0"/>
                            <a:ext cx="1080000" cy="100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C83DA9" w14:paraId="679DB3BF" w14:textId="77777777" w:rsidTr="00AC2258">
        <w:trPr>
          <w:cantSplit/>
        </w:trPr>
        <w:tc>
          <w:tcPr>
            <w:tcW w:w="3217" w:type="pct"/>
            <w:gridSpan w:val="2"/>
            <w:tcBorders>
              <w:top w:val="single" w:sz="12" w:space="0" w:color="auto"/>
            </w:tcBorders>
          </w:tcPr>
          <w:p w14:paraId="4C62B06C" w14:textId="77777777" w:rsidR="00D83BF5" w:rsidRPr="00C83DA9" w:rsidRDefault="00D83BF5" w:rsidP="00A327AF">
            <w:pPr>
              <w:spacing w:before="0" w:after="48" w:line="240" w:lineRule="atLeast"/>
              <w:rPr>
                <w:rFonts w:cstheme="minorHAnsi"/>
                <w:b/>
                <w:smallCaps/>
                <w:sz w:val="20"/>
                <w:lang w:val="fr-FR"/>
              </w:rPr>
            </w:pPr>
            <w:bookmarkStart w:id="0" w:name="dhead"/>
          </w:p>
        </w:tc>
        <w:tc>
          <w:tcPr>
            <w:tcW w:w="1783" w:type="pct"/>
            <w:gridSpan w:val="2"/>
            <w:tcBorders>
              <w:top w:val="single" w:sz="12" w:space="0" w:color="auto"/>
            </w:tcBorders>
          </w:tcPr>
          <w:p w14:paraId="0116ED64" w14:textId="77777777" w:rsidR="00D83BF5" w:rsidRPr="00C83DA9" w:rsidRDefault="00D83BF5" w:rsidP="00A327AF">
            <w:pPr>
              <w:spacing w:before="0" w:line="240" w:lineRule="atLeast"/>
              <w:rPr>
                <w:rFonts w:cstheme="minorHAnsi"/>
                <w:sz w:val="20"/>
                <w:lang w:val="fr-FR"/>
              </w:rPr>
            </w:pPr>
          </w:p>
        </w:tc>
      </w:tr>
      <w:tr w:rsidR="00D83BF5" w:rsidRPr="00C83DA9" w14:paraId="2DE0DADC" w14:textId="77777777" w:rsidTr="00AC2258">
        <w:trPr>
          <w:cantSplit/>
          <w:trHeight w:val="23"/>
        </w:trPr>
        <w:tc>
          <w:tcPr>
            <w:tcW w:w="3217" w:type="pct"/>
            <w:gridSpan w:val="2"/>
          </w:tcPr>
          <w:p w14:paraId="28059CDA" w14:textId="152BF734" w:rsidR="00D83BF5" w:rsidRPr="00C83DA9" w:rsidRDefault="00F40E33" w:rsidP="00A327AF">
            <w:pPr>
              <w:pStyle w:val="Committee"/>
              <w:framePr w:hSpace="0" w:wrap="auto" w:hAnchor="text" w:yAlign="inline"/>
              <w:rPr>
                <w:lang w:val="fr-FR"/>
              </w:rPr>
            </w:pPr>
            <w:bookmarkStart w:id="1" w:name="dnum" w:colFirst="1" w:colLast="1"/>
            <w:bookmarkStart w:id="2" w:name="dmeeting" w:colFirst="0" w:colLast="0"/>
            <w:bookmarkEnd w:id="0"/>
            <w:r w:rsidRPr="00C83DA9">
              <w:rPr>
                <w:lang w:val="fr-FR"/>
              </w:rPr>
              <w:t>SÉANCE PLÉNIÈRE</w:t>
            </w:r>
          </w:p>
        </w:tc>
        <w:tc>
          <w:tcPr>
            <w:tcW w:w="1783" w:type="pct"/>
            <w:gridSpan w:val="2"/>
          </w:tcPr>
          <w:p w14:paraId="7A5F1CCD" w14:textId="538A50E9" w:rsidR="00D83BF5" w:rsidRPr="00C83DA9" w:rsidRDefault="00F40E33" w:rsidP="009903FC">
            <w:pPr>
              <w:pStyle w:val="Committee"/>
              <w:framePr w:hSpace="0" w:wrap="auto" w:hAnchor="text" w:yAlign="inline"/>
              <w:rPr>
                <w:lang w:val="fr-FR"/>
              </w:rPr>
            </w:pPr>
            <w:r w:rsidRPr="00C83DA9">
              <w:rPr>
                <w:lang w:val="fr-FR"/>
              </w:rPr>
              <w:t xml:space="preserve">Document </w:t>
            </w:r>
            <w:r w:rsidR="009D3060" w:rsidRPr="00C83DA9">
              <w:rPr>
                <w:bCs/>
                <w:lang w:val="fr-FR"/>
              </w:rPr>
              <w:t>WTDC-25/</w:t>
            </w:r>
            <w:r w:rsidR="00134A08" w:rsidRPr="00C83DA9">
              <w:rPr>
                <w:lang w:val="fr-FR"/>
              </w:rPr>
              <w:t>2</w:t>
            </w:r>
            <w:r w:rsidR="00E03E36" w:rsidRPr="00C83DA9">
              <w:rPr>
                <w:lang w:val="fr-FR"/>
              </w:rPr>
              <w:t>(Rév.1)</w:t>
            </w:r>
            <w:r w:rsidRPr="00C83DA9">
              <w:rPr>
                <w:lang w:val="fr-FR"/>
              </w:rPr>
              <w:t>-F</w:t>
            </w:r>
          </w:p>
        </w:tc>
      </w:tr>
      <w:tr w:rsidR="00D83BF5" w:rsidRPr="00C83DA9" w14:paraId="54C2D06A" w14:textId="77777777" w:rsidTr="00AC2258">
        <w:trPr>
          <w:cantSplit/>
          <w:trHeight w:val="23"/>
        </w:trPr>
        <w:tc>
          <w:tcPr>
            <w:tcW w:w="3217" w:type="pct"/>
            <w:gridSpan w:val="2"/>
          </w:tcPr>
          <w:p w14:paraId="26390377" w14:textId="50BB1F0F" w:rsidR="00D83BF5" w:rsidRPr="00C83DA9" w:rsidRDefault="00D83BF5" w:rsidP="009903FC">
            <w:pPr>
              <w:pStyle w:val="Committee"/>
              <w:framePr w:hSpace="0" w:wrap="auto" w:hAnchor="text" w:yAlign="inline"/>
              <w:rPr>
                <w:lang w:val="fr-FR"/>
              </w:rPr>
            </w:pPr>
            <w:bookmarkStart w:id="3" w:name="ddate" w:colFirst="1" w:colLast="1"/>
            <w:bookmarkStart w:id="4" w:name="dblank" w:colFirst="0" w:colLast="0"/>
            <w:bookmarkEnd w:id="1"/>
            <w:bookmarkEnd w:id="2"/>
          </w:p>
        </w:tc>
        <w:tc>
          <w:tcPr>
            <w:tcW w:w="1783" w:type="pct"/>
            <w:gridSpan w:val="2"/>
          </w:tcPr>
          <w:p w14:paraId="7446A207" w14:textId="41065A96" w:rsidR="00D83BF5" w:rsidRPr="00C83DA9" w:rsidRDefault="00E03E36" w:rsidP="009903FC">
            <w:pPr>
              <w:pStyle w:val="Committee"/>
              <w:framePr w:hSpace="0" w:wrap="auto" w:hAnchor="text" w:yAlign="inline"/>
              <w:rPr>
                <w:lang w:val="fr-FR"/>
              </w:rPr>
            </w:pPr>
            <w:r w:rsidRPr="00C83DA9">
              <w:rPr>
                <w:lang w:val="fr-FR"/>
              </w:rPr>
              <w:t>6 novembre</w:t>
            </w:r>
            <w:r w:rsidR="00F40E33" w:rsidRPr="00C83DA9">
              <w:rPr>
                <w:lang w:val="fr-FR"/>
              </w:rPr>
              <w:t xml:space="preserve"> 2025</w:t>
            </w:r>
          </w:p>
        </w:tc>
      </w:tr>
      <w:tr w:rsidR="00D83BF5" w:rsidRPr="00C83DA9" w14:paraId="7D1F02CB" w14:textId="77777777" w:rsidTr="00AC2258">
        <w:trPr>
          <w:cantSplit/>
          <w:trHeight w:val="23"/>
        </w:trPr>
        <w:tc>
          <w:tcPr>
            <w:tcW w:w="3217" w:type="pct"/>
            <w:gridSpan w:val="2"/>
          </w:tcPr>
          <w:p w14:paraId="50C265AC" w14:textId="74C2AF68" w:rsidR="00D83BF5" w:rsidRPr="00C83DA9" w:rsidRDefault="00D83BF5" w:rsidP="009903FC">
            <w:pPr>
              <w:pStyle w:val="Committee"/>
              <w:framePr w:hSpace="0" w:wrap="auto" w:hAnchor="text" w:yAlign="inline"/>
              <w:rPr>
                <w:lang w:val="fr-FR"/>
              </w:rPr>
            </w:pPr>
            <w:bookmarkStart w:id="5" w:name="dbluepink" w:colFirst="0" w:colLast="0"/>
            <w:bookmarkStart w:id="6" w:name="dorlang" w:colFirst="1" w:colLast="1"/>
            <w:bookmarkEnd w:id="3"/>
            <w:bookmarkEnd w:id="4"/>
          </w:p>
        </w:tc>
        <w:tc>
          <w:tcPr>
            <w:tcW w:w="1783" w:type="pct"/>
            <w:gridSpan w:val="2"/>
          </w:tcPr>
          <w:p w14:paraId="4CC3584B" w14:textId="100AE8BD" w:rsidR="00D83BF5" w:rsidRPr="00C83DA9" w:rsidRDefault="00F40E33" w:rsidP="009903FC">
            <w:pPr>
              <w:pStyle w:val="Committee"/>
              <w:framePr w:hSpace="0" w:wrap="auto" w:hAnchor="text" w:yAlign="inline"/>
              <w:rPr>
                <w:lang w:val="fr-FR"/>
              </w:rPr>
            </w:pPr>
            <w:r w:rsidRPr="00C83DA9">
              <w:rPr>
                <w:lang w:val="fr-FR"/>
              </w:rPr>
              <w:t>Original: anglais</w:t>
            </w:r>
          </w:p>
        </w:tc>
      </w:tr>
      <w:tr w:rsidR="00D83BF5" w:rsidRPr="00CA734F" w14:paraId="0BA8CD3B" w14:textId="77777777" w:rsidTr="00AC2258">
        <w:trPr>
          <w:cantSplit/>
          <w:trHeight w:val="23"/>
        </w:trPr>
        <w:tc>
          <w:tcPr>
            <w:tcW w:w="5000" w:type="pct"/>
            <w:gridSpan w:val="4"/>
          </w:tcPr>
          <w:p w14:paraId="29BB25E0" w14:textId="2EA29BE5" w:rsidR="00D83BF5" w:rsidRPr="00C83DA9" w:rsidRDefault="00134A08" w:rsidP="00134A08">
            <w:pPr>
              <w:pStyle w:val="Source"/>
              <w:spacing w:before="240" w:after="240"/>
              <w:rPr>
                <w:lang w:val="fr-FR"/>
              </w:rPr>
            </w:pPr>
            <w:r w:rsidRPr="00C83DA9">
              <w:rPr>
                <w:bCs/>
                <w:lang w:val="fr-FR"/>
              </w:rPr>
              <w:t>Directeur du Bureau de développement des télécommunications</w:t>
            </w:r>
          </w:p>
        </w:tc>
      </w:tr>
      <w:tr w:rsidR="00D83BF5" w:rsidRPr="00CA734F" w14:paraId="610454EC" w14:textId="77777777" w:rsidTr="00AC2258">
        <w:trPr>
          <w:cantSplit/>
          <w:trHeight w:val="23"/>
        </w:trPr>
        <w:tc>
          <w:tcPr>
            <w:tcW w:w="5000" w:type="pct"/>
            <w:gridSpan w:val="4"/>
            <w:vAlign w:val="center"/>
          </w:tcPr>
          <w:p w14:paraId="65D61584" w14:textId="7217590D" w:rsidR="00D83BF5" w:rsidRPr="00C83DA9" w:rsidRDefault="00134A08" w:rsidP="00134A08">
            <w:pPr>
              <w:pStyle w:val="Title1"/>
              <w:spacing w:before="120" w:after="120"/>
              <w:rPr>
                <w:lang w:val="fr-FR"/>
              </w:rPr>
            </w:pPr>
            <w:r w:rsidRPr="00C83DA9">
              <w:rPr>
                <w:lang w:val="fr-FR"/>
              </w:rPr>
              <w:t>Rapport sur la mise en œuvre du Plan d</w:t>
            </w:r>
            <w:r w:rsidR="00456505" w:rsidRPr="00C83DA9">
              <w:rPr>
                <w:lang w:val="fr-FR"/>
              </w:rPr>
              <w:t>'</w:t>
            </w:r>
            <w:r w:rsidRPr="00C83DA9">
              <w:rPr>
                <w:lang w:val="fr-FR"/>
              </w:rPr>
              <w:t>action de Kigali</w:t>
            </w:r>
          </w:p>
        </w:tc>
      </w:tr>
      <w:tr w:rsidR="00AF411C" w:rsidRPr="00CA734F" w14:paraId="07261AB8" w14:textId="77777777" w:rsidTr="00AC2258">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530EAF6D" w14:textId="77777777" w:rsidR="00AF411C" w:rsidRPr="00C83DA9" w:rsidRDefault="00AF411C" w:rsidP="0058411B">
            <w:pPr>
              <w:rPr>
                <w:lang w:val="fr-FR"/>
              </w:rPr>
            </w:pPr>
            <w:bookmarkStart w:id="7" w:name="_Toc213307903"/>
            <w:bookmarkStart w:id="8" w:name="_Toc213307954"/>
            <w:bookmarkEnd w:id="5"/>
            <w:bookmarkEnd w:id="6"/>
            <w:r w:rsidRPr="00C83DA9">
              <w:rPr>
                <w:b/>
                <w:bCs/>
                <w:lang w:val="fr-FR"/>
              </w:rPr>
              <w:t>Résumé</w:t>
            </w:r>
            <w:r w:rsidRPr="00C83DA9">
              <w:rPr>
                <w:lang w:val="fr-FR"/>
              </w:rPr>
              <w:t>:</w:t>
            </w:r>
            <w:bookmarkEnd w:id="7"/>
            <w:bookmarkEnd w:id="8"/>
          </w:p>
          <w:p w14:paraId="1B6E88EB" w14:textId="394A68B4" w:rsidR="00134A08" w:rsidRPr="00C83DA9" w:rsidRDefault="00134A08" w:rsidP="00134A08">
            <w:pPr>
              <w:spacing w:after="120"/>
              <w:rPr>
                <w:szCs w:val="24"/>
                <w:lang w:val="fr-FR"/>
              </w:rPr>
            </w:pPr>
            <w:r w:rsidRPr="00C83DA9">
              <w:rPr>
                <w:szCs w:val="24"/>
                <w:lang w:val="fr-FR"/>
              </w:rPr>
              <w:t>La Conférence mondiale de développement des télécommunications de 2022 de l</w:t>
            </w:r>
            <w:r w:rsidR="00456505" w:rsidRPr="00C83DA9">
              <w:rPr>
                <w:szCs w:val="24"/>
                <w:lang w:val="fr-FR"/>
              </w:rPr>
              <w:t>'</w:t>
            </w:r>
            <w:r w:rsidRPr="00C83DA9">
              <w:rPr>
                <w:szCs w:val="24"/>
                <w:lang w:val="fr-FR"/>
              </w:rPr>
              <w:t>UIT (CMDT-22), tenue à Kigali (Rwanda) du 6 au 16 juin, a adopté le Plan d</w:t>
            </w:r>
            <w:r w:rsidR="00456505" w:rsidRPr="00C83DA9">
              <w:rPr>
                <w:szCs w:val="24"/>
                <w:lang w:val="fr-FR"/>
              </w:rPr>
              <w:t>'</w:t>
            </w:r>
            <w:r w:rsidRPr="00C83DA9">
              <w:rPr>
                <w:szCs w:val="24"/>
                <w:lang w:val="fr-FR"/>
              </w:rPr>
              <w:t xml:space="preserve">action de Kigali (KAP). Ce Plan, qui comprend des priorités, des catalyseurs, des initiatives régionales, des </w:t>
            </w:r>
            <w:r w:rsidR="00041009" w:rsidRPr="00C83DA9">
              <w:rPr>
                <w:szCs w:val="24"/>
                <w:lang w:val="fr-FR"/>
              </w:rPr>
              <w:t>R</w:t>
            </w:r>
            <w:r w:rsidRPr="00C83DA9">
              <w:rPr>
                <w:szCs w:val="24"/>
                <w:lang w:val="fr-FR"/>
              </w:rPr>
              <w:t xml:space="preserve">ésolutions nouvelles et révisées, des </w:t>
            </w:r>
            <w:r w:rsidR="00041009" w:rsidRPr="00C83DA9">
              <w:rPr>
                <w:szCs w:val="24"/>
                <w:lang w:val="fr-FR"/>
              </w:rPr>
              <w:t>R</w:t>
            </w:r>
            <w:r w:rsidRPr="00C83DA9">
              <w:rPr>
                <w:szCs w:val="24"/>
                <w:lang w:val="fr-FR"/>
              </w:rPr>
              <w:t>ecommandations ainsi que les Questions confiées aux commissions d</w:t>
            </w:r>
            <w:r w:rsidR="00456505" w:rsidRPr="00C83DA9">
              <w:rPr>
                <w:szCs w:val="24"/>
                <w:lang w:val="fr-FR"/>
              </w:rPr>
              <w:t>'</w:t>
            </w:r>
            <w:r w:rsidRPr="00C83DA9">
              <w:rPr>
                <w:szCs w:val="24"/>
                <w:lang w:val="fr-FR"/>
              </w:rPr>
              <w:t>études, définit le mandat du Secteur du développement des télécommunications de l</w:t>
            </w:r>
            <w:r w:rsidR="00456505" w:rsidRPr="00C83DA9">
              <w:rPr>
                <w:szCs w:val="24"/>
                <w:lang w:val="fr-FR"/>
              </w:rPr>
              <w:t>'</w:t>
            </w:r>
            <w:r w:rsidRPr="00C83DA9">
              <w:rPr>
                <w:szCs w:val="24"/>
                <w:lang w:val="fr-FR"/>
              </w:rPr>
              <w:t>UIT (UIT-D) pour la période 2023-2025. Il définit également un cadre de gestion axée sur les résultats (GAR) pour faciliter l</w:t>
            </w:r>
            <w:r w:rsidR="00456505" w:rsidRPr="00C83DA9">
              <w:rPr>
                <w:szCs w:val="24"/>
                <w:lang w:val="fr-FR"/>
              </w:rPr>
              <w:t>'</w:t>
            </w:r>
            <w:r w:rsidRPr="00C83DA9">
              <w:rPr>
                <w:szCs w:val="24"/>
                <w:lang w:val="fr-FR"/>
              </w:rPr>
              <w:t>exécution des travaux par l</w:t>
            </w:r>
            <w:r w:rsidR="00456505" w:rsidRPr="00C83DA9">
              <w:rPr>
                <w:szCs w:val="24"/>
                <w:lang w:val="fr-FR"/>
              </w:rPr>
              <w:t>'</w:t>
            </w:r>
            <w:r w:rsidRPr="00C83DA9">
              <w:rPr>
                <w:szCs w:val="24"/>
                <w:lang w:val="fr-FR"/>
              </w:rPr>
              <w:t>UIT-D conformément aux objectifs stratégiques de l</w:t>
            </w:r>
            <w:r w:rsidR="00456505" w:rsidRPr="00C83DA9">
              <w:rPr>
                <w:szCs w:val="24"/>
                <w:lang w:val="fr-FR"/>
              </w:rPr>
              <w:t>'</w:t>
            </w:r>
            <w:r w:rsidRPr="00C83DA9">
              <w:rPr>
                <w:szCs w:val="24"/>
                <w:lang w:val="fr-FR"/>
              </w:rPr>
              <w:t>Union.</w:t>
            </w:r>
          </w:p>
          <w:p w14:paraId="7A87541E" w14:textId="0D5B1BD9" w:rsidR="00134A08" w:rsidRPr="00C83DA9" w:rsidRDefault="00134A08" w:rsidP="00134A08">
            <w:pPr>
              <w:spacing w:after="120"/>
              <w:rPr>
                <w:szCs w:val="24"/>
                <w:lang w:val="fr-FR"/>
              </w:rPr>
            </w:pPr>
            <w:r w:rsidRPr="00C83DA9">
              <w:rPr>
                <w:szCs w:val="24"/>
                <w:lang w:val="fr-FR"/>
              </w:rPr>
              <w:t>Le présent document rend compte de la mise en œuvre du Plan d</w:t>
            </w:r>
            <w:r w:rsidR="00456505" w:rsidRPr="00C83DA9">
              <w:rPr>
                <w:szCs w:val="24"/>
                <w:lang w:val="fr-FR"/>
              </w:rPr>
              <w:t>'</w:t>
            </w:r>
            <w:r w:rsidRPr="00C83DA9">
              <w:rPr>
                <w:szCs w:val="24"/>
                <w:lang w:val="fr-FR"/>
              </w:rPr>
              <w:t>action de Kigali de janvier 2023 à</w:t>
            </w:r>
            <w:r w:rsidR="00C3615F" w:rsidRPr="00C83DA9">
              <w:rPr>
                <w:szCs w:val="24"/>
                <w:lang w:val="fr-FR"/>
              </w:rPr>
              <w:t> </w:t>
            </w:r>
            <w:r w:rsidRPr="00C83DA9">
              <w:rPr>
                <w:szCs w:val="24"/>
                <w:lang w:val="fr-FR"/>
              </w:rPr>
              <w:t>août 2025. La mise en œuvre des travaux entrepris entre septembre et décembre 2025 fera l</w:t>
            </w:r>
            <w:r w:rsidR="00456505" w:rsidRPr="00C83DA9">
              <w:rPr>
                <w:szCs w:val="24"/>
                <w:lang w:val="fr-FR"/>
              </w:rPr>
              <w:t>'</w:t>
            </w:r>
            <w:r w:rsidRPr="00C83DA9">
              <w:rPr>
                <w:szCs w:val="24"/>
                <w:lang w:val="fr-FR"/>
              </w:rPr>
              <w:t>objet d</w:t>
            </w:r>
            <w:r w:rsidR="00456505" w:rsidRPr="00C83DA9">
              <w:rPr>
                <w:szCs w:val="24"/>
                <w:lang w:val="fr-FR"/>
              </w:rPr>
              <w:t>'</w:t>
            </w:r>
            <w:r w:rsidRPr="00C83DA9">
              <w:rPr>
                <w:szCs w:val="24"/>
                <w:lang w:val="fr-FR"/>
              </w:rPr>
              <w:t>un rapport à la prochaine réunion du Groupe consultatif pour le développement des télécommunications (GCDT) en 2026.</w:t>
            </w:r>
          </w:p>
          <w:p w14:paraId="6AB959D8" w14:textId="77777777" w:rsidR="00AF411C" w:rsidRPr="00C83DA9" w:rsidRDefault="00AF411C" w:rsidP="0058411B">
            <w:pPr>
              <w:rPr>
                <w:b/>
                <w:bCs/>
                <w:lang w:val="fr-FR"/>
              </w:rPr>
            </w:pPr>
            <w:bookmarkStart w:id="9" w:name="_Toc213307904"/>
            <w:bookmarkStart w:id="10" w:name="_Toc213307955"/>
            <w:r w:rsidRPr="00C83DA9">
              <w:rPr>
                <w:b/>
                <w:bCs/>
                <w:lang w:val="fr-FR"/>
              </w:rPr>
              <w:t>Résultats attendus:</w:t>
            </w:r>
            <w:bookmarkEnd w:id="9"/>
            <w:bookmarkEnd w:id="10"/>
          </w:p>
          <w:p w14:paraId="63B8B278" w14:textId="16162642" w:rsidR="00AF411C" w:rsidRPr="00C83DA9" w:rsidRDefault="00134A08" w:rsidP="00134A08">
            <w:pPr>
              <w:spacing w:after="120"/>
              <w:rPr>
                <w:szCs w:val="24"/>
                <w:lang w:val="fr-FR"/>
              </w:rPr>
            </w:pPr>
            <w:r w:rsidRPr="00C83DA9">
              <w:rPr>
                <w:szCs w:val="24"/>
                <w:lang w:val="fr-FR"/>
              </w:rPr>
              <w:t>La CMDT-25 est invitée à examiner le présent rapport et à fournir les indications qu</w:t>
            </w:r>
            <w:r w:rsidR="00456505" w:rsidRPr="00C83DA9">
              <w:rPr>
                <w:szCs w:val="24"/>
                <w:lang w:val="fr-FR"/>
              </w:rPr>
              <w:t>'</w:t>
            </w:r>
            <w:r w:rsidRPr="00C83DA9">
              <w:rPr>
                <w:szCs w:val="24"/>
                <w:lang w:val="fr-FR"/>
              </w:rPr>
              <w:t>elle jugera utiles.</w:t>
            </w:r>
          </w:p>
          <w:p w14:paraId="3FA3A13A" w14:textId="77777777" w:rsidR="00AF411C" w:rsidRPr="00C83DA9" w:rsidRDefault="00AF411C" w:rsidP="0058411B">
            <w:pPr>
              <w:rPr>
                <w:b/>
                <w:bCs/>
                <w:lang w:val="fr-FR"/>
              </w:rPr>
            </w:pPr>
            <w:bookmarkStart w:id="11" w:name="_Toc213307905"/>
            <w:bookmarkStart w:id="12" w:name="_Toc213307956"/>
            <w:r w:rsidRPr="00C83DA9">
              <w:rPr>
                <w:b/>
                <w:bCs/>
                <w:lang w:val="fr-FR"/>
              </w:rPr>
              <w:t>Références:</w:t>
            </w:r>
            <w:bookmarkEnd w:id="11"/>
            <w:bookmarkEnd w:id="12"/>
          </w:p>
          <w:p w14:paraId="3F545DBF" w14:textId="0D9F897C" w:rsidR="00134A08" w:rsidRPr="00C83DA9" w:rsidRDefault="00134A08" w:rsidP="00134A08">
            <w:pPr>
              <w:spacing w:after="120"/>
              <w:rPr>
                <w:lang w:val="fr-FR"/>
              </w:rPr>
            </w:pPr>
            <w:hyperlink r:id="rId13" w:history="1">
              <w:r w:rsidRPr="00C83DA9">
                <w:rPr>
                  <w:rStyle w:val="Hyperlink"/>
                  <w:lang w:val="fr-FR"/>
                </w:rPr>
                <w:t>Plan d</w:t>
              </w:r>
              <w:r w:rsidR="00456505" w:rsidRPr="00C83DA9">
                <w:rPr>
                  <w:rStyle w:val="Hyperlink"/>
                  <w:lang w:val="fr-FR"/>
                </w:rPr>
                <w:t>'</w:t>
              </w:r>
              <w:r w:rsidRPr="00C83DA9">
                <w:rPr>
                  <w:rStyle w:val="Hyperlink"/>
                  <w:lang w:val="fr-FR"/>
                </w:rPr>
                <w:t>action de Kigali (CMDT-22)</w:t>
              </w:r>
            </w:hyperlink>
          </w:p>
          <w:p w14:paraId="229D2FF2" w14:textId="775F4B39" w:rsidR="00134A08" w:rsidRPr="00C83DA9" w:rsidRDefault="00134A08" w:rsidP="00041009">
            <w:pPr>
              <w:spacing w:before="0" w:after="120"/>
              <w:rPr>
                <w:rFonts w:cstheme="minorHAnsi"/>
                <w:sz w:val="22"/>
                <w:szCs w:val="22"/>
                <w:lang w:val="fr-FR"/>
              </w:rPr>
            </w:pPr>
            <w:r w:rsidRPr="00C83DA9">
              <w:rPr>
                <w:lang w:val="fr-FR"/>
              </w:rPr>
              <w:t xml:space="preserve">Documents </w:t>
            </w:r>
            <w:hyperlink r:id="rId14" w:history="1">
              <w:r w:rsidRPr="00C83DA9">
                <w:rPr>
                  <w:rStyle w:val="Hyperlink"/>
                  <w:lang w:val="fr-FR"/>
                </w:rPr>
                <w:t>TDAG-23/2</w:t>
              </w:r>
            </w:hyperlink>
            <w:r w:rsidRPr="00C83DA9">
              <w:rPr>
                <w:color w:val="000000"/>
                <w:lang w:val="fr-FR"/>
              </w:rPr>
              <w:t xml:space="preserve">, </w:t>
            </w:r>
            <w:hyperlink r:id="rId15" w:history="1">
              <w:r w:rsidRPr="00C83DA9">
                <w:rPr>
                  <w:rStyle w:val="Hyperlink"/>
                  <w:lang w:val="fr-FR"/>
                </w:rPr>
                <w:t>TDAG-24/2</w:t>
              </w:r>
            </w:hyperlink>
            <w:r w:rsidRPr="00C83DA9">
              <w:rPr>
                <w:color w:val="000000"/>
                <w:lang w:val="fr-FR"/>
              </w:rPr>
              <w:t xml:space="preserve">, </w:t>
            </w:r>
            <w:hyperlink r:id="rId16" w:history="1">
              <w:r w:rsidRPr="00C83DA9">
                <w:rPr>
                  <w:rStyle w:val="Hyperlink"/>
                  <w:lang w:val="fr-FR"/>
                </w:rPr>
                <w:t>TDAG-25/2</w:t>
              </w:r>
            </w:hyperlink>
            <w:r w:rsidRPr="00C83DA9">
              <w:rPr>
                <w:color w:val="000000"/>
                <w:lang w:val="fr-FR"/>
              </w:rPr>
              <w:t xml:space="preserve">, </w:t>
            </w:r>
            <w:hyperlink r:id="rId17" w:history="1">
              <w:r w:rsidRPr="00C83DA9">
                <w:rPr>
                  <w:rStyle w:val="Hyperlink"/>
                  <w:lang w:val="fr-FR"/>
                </w:rPr>
                <w:t>RPM-25/2</w:t>
              </w:r>
            </w:hyperlink>
            <w:hyperlink r:id="rId18" w:history="1"/>
            <w:hyperlink r:id="rId19" w:history="1"/>
            <w:hyperlink r:id="rId20" w:history="1"/>
            <w:hyperlink r:id="rId21" w:history="1"/>
          </w:p>
          <w:p w14:paraId="03451C4D" w14:textId="14F10F0E" w:rsidR="00134A08" w:rsidRPr="00C83DA9" w:rsidRDefault="00134A08" w:rsidP="00041009">
            <w:pPr>
              <w:spacing w:before="0" w:after="120"/>
              <w:rPr>
                <w:lang w:val="fr-FR"/>
              </w:rPr>
            </w:pPr>
            <w:r w:rsidRPr="00C83DA9">
              <w:rPr>
                <w:lang w:val="fr-FR"/>
              </w:rPr>
              <w:t xml:space="preserve">Document </w:t>
            </w:r>
            <w:hyperlink r:id="rId22" w:history="1">
              <w:r w:rsidRPr="00C83DA9">
                <w:rPr>
                  <w:rStyle w:val="Hyperlink"/>
                  <w:lang w:val="fr-FR"/>
                </w:rPr>
                <w:t>WTDC-25/2(Ann.1)</w:t>
              </w:r>
            </w:hyperlink>
            <w:r w:rsidRPr="00C83DA9">
              <w:rPr>
                <w:color w:val="000000"/>
                <w:lang w:val="fr-FR"/>
              </w:rPr>
              <w:t xml:space="preserve"> – </w:t>
            </w:r>
            <w:r w:rsidRPr="00C83DA9">
              <w:rPr>
                <w:lang w:val="fr-FR"/>
              </w:rPr>
              <w:t xml:space="preserve">Mise en correspondance des </w:t>
            </w:r>
            <w:r w:rsidR="00FD47E8" w:rsidRPr="00C83DA9">
              <w:rPr>
                <w:lang w:val="fr-FR"/>
              </w:rPr>
              <w:t>contributions relatives aux projets de l'UIT-D avec la mise en œuvre des initiatives régionales approuvées par la CMDT-22</w:t>
            </w:r>
            <w:hyperlink r:id="rId23"/>
          </w:p>
          <w:p w14:paraId="7AFB91CB" w14:textId="7EDB404F" w:rsidR="00FD47E8" w:rsidRPr="00C83DA9" w:rsidRDefault="00134A08" w:rsidP="00041009">
            <w:pPr>
              <w:spacing w:before="0" w:after="120"/>
              <w:rPr>
                <w:lang w:val="fr-FR"/>
              </w:rPr>
            </w:pPr>
            <w:r w:rsidRPr="00C83DA9">
              <w:rPr>
                <w:lang w:val="fr-FR"/>
              </w:rPr>
              <w:t>Document</w:t>
            </w:r>
            <w:r w:rsidRPr="00C83DA9">
              <w:rPr>
                <w:color w:val="000000"/>
                <w:lang w:val="fr-FR"/>
              </w:rPr>
              <w:t xml:space="preserve"> </w:t>
            </w:r>
            <w:hyperlink r:id="rId24" w:history="1">
              <w:r w:rsidRPr="00C83DA9">
                <w:rPr>
                  <w:rStyle w:val="Hyperlink"/>
                  <w:lang w:val="fr-FR"/>
                </w:rPr>
                <w:t>WTDC-25/2(Ann.2)</w:t>
              </w:r>
            </w:hyperlink>
            <w:r w:rsidRPr="00C83DA9">
              <w:rPr>
                <w:color w:val="000000"/>
                <w:lang w:val="fr-FR"/>
              </w:rPr>
              <w:t xml:space="preserve"> </w:t>
            </w:r>
            <w:r w:rsidRPr="00C83DA9">
              <w:rPr>
                <w:lang w:val="fr-FR"/>
              </w:rPr>
              <w:t xml:space="preserve">– </w:t>
            </w:r>
            <w:r w:rsidR="00FD47E8" w:rsidRPr="00C83DA9">
              <w:rPr>
                <w:lang w:val="fr-FR"/>
              </w:rPr>
              <w:t>Contribution des activités relatives au plan opérationnel et des projets de l'UIT-D à la mise en œuvre des Résolutions de la CMDT-22</w:t>
            </w:r>
          </w:p>
          <w:p w14:paraId="036CFCAD" w14:textId="1F25AE87" w:rsidR="00AF411C" w:rsidRPr="00C83DA9" w:rsidRDefault="00FD47E8" w:rsidP="00041009">
            <w:pPr>
              <w:spacing w:before="0" w:after="120"/>
              <w:rPr>
                <w:rFonts w:ascii="Calibri" w:hAnsi="Calibri" w:cs="Calibri"/>
                <w:szCs w:val="24"/>
                <w:lang w:val="fr-FR"/>
              </w:rPr>
            </w:pPr>
            <w:r w:rsidRPr="00C83DA9">
              <w:rPr>
                <w:lang w:val="fr-FR"/>
              </w:rPr>
              <w:t>Document</w:t>
            </w:r>
            <w:r w:rsidRPr="00C83DA9">
              <w:rPr>
                <w:rFonts w:ascii="Calibri" w:hAnsi="Calibri" w:cs="Calibri"/>
                <w:szCs w:val="24"/>
                <w:lang w:val="fr-FR"/>
              </w:rPr>
              <w:t xml:space="preserve"> </w:t>
            </w:r>
            <w:hyperlink r:id="rId25" w:history="1">
              <w:r w:rsidRPr="00C83DA9">
                <w:rPr>
                  <w:rStyle w:val="Hyperlink"/>
                  <w:rFonts w:ascii="Calibri" w:hAnsi="Calibri" w:cs="Calibri"/>
                  <w:szCs w:val="24"/>
                  <w:lang w:val="fr-FR"/>
                </w:rPr>
                <w:t>WTDC-25/2(Ann.3)</w:t>
              </w:r>
            </w:hyperlink>
            <w:r w:rsidRPr="00C83DA9">
              <w:rPr>
                <w:rFonts w:ascii="Calibri" w:hAnsi="Calibri" w:cs="Calibri"/>
                <w:szCs w:val="24"/>
                <w:lang w:val="fr-FR"/>
              </w:rPr>
              <w:t xml:space="preserve"> </w:t>
            </w:r>
            <w:r w:rsidRPr="00C83DA9">
              <w:rPr>
                <w:lang w:val="fr-FR"/>
              </w:rPr>
              <w:t>– Tableaux de bord</w:t>
            </w:r>
          </w:p>
        </w:tc>
      </w:tr>
    </w:tbl>
    <w:p w14:paraId="2D18356B" w14:textId="0B04476E" w:rsidR="00134A08" w:rsidRPr="00C83DA9" w:rsidRDefault="00134A08">
      <w:pPr>
        <w:tabs>
          <w:tab w:val="clear" w:pos="1134"/>
          <w:tab w:val="clear" w:pos="1871"/>
          <w:tab w:val="clear" w:pos="2268"/>
        </w:tabs>
        <w:overflowPunct/>
        <w:autoSpaceDE/>
        <w:autoSpaceDN/>
        <w:adjustRightInd/>
        <w:spacing w:before="0"/>
        <w:textAlignment w:val="auto"/>
        <w:rPr>
          <w:lang w:val="fr-FR"/>
        </w:rPr>
      </w:pPr>
      <w:r w:rsidRPr="00C83DA9">
        <w:rPr>
          <w:lang w:val="fr-FR"/>
        </w:rPr>
        <w:br w:type="page"/>
      </w:r>
    </w:p>
    <w:p w14:paraId="4A9DC422" w14:textId="7AF9A5F1" w:rsidR="00372A77" w:rsidRPr="00C83DA9" w:rsidRDefault="0009498B" w:rsidP="0009498B">
      <w:pPr>
        <w:pStyle w:val="AnnexNo"/>
        <w:rPr>
          <w:b/>
          <w:bCs/>
          <w:lang w:val="fr-FR"/>
        </w:rPr>
      </w:pPr>
      <w:r w:rsidRPr="00C83DA9">
        <w:rPr>
          <w:b/>
          <w:bCs/>
          <w:caps w:val="0"/>
          <w:lang w:val="fr-FR"/>
        </w:rPr>
        <w:lastRenderedPageBreak/>
        <w:t>Table des matières</w:t>
      </w:r>
    </w:p>
    <w:p w14:paraId="43D67718" w14:textId="0EF00EE5" w:rsidR="0009498B" w:rsidRPr="00C83DA9" w:rsidRDefault="0009498B" w:rsidP="0009498B">
      <w:pPr>
        <w:jc w:val="right"/>
        <w:rPr>
          <w:b/>
          <w:bCs/>
          <w:lang w:val="fr-FR"/>
        </w:rPr>
      </w:pPr>
      <w:r w:rsidRPr="00C83DA9">
        <w:rPr>
          <w:b/>
          <w:bCs/>
          <w:lang w:val="fr-FR"/>
        </w:rPr>
        <w:t>Page</w:t>
      </w:r>
    </w:p>
    <w:p w14:paraId="565F4318" w14:textId="5CD1F8EA" w:rsidR="0009498B" w:rsidRPr="00C83DA9" w:rsidRDefault="0009498B" w:rsidP="0009498B">
      <w:pPr>
        <w:pStyle w:val="TOC4"/>
        <w:rPr>
          <w:rFonts w:eastAsiaTheme="minorEastAsia" w:cstheme="minorBidi"/>
          <w:noProof/>
          <w:sz w:val="22"/>
          <w:szCs w:val="22"/>
          <w:lang w:val="fr-FR"/>
        </w:rPr>
      </w:pPr>
      <w:r w:rsidRPr="00C83DA9">
        <w:rPr>
          <w:lang w:val="fr-FR"/>
        </w:rPr>
        <w:fldChar w:fldCharType="begin"/>
      </w:r>
      <w:r w:rsidRPr="00C83DA9">
        <w:rPr>
          <w:lang w:val="fr-FR"/>
        </w:rPr>
        <w:instrText xml:space="preserve"> TOC \h \z \t "Heading 1;2;Heading 2;3;Title 4;1;Heading_b;4" </w:instrText>
      </w:r>
      <w:r w:rsidRPr="00C83DA9">
        <w:rPr>
          <w:lang w:val="fr-FR"/>
        </w:rPr>
        <w:fldChar w:fldCharType="separate"/>
      </w:r>
      <w:hyperlink w:anchor="_Toc213307957" w:history="1">
        <w:r w:rsidRPr="00C83DA9">
          <w:rPr>
            <w:rStyle w:val="Hyperlink"/>
            <w:b/>
            <w:bCs/>
            <w:noProof/>
            <w:lang w:val="fr-FR"/>
          </w:rPr>
          <w:t>Introduction</w:t>
        </w:r>
        <w:r w:rsidRPr="00C83DA9">
          <w:rPr>
            <w:noProof/>
            <w:webHidden/>
            <w:lang w:val="fr-FR"/>
          </w:rPr>
          <w:tab/>
        </w:r>
        <w:r w:rsidRPr="00C83DA9">
          <w:rPr>
            <w:noProof/>
            <w:webHidden/>
            <w:lang w:val="fr-FR"/>
          </w:rPr>
          <w:tab/>
        </w:r>
        <w:r w:rsidRPr="00C83DA9">
          <w:rPr>
            <w:noProof/>
            <w:webHidden/>
            <w:lang w:val="fr-FR"/>
          </w:rPr>
          <w:tab/>
        </w:r>
        <w:r w:rsidRPr="00C83DA9">
          <w:rPr>
            <w:noProof/>
            <w:webHidden/>
            <w:lang w:val="fr-FR"/>
          </w:rPr>
          <w:fldChar w:fldCharType="begin"/>
        </w:r>
        <w:r w:rsidRPr="00C83DA9">
          <w:rPr>
            <w:noProof/>
            <w:webHidden/>
            <w:lang w:val="fr-FR"/>
          </w:rPr>
          <w:instrText xml:space="preserve"> PAGEREF _Toc213307957 \h </w:instrText>
        </w:r>
        <w:r w:rsidRPr="00C83DA9">
          <w:rPr>
            <w:noProof/>
            <w:webHidden/>
            <w:lang w:val="fr-FR"/>
          </w:rPr>
        </w:r>
        <w:r w:rsidRPr="00C83DA9">
          <w:rPr>
            <w:noProof/>
            <w:webHidden/>
            <w:lang w:val="fr-FR"/>
          </w:rPr>
          <w:fldChar w:fldCharType="separate"/>
        </w:r>
        <w:r w:rsidR="00A62167">
          <w:rPr>
            <w:noProof/>
            <w:webHidden/>
            <w:lang w:val="fr-FR"/>
          </w:rPr>
          <w:t>3</w:t>
        </w:r>
        <w:r w:rsidRPr="00C83DA9">
          <w:rPr>
            <w:noProof/>
            <w:webHidden/>
            <w:lang w:val="fr-FR"/>
          </w:rPr>
          <w:fldChar w:fldCharType="end"/>
        </w:r>
      </w:hyperlink>
    </w:p>
    <w:p w14:paraId="1F9DE43C" w14:textId="5DC85A80" w:rsidR="0009498B" w:rsidRPr="00C83DA9" w:rsidRDefault="0009498B" w:rsidP="0009498B">
      <w:pPr>
        <w:pStyle w:val="TOC4"/>
        <w:spacing w:before="240"/>
        <w:rPr>
          <w:rFonts w:eastAsiaTheme="minorEastAsia" w:cstheme="minorBidi"/>
          <w:b/>
          <w:bCs/>
          <w:noProof/>
          <w:sz w:val="22"/>
          <w:szCs w:val="22"/>
          <w:lang w:val="fr-FR"/>
        </w:rPr>
      </w:pPr>
      <w:hyperlink w:anchor="_Toc213307958" w:history="1">
        <w:r w:rsidRPr="00C83DA9">
          <w:rPr>
            <w:rStyle w:val="Hyperlink"/>
            <w:b/>
            <w:bCs/>
            <w:noProof/>
            <w:lang w:val="fr-FR"/>
          </w:rPr>
          <w:t>Incidences des travaux de l'UIT-D</w:t>
        </w:r>
        <w:r w:rsidRPr="00C83DA9">
          <w:rPr>
            <w:noProof/>
            <w:webHidden/>
            <w:lang w:val="fr-FR"/>
          </w:rPr>
          <w:tab/>
        </w:r>
        <w:r w:rsidRPr="00C83DA9">
          <w:rPr>
            <w:noProof/>
            <w:webHidden/>
            <w:lang w:val="fr-FR"/>
          </w:rPr>
          <w:tab/>
        </w:r>
        <w:r w:rsidRPr="00C83DA9">
          <w:rPr>
            <w:noProof/>
            <w:webHidden/>
            <w:lang w:val="fr-FR"/>
          </w:rPr>
          <w:fldChar w:fldCharType="begin"/>
        </w:r>
        <w:r w:rsidRPr="00C83DA9">
          <w:rPr>
            <w:noProof/>
            <w:webHidden/>
            <w:lang w:val="fr-FR"/>
          </w:rPr>
          <w:instrText xml:space="preserve"> PAGEREF _Toc213307958 \h </w:instrText>
        </w:r>
        <w:r w:rsidRPr="00C83DA9">
          <w:rPr>
            <w:noProof/>
            <w:webHidden/>
            <w:lang w:val="fr-FR"/>
          </w:rPr>
        </w:r>
        <w:r w:rsidRPr="00C83DA9">
          <w:rPr>
            <w:noProof/>
            <w:webHidden/>
            <w:lang w:val="fr-FR"/>
          </w:rPr>
          <w:fldChar w:fldCharType="separate"/>
        </w:r>
        <w:r w:rsidR="00A62167">
          <w:rPr>
            <w:noProof/>
            <w:webHidden/>
            <w:lang w:val="fr-FR"/>
          </w:rPr>
          <w:t>3</w:t>
        </w:r>
        <w:r w:rsidRPr="00C83DA9">
          <w:rPr>
            <w:noProof/>
            <w:webHidden/>
            <w:lang w:val="fr-FR"/>
          </w:rPr>
          <w:fldChar w:fldCharType="end"/>
        </w:r>
      </w:hyperlink>
    </w:p>
    <w:p w14:paraId="07499696" w14:textId="44A29EB6" w:rsidR="0009498B" w:rsidRPr="00C83DA9" w:rsidRDefault="0009498B">
      <w:pPr>
        <w:pStyle w:val="TOC1"/>
        <w:rPr>
          <w:rFonts w:eastAsiaTheme="minorEastAsia" w:cstheme="minorBidi"/>
          <w:b/>
          <w:bCs/>
          <w:noProof/>
          <w:sz w:val="22"/>
          <w:szCs w:val="22"/>
          <w:lang w:val="fr-FR"/>
        </w:rPr>
      </w:pPr>
      <w:hyperlink w:anchor="_Toc213307959" w:history="1">
        <w:r w:rsidRPr="00C83DA9">
          <w:rPr>
            <w:rStyle w:val="Hyperlink"/>
            <w:b/>
            <w:bCs/>
            <w:noProof/>
            <w:lang w:val="fr-FR"/>
          </w:rPr>
          <w:t>Rapport</w:t>
        </w:r>
        <w:r w:rsidRPr="00C83DA9">
          <w:rPr>
            <w:noProof/>
            <w:webHidden/>
            <w:lang w:val="fr-FR"/>
          </w:rPr>
          <w:tab/>
        </w:r>
        <w:r w:rsidRPr="00C83DA9">
          <w:rPr>
            <w:noProof/>
            <w:webHidden/>
            <w:lang w:val="fr-FR"/>
          </w:rPr>
          <w:tab/>
        </w:r>
        <w:r w:rsidRPr="00C83DA9">
          <w:rPr>
            <w:noProof/>
            <w:webHidden/>
            <w:lang w:val="fr-FR"/>
          </w:rPr>
          <w:tab/>
        </w:r>
        <w:r w:rsidRPr="00C83DA9">
          <w:rPr>
            <w:noProof/>
            <w:webHidden/>
            <w:lang w:val="fr-FR"/>
          </w:rPr>
          <w:fldChar w:fldCharType="begin"/>
        </w:r>
        <w:r w:rsidRPr="00C83DA9">
          <w:rPr>
            <w:noProof/>
            <w:webHidden/>
            <w:lang w:val="fr-FR"/>
          </w:rPr>
          <w:instrText xml:space="preserve"> PAGEREF _Toc213307959 \h </w:instrText>
        </w:r>
        <w:r w:rsidRPr="00C83DA9">
          <w:rPr>
            <w:noProof/>
            <w:webHidden/>
            <w:lang w:val="fr-FR"/>
          </w:rPr>
        </w:r>
        <w:r w:rsidRPr="00C83DA9">
          <w:rPr>
            <w:noProof/>
            <w:webHidden/>
            <w:lang w:val="fr-FR"/>
          </w:rPr>
          <w:fldChar w:fldCharType="separate"/>
        </w:r>
        <w:r w:rsidR="00A62167">
          <w:rPr>
            <w:noProof/>
            <w:webHidden/>
            <w:lang w:val="fr-FR"/>
          </w:rPr>
          <w:t>4</w:t>
        </w:r>
        <w:r w:rsidRPr="00C83DA9">
          <w:rPr>
            <w:noProof/>
            <w:webHidden/>
            <w:lang w:val="fr-FR"/>
          </w:rPr>
          <w:fldChar w:fldCharType="end"/>
        </w:r>
      </w:hyperlink>
    </w:p>
    <w:p w14:paraId="24B66B94" w14:textId="4A1631FE" w:rsidR="0009498B" w:rsidRPr="00C83DA9" w:rsidRDefault="0009498B" w:rsidP="00262321">
      <w:pPr>
        <w:pStyle w:val="TOC2"/>
        <w:spacing w:before="200"/>
        <w:ind w:left="1134"/>
        <w:rPr>
          <w:rFonts w:eastAsiaTheme="minorEastAsia" w:cstheme="minorBidi"/>
          <w:b/>
          <w:bCs/>
          <w:noProof/>
          <w:sz w:val="22"/>
          <w:szCs w:val="22"/>
          <w:lang w:val="fr-FR"/>
        </w:rPr>
      </w:pPr>
      <w:hyperlink w:anchor="_Toc213307961" w:history="1">
        <w:r w:rsidRPr="00C83DA9">
          <w:rPr>
            <w:rStyle w:val="Hyperlink"/>
            <w:b/>
            <w:bCs/>
            <w:noProof/>
            <w:lang w:val="fr-FR"/>
          </w:rPr>
          <w:t>Priorité 1 de l'UIT-D: Connectivité financièrement abordable</w:t>
        </w:r>
        <w:r w:rsidRPr="00C83DA9">
          <w:rPr>
            <w:b/>
            <w:bCs/>
            <w:noProof/>
            <w:webHidden/>
            <w:lang w:val="fr-FR"/>
          </w:rPr>
          <w:tab/>
        </w:r>
        <w:r w:rsidRPr="00C83DA9">
          <w:rPr>
            <w:b/>
            <w:bCs/>
            <w:noProof/>
            <w:webHidden/>
            <w:lang w:val="fr-FR"/>
          </w:rPr>
          <w:tab/>
        </w:r>
        <w:r w:rsidRPr="00C83DA9">
          <w:rPr>
            <w:b/>
            <w:bCs/>
            <w:noProof/>
            <w:webHidden/>
            <w:lang w:val="fr-FR"/>
          </w:rPr>
          <w:fldChar w:fldCharType="begin"/>
        </w:r>
        <w:r w:rsidRPr="00C83DA9">
          <w:rPr>
            <w:b/>
            <w:bCs/>
            <w:noProof/>
            <w:webHidden/>
            <w:lang w:val="fr-FR"/>
          </w:rPr>
          <w:instrText xml:space="preserve"> PAGEREF _Toc213307961 \h </w:instrText>
        </w:r>
        <w:r w:rsidRPr="00C83DA9">
          <w:rPr>
            <w:b/>
            <w:bCs/>
            <w:noProof/>
            <w:webHidden/>
            <w:lang w:val="fr-FR"/>
          </w:rPr>
        </w:r>
        <w:r w:rsidRPr="00C83DA9">
          <w:rPr>
            <w:b/>
            <w:bCs/>
            <w:noProof/>
            <w:webHidden/>
            <w:lang w:val="fr-FR"/>
          </w:rPr>
          <w:fldChar w:fldCharType="separate"/>
        </w:r>
        <w:r w:rsidR="00A62167">
          <w:rPr>
            <w:b/>
            <w:bCs/>
            <w:noProof/>
            <w:webHidden/>
            <w:lang w:val="fr-FR"/>
          </w:rPr>
          <w:t>4</w:t>
        </w:r>
        <w:r w:rsidRPr="00C83DA9">
          <w:rPr>
            <w:b/>
            <w:bCs/>
            <w:noProof/>
            <w:webHidden/>
            <w:lang w:val="fr-FR"/>
          </w:rPr>
          <w:fldChar w:fldCharType="end"/>
        </w:r>
      </w:hyperlink>
    </w:p>
    <w:p w14:paraId="0549E4CF" w14:textId="5C5BCC45" w:rsidR="0009498B" w:rsidRPr="00C83DA9" w:rsidRDefault="0009498B" w:rsidP="00A63ECD">
      <w:pPr>
        <w:pStyle w:val="TOC3"/>
        <w:ind w:left="1701"/>
        <w:rPr>
          <w:rFonts w:eastAsiaTheme="minorEastAsia" w:cstheme="minorBidi"/>
          <w:noProof/>
          <w:sz w:val="22"/>
          <w:szCs w:val="22"/>
          <w:lang w:val="fr-FR"/>
        </w:rPr>
      </w:pPr>
      <w:hyperlink w:anchor="_Toc213307962" w:history="1">
        <w:r w:rsidRPr="00C83DA9">
          <w:rPr>
            <w:rStyle w:val="Hyperlink"/>
            <w:noProof/>
            <w:lang w:val="fr-FR"/>
          </w:rPr>
          <w:t>Télécommunications d'urgence</w:t>
        </w:r>
        <w:r w:rsidRPr="00C83DA9">
          <w:rPr>
            <w:noProof/>
            <w:webHidden/>
            <w:lang w:val="fr-FR"/>
          </w:rPr>
          <w:tab/>
        </w:r>
        <w:r w:rsidRPr="00C83DA9">
          <w:rPr>
            <w:noProof/>
            <w:webHidden/>
            <w:lang w:val="fr-FR"/>
          </w:rPr>
          <w:tab/>
        </w:r>
        <w:r w:rsidRPr="00C83DA9">
          <w:rPr>
            <w:noProof/>
            <w:webHidden/>
            <w:lang w:val="fr-FR"/>
          </w:rPr>
          <w:fldChar w:fldCharType="begin"/>
        </w:r>
        <w:r w:rsidRPr="00C83DA9">
          <w:rPr>
            <w:noProof/>
            <w:webHidden/>
            <w:lang w:val="fr-FR"/>
          </w:rPr>
          <w:instrText xml:space="preserve"> PAGEREF _Toc213307962 \h </w:instrText>
        </w:r>
        <w:r w:rsidRPr="00C83DA9">
          <w:rPr>
            <w:noProof/>
            <w:webHidden/>
            <w:lang w:val="fr-FR"/>
          </w:rPr>
        </w:r>
        <w:r w:rsidRPr="00C83DA9">
          <w:rPr>
            <w:noProof/>
            <w:webHidden/>
            <w:lang w:val="fr-FR"/>
          </w:rPr>
          <w:fldChar w:fldCharType="separate"/>
        </w:r>
        <w:r w:rsidR="00A62167">
          <w:rPr>
            <w:noProof/>
            <w:webHidden/>
            <w:lang w:val="fr-FR"/>
          </w:rPr>
          <w:t>4</w:t>
        </w:r>
        <w:r w:rsidRPr="00C83DA9">
          <w:rPr>
            <w:noProof/>
            <w:webHidden/>
            <w:lang w:val="fr-FR"/>
          </w:rPr>
          <w:fldChar w:fldCharType="end"/>
        </w:r>
      </w:hyperlink>
    </w:p>
    <w:p w14:paraId="7EDB9D15" w14:textId="015DC2B8" w:rsidR="0009498B" w:rsidRPr="00C83DA9" w:rsidRDefault="0009498B" w:rsidP="00631D58">
      <w:pPr>
        <w:pStyle w:val="TOC3"/>
        <w:spacing w:after="200"/>
        <w:ind w:left="1701"/>
        <w:rPr>
          <w:rFonts w:eastAsiaTheme="minorEastAsia" w:cstheme="minorBidi"/>
          <w:noProof/>
          <w:sz w:val="22"/>
          <w:szCs w:val="22"/>
          <w:lang w:val="fr-FR"/>
        </w:rPr>
      </w:pPr>
      <w:hyperlink w:anchor="_Toc213307963" w:history="1">
        <w:r w:rsidRPr="00C83DA9">
          <w:rPr>
            <w:rStyle w:val="Hyperlink"/>
            <w:noProof/>
            <w:lang w:val="fr-FR"/>
          </w:rPr>
          <w:t>Réseau et infrastructure numérique</w:t>
        </w:r>
        <w:r w:rsidRPr="00C83DA9">
          <w:rPr>
            <w:noProof/>
            <w:webHidden/>
            <w:lang w:val="fr-FR"/>
          </w:rPr>
          <w:tab/>
        </w:r>
        <w:r w:rsidRPr="00C83DA9">
          <w:rPr>
            <w:noProof/>
            <w:webHidden/>
            <w:lang w:val="fr-FR"/>
          </w:rPr>
          <w:tab/>
        </w:r>
        <w:r w:rsidRPr="00C83DA9">
          <w:rPr>
            <w:noProof/>
            <w:webHidden/>
            <w:lang w:val="fr-FR"/>
          </w:rPr>
          <w:fldChar w:fldCharType="begin"/>
        </w:r>
        <w:r w:rsidRPr="00C83DA9">
          <w:rPr>
            <w:noProof/>
            <w:webHidden/>
            <w:lang w:val="fr-FR"/>
          </w:rPr>
          <w:instrText xml:space="preserve"> PAGEREF _Toc213307963 \h </w:instrText>
        </w:r>
        <w:r w:rsidRPr="00C83DA9">
          <w:rPr>
            <w:noProof/>
            <w:webHidden/>
            <w:lang w:val="fr-FR"/>
          </w:rPr>
        </w:r>
        <w:r w:rsidRPr="00C83DA9">
          <w:rPr>
            <w:noProof/>
            <w:webHidden/>
            <w:lang w:val="fr-FR"/>
          </w:rPr>
          <w:fldChar w:fldCharType="separate"/>
        </w:r>
        <w:r w:rsidR="00A62167">
          <w:rPr>
            <w:noProof/>
            <w:webHidden/>
            <w:lang w:val="fr-FR"/>
          </w:rPr>
          <w:t>8</w:t>
        </w:r>
        <w:r w:rsidRPr="00C83DA9">
          <w:rPr>
            <w:noProof/>
            <w:webHidden/>
            <w:lang w:val="fr-FR"/>
          </w:rPr>
          <w:fldChar w:fldCharType="end"/>
        </w:r>
      </w:hyperlink>
    </w:p>
    <w:p w14:paraId="4A261E32" w14:textId="01A890C9" w:rsidR="0009498B" w:rsidRPr="00C83DA9" w:rsidRDefault="0009498B" w:rsidP="00A63ECD">
      <w:pPr>
        <w:pStyle w:val="TOC2"/>
        <w:ind w:left="1134"/>
        <w:rPr>
          <w:rFonts w:eastAsiaTheme="minorEastAsia" w:cstheme="minorBidi"/>
          <w:b/>
          <w:bCs/>
          <w:noProof/>
          <w:sz w:val="22"/>
          <w:szCs w:val="22"/>
          <w:lang w:val="fr-FR"/>
        </w:rPr>
      </w:pPr>
      <w:hyperlink w:anchor="_Toc213307964" w:history="1">
        <w:r w:rsidRPr="00C83DA9">
          <w:rPr>
            <w:rStyle w:val="Hyperlink"/>
            <w:b/>
            <w:bCs/>
            <w:noProof/>
            <w:lang w:val="fr-FR"/>
          </w:rPr>
          <w:t>Priorité 2 de l'UIT-D: Transformation numérique</w:t>
        </w:r>
        <w:r w:rsidRPr="00C83DA9">
          <w:rPr>
            <w:noProof/>
            <w:webHidden/>
            <w:lang w:val="fr-FR"/>
          </w:rPr>
          <w:tab/>
        </w:r>
        <w:r w:rsidRPr="00C83DA9">
          <w:rPr>
            <w:noProof/>
            <w:webHidden/>
            <w:lang w:val="fr-FR"/>
          </w:rPr>
          <w:tab/>
        </w:r>
        <w:r w:rsidRPr="00C83DA9">
          <w:rPr>
            <w:noProof/>
            <w:webHidden/>
            <w:lang w:val="fr-FR"/>
          </w:rPr>
          <w:fldChar w:fldCharType="begin"/>
        </w:r>
        <w:r w:rsidRPr="00C83DA9">
          <w:rPr>
            <w:noProof/>
            <w:webHidden/>
            <w:lang w:val="fr-FR"/>
          </w:rPr>
          <w:instrText xml:space="preserve"> PAGEREF _Toc213307964 \h </w:instrText>
        </w:r>
        <w:r w:rsidRPr="00C83DA9">
          <w:rPr>
            <w:noProof/>
            <w:webHidden/>
            <w:lang w:val="fr-FR"/>
          </w:rPr>
        </w:r>
        <w:r w:rsidRPr="00C83DA9">
          <w:rPr>
            <w:noProof/>
            <w:webHidden/>
            <w:lang w:val="fr-FR"/>
          </w:rPr>
          <w:fldChar w:fldCharType="separate"/>
        </w:r>
        <w:r w:rsidR="00A62167">
          <w:rPr>
            <w:noProof/>
            <w:webHidden/>
            <w:lang w:val="fr-FR"/>
          </w:rPr>
          <w:t>13</w:t>
        </w:r>
        <w:r w:rsidRPr="00C83DA9">
          <w:rPr>
            <w:noProof/>
            <w:webHidden/>
            <w:lang w:val="fr-FR"/>
          </w:rPr>
          <w:fldChar w:fldCharType="end"/>
        </w:r>
      </w:hyperlink>
    </w:p>
    <w:p w14:paraId="33614FD6" w14:textId="027AD4D5" w:rsidR="0009498B" w:rsidRPr="00C83DA9" w:rsidRDefault="0009498B" w:rsidP="00A63ECD">
      <w:pPr>
        <w:pStyle w:val="TOC3"/>
        <w:ind w:left="1701"/>
        <w:rPr>
          <w:rFonts w:eastAsiaTheme="minorEastAsia" w:cstheme="minorBidi"/>
          <w:noProof/>
          <w:sz w:val="22"/>
          <w:szCs w:val="22"/>
          <w:lang w:val="fr-FR"/>
        </w:rPr>
      </w:pPr>
      <w:hyperlink w:anchor="_Toc213307965" w:history="1">
        <w:r w:rsidRPr="00C83DA9">
          <w:rPr>
            <w:rStyle w:val="Hyperlink"/>
            <w:noProof/>
            <w:lang w:val="fr-FR"/>
          </w:rPr>
          <w:t>Écosystème de l'innovation numérique</w:t>
        </w:r>
        <w:r w:rsidRPr="00C83DA9">
          <w:rPr>
            <w:noProof/>
            <w:webHidden/>
            <w:lang w:val="fr-FR"/>
          </w:rPr>
          <w:tab/>
        </w:r>
        <w:r w:rsidRPr="00C83DA9">
          <w:rPr>
            <w:noProof/>
            <w:webHidden/>
            <w:lang w:val="fr-FR"/>
          </w:rPr>
          <w:tab/>
        </w:r>
        <w:r w:rsidRPr="00C83DA9">
          <w:rPr>
            <w:noProof/>
            <w:webHidden/>
            <w:lang w:val="fr-FR"/>
          </w:rPr>
          <w:fldChar w:fldCharType="begin"/>
        </w:r>
        <w:r w:rsidRPr="00C83DA9">
          <w:rPr>
            <w:noProof/>
            <w:webHidden/>
            <w:lang w:val="fr-FR"/>
          </w:rPr>
          <w:instrText xml:space="preserve"> PAGEREF _Toc213307965 \h </w:instrText>
        </w:r>
        <w:r w:rsidRPr="00C83DA9">
          <w:rPr>
            <w:noProof/>
            <w:webHidden/>
            <w:lang w:val="fr-FR"/>
          </w:rPr>
        </w:r>
        <w:r w:rsidRPr="00C83DA9">
          <w:rPr>
            <w:noProof/>
            <w:webHidden/>
            <w:lang w:val="fr-FR"/>
          </w:rPr>
          <w:fldChar w:fldCharType="separate"/>
        </w:r>
        <w:r w:rsidR="00A62167">
          <w:rPr>
            <w:noProof/>
            <w:webHidden/>
            <w:lang w:val="fr-FR"/>
          </w:rPr>
          <w:t>13</w:t>
        </w:r>
        <w:r w:rsidRPr="00C83DA9">
          <w:rPr>
            <w:noProof/>
            <w:webHidden/>
            <w:lang w:val="fr-FR"/>
          </w:rPr>
          <w:fldChar w:fldCharType="end"/>
        </w:r>
      </w:hyperlink>
    </w:p>
    <w:p w14:paraId="37409F42" w14:textId="79646380" w:rsidR="0009498B" w:rsidRPr="00C83DA9" w:rsidRDefault="0009498B" w:rsidP="00631D58">
      <w:pPr>
        <w:pStyle w:val="TOC3"/>
        <w:spacing w:after="200"/>
        <w:ind w:left="1701"/>
        <w:rPr>
          <w:rFonts w:eastAsiaTheme="minorEastAsia" w:cstheme="minorBidi"/>
          <w:noProof/>
          <w:sz w:val="22"/>
          <w:szCs w:val="22"/>
          <w:lang w:val="fr-FR"/>
        </w:rPr>
      </w:pPr>
      <w:hyperlink w:anchor="_Toc213307966" w:history="1">
        <w:r w:rsidRPr="00C83DA9">
          <w:rPr>
            <w:rStyle w:val="Hyperlink"/>
            <w:noProof/>
            <w:lang w:val="fr-FR"/>
          </w:rPr>
          <w:t>Services et applications numériques</w:t>
        </w:r>
        <w:r w:rsidRPr="00C83DA9">
          <w:rPr>
            <w:noProof/>
            <w:webHidden/>
            <w:lang w:val="fr-FR"/>
          </w:rPr>
          <w:tab/>
        </w:r>
        <w:r w:rsidRPr="00C83DA9">
          <w:rPr>
            <w:noProof/>
            <w:webHidden/>
            <w:lang w:val="fr-FR"/>
          </w:rPr>
          <w:tab/>
        </w:r>
        <w:r w:rsidRPr="00C83DA9">
          <w:rPr>
            <w:noProof/>
            <w:webHidden/>
            <w:lang w:val="fr-FR"/>
          </w:rPr>
          <w:fldChar w:fldCharType="begin"/>
        </w:r>
        <w:r w:rsidRPr="00C83DA9">
          <w:rPr>
            <w:noProof/>
            <w:webHidden/>
            <w:lang w:val="fr-FR"/>
          </w:rPr>
          <w:instrText xml:space="preserve"> PAGEREF _Toc213307966 \h </w:instrText>
        </w:r>
        <w:r w:rsidRPr="00C83DA9">
          <w:rPr>
            <w:noProof/>
            <w:webHidden/>
            <w:lang w:val="fr-FR"/>
          </w:rPr>
        </w:r>
        <w:r w:rsidRPr="00C83DA9">
          <w:rPr>
            <w:noProof/>
            <w:webHidden/>
            <w:lang w:val="fr-FR"/>
          </w:rPr>
          <w:fldChar w:fldCharType="separate"/>
        </w:r>
        <w:r w:rsidR="00A62167">
          <w:rPr>
            <w:noProof/>
            <w:webHidden/>
            <w:lang w:val="fr-FR"/>
          </w:rPr>
          <w:t>17</w:t>
        </w:r>
        <w:r w:rsidRPr="00C83DA9">
          <w:rPr>
            <w:noProof/>
            <w:webHidden/>
            <w:lang w:val="fr-FR"/>
          </w:rPr>
          <w:fldChar w:fldCharType="end"/>
        </w:r>
      </w:hyperlink>
    </w:p>
    <w:p w14:paraId="452A6AA3" w14:textId="01442736" w:rsidR="0009498B" w:rsidRPr="00C83DA9" w:rsidRDefault="0009498B" w:rsidP="00A63ECD">
      <w:pPr>
        <w:pStyle w:val="TOC2"/>
        <w:ind w:left="1134"/>
        <w:rPr>
          <w:rFonts w:eastAsiaTheme="minorEastAsia" w:cstheme="minorBidi"/>
          <w:b/>
          <w:bCs/>
          <w:noProof/>
          <w:sz w:val="22"/>
          <w:szCs w:val="22"/>
          <w:lang w:val="fr-FR"/>
        </w:rPr>
      </w:pPr>
      <w:hyperlink w:anchor="_Toc213307967" w:history="1">
        <w:r w:rsidRPr="00C83DA9">
          <w:rPr>
            <w:rStyle w:val="Hyperlink"/>
            <w:b/>
            <w:bCs/>
            <w:noProof/>
            <w:lang w:val="fr-FR"/>
          </w:rPr>
          <w:t>Priorité 3 de l'UIT-D: Environnement politique et réglementaire propice</w:t>
        </w:r>
        <w:r w:rsidRPr="00C83DA9">
          <w:rPr>
            <w:noProof/>
            <w:webHidden/>
            <w:lang w:val="fr-FR"/>
          </w:rPr>
          <w:tab/>
        </w:r>
        <w:r w:rsidRPr="00C83DA9">
          <w:rPr>
            <w:noProof/>
            <w:webHidden/>
            <w:lang w:val="fr-FR"/>
          </w:rPr>
          <w:tab/>
        </w:r>
        <w:r w:rsidRPr="00C83DA9">
          <w:rPr>
            <w:noProof/>
            <w:webHidden/>
            <w:lang w:val="fr-FR"/>
          </w:rPr>
          <w:fldChar w:fldCharType="begin"/>
        </w:r>
        <w:r w:rsidRPr="00C83DA9">
          <w:rPr>
            <w:noProof/>
            <w:webHidden/>
            <w:lang w:val="fr-FR"/>
          </w:rPr>
          <w:instrText xml:space="preserve"> PAGEREF _Toc213307967 \h </w:instrText>
        </w:r>
        <w:r w:rsidRPr="00C83DA9">
          <w:rPr>
            <w:noProof/>
            <w:webHidden/>
            <w:lang w:val="fr-FR"/>
          </w:rPr>
        </w:r>
        <w:r w:rsidRPr="00C83DA9">
          <w:rPr>
            <w:noProof/>
            <w:webHidden/>
            <w:lang w:val="fr-FR"/>
          </w:rPr>
          <w:fldChar w:fldCharType="separate"/>
        </w:r>
        <w:r w:rsidR="00A62167">
          <w:rPr>
            <w:noProof/>
            <w:webHidden/>
            <w:lang w:val="fr-FR"/>
          </w:rPr>
          <w:t>23</w:t>
        </w:r>
        <w:r w:rsidRPr="00C83DA9">
          <w:rPr>
            <w:noProof/>
            <w:webHidden/>
            <w:lang w:val="fr-FR"/>
          </w:rPr>
          <w:fldChar w:fldCharType="end"/>
        </w:r>
      </w:hyperlink>
    </w:p>
    <w:p w14:paraId="0749C9E2" w14:textId="10381824" w:rsidR="0009498B" w:rsidRPr="00C83DA9" w:rsidRDefault="0009498B" w:rsidP="00A63ECD">
      <w:pPr>
        <w:pStyle w:val="TOC3"/>
        <w:ind w:left="1701"/>
        <w:rPr>
          <w:rFonts w:eastAsiaTheme="minorEastAsia" w:cstheme="minorBidi"/>
          <w:noProof/>
          <w:sz w:val="22"/>
          <w:szCs w:val="22"/>
          <w:lang w:val="fr-FR"/>
        </w:rPr>
      </w:pPr>
      <w:hyperlink w:anchor="_Toc213307968" w:history="1">
        <w:r w:rsidRPr="00C83DA9">
          <w:rPr>
            <w:rStyle w:val="Hyperlink"/>
            <w:noProof/>
            <w:lang w:val="fr-FR"/>
          </w:rPr>
          <w:t>Renforcement des capacités</w:t>
        </w:r>
        <w:r w:rsidRPr="00C83DA9">
          <w:rPr>
            <w:noProof/>
            <w:webHidden/>
            <w:lang w:val="fr-FR"/>
          </w:rPr>
          <w:tab/>
        </w:r>
        <w:r w:rsidRPr="00C83DA9">
          <w:rPr>
            <w:noProof/>
            <w:webHidden/>
            <w:lang w:val="fr-FR"/>
          </w:rPr>
          <w:tab/>
        </w:r>
        <w:r w:rsidRPr="00C83DA9">
          <w:rPr>
            <w:noProof/>
            <w:webHidden/>
            <w:lang w:val="fr-FR"/>
          </w:rPr>
          <w:fldChar w:fldCharType="begin"/>
        </w:r>
        <w:r w:rsidRPr="00C83DA9">
          <w:rPr>
            <w:noProof/>
            <w:webHidden/>
            <w:lang w:val="fr-FR"/>
          </w:rPr>
          <w:instrText xml:space="preserve"> PAGEREF _Toc213307968 \h </w:instrText>
        </w:r>
        <w:r w:rsidRPr="00C83DA9">
          <w:rPr>
            <w:noProof/>
            <w:webHidden/>
            <w:lang w:val="fr-FR"/>
          </w:rPr>
        </w:r>
        <w:r w:rsidRPr="00C83DA9">
          <w:rPr>
            <w:noProof/>
            <w:webHidden/>
            <w:lang w:val="fr-FR"/>
          </w:rPr>
          <w:fldChar w:fldCharType="separate"/>
        </w:r>
        <w:r w:rsidR="00A62167">
          <w:rPr>
            <w:noProof/>
            <w:webHidden/>
            <w:lang w:val="fr-FR"/>
          </w:rPr>
          <w:t>23</w:t>
        </w:r>
        <w:r w:rsidRPr="00C83DA9">
          <w:rPr>
            <w:noProof/>
            <w:webHidden/>
            <w:lang w:val="fr-FR"/>
          </w:rPr>
          <w:fldChar w:fldCharType="end"/>
        </w:r>
      </w:hyperlink>
    </w:p>
    <w:p w14:paraId="34D28E56" w14:textId="2A0EDDF3" w:rsidR="0009498B" w:rsidRPr="00C83DA9" w:rsidRDefault="0009498B" w:rsidP="00A63ECD">
      <w:pPr>
        <w:pStyle w:val="TOC3"/>
        <w:ind w:left="1701"/>
        <w:rPr>
          <w:rFonts w:eastAsiaTheme="minorEastAsia" w:cstheme="minorBidi"/>
          <w:noProof/>
          <w:sz w:val="22"/>
          <w:szCs w:val="22"/>
          <w:lang w:val="fr-FR"/>
        </w:rPr>
      </w:pPr>
      <w:hyperlink w:anchor="_Toc213307969" w:history="1">
        <w:r w:rsidRPr="00C83DA9">
          <w:rPr>
            <w:rStyle w:val="Hyperlink"/>
            <w:noProof/>
            <w:lang w:val="fr-FR"/>
          </w:rPr>
          <w:t>Politique et réglementation</w:t>
        </w:r>
        <w:r w:rsidRPr="00C83DA9">
          <w:rPr>
            <w:noProof/>
            <w:webHidden/>
            <w:lang w:val="fr-FR"/>
          </w:rPr>
          <w:tab/>
        </w:r>
        <w:r w:rsidRPr="00C83DA9">
          <w:rPr>
            <w:noProof/>
            <w:webHidden/>
            <w:lang w:val="fr-FR"/>
          </w:rPr>
          <w:tab/>
        </w:r>
        <w:r w:rsidRPr="00C83DA9">
          <w:rPr>
            <w:noProof/>
            <w:webHidden/>
            <w:lang w:val="fr-FR"/>
          </w:rPr>
          <w:fldChar w:fldCharType="begin"/>
        </w:r>
        <w:r w:rsidRPr="00C83DA9">
          <w:rPr>
            <w:noProof/>
            <w:webHidden/>
            <w:lang w:val="fr-FR"/>
          </w:rPr>
          <w:instrText xml:space="preserve"> PAGEREF _Toc213307969 \h </w:instrText>
        </w:r>
        <w:r w:rsidRPr="00C83DA9">
          <w:rPr>
            <w:noProof/>
            <w:webHidden/>
            <w:lang w:val="fr-FR"/>
          </w:rPr>
        </w:r>
        <w:r w:rsidRPr="00C83DA9">
          <w:rPr>
            <w:noProof/>
            <w:webHidden/>
            <w:lang w:val="fr-FR"/>
          </w:rPr>
          <w:fldChar w:fldCharType="separate"/>
        </w:r>
        <w:r w:rsidR="00A62167">
          <w:rPr>
            <w:noProof/>
            <w:webHidden/>
            <w:lang w:val="fr-FR"/>
          </w:rPr>
          <w:t>28</w:t>
        </w:r>
        <w:r w:rsidRPr="00C83DA9">
          <w:rPr>
            <w:noProof/>
            <w:webHidden/>
            <w:lang w:val="fr-FR"/>
          </w:rPr>
          <w:fldChar w:fldCharType="end"/>
        </w:r>
      </w:hyperlink>
    </w:p>
    <w:p w14:paraId="0CAB4BAB" w14:textId="4C916448" w:rsidR="0009498B" w:rsidRPr="00C83DA9" w:rsidRDefault="0009498B" w:rsidP="00631D58">
      <w:pPr>
        <w:pStyle w:val="TOC3"/>
        <w:spacing w:after="200"/>
        <w:ind w:left="1701"/>
        <w:rPr>
          <w:rFonts w:eastAsiaTheme="minorEastAsia" w:cstheme="minorBidi"/>
          <w:noProof/>
          <w:sz w:val="22"/>
          <w:szCs w:val="22"/>
          <w:lang w:val="fr-FR"/>
        </w:rPr>
      </w:pPr>
      <w:hyperlink w:anchor="_Toc213307970" w:history="1">
        <w:r w:rsidRPr="00C83DA9">
          <w:rPr>
            <w:rStyle w:val="Hyperlink"/>
            <w:noProof/>
            <w:lang w:val="fr-FR"/>
          </w:rPr>
          <w:t>Statistiques</w:t>
        </w:r>
        <w:r w:rsidRPr="00C83DA9">
          <w:rPr>
            <w:noProof/>
            <w:webHidden/>
            <w:lang w:val="fr-FR"/>
          </w:rPr>
          <w:tab/>
        </w:r>
        <w:r w:rsidRPr="00C83DA9">
          <w:rPr>
            <w:noProof/>
            <w:webHidden/>
            <w:lang w:val="fr-FR"/>
          </w:rPr>
          <w:tab/>
        </w:r>
        <w:r w:rsidRPr="00C83DA9">
          <w:rPr>
            <w:noProof/>
            <w:webHidden/>
            <w:lang w:val="fr-FR"/>
          </w:rPr>
          <w:fldChar w:fldCharType="begin"/>
        </w:r>
        <w:r w:rsidRPr="00C83DA9">
          <w:rPr>
            <w:noProof/>
            <w:webHidden/>
            <w:lang w:val="fr-FR"/>
          </w:rPr>
          <w:instrText xml:space="preserve"> PAGEREF _Toc213307970 \h </w:instrText>
        </w:r>
        <w:r w:rsidRPr="00C83DA9">
          <w:rPr>
            <w:noProof/>
            <w:webHidden/>
            <w:lang w:val="fr-FR"/>
          </w:rPr>
        </w:r>
        <w:r w:rsidRPr="00C83DA9">
          <w:rPr>
            <w:noProof/>
            <w:webHidden/>
            <w:lang w:val="fr-FR"/>
          </w:rPr>
          <w:fldChar w:fldCharType="separate"/>
        </w:r>
        <w:r w:rsidR="00A62167">
          <w:rPr>
            <w:noProof/>
            <w:webHidden/>
            <w:lang w:val="fr-FR"/>
          </w:rPr>
          <w:t>35</w:t>
        </w:r>
        <w:r w:rsidRPr="00C83DA9">
          <w:rPr>
            <w:noProof/>
            <w:webHidden/>
            <w:lang w:val="fr-FR"/>
          </w:rPr>
          <w:fldChar w:fldCharType="end"/>
        </w:r>
      </w:hyperlink>
    </w:p>
    <w:p w14:paraId="22828B1B" w14:textId="3BF5B2AD" w:rsidR="0009498B" w:rsidRPr="00C83DA9" w:rsidRDefault="0009498B" w:rsidP="00CA734F">
      <w:pPr>
        <w:pStyle w:val="TOC2"/>
        <w:ind w:firstLine="0"/>
        <w:rPr>
          <w:rFonts w:eastAsiaTheme="minorEastAsia" w:cstheme="minorBidi"/>
          <w:b/>
          <w:bCs/>
          <w:noProof/>
          <w:sz w:val="22"/>
          <w:szCs w:val="22"/>
          <w:lang w:val="fr-FR"/>
        </w:rPr>
      </w:pPr>
      <w:hyperlink w:anchor="_Toc213307971" w:history="1">
        <w:r w:rsidRPr="00C83DA9">
          <w:rPr>
            <w:rStyle w:val="Hyperlink"/>
            <w:b/>
            <w:bCs/>
            <w:noProof/>
            <w:lang w:val="fr-FR"/>
          </w:rPr>
          <w:t>Priorité 4 de l'UIT-D: Mobilisation de ressources, partenariats et coopération</w:t>
        </w:r>
        <w:r w:rsidR="00A63ECD" w:rsidRPr="00C83DA9">
          <w:rPr>
            <w:rStyle w:val="Hyperlink"/>
            <w:b/>
            <w:bCs/>
            <w:noProof/>
            <w:lang w:val="fr-FR"/>
          </w:rPr>
          <w:br/>
        </w:r>
        <w:r w:rsidRPr="00C83DA9">
          <w:rPr>
            <w:rStyle w:val="Hyperlink"/>
            <w:b/>
            <w:bCs/>
            <w:noProof/>
            <w:lang w:val="fr-FR"/>
          </w:rPr>
          <w:t>internationale</w:t>
        </w:r>
        <w:r w:rsidRPr="00C83DA9">
          <w:rPr>
            <w:b/>
            <w:bCs/>
            <w:noProof/>
            <w:webHidden/>
            <w:lang w:val="fr-FR"/>
          </w:rPr>
          <w:tab/>
        </w:r>
        <w:r w:rsidR="00A63ECD" w:rsidRPr="00C83DA9">
          <w:rPr>
            <w:b/>
            <w:bCs/>
            <w:noProof/>
            <w:webHidden/>
            <w:lang w:val="fr-FR"/>
          </w:rPr>
          <w:tab/>
        </w:r>
        <w:r w:rsidRPr="00C83DA9">
          <w:rPr>
            <w:noProof/>
            <w:webHidden/>
            <w:lang w:val="fr-FR"/>
          </w:rPr>
          <w:fldChar w:fldCharType="begin"/>
        </w:r>
        <w:r w:rsidRPr="00C83DA9">
          <w:rPr>
            <w:noProof/>
            <w:webHidden/>
            <w:lang w:val="fr-FR"/>
          </w:rPr>
          <w:instrText xml:space="preserve"> PAGEREF _Toc213307971 \h </w:instrText>
        </w:r>
        <w:r w:rsidRPr="00C83DA9">
          <w:rPr>
            <w:noProof/>
            <w:webHidden/>
            <w:lang w:val="fr-FR"/>
          </w:rPr>
        </w:r>
        <w:r w:rsidRPr="00C83DA9">
          <w:rPr>
            <w:noProof/>
            <w:webHidden/>
            <w:lang w:val="fr-FR"/>
          </w:rPr>
          <w:fldChar w:fldCharType="separate"/>
        </w:r>
        <w:r w:rsidR="00A62167">
          <w:rPr>
            <w:noProof/>
            <w:webHidden/>
            <w:lang w:val="fr-FR"/>
          </w:rPr>
          <w:t>40</w:t>
        </w:r>
        <w:r w:rsidRPr="00C83DA9">
          <w:rPr>
            <w:noProof/>
            <w:webHidden/>
            <w:lang w:val="fr-FR"/>
          </w:rPr>
          <w:fldChar w:fldCharType="end"/>
        </w:r>
      </w:hyperlink>
    </w:p>
    <w:p w14:paraId="051F5631" w14:textId="19445EFE" w:rsidR="0009498B" w:rsidRPr="00C83DA9" w:rsidRDefault="0009498B" w:rsidP="00CA734F">
      <w:pPr>
        <w:pStyle w:val="TOC2"/>
        <w:ind w:firstLine="0"/>
        <w:rPr>
          <w:rFonts w:eastAsiaTheme="minorEastAsia" w:cstheme="minorBidi"/>
          <w:noProof/>
          <w:sz w:val="22"/>
          <w:szCs w:val="22"/>
          <w:lang w:val="fr-FR"/>
        </w:rPr>
      </w:pPr>
      <w:hyperlink w:anchor="_Toc213307972" w:history="1">
        <w:r w:rsidRPr="00C83DA9">
          <w:rPr>
            <w:rStyle w:val="Hyperlink"/>
            <w:b/>
            <w:bCs/>
            <w:noProof/>
            <w:lang w:val="fr-FR"/>
          </w:rPr>
          <w:t>Priorité 5 de l'UIT-D: Télécommunications/TIC inclusives et sûres au service du développement</w:t>
        </w:r>
        <w:r w:rsidR="00A63ECD" w:rsidRPr="00C83DA9">
          <w:rPr>
            <w:rStyle w:val="Hyperlink"/>
            <w:b/>
            <w:bCs/>
            <w:noProof/>
            <w:lang w:val="fr-FR"/>
          </w:rPr>
          <w:t> </w:t>
        </w:r>
        <w:r w:rsidRPr="00C83DA9">
          <w:rPr>
            <w:rStyle w:val="Hyperlink"/>
            <w:b/>
            <w:bCs/>
            <w:noProof/>
            <w:lang w:val="fr-FR"/>
          </w:rPr>
          <w:t>durable</w:t>
        </w:r>
        <w:r w:rsidRPr="00C83DA9">
          <w:rPr>
            <w:b/>
            <w:bCs/>
            <w:noProof/>
            <w:webHidden/>
            <w:lang w:val="fr-FR"/>
          </w:rPr>
          <w:tab/>
        </w:r>
        <w:r w:rsidRPr="00C83DA9">
          <w:rPr>
            <w:b/>
            <w:bCs/>
            <w:noProof/>
            <w:webHidden/>
            <w:lang w:val="fr-FR"/>
          </w:rPr>
          <w:tab/>
        </w:r>
        <w:r w:rsidRPr="00C83DA9">
          <w:rPr>
            <w:noProof/>
            <w:webHidden/>
            <w:lang w:val="fr-FR"/>
          </w:rPr>
          <w:fldChar w:fldCharType="begin"/>
        </w:r>
        <w:r w:rsidRPr="00C83DA9">
          <w:rPr>
            <w:noProof/>
            <w:webHidden/>
            <w:lang w:val="fr-FR"/>
          </w:rPr>
          <w:instrText xml:space="preserve"> PAGEREF _Toc213307972 \h </w:instrText>
        </w:r>
        <w:r w:rsidRPr="00C83DA9">
          <w:rPr>
            <w:noProof/>
            <w:webHidden/>
            <w:lang w:val="fr-FR"/>
          </w:rPr>
        </w:r>
        <w:r w:rsidRPr="00C83DA9">
          <w:rPr>
            <w:noProof/>
            <w:webHidden/>
            <w:lang w:val="fr-FR"/>
          </w:rPr>
          <w:fldChar w:fldCharType="separate"/>
        </w:r>
        <w:r w:rsidR="00A62167">
          <w:rPr>
            <w:noProof/>
            <w:webHidden/>
            <w:lang w:val="fr-FR"/>
          </w:rPr>
          <w:t>44</w:t>
        </w:r>
        <w:r w:rsidRPr="00C83DA9">
          <w:rPr>
            <w:noProof/>
            <w:webHidden/>
            <w:lang w:val="fr-FR"/>
          </w:rPr>
          <w:fldChar w:fldCharType="end"/>
        </w:r>
      </w:hyperlink>
    </w:p>
    <w:p w14:paraId="1E3A3EF0" w14:textId="7E16A471" w:rsidR="0009498B" w:rsidRPr="00C83DA9" w:rsidRDefault="0009498B" w:rsidP="00631D58">
      <w:pPr>
        <w:pStyle w:val="TOC3"/>
        <w:spacing w:after="200"/>
        <w:ind w:left="1701"/>
        <w:rPr>
          <w:rFonts w:eastAsiaTheme="minorEastAsia" w:cstheme="minorBidi"/>
          <w:noProof/>
          <w:sz w:val="22"/>
          <w:szCs w:val="22"/>
          <w:lang w:val="fr-FR"/>
        </w:rPr>
      </w:pPr>
      <w:hyperlink w:anchor="_Toc213307973" w:history="1">
        <w:r w:rsidRPr="00C83DA9">
          <w:rPr>
            <w:rStyle w:val="Hyperlink"/>
            <w:noProof/>
            <w:lang w:val="fr-FR"/>
          </w:rPr>
          <w:t>Cybersécurité</w:t>
        </w:r>
        <w:r w:rsidRPr="00C83DA9">
          <w:rPr>
            <w:noProof/>
            <w:webHidden/>
            <w:lang w:val="fr-FR"/>
          </w:rPr>
          <w:tab/>
        </w:r>
        <w:r w:rsidRPr="00C83DA9">
          <w:rPr>
            <w:noProof/>
            <w:webHidden/>
            <w:lang w:val="fr-FR"/>
          </w:rPr>
          <w:tab/>
        </w:r>
        <w:r w:rsidRPr="00C83DA9">
          <w:rPr>
            <w:noProof/>
            <w:webHidden/>
            <w:lang w:val="fr-FR"/>
          </w:rPr>
          <w:fldChar w:fldCharType="begin"/>
        </w:r>
        <w:r w:rsidRPr="00C83DA9">
          <w:rPr>
            <w:noProof/>
            <w:webHidden/>
            <w:lang w:val="fr-FR"/>
          </w:rPr>
          <w:instrText xml:space="preserve"> PAGEREF _Toc213307973 \h </w:instrText>
        </w:r>
        <w:r w:rsidRPr="00C83DA9">
          <w:rPr>
            <w:noProof/>
            <w:webHidden/>
            <w:lang w:val="fr-FR"/>
          </w:rPr>
        </w:r>
        <w:r w:rsidRPr="00C83DA9">
          <w:rPr>
            <w:noProof/>
            <w:webHidden/>
            <w:lang w:val="fr-FR"/>
          </w:rPr>
          <w:fldChar w:fldCharType="separate"/>
        </w:r>
        <w:r w:rsidR="00A62167">
          <w:rPr>
            <w:noProof/>
            <w:webHidden/>
            <w:lang w:val="fr-FR"/>
          </w:rPr>
          <w:t>44</w:t>
        </w:r>
        <w:r w:rsidRPr="00C83DA9">
          <w:rPr>
            <w:noProof/>
            <w:webHidden/>
            <w:lang w:val="fr-FR"/>
          </w:rPr>
          <w:fldChar w:fldCharType="end"/>
        </w:r>
      </w:hyperlink>
    </w:p>
    <w:p w14:paraId="3B8D4C50" w14:textId="63E3E072" w:rsidR="0009498B" w:rsidRPr="00C83DA9" w:rsidRDefault="0009498B" w:rsidP="00262321">
      <w:pPr>
        <w:pStyle w:val="TOC2"/>
        <w:spacing w:after="200"/>
        <w:ind w:left="1134"/>
        <w:rPr>
          <w:rFonts w:eastAsiaTheme="minorEastAsia" w:cstheme="minorBidi"/>
          <w:b/>
          <w:bCs/>
          <w:noProof/>
          <w:sz w:val="22"/>
          <w:szCs w:val="22"/>
          <w:lang w:val="fr-FR"/>
        </w:rPr>
      </w:pPr>
      <w:hyperlink w:anchor="_Toc213307974" w:history="1">
        <w:r w:rsidRPr="00C83DA9">
          <w:rPr>
            <w:rStyle w:val="Hyperlink"/>
            <w:b/>
            <w:bCs/>
            <w:noProof/>
            <w:lang w:val="fr-FR"/>
          </w:rPr>
          <w:t>Catalyseur 1 de l'UIT-D: Travaux reposant sur les contributions des membres</w:t>
        </w:r>
        <w:r w:rsidRPr="00C83DA9">
          <w:rPr>
            <w:noProof/>
            <w:webHidden/>
            <w:lang w:val="fr-FR"/>
          </w:rPr>
          <w:tab/>
        </w:r>
        <w:r w:rsidRPr="00C83DA9">
          <w:rPr>
            <w:noProof/>
            <w:webHidden/>
            <w:lang w:val="fr-FR"/>
          </w:rPr>
          <w:fldChar w:fldCharType="begin"/>
        </w:r>
        <w:r w:rsidRPr="00C83DA9">
          <w:rPr>
            <w:noProof/>
            <w:webHidden/>
            <w:lang w:val="fr-FR"/>
          </w:rPr>
          <w:instrText xml:space="preserve"> PAGEREF _Toc213307974 \h </w:instrText>
        </w:r>
        <w:r w:rsidRPr="00C83DA9">
          <w:rPr>
            <w:noProof/>
            <w:webHidden/>
            <w:lang w:val="fr-FR"/>
          </w:rPr>
        </w:r>
        <w:r w:rsidRPr="00C83DA9">
          <w:rPr>
            <w:noProof/>
            <w:webHidden/>
            <w:lang w:val="fr-FR"/>
          </w:rPr>
          <w:fldChar w:fldCharType="separate"/>
        </w:r>
        <w:r w:rsidR="00A62167">
          <w:rPr>
            <w:noProof/>
            <w:webHidden/>
            <w:lang w:val="fr-FR"/>
          </w:rPr>
          <w:t>50</w:t>
        </w:r>
        <w:r w:rsidRPr="00C83DA9">
          <w:rPr>
            <w:noProof/>
            <w:webHidden/>
            <w:lang w:val="fr-FR"/>
          </w:rPr>
          <w:fldChar w:fldCharType="end"/>
        </w:r>
      </w:hyperlink>
    </w:p>
    <w:p w14:paraId="36B56BB6" w14:textId="3C0AC7C7" w:rsidR="0009498B" w:rsidRPr="00C83DA9" w:rsidRDefault="0009498B" w:rsidP="00262321">
      <w:pPr>
        <w:pStyle w:val="TOC2"/>
        <w:spacing w:after="200"/>
        <w:ind w:left="1134"/>
        <w:rPr>
          <w:rFonts w:eastAsiaTheme="minorEastAsia" w:cstheme="minorBidi"/>
          <w:b/>
          <w:bCs/>
          <w:noProof/>
          <w:sz w:val="22"/>
          <w:szCs w:val="22"/>
          <w:lang w:val="fr-FR"/>
        </w:rPr>
      </w:pPr>
      <w:hyperlink w:anchor="_Toc213307975" w:history="1">
        <w:r w:rsidRPr="00C83DA9">
          <w:rPr>
            <w:rStyle w:val="Hyperlink"/>
            <w:b/>
            <w:bCs/>
            <w:noProof/>
            <w:lang w:val="fr-FR"/>
          </w:rPr>
          <w:t>Catalyseur 2 de l'UIT-D: Présence régionale</w:t>
        </w:r>
        <w:r w:rsidRPr="00C83DA9">
          <w:rPr>
            <w:noProof/>
            <w:webHidden/>
            <w:lang w:val="fr-FR"/>
          </w:rPr>
          <w:tab/>
        </w:r>
        <w:r w:rsidRPr="00C83DA9">
          <w:rPr>
            <w:noProof/>
            <w:webHidden/>
            <w:lang w:val="fr-FR"/>
          </w:rPr>
          <w:tab/>
        </w:r>
        <w:r w:rsidRPr="00C83DA9">
          <w:rPr>
            <w:noProof/>
            <w:webHidden/>
            <w:lang w:val="fr-FR"/>
          </w:rPr>
          <w:fldChar w:fldCharType="begin"/>
        </w:r>
        <w:r w:rsidRPr="00C83DA9">
          <w:rPr>
            <w:noProof/>
            <w:webHidden/>
            <w:lang w:val="fr-FR"/>
          </w:rPr>
          <w:instrText xml:space="preserve"> PAGEREF _Toc213307975 \h </w:instrText>
        </w:r>
        <w:r w:rsidRPr="00C83DA9">
          <w:rPr>
            <w:noProof/>
            <w:webHidden/>
            <w:lang w:val="fr-FR"/>
          </w:rPr>
        </w:r>
        <w:r w:rsidRPr="00C83DA9">
          <w:rPr>
            <w:noProof/>
            <w:webHidden/>
            <w:lang w:val="fr-FR"/>
          </w:rPr>
          <w:fldChar w:fldCharType="separate"/>
        </w:r>
        <w:r w:rsidR="00A62167">
          <w:rPr>
            <w:noProof/>
            <w:webHidden/>
            <w:lang w:val="fr-FR"/>
          </w:rPr>
          <w:t>56</w:t>
        </w:r>
        <w:r w:rsidRPr="00C83DA9">
          <w:rPr>
            <w:noProof/>
            <w:webHidden/>
            <w:lang w:val="fr-FR"/>
          </w:rPr>
          <w:fldChar w:fldCharType="end"/>
        </w:r>
      </w:hyperlink>
    </w:p>
    <w:p w14:paraId="68F1E601" w14:textId="406D14BD" w:rsidR="0009498B" w:rsidRPr="00C83DA9" w:rsidRDefault="0009498B" w:rsidP="00262321">
      <w:pPr>
        <w:pStyle w:val="TOC2"/>
        <w:spacing w:after="200"/>
        <w:ind w:left="1134"/>
        <w:rPr>
          <w:rFonts w:eastAsiaTheme="minorEastAsia" w:cstheme="minorBidi"/>
          <w:b/>
          <w:bCs/>
          <w:noProof/>
          <w:sz w:val="22"/>
          <w:szCs w:val="22"/>
          <w:lang w:val="fr-FR"/>
        </w:rPr>
      </w:pPr>
      <w:hyperlink w:anchor="_Toc213307976" w:history="1">
        <w:r w:rsidRPr="00C83DA9">
          <w:rPr>
            <w:rStyle w:val="Hyperlink"/>
            <w:b/>
            <w:bCs/>
            <w:noProof/>
            <w:lang w:val="fr-FR"/>
          </w:rPr>
          <w:t>Catalyseur 3 de l'UIT-D</w:t>
        </w:r>
        <w:r w:rsidR="00A63ECD" w:rsidRPr="00C83DA9">
          <w:rPr>
            <w:rStyle w:val="Hyperlink"/>
            <w:b/>
            <w:bCs/>
            <w:noProof/>
            <w:lang w:val="fr-FR"/>
          </w:rPr>
          <w:t>:</w:t>
        </w:r>
        <w:r w:rsidRPr="00C83DA9">
          <w:rPr>
            <w:rStyle w:val="Hyperlink"/>
            <w:b/>
            <w:bCs/>
            <w:noProof/>
            <w:lang w:val="fr-FR"/>
          </w:rPr>
          <w:t xml:space="preserve"> Diversité et inclusion</w:t>
        </w:r>
        <w:r w:rsidRPr="00C83DA9">
          <w:rPr>
            <w:noProof/>
            <w:webHidden/>
            <w:lang w:val="fr-FR"/>
          </w:rPr>
          <w:tab/>
        </w:r>
        <w:r w:rsidRPr="00C83DA9">
          <w:rPr>
            <w:noProof/>
            <w:webHidden/>
            <w:lang w:val="fr-FR"/>
          </w:rPr>
          <w:tab/>
        </w:r>
        <w:r w:rsidRPr="00C83DA9">
          <w:rPr>
            <w:noProof/>
            <w:webHidden/>
            <w:lang w:val="fr-FR"/>
          </w:rPr>
          <w:fldChar w:fldCharType="begin"/>
        </w:r>
        <w:r w:rsidRPr="00C83DA9">
          <w:rPr>
            <w:noProof/>
            <w:webHidden/>
            <w:lang w:val="fr-FR"/>
          </w:rPr>
          <w:instrText xml:space="preserve"> PAGEREF _Toc213307976 \h </w:instrText>
        </w:r>
        <w:r w:rsidRPr="00C83DA9">
          <w:rPr>
            <w:noProof/>
            <w:webHidden/>
            <w:lang w:val="fr-FR"/>
          </w:rPr>
        </w:r>
        <w:r w:rsidRPr="00C83DA9">
          <w:rPr>
            <w:noProof/>
            <w:webHidden/>
            <w:lang w:val="fr-FR"/>
          </w:rPr>
          <w:fldChar w:fldCharType="separate"/>
        </w:r>
        <w:r w:rsidR="00A62167">
          <w:rPr>
            <w:noProof/>
            <w:webHidden/>
            <w:lang w:val="fr-FR"/>
          </w:rPr>
          <w:t>62</w:t>
        </w:r>
        <w:r w:rsidRPr="00C83DA9">
          <w:rPr>
            <w:noProof/>
            <w:webHidden/>
            <w:lang w:val="fr-FR"/>
          </w:rPr>
          <w:fldChar w:fldCharType="end"/>
        </w:r>
      </w:hyperlink>
    </w:p>
    <w:p w14:paraId="231199BE" w14:textId="1EFA7764" w:rsidR="0009498B" w:rsidRPr="00C83DA9" w:rsidRDefault="0009498B" w:rsidP="00262321">
      <w:pPr>
        <w:pStyle w:val="TOC2"/>
        <w:spacing w:after="200"/>
        <w:ind w:left="1134"/>
        <w:rPr>
          <w:rFonts w:eastAsiaTheme="minorEastAsia" w:cstheme="minorBidi"/>
          <w:b/>
          <w:bCs/>
          <w:noProof/>
          <w:sz w:val="22"/>
          <w:szCs w:val="22"/>
          <w:lang w:val="fr-FR"/>
        </w:rPr>
      </w:pPr>
      <w:hyperlink w:anchor="_Toc213307977" w:history="1">
        <w:r w:rsidRPr="00C83DA9">
          <w:rPr>
            <w:rStyle w:val="Hyperlink"/>
            <w:b/>
            <w:bCs/>
            <w:noProof/>
            <w:lang w:val="fr-FR"/>
          </w:rPr>
          <w:t>Catalyseur 4 de l'UIT-D: Engagement en faveur de la durabilité environnementale</w:t>
        </w:r>
        <w:r w:rsidRPr="00C83DA9">
          <w:rPr>
            <w:noProof/>
            <w:webHidden/>
            <w:lang w:val="fr-FR"/>
          </w:rPr>
          <w:tab/>
        </w:r>
        <w:r w:rsidRPr="00C83DA9">
          <w:rPr>
            <w:noProof/>
            <w:webHidden/>
            <w:lang w:val="fr-FR"/>
          </w:rPr>
          <w:fldChar w:fldCharType="begin"/>
        </w:r>
        <w:r w:rsidRPr="00C83DA9">
          <w:rPr>
            <w:noProof/>
            <w:webHidden/>
            <w:lang w:val="fr-FR"/>
          </w:rPr>
          <w:instrText xml:space="preserve"> PAGEREF _Toc213307977 \h </w:instrText>
        </w:r>
        <w:r w:rsidRPr="00C83DA9">
          <w:rPr>
            <w:noProof/>
            <w:webHidden/>
            <w:lang w:val="fr-FR"/>
          </w:rPr>
        </w:r>
        <w:r w:rsidRPr="00C83DA9">
          <w:rPr>
            <w:noProof/>
            <w:webHidden/>
            <w:lang w:val="fr-FR"/>
          </w:rPr>
          <w:fldChar w:fldCharType="separate"/>
        </w:r>
        <w:r w:rsidR="00A62167">
          <w:rPr>
            <w:noProof/>
            <w:webHidden/>
            <w:lang w:val="fr-FR"/>
          </w:rPr>
          <w:t>68</w:t>
        </w:r>
        <w:r w:rsidRPr="00C83DA9">
          <w:rPr>
            <w:noProof/>
            <w:webHidden/>
            <w:lang w:val="fr-FR"/>
          </w:rPr>
          <w:fldChar w:fldCharType="end"/>
        </w:r>
      </w:hyperlink>
    </w:p>
    <w:p w14:paraId="7543DEA5" w14:textId="43C31C77" w:rsidR="0009498B" w:rsidRPr="00C83DA9" w:rsidRDefault="0009498B" w:rsidP="00A62167">
      <w:pPr>
        <w:pStyle w:val="TOC2"/>
        <w:spacing w:after="200"/>
        <w:ind w:firstLine="0"/>
        <w:rPr>
          <w:rFonts w:eastAsiaTheme="minorEastAsia" w:cstheme="minorBidi"/>
          <w:noProof/>
          <w:sz w:val="22"/>
          <w:szCs w:val="22"/>
          <w:lang w:val="fr-FR"/>
        </w:rPr>
      </w:pPr>
      <w:hyperlink w:anchor="_Toc213307978" w:history="1">
        <w:r w:rsidRPr="00C83DA9">
          <w:rPr>
            <w:rStyle w:val="Hyperlink"/>
            <w:b/>
            <w:bCs/>
            <w:noProof/>
            <w:lang w:val="fr-FR"/>
          </w:rPr>
          <w:t>Catalyseur 5 de l'UIT-D: Excellence en matière de ressources humaines et innovation</w:t>
        </w:r>
        <w:r w:rsidR="00A63ECD" w:rsidRPr="00C83DA9">
          <w:rPr>
            <w:rStyle w:val="Hyperlink"/>
            <w:b/>
            <w:bCs/>
            <w:noProof/>
            <w:lang w:val="fr-FR"/>
          </w:rPr>
          <w:t> </w:t>
        </w:r>
        <w:r w:rsidRPr="00C83DA9">
          <w:rPr>
            <w:rStyle w:val="Hyperlink"/>
            <w:b/>
            <w:bCs/>
            <w:noProof/>
            <w:lang w:val="fr-FR"/>
          </w:rPr>
          <w:t>organisationnelle</w:t>
        </w:r>
        <w:r w:rsidRPr="00C83DA9">
          <w:rPr>
            <w:noProof/>
            <w:webHidden/>
            <w:lang w:val="fr-FR"/>
          </w:rPr>
          <w:tab/>
        </w:r>
        <w:r w:rsidRPr="00C83DA9">
          <w:rPr>
            <w:noProof/>
            <w:webHidden/>
            <w:lang w:val="fr-FR"/>
          </w:rPr>
          <w:tab/>
        </w:r>
        <w:r w:rsidRPr="00C83DA9">
          <w:rPr>
            <w:noProof/>
            <w:webHidden/>
            <w:lang w:val="fr-FR"/>
          </w:rPr>
          <w:fldChar w:fldCharType="begin"/>
        </w:r>
        <w:r w:rsidRPr="00C83DA9">
          <w:rPr>
            <w:noProof/>
            <w:webHidden/>
            <w:lang w:val="fr-FR"/>
          </w:rPr>
          <w:instrText xml:space="preserve"> PAGEREF _Toc213307978 \h </w:instrText>
        </w:r>
        <w:r w:rsidRPr="00C83DA9">
          <w:rPr>
            <w:noProof/>
            <w:webHidden/>
            <w:lang w:val="fr-FR"/>
          </w:rPr>
        </w:r>
        <w:r w:rsidRPr="00C83DA9">
          <w:rPr>
            <w:noProof/>
            <w:webHidden/>
            <w:lang w:val="fr-FR"/>
          </w:rPr>
          <w:fldChar w:fldCharType="separate"/>
        </w:r>
        <w:r w:rsidR="00A62167">
          <w:rPr>
            <w:noProof/>
            <w:webHidden/>
            <w:lang w:val="fr-FR"/>
          </w:rPr>
          <w:t>72</w:t>
        </w:r>
        <w:r w:rsidRPr="00C83DA9">
          <w:rPr>
            <w:noProof/>
            <w:webHidden/>
            <w:lang w:val="fr-FR"/>
          </w:rPr>
          <w:fldChar w:fldCharType="end"/>
        </w:r>
      </w:hyperlink>
    </w:p>
    <w:p w14:paraId="5F6EF175" w14:textId="34DF495A" w:rsidR="00372A77" w:rsidRPr="00C83DA9" w:rsidRDefault="0009498B" w:rsidP="0009498B">
      <w:pPr>
        <w:rPr>
          <w:b/>
          <w:bCs/>
          <w:lang w:val="fr-FR"/>
        </w:rPr>
      </w:pPr>
      <w:r w:rsidRPr="00C83DA9">
        <w:rPr>
          <w:lang w:val="fr-FR"/>
        </w:rPr>
        <w:fldChar w:fldCharType="end"/>
      </w:r>
      <w:r w:rsidR="00372A77" w:rsidRPr="00C83DA9">
        <w:rPr>
          <w:b/>
          <w:bCs/>
          <w:lang w:val="fr-FR"/>
        </w:rPr>
        <w:br w:type="page"/>
      </w:r>
    </w:p>
    <w:p w14:paraId="32CFCAC9" w14:textId="1ED38102" w:rsidR="00372A77" w:rsidRPr="00C83DA9" w:rsidRDefault="00372A77" w:rsidP="00CC34BE">
      <w:pPr>
        <w:pStyle w:val="Annextitle"/>
        <w:rPr>
          <w:lang w:val="fr-FR"/>
        </w:rPr>
      </w:pPr>
      <w:r w:rsidRPr="00C83DA9">
        <w:rPr>
          <w:lang w:val="fr-FR"/>
        </w:rPr>
        <w:lastRenderedPageBreak/>
        <w:t>Mise en œuvre du Plan d</w:t>
      </w:r>
      <w:r w:rsidR="00456505" w:rsidRPr="00C83DA9">
        <w:rPr>
          <w:lang w:val="fr-FR"/>
        </w:rPr>
        <w:t>'</w:t>
      </w:r>
      <w:r w:rsidRPr="00C83DA9">
        <w:rPr>
          <w:lang w:val="fr-FR"/>
        </w:rPr>
        <w:t>action de Kigali 2023-2025</w:t>
      </w:r>
    </w:p>
    <w:p w14:paraId="68A353AA" w14:textId="0AE7CE7F" w:rsidR="00372A77" w:rsidRPr="00C83DA9" w:rsidRDefault="00372A77" w:rsidP="00CC34BE">
      <w:pPr>
        <w:pStyle w:val="Headingb"/>
        <w:rPr>
          <w:lang w:val="fr-FR"/>
        </w:rPr>
      </w:pPr>
      <w:bookmarkStart w:id="13" w:name="_Toc211258913"/>
      <w:bookmarkStart w:id="14" w:name="_Toc213307957"/>
      <w:r w:rsidRPr="00C83DA9">
        <w:rPr>
          <w:lang w:val="fr-FR"/>
        </w:rPr>
        <w:t>Introduction</w:t>
      </w:r>
      <w:bookmarkEnd w:id="13"/>
      <w:bookmarkEnd w:id="14"/>
    </w:p>
    <w:p w14:paraId="5CCD8802" w14:textId="1D70E711" w:rsidR="00372A77" w:rsidRPr="00C83DA9" w:rsidRDefault="00372A77" w:rsidP="00372A77">
      <w:pPr>
        <w:rPr>
          <w:sz w:val="22"/>
          <w:szCs w:val="18"/>
          <w:lang w:val="fr-FR"/>
        </w:rPr>
      </w:pPr>
      <w:r w:rsidRPr="00C83DA9">
        <w:rPr>
          <w:sz w:val="22"/>
          <w:szCs w:val="18"/>
          <w:lang w:val="fr-FR"/>
        </w:rPr>
        <w:t>La Conférence mondiale de développement des télécommunications de l</w:t>
      </w:r>
      <w:r w:rsidR="00456505" w:rsidRPr="00C83DA9">
        <w:rPr>
          <w:sz w:val="22"/>
          <w:szCs w:val="18"/>
          <w:lang w:val="fr-FR"/>
        </w:rPr>
        <w:t>'</w:t>
      </w:r>
      <w:r w:rsidRPr="00C83DA9">
        <w:rPr>
          <w:sz w:val="22"/>
          <w:szCs w:val="18"/>
          <w:lang w:val="fr-FR"/>
        </w:rPr>
        <w:t>UIT (CMDT-22), tenue à</w:t>
      </w:r>
      <w:r w:rsidR="00C3615F" w:rsidRPr="00C83DA9">
        <w:rPr>
          <w:sz w:val="22"/>
          <w:szCs w:val="18"/>
          <w:lang w:val="fr-FR"/>
        </w:rPr>
        <w:t> </w:t>
      </w:r>
      <w:r w:rsidRPr="00C83DA9">
        <w:rPr>
          <w:sz w:val="22"/>
          <w:szCs w:val="18"/>
          <w:lang w:val="fr-FR"/>
        </w:rPr>
        <w:t>Kigali (Rwanda) du 6 au 16 juin 2022, a adopté le Plan d</w:t>
      </w:r>
      <w:r w:rsidR="00456505" w:rsidRPr="00C83DA9">
        <w:rPr>
          <w:sz w:val="22"/>
          <w:szCs w:val="18"/>
          <w:lang w:val="fr-FR"/>
        </w:rPr>
        <w:t>'</w:t>
      </w:r>
      <w:r w:rsidRPr="00C83DA9">
        <w:rPr>
          <w:sz w:val="22"/>
          <w:szCs w:val="18"/>
          <w:lang w:val="fr-FR"/>
        </w:rPr>
        <w:t xml:space="preserve">action de Kigali (KAP). Ce Plan, qui comprend des priorités, des catalyseurs, des initiatives régionales, des </w:t>
      </w:r>
      <w:r w:rsidR="00A10B6A" w:rsidRPr="00C83DA9">
        <w:rPr>
          <w:sz w:val="22"/>
          <w:szCs w:val="18"/>
          <w:lang w:val="fr-FR"/>
        </w:rPr>
        <w:t>R</w:t>
      </w:r>
      <w:r w:rsidRPr="00C83DA9">
        <w:rPr>
          <w:sz w:val="22"/>
          <w:szCs w:val="18"/>
          <w:lang w:val="fr-FR"/>
        </w:rPr>
        <w:t xml:space="preserve">ésolutions nouvelles et révisées, des </w:t>
      </w:r>
      <w:r w:rsidR="00A10B6A" w:rsidRPr="00C83DA9">
        <w:rPr>
          <w:sz w:val="22"/>
          <w:szCs w:val="18"/>
          <w:lang w:val="fr-FR"/>
        </w:rPr>
        <w:t>R</w:t>
      </w:r>
      <w:r w:rsidRPr="00C83DA9">
        <w:rPr>
          <w:sz w:val="22"/>
          <w:szCs w:val="18"/>
          <w:lang w:val="fr-FR"/>
        </w:rPr>
        <w:t>ecommandations ainsi que les Questions confiées aux commissions d</w:t>
      </w:r>
      <w:r w:rsidR="00456505" w:rsidRPr="00C83DA9">
        <w:rPr>
          <w:sz w:val="22"/>
          <w:szCs w:val="18"/>
          <w:lang w:val="fr-FR"/>
        </w:rPr>
        <w:t>'</w:t>
      </w:r>
      <w:r w:rsidRPr="00C83DA9">
        <w:rPr>
          <w:sz w:val="22"/>
          <w:szCs w:val="18"/>
          <w:lang w:val="fr-FR"/>
        </w:rPr>
        <w:t>études, définit le mandat du Secteur du développement des télécommunications de l</w:t>
      </w:r>
      <w:r w:rsidR="00456505" w:rsidRPr="00C83DA9">
        <w:rPr>
          <w:sz w:val="22"/>
          <w:szCs w:val="18"/>
          <w:lang w:val="fr-FR"/>
        </w:rPr>
        <w:t>'</w:t>
      </w:r>
      <w:r w:rsidRPr="00C83DA9">
        <w:rPr>
          <w:sz w:val="22"/>
          <w:szCs w:val="18"/>
          <w:lang w:val="fr-FR"/>
        </w:rPr>
        <w:t>UIT (UIT-D) pour la période</w:t>
      </w:r>
      <w:r w:rsidR="00CC34BE" w:rsidRPr="00C83DA9">
        <w:rPr>
          <w:sz w:val="22"/>
          <w:szCs w:val="18"/>
          <w:lang w:val="fr-FR"/>
        </w:rPr>
        <w:t> </w:t>
      </w:r>
      <w:r w:rsidRPr="00C83DA9">
        <w:rPr>
          <w:sz w:val="22"/>
          <w:szCs w:val="18"/>
          <w:lang w:val="fr-FR"/>
        </w:rPr>
        <w:t>2023-2025.</w:t>
      </w:r>
    </w:p>
    <w:p w14:paraId="53E79A1B" w14:textId="08A6A764" w:rsidR="00372A77" w:rsidRPr="00C83DA9" w:rsidRDefault="00372A77" w:rsidP="00372A77">
      <w:pPr>
        <w:rPr>
          <w:sz w:val="22"/>
          <w:szCs w:val="18"/>
          <w:lang w:val="fr-FR"/>
        </w:rPr>
      </w:pPr>
      <w:r w:rsidRPr="00C83DA9">
        <w:rPr>
          <w:sz w:val="22"/>
          <w:szCs w:val="18"/>
          <w:lang w:val="fr-FR"/>
        </w:rPr>
        <w:t>L</w:t>
      </w:r>
      <w:r w:rsidR="00456505" w:rsidRPr="00C83DA9">
        <w:rPr>
          <w:sz w:val="22"/>
          <w:szCs w:val="18"/>
          <w:lang w:val="fr-FR"/>
        </w:rPr>
        <w:t>'</w:t>
      </w:r>
      <w:r w:rsidRPr="00C83DA9">
        <w:rPr>
          <w:sz w:val="22"/>
          <w:szCs w:val="18"/>
          <w:lang w:val="fr-FR"/>
        </w:rPr>
        <w:t>UIT-D s</w:t>
      </w:r>
      <w:r w:rsidR="00456505" w:rsidRPr="00C83DA9">
        <w:rPr>
          <w:sz w:val="22"/>
          <w:szCs w:val="18"/>
          <w:lang w:val="fr-FR"/>
        </w:rPr>
        <w:t>'</w:t>
      </w:r>
      <w:r w:rsidRPr="00C83DA9">
        <w:rPr>
          <w:sz w:val="22"/>
          <w:szCs w:val="18"/>
          <w:lang w:val="fr-FR"/>
        </w:rPr>
        <w:t>emploie à réduire la fracture numérique et à stimuler la transformation numérique, afin de mettre le potentiel des technologies de l</w:t>
      </w:r>
      <w:r w:rsidR="00456505" w:rsidRPr="00C83DA9">
        <w:rPr>
          <w:sz w:val="22"/>
          <w:szCs w:val="18"/>
          <w:lang w:val="fr-FR"/>
        </w:rPr>
        <w:t>'</w:t>
      </w:r>
      <w:r w:rsidRPr="00C83DA9">
        <w:rPr>
          <w:sz w:val="22"/>
          <w:szCs w:val="18"/>
          <w:lang w:val="fr-FR"/>
        </w:rPr>
        <w:t>information et de la communication (TIC) au service de la prospérité économique, de la création d</w:t>
      </w:r>
      <w:r w:rsidR="00456505" w:rsidRPr="00C83DA9">
        <w:rPr>
          <w:sz w:val="22"/>
          <w:szCs w:val="18"/>
          <w:lang w:val="fr-FR"/>
        </w:rPr>
        <w:t>'</w:t>
      </w:r>
      <w:r w:rsidRPr="00C83DA9">
        <w:rPr>
          <w:sz w:val="22"/>
          <w:szCs w:val="18"/>
          <w:lang w:val="fr-FR"/>
        </w:rPr>
        <w:t>emplois, du développement des compétences numériques, de l</w:t>
      </w:r>
      <w:r w:rsidR="00456505" w:rsidRPr="00C83DA9">
        <w:rPr>
          <w:sz w:val="22"/>
          <w:szCs w:val="18"/>
          <w:lang w:val="fr-FR"/>
        </w:rPr>
        <w:t>'</w:t>
      </w:r>
      <w:r w:rsidRPr="00C83DA9">
        <w:rPr>
          <w:sz w:val="22"/>
          <w:szCs w:val="18"/>
          <w:lang w:val="fr-FR"/>
        </w:rPr>
        <w:t>égalité hommes</w:t>
      </w:r>
      <w:r w:rsidR="00A10B6A" w:rsidRPr="00C83DA9">
        <w:rPr>
          <w:sz w:val="22"/>
          <w:szCs w:val="18"/>
          <w:lang w:val="fr-FR"/>
        </w:rPr>
        <w:noBreakHyphen/>
      </w:r>
      <w:r w:rsidRPr="00C83DA9">
        <w:rPr>
          <w:sz w:val="22"/>
          <w:szCs w:val="18"/>
          <w:lang w:val="fr-FR"/>
        </w:rPr>
        <w:t>femmes, de la diversité, d</w:t>
      </w:r>
      <w:r w:rsidR="00456505" w:rsidRPr="00C83DA9">
        <w:rPr>
          <w:sz w:val="22"/>
          <w:szCs w:val="18"/>
          <w:lang w:val="fr-FR"/>
        </w:rPr>
        <w:t>'</w:t>
      </w:r>
      <w:r w:rsidRPr="00C83DA9">
        <w:rPr>
          <w:sz w:val="22"/>
          <w:szCs w:val="18"/>
          <w:lang w:val="fr-FR"/>
        </w:rPr>
        <w:t>une économie durable et circulaire et de la protection de la vie humaine. Les travaux menés par l</w:t>
      </w:r>
      <w:r w:rsidR="00456505" w:rsidRPr="00C83DA9">
        <w:rPr>
          <w:sz w:val="22"/>
          <w:szCs w:val="18"/>
          <w:lang w:val="fr-FR"/>
        </w:rPr>
        <w:t>'</w:t>
      </w:r>
      <w:r w:rsidRPr="00C83DA9">
        <w:rPr>
          <w:sz w:val="22"/>
          <w:szCs w:val="18"/>
          <w:lang w:val="fr-FR"/>
        </w:rPr>
        <w:t>UIT-D en vue de réduire la fracture numérique, avec l</w:t>
      </w:r>
      <w:r w:rsidR="00456505" w:rsidRPr="00C83DA9">
        <w:rPr>
          <w:sz w:val="22"/>
          <w:szCs w:val="18"/>
          <w:lang w:val="fr-FR"/>
        </w:rPr>
        <w:t>'</w:t>
      </w:r>
      <w:r w:rsidRPr="00C83DA9">
        <w:rPr>
          <w:sz w:val="22"/>
          <w:szCs w:val="18"/>
          <w:lang w:val="fr-FR"/>
        </w:rPr>
        <w:t>appui du secrétariat du Bureau de développement des télécommunications (BDT), accordent la priorité à ceux qui en ont le plus besoin, qu</w:t>
      </w:r>
      <w:r w:rsidR="00456505" w:rsidRPr="00C83DA9">
        <w:rPr>
          <w:sz w:val="22"/>
          <w:szCs w:val="18"/>
          <w:lang w:val="fr-FR"/>
        </w:rPr>
        <w:t>'</w:t>
      </w:r>
      <w:r w:rsidRPr="00C83DA9">
        <w:rPr>
          <w:sz w:val="22"/>
          <w:szCs w:val="18"/>
          <w:lang w:val="fr-FR"/>
        </w:rPr>
        <w:t>il s</w:t>
      </w:r>
      <w:r w:rsidR="00456505" w:rsidRPr="00C83DA9">
        <w:rPr>
          <w:sz w:val="22"/>
          <w:szCs w:val="18"/>
          <w:lang w:val="fr-FR"/>
        </w:rPr>
        <w:t>'</w:t>
      </w:r>
      <w:r w:rsidRPr="00C83DA9">
        <w:rPr>
          <w:sz w:val="22"/>
          <w:szCs w:val="18"/>
          <w:lang w:val="fr-FR"/>
        </w:rPr>
        <w:t>agisse des habitants des pays les moins avancés ou des communautés marginalisées à travers le monde. Ces priorités sont étroitement liées aux priorités et aux objectifs définis dans le cadre de développement plus général que constituent les Objectifs de développement durable (ODD), le Plan stratégique de l</w:t>
      </w:r>
      <w:r w:rsidR="00456505" w:rsidRPr="00C83DA9">
        <w:rPr>
          <w:sz w:val="22"/>
          <w:szCs w:val="18"/>
          <w:lang w:val="fr-FR"/>
        </w:rPr>
        <w:t>'</w:t>
      </w:r>
      <w:r w:rsidRPr="00C83DA9">
        <w:rPr>
          <w:sz w:val="22"/>
          <w:szCs w:val="18"/>
          <w:lang w:val="fr-FR"/>
        </w:rPr>
        <w:t>UIT et le Plan d</w:t>
      </w:r>
      <w:r w:rsidR="00456505" w:rsidRPr="00C83DA9">
        <w:rPr>
          <w:sz w:val="22"/>
          <w:szCs w:val="18"/>
          <w:lang w:val="fr-FR"/>
        </w:rPr>
        <w:t>'</w:t>
      </w:r>
      <w:r w:rsidRPr="00C83DA9">
        <w:rPr>
          <w:sz w:val="22"/>
          <w:szCs w:val="18"/>
          <w:lang w:val="fr-FR"/>
        </w:rPr>
        <w:t>action du Sommet mondial sur la société de l</w:t>
      </w:r>
      <w:r w:rsidR="00456505" w:rsidRPr="00C83DA9">
        <w:rPr>
          <w:sz w:val="22"/>
          <w:szCs w:val="18"/>
          <w:lang w:val="fr-FR"/>
        </w:rPr>
        <w:t>'</w:t>
      </w:r>
      <w:r w:rsidRPr="00C83DA9">
        <w:rPr>
          <w:sz w:val="22"/>
          <w:szCs w:val="18"/>
          <w:lang w:val="fr-FR"/>
        </w:rPr>
        <w:t>information (SMSI). Elles s</w:t>
      </w:r>
      <w:r w:rsidR="00456505" w:rsidRPr="00C83DA9">
        <w:rPr>
          <w:sz w:val="22"/>
          <w:szCs w:val="18"/>
          <w:lang w:val="fr-FR"/>
        </w:rPr>
        <w:t>'</w:t>
      </w:r>
      <w:r w:rsidRPr="00C83DA9">
        <w:rPr>
          <w:sz w:val="22"/>
          <w:szCs w:val="18"/>
          <w:lang w:val="fr-FR"/>
        </w:rPr>
        <w:t>inscrivent dans la perspective commune de parvenir au développement durable en tirant profit des possibilités offertes par les outils numériques et les TIC.</w:t>
      </w:r>
    </w:p>
    <w:p w14:paraId="770FCE6E" w14:textId="53D9CE90" w:rsidR="00372A77" w:rsidRPr="00C83DA9" w:rsidRDefault="00372A77" w:rsidP="00372A77">
      <w:pPr>
        <w:rPr>
          <w:sz w:val="22"/>
          <w:szCs w:val="18"/>
          <w:lang w:val="fr-FR"/>
        </w:rPr>
      </w:pPr>
      <w:r w:rsidRPr="00C83DA9">
        <w:rPr>
          <w:sz w:val="22"/>
          <w:szCs w:val="18"/>
          <w:lang w:val="fr-FR"/>
        </w:rPr>
        <w:t>Le présent document rend compte de la mise en œuvre du Plan d</w:t>
      </w:r>
      <w:r w:rsidR="00456505" w:rsidRPr="00C83DA9">
        <w:rPr>
          <w:sz w:val="22"/>
          <w:szCs w:val="18"/>
          <w:lang w:val="fr-FR"/>
        </w:rPr>
        <w:t>'</w:t>
      </w:r>
      <w:r w:rsidRPr="00C83DA9">
        <w:rPr>
          <w:sz w:val="22"/>
          <w:szCs w:val="18"/>
          <w:lang w:val="fr-FR"/>
        </w:rPr>
        <w:t>action de Kigali de janvier 2023 à</w:t>
      </w:r>
      <w:r w:rsidR="00A10B6A" w:rsidRPr="00C83DA9">
        <w:rPr>
          <w:sz w:val="22"/>
          <w:szCs w:val="18"/>
          <w:lang w:val="fr-FR"/>
        </w:rPr>
        <w:t xml:space="preserve"> </w:t>
      </w:r>
      <w:r w:rsidRPr="00C83DA9">
        <w:rPr>
          <w:sz w:val="22"/>
          <w:szCs w:val="18"/>
          <w:lang w:val="fr-FR"/>
        </w:rPr>
        <w:t>août</w:t>
      </w:r>
      <w:r w:rsidR="00A10B6A" w:rsidRPr="00C83DA9">
        <w:rPr>
          <w:sz w:val="22"/>
          <w:szCs w:val="18"/>
          <w:lang w:val="fr-FR"/>
        </w:rPr>
        <w:t> </w:t>
      </w:r>
      <w:r w:rsidRPr="00C83DA9">
        <w:rPr>
          <w:sz w:val="22"/>
          <w:szCs w:val="18"/>
          <w:lang w:val="fr-FR"/>
        </w:rPr>
        <w:t>2025.</w:t>
      </w:r>
    </w:p>
    <w:p w14:paraId="1376E8E5" w14:textId="034073B5" w:rsidR="00372A77" w:rsidRPr="00C83DA9" w:rsidRDefault="00372A77" w:rsidP="00CC34BE">
      <w:pPr>
        <w:pStyle w:val="Headingb"/>
        <w:rPr>
          <w:lang w:val="fr-FR"/>
        </w:rPr>
      </w:pPr>
      <w:bookmarkStart w:id="15" w:name="_Toc211258914"/>
      <w:bookmarkStart w:id="16" w:name="_Toc213307958"/>
      <w:r w:rsidRPr="00C83DA9">
        <w:rPr>
          <w:lang w:val="fr-FR"/>
        </w:rPr>
        <w:t>Incidences des travaux de l</w:t>
      </w:r>
      <w:r w:rsidR="00456505" w:rsidRPr="00C83DA9">
        <w:rPr>
          <w:lang w:val="fr-FR"/>
        </w:rPr>
        <w:t>'</w:t>
      </w:r>
      <w:r w:rsidRPr="00C83DA9">
        <w:rPr>
          <w:lang w:val="fr-FR"/>
        </w:rPr>
        <w:t>UIT-D</w:t>
      </w:r>
      <w:bookmarkEnd w:id="15"/>
      <w:bookmarkEnd w:id="16"/>
    </w:p>
    <w:p w14:paraId="53D158F4" w14:textId="6C80D9D2" w:rsidR="00372A77" w:rsidRPr="00C83DA9" w:rsidRDefault="00372A77" w:rsidP="00372A77">
      <w:pPr>
        <w:rPr>
          <w:sz w:val="22"/>
          <w:szCs w:val="18"/>
          <w:lang w:val="fr-FR"/>
        </w:rPr>
      </w:pPr>
      <w:r w:rsidRPr="00C83DA9">
        <w:rPr>
          <w:sz w:val="22"/>
          <w:szCs w:val="18"/>
          <w:lang w:val="fr-FR"/>
        </w:rPr>
        <w:t>Afin de garantir la mise en œuvre efficace et rationnelle de son programme de travail, le Bureau a élargi son approche en matière de gestion axée sur les résultats au-delà des mesures initiales, et continue d</w:t>
      </w:r>
      <w:r w:rsidR="00456505" w:rsidRPr="00C83DA9">
        <w:rPr>
          <w:sz w:val="22"/>
          <w:szCs w:val="18"/>
          <w:lang w:val="fr-FR"/>
        </w:rPr>
        <w:t>'</w:t>
      </w:r>
      <w:r w:rsidRPr="00C83DA9">
        <w:rPr>
          <w:sz w:val="22"/>
          <w:szCs w:val="18"/>
          <w:lang w:val="fr-FR"/>
        </w:rPr>
        <w:t>affiner les modalités de mise en œuvre du Plan d</w:t>
      </w:r>
      <w:r w:rsidR="00456505" w:rsidRPr="00C83DA9">
        <w:rPr>
          <w:sz w:val="22"/>
          <w:szCs w:val="18"/>
          <w:lang w:val="fr-FR"/>
        </w:rPr>
        <w:t>'</w:t>
      </w:r>
      <w:r w:rsidRPr="00C83DA9">
        <w:rPr>
          <w:sz w:val="22"/>
          <w:szCs w:val="18"/>
          <w:lang w:val="fr-FR"/>
        </w:rPr>
        <w:t>action de Kigali grâce à des pratiques de planification, de suivi et d</w:t>
      </w:r>
      <w:r w:rsidR="00456505" w:rsidRPr="00C83DA9">
        <w:rPr>
          <w:sz w:val="22"/>
          <w:szCs w:val="18"/>
          <w:lang w:val="fr-FR"/>
        </w:rPr>
        <w:t>'</w:t>
      </w:r>
      <w:r w:rsidRPr="00C83DA9">
        <w:rPr>
          <w:sz w:val="22"/>
          <w:szCs w:val="18"/>
          <w:lang w:val="fr-FR"/>
        </w:rPr>
        <w:t>évaluation plus efficaces.</w:t>
      </w:r>
      <w:bookmarkStart w:id="17" w:name="_Hlk58606146"/>
      <w:bookmarkEnd w:id="17"/>
    </w:p>
    <w:p w14:paraId="214E7896" w14:textId="356752BC" w:rsidR="00372A77" w:rsidRPr="00C83DA9" w:rsidRDefault="00372A77" w:rsidP="00372A77">
      <w:pPr>
        <w:rPr>
          <w:sz w:val="22"/>
          <w:szCs w:val="18"/>
          <w:lang w:val="fr-FR"/>
        </w:rPr>
      </w:pPr>
      <w:r w:rsidRPr="00C83DA9">
        <w:rPr>
          <w:sz w:val="22"/>
          <w:szCs w:val="18"/>
          <w:lang w:val="fr-FR"/>
        </w:rPr>
        <w:t>Le Secrétariat a élaboré des indicateurs fondamentaux de performance (IFP) permettant de suivre les résultats obtenus dans les principaux domaines prioritaires du Plan d</w:t>
      </w:r>
      <w:r w:rsidR="00456505" w:rsidRPr="00C83DA9">
        <w:rPr>
          <w:sz w:val="22"/>
          <w:szCs w:val="18"/>
          <w:lang w:val="fr-FR"/>
        </w:rPr>
        <w:t>'</w:t>
      </w:r>
      <w:r w:rsidRPr="00C83DA9">
        <w:rPr>
          <w:sz w:val="22"/>
          <w:szCs w:val="18"/>
          <w:lang w:val="fr-FR"/>
        </w:rPr>
        <w:t>action de Kigali et les produits fournis aux États Membres, qui ont été examinés par le Groupe consultatif pour le développement des télécommunications (GCDT) à sa 30ème réunion, tenue en 2023. Les IFP ont été regroupés et affinés, ce qui a donné lieu à 18 IFP relatifs aux résultats et 25 IFP relatifs aux produits, qui ont été adoptés par le GCDT à sa 31ème réunion, tenue en 2024. Ces indicateurs continuent de guider les phases de planification et de mise en œuvre et servent d</w:t>
      </w:r>
      <w:r w:rsidR="00456505" w:rsidRPr="00C83DA9">
        <w:rPr>
          <w:sz w:val="22"/>
          <w:szCs w:val="18"/>
          <w:lang w:val="fr-FR"/>
        </w:rPr>
        <w:t>'</w:t>
      </w:r>
      <w:r w:rsidRPr="00C83DA9">
        <w:rPr>
          <w:sz w:val="22"/>
          <w:szCs w:val="18"/>
          <w:lang w:val="fr-FR"/>
        </w:rPr>
        <w:t>outils pour suivre les progrès accomplis sur la voie d</w:t>
      </w:r>
      <w:r w:rsidR="00456505" w:rsidRPr="00C83DA9">
        <w:rPr>
          <w:sz w:val="22"/>
          <w:szCs w:val="18"/>
          <w:lang w:val="fr-FR"/>
        </w:rPr>
        <w:t>'</w:t>
      </w:r>
      <w:r w:rsidRPr="00C83DA9">
        <w:rPr>
          <w:sz w:val="22"/>
          <w:szCs w:val="18"/>
          <w:lang w:val="fr-FR"/>
        </w:rPr>
        <w:t>une connectivité efficace et abordable et d</w:t>
      </w:r>
      <w:r w:rsidR="00456505" w:rsidRPr="00C83DA9">
        <w:rPr>
          <w:sz w:val="22"/>
          <w:szCs w:val="18"/>
          <w:lang w:val="fr-FR"/>
        </w:rPr>
        <w:t>'</w:t>
      </w:r>
      <w:r w:rsidRPr="00C83DA9">
        <w:rPr>
          <w:sz w:val="22"/>
          <w:szCs w:val="18"/>
          <w:lang w:val="fr-FR"/>
        </w:rPr>
        <w:t>une transformation numérique durable.</w:t>
      </w:r>
    </w:p>
    <w:p w14:paraId="3E3500CE" w14:textId="6A3D641A" w:rsidR="000F437C" w:rsidRPr="00C83DA9" w:rsidRDefault="00372A77" w:rsidP="00372A77">
      <w:pPr>
        <w:rPr>
          <w:sz w:val="22"/>
          <w:szCs w:val="18"/>
          <w:lang w:val="fr-FR"/>
        </w:rPr>
      </w:pPr>
      <w:r w:rsidRPr="00C83DA9">
        <w:rPr>
          <w:sz w:val="22"/>
          <w:szCs w:val="18"/>
          <w:lang w:val="fr-FR"/>
        </w:rPr>
        <w:t>Le présent document et ses annexes indiquent l</w:t>
      </w:r>
      <w:r w:rsidR="00456505" w:rsidRPr="00C83DA9">
        <w:rPr>
          <w:sz w:val="22"/>
          <w:szCs w:val="18"/>
          <w:lang w:val="fr-FR"/>
        </w:rPr>
        <w:t>'</w:t>
      </w:r>
      <w:r w:rsidRPr="00C83DA9">
        <w:rPr>
          <w:sz w:val="22"/>
          <w:szCs w:val="18"/>
          <w:lang w:val="fr-FR"/>
        </w:rPr>
        <w:t>état d</w:t>
      </w:r>
      <w:r w:rsidR="00456505" w:rsidRPr="00C83DA9">
        <w:rPr>
          <w:sz w:val="22"/>
          <w:szCs w:val="18"/>
          <w:lang w:val="fr-FR"/>
        </w:rPr>
        <w:t>'</w:t>
      </w:r>
      <w:r w:rsidRPr="00C83DA9">
        <w:rPr>
          <w:sz w:val="22"/>
          <w:szCs w:val="18"/>
          <w:lang w:val="fr-FR"/>
        </w:rPr>
        <w:t>avancement de la mise en œuvre du Plan</w:t>
      </w:r>
      <w:r w:rsidR="00660F02" w:rsidRPr="00C83DA9">
        <w:rPr>
          <w:sz w:val="22"/>
          <w:szCs w:val="18"/>
          <w:lang w:val="fr-FR"/>
        </w:rPr>
        <w:t> </w:t>
      </w:r>
      <w:r w:rsidRPr="00C83DA9">
        <w:rPr>
          <w:sz w:val="22"/>
          <w:szCs w:val="18"/>
          <w:lang w:val="fr-FR"/>
        </w:rPr>
        <w:t>d</w:t>
      </w:r>
      <w:r w:rsidR="00456505" w:rsidRPr="00C83DA9">
        <w:rPr>
          <w:sz w:val="22"/>
          <w:szCs w:val="18"/>
          <w:lang w:val="fr-FR"/>
        </w:rPr>
        <w:t>'</w:t>
      </w:r>
      <w:r w:rsidRPr="00C83DA9">
        <w:rPr>
          <w:sz w:val="22"/>
          <w:szCs w:val="18"/>
          <w:lang w:val="fr-FR"/>
        </w:rPr>
        <w:t>action de Kigali de 2023 à 2025 pour chaque domaine prioritaire de l</w:t>
      </w:r>
      <w:r w:rsidR="00456505" w:rsidRPr="00C83DA9">
        <w:rPr>
          <w:sz w:val="22"/>
          <w:szCs w:val="18"/>
          <w:lang w:val="fr-FR"/>
        </w:rPr>
        <w:t>'</w:t>
      </w:r>
      <w:r w:rsidRPr="00C83DA9">
        <w:rPr>
          <w:sz w:val="22"/>
          <w:szCs w:val="18"/>
          <w:lang w:val="fr-FR"/>
        </w:rPr>
        <w:t>UIT-D, y compris les activités entreprises et les produits obtenus dans le cadre de la mise en œuvre des initiatives régionales et des résolutions de la</w:t>
      </w:r>
      <w:r w:rsidR="00A10B6A" w:rsidRPr="00C83DA9">
        <w:rPr>
          <w:sz w:val="22"/>
          <w:szCs w:val="18"/>
          <w:lang w:val="fr-FR"/>
        </w:rPr>
        <w:t> </w:t>
      </w:r>
      <w:r w:rsidRPr="00C83DA9">
        <w:rPr>
          <w:sz w:val="22"/>
          <w:szCs w:val="18"/>
          <w:lang w:val="fr-FR"/>
        </w:rPr>
        <w:t>CMDT-22.</w:t>
      </w:r>
    </w:p>
    <w:p w14:paraId="5E9CBF98" w14:textId="491260B6" w:rsidR="00372A77" w:rsidRPr="00C83DA9" w:rsidRDefault="00372A77" w:rsidP="00372A77">
      <w:pPr>
        <w:rPr>
          <w:lang w:val="fr-FR"/>
        </w:rPr>
        <w:sectPr w:rsidR="00372A77" w:rsidRPr="00C83DA9" w:rsidSect="00A327AF">
          <w:headerReference w:type="default" r:id="rId26"/>
          <w:footerReference w:type="even" r:id="rId27"/>
          <w:footerReference w:type="first" r:id="rId28"/>
          <w:pgSz w:w="11907" w:h="16840" w:code="9"/>
          <w:pgMar w:top="1134" w:right="1134" w:bottom="1134" w:left="1134" w:header="720" w:footer="720" w:gutter="0"/>
          <w:paperSrc w:first="15" w:other="15"/>
          <w:pgNumType w:start="1"/>
          <w:cols w:space="720"/>
          <w:titlePg/>
          <w:docGrid w:linePitch="326"/>
        </w:sectPr>
      </w:pPr>
      <w:r w:rsidRPr="00C83DA9">
        <w:rPr>
          <w:sz w:val="22"/>
          <w:szCs w:val="18"/>
          <w:lang w:val="fr-FR"/>
        </w:rPr>
        <w:t>Ce document est complété par les documents du GCDT et des réunions préparatoires régionales (</w:t>
      </w:r>
      <w:hyperlink r:id="rId29" w:history="1">
        <w:r w:rsidRPr="00C83DA9">
          <w:rPr>
            <w:rStyle w:val="Hyperlink"/>
            <w:sz w:val="22"/>
            <w:szCs w:val="18"/>
            <w:lang w:val="fr-FR"/>
          </w:rPr>
          <w:t>TDAG</w:t>
        </w:r>
        <w:r w:rsidR="00A10B6A" w:rsidRPr="00C83DA9">
          <w:rPr>
            <w:rStyle w:val="Hyperlink"/>
            <w:sz w:val="22"/>
            <w:szCs w:val="18"/>
            <w:lang w:val="fr-FR"/>
          </w:rPr>
          <w:noBreakHyphen/>
        </w:r>
        <w:r w:rsidRPr="00C83DA9">
          <w:rPr>
            <w:rStyle w:val="Hyperlink"/>
            <w:sz w:val="22"/>
            <w:szCs w:val="18"/>
            <w:lang w:val="fr-FR"/>
          </w:rPr>
          <w:t>30/2</w:t>
        </w:r>
      </w:hyperlink>
      <w:r w:rsidRPr="00C83DA9">
        <w:rPr>
          <w:sz w:val="22"/>
          <w:szCs w:val="18"/>
          <w:lang w:val="fr-FR"/>
        </w:rPr>
        <w:t xml:space="preserve">, </w:t>
      </w:r>
      <w:hyperlink r:id="rId30" w:history="1">
        <w:r w:rsidRPr="00C83DA9">
          <w:rPr>
            <w:rStyle w:val="Hyperlink"/>
            <w:sz w:val="22"/>
            <w:szCs w:val="18"/>
            <w:lang w:val="fr-FR"/>
          </w:rPr>
          <w:t>TDAG-31/2</w:t>
        </w:r>
      </w:hyperlink>
      <w:r w:rsidRPr="00C83DA9">
        <w:rPr>
          <w:sz w:val="22"/>
          <w:szCs w:val="18"/>
          <w:lang w:val="fr-FR"/>
        </w:rPr>
        <w:t xml:space="preserve">, </w:t>
      </w:r>
      <w:hyperlink r:id="rId31" w:history="1">
        <w:r w:rsidRPr="00C83DA9">
          <w:rPr>
            <w:rStyle w:val="Hyperlink"/>
            <w:sz w:val="22"/>
            <w:szCs w:val="18"/>
            <w:lang w:val="fr-FR"/>
          </w:rPr>
          <w:t>TDAG-32/2</w:t>
        </w:r>
      </w:hyperlink>
      <w:r w:rsidRPr="00C83DA9">
        <w:rPr>
          <w:sz w:val="22"/>
          <w:szCs w:val="18"/>
          <w:lang w:val="fr-FR"/>
        </w:rPr>
        <w:t xml:space="preserve">, </w:t>
      </w:r>
      <w:hyperlink r:id="rId32" w:history="1">
        <w:r w:rsidRPr="00C83DA9">
          <w:rPr>
            <w:rStyle w:val="Hyperlink"/>
            <w:sz w:val="22"/>
            <w:szCs w:val="18"/>
            <w:lang w:val="fr-FR"/>
          </w:rPr>
          <w:t>RPMs-25/2</w:t>
        </w:r>
      </w:hyperlink>
      <w:r w:rsidRPr="00C83DA9">
        <w:rPr>
          <w:sz w:val="22"/>
          <w:szCs w:val="18"/>
          <w:lang w:val="fr-FR"/>
        </w:rPr>
        <w:t>) qui donnent des informations détaillées sur la mise en œuvre annuelle du Plan d</w:t>
      </w:r>
      <w:r w:rsidR="00456505" w:rsidRPr="00C83DA9">
        <w:rPr>
          <w:sz w:val="22"/>
          <w:szCs w:val="18"/>
          <w:lang w:val="fr-FR"/>
        </w:rPr>
        <w:t>'</w:t>
      </w:r>
      <w:r w:rsidRPr="00C83DA9">
        <w:rPr>
          <w:sz w:val="22"/>
          <w:szCs w:val="18"/>
          <w:lang w:val="fr-FR"/>
        </w:rPr>
        <w:t>action de Kigali.</w:t>
      </w:r>
    </w:p>
    <w:p w14:paraId="6CBCC2BD" w14:textId="0C71702F" w:rsidR="00372A77" w:rsidRPr="00C83DA9" w:rsidRDefault="00372A77" w:rsidP="00432970">
      <w:pPr>
        <w:pStyle w:val="Title4"/>
        <w:rPr>
          <w:sz w:val="24"/>
          <w:szCs w:val="18"/>
          <w:lang w:val="fr-FR"/>
        </w:rPr>
      </w:pPr>
      <w:bookmarkStart w:id="22" w:name="_Toc211258915"/>
      <w:bookmarkStart w:id="23" w:name="_Toc213307959"/>
      <w:r w:rsidRPr="00C83DA9">
        <w:rPr>
          <w:sz w:val="24"/>
          <w:szCs w:val="18"/>
          <w:lang w:val="fr-FR"/>
        </w:rPr>
        <w:lastRenderedPageBreak/>
        <w:t>Rapport</w:t>
      </w:r>
      <w:bookmarkEnd w:id="22"/>
      <w:bookmarkEnd w:id="23"/>
    </w:p>
    <w:p w14:paraId="2087BF3A" w14:textId="515DAE50" w:rsidR="00372A77" w:rsidRPr="00C83DA9" w:rsidRDefault="00372A77" w:rsidP="0009498B">
      <w:pPr>
        <w:pStyle w:val="Title4"/>
        <w:spacing w:before="200"/>
        <w:rPr>
          <w:sz w:val="24"/>
          <w:szCs w:val="18"/>
          <w:lang w:val="fr-FR"/>
        </w:rPr>
      </w:pPr>
      <w:bookmarkStart w:id="24" w:name="_Toc213307960"/>
      <w:r w:rsidRPr="00C83DA9">
        <w:rPr>
          <w:sz w:val="24"/>
          <w:szCs w:val="18"/>
          <w:lang w:val="fr-FR"/>
        </w:rPr>
        <w:t>Janvier 2023</w:t>
      </w:r>
      <w:r w:rsidR="00FA4490" w:rsidRPr="00C83DA9">
        <w:rPr>
          <w:sz w:val="24"/>
          <w:szCs w:val="18"/>
          <w:lang w:val="fr-FR"/>
        </w:rPr>
        <w:t xml:space="preserve"> </w:t>
      </w:r>
      <w:r w:rsidR="000D4637" w:rsidRPr="00C83DA9">
        <w:rPr>
          <w:sz w:val="24"/>
          <w:szCs w:val="18"/>
          <w:lang w:val="fr-FR"/>
        </w:rPr>
        <w:t>–</w:t>
      </w:r>
      <w:r w:rsidR="00FA4490" w:rsidRPr="00C83DA9">
        <w:rPr>
          <w:sz w:val="24"/>
          <w:szCs w:val="18"/>
          <w:lang w:val="fr-FR"/>
        </w:rPr>
        <w:t xml:space="preserve"> </w:t>
      </w:r>
      <w:r w:rsidRPr="00C83DA9">
        <w:rPr>
          <w:sz w:val="24"/>
          <w:szCs w:val="18"/>
          <w:lang w:val="fr-FR"/>
        </w:rPr>
        <w:t>Août 2025</w:t>
      </w:r>
      <w:bookmarkEnd w:id="24"/>
    </w:p>
    <w:p w14:paraId="13DD47CA" w14:textId="77777777" w:rsidR="00F80279" w:rsidRPr="00C83DA9" w:rsidRDefault="00F80279" w:rsidP="00F80279">
      <w:pPr>
        <w:spacing w:before="0"/>
        <w:rPr>
          <w:sz w:val="4"/>
          <w:szCs w:val="2"/>
          <w:lang w:val="fr-FR"/>
        </w:rPr>
      </w:pPr>
    </w:p>
    <w:tbl>
      <w:tblPr>
        <w:tblW w:w="14868"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114"/>
        <w:gridCol w:w="9214"/>
        <w:gridCol w:w="2540"/>
      </w:tblGrid>
      <w:tr w:rsidR="00DF4DFF" w:rsidRPr="00CA734F" w14:paraId="29094679" w14:textId="77777777" w:rsidTr="006D17C7">
        <w:trPr>
          <w:trHeight w:val="300"/>
        </w:trPr>
        <w:tc>
          <w:tcPr>
            <w:tcW w:w="14868" w:type="dxa"/>
            <w:gridSpan w:val="3"/>
            <w:tcBorders>
              <w:bottom w:val="dotted" w:sz="4" w:space="0" w:color="0070C0"/>
            </w:tcBorders>
            <w:shd w:val="clear" w:color="auto" w:fill="2F5496"/>
          </w:tcPr>
          <w:p w14:paraId="66D66FF2" w14:textId="4ED52C12" w:rsidR="000726BA" w:rsidRPr="00C83DA9" w:rsidRDefault="000726BA" w:rsidP="009B2988">
            <w:pPr>
              <w:pStyle w:val="Headingb"/>
              <w:spacing w:before="40"/>
              <w:jc w:val="center"/>
              <w:rPr>
                <w:color w:val="FFFFFF" w:themeColor="background1"/>
                <w:lang w:val="fr-FR"/>
              </w:rPr>
            </w:pPr>
            <w:bookmarkStart w:id="25" w:name="_Toc213307961"/>
            <w:r w:rsidRPr="00C83DA9">
              <w:rPr>
                <w:color w:val="FFFFFF" w:themeColor="background1"/>
                <w:lang w:val="fr-FR"/>
              </w:rPr>
              <w:t>Priorité 1 de l'UIT-D: Connectivité financièrement abordable</w:t>
            </w:r>
            <w:bookmarkEnd w:id="25"/>
          </w:p>
          <w:p w14:paraId="4B918788" w14:textId="77777777" w:rsidR="000726BA" w:rsidRPr="00C83DA9" w:rsidRDefault="000726BA" w:rsidP="00DF4DFF">
            <w:pPr>
              <w:pStyle w:val="Tablehead"/>
              <w:spacing w:before="40" w:after="40"/>
              <w:rPr>
                <w:i/>
                <w:iCs/>
                <w:color w:val="FFFFFF" w:themeColor="background1"/>
                <w:lang w:val="fr-FR"/>
              </w:rPr>
            </w:pPr>
            <w:r w:rsidRPr="00C83DA9">
              <w:rPr>
                <w:i/>
                <w:iCs/>
                <w:color w:val="FFFFFF" w:themeColor="background1"/>
                <w:sz w:val="24"/>
                <w:szCs w:val="24"/>
                <w:lang w:val="fr-FR"/>
              </w:rPr>
              <w:t>Encourager le développement d'infrastructures et de services sûrs, modernes et financièrement abordables grâce aux télécommunications/TIC</w:t>
            </w:r>
          </w:p>
        </w:tc>
      </w:tr>
      <w:tr w:rsidR="000726BA" w:rsidRPr="00CA734F" w14:paraId="1D55F2AD" w14:textId="77777777" w:rsidTr="006D17C7">
        <w:trPr>
          <w:trHeight w:val="300"/>
        </w:trPr>
        <w:tc>
          <w:tcPr>
            <w:tcW w:w="14868" w:type="dxa"/>
            <w:gridSpan w:val="3"/>
            <w:shd w:val="clear" w:color="auto" w:fill="E5DFEC" w:themeFill="accent4" w:themeFillTint="33"/>
          </w:tcPr>
          <w:p w14:paraId="53F09346" w14:textId="76F16FD1" w:rsidR="000726BA" w:rsidRPr="00C83DA9" w:rsidRDefault="000726BA" w:rsidP="00B71908">
            <w:pPr>
              <w:pStyle w:val="Headingb"/>
              <w:spacing w:before="40"/>
              <w:rPr>
                <w:color w:val="0070C0"/>
                <w:lang w:val="fr-FR"/>
              </w:rPr>
            </w:pPr>
            <w:bookmarkStart w:id="26" w:name="_Toc213307962"/>
            <w:r w:rsidRPr="00C83DA9">
              <w:rPr>
                <w:color w:val="0070C0"/>
                <w:lang w:val="fr-FR"/>
              </w:rPr>
              <w:t>Télécommunications d'urgence</w:t>
            </w:r>
            <w:bookmarkEnd w:id="26"/>
          </w:p>
          <w:p w14:paraId="4F4ECE87" w14:textId="77777777" w:rsidR="000726BA" w:rsidRPr="00C83DA9" w:rsidRDefault="000726BA" w:rsidP="006D17C7">
            <w:pPr>
              <w:pStyle w:val="Tabletext"/>
              <w:rPr>
                <w:i/>
                <w:iCs/>
                <w:sz w:val="22"/>
                <w:szCs w:val="22"/>
                <w:lang w:val="fr-FR"/>
              </w:rPr>
            </w:pPr>
            <w:r w:rsidRPr="00C83DA9">
              <w:rPr>
                <w:b/>
                <w:bCs/>
                <w:i/>
                <w:iCs/>
                <w:sz w:val="24"/>
                <w:szCs w:val="24"/>
                <w:lang w:val="fr-FR"/>
              </w:rPr>
              <w:t>Réalisation</w:t>
            </w:r>
            <w:r w:rsidRPr="00C83DA9">
              <w:rPr>
                <w:i/>
                <w:iCs/>
                <w:sz w:val="24"/>
                <w:szCs w:val="24"/>
                <w:lang w:val="fr-FR"/>
              </w:rPr>
              <w:t>: renforcement de la capacité des États Membres à utiliser les télécommunications/TIC pour l'atténuation et la gestion des risques de catastrophes, pour garantir la disponibilité des télécommunications d'urgence et appuyer la coopération dans ce domaine.</w:t>
            </w:r>
          </w:p>
        </w:tc>
      </w:tr>
      <w:tr w:rsidR="000726BA" w:rsidRPr="00C83DA9" w14:paraId="387897B8" w14:textId="77777777" w:rsidTr="007F2D90">
        <w:trPr>
          <w:trHeight w:val="300"/>
        </w:trPr>
        <w:tc>
          <w:tcPr>
            <w:tcW w:w="12328" w:type="dxa"/>
            <w:gridSpan w:val="2"/>
          </w:tcPr>
          <w:p w14:paraId="37780959" w14:textId="77777777" w:rsidR="000726BA" w:rsidRPr="00C83DA9" w:rsidRDefault="000726BA" w:rsidP="006D17C7">
            <w:pPr>
              <w:pStyle w:val="Tabletext"/>
              <w:jc w:val="center"/>
              <w:rPr>
                <w:b/>
                <w:bCs/>
                <w:color w:val="0070C0"/>
                <w:sz w:val="24"/>
                <w:szCs w:val="24"/>
                <w:lang w:val="fr-FR"/>
              </w:rPr>
            </w:pPr>
            <w:r w:rsidRPr="00C83DA9">
              <w:rPr>
                <w:b/>
                <w:bCs/>
                <w:color w:val="0070C0"/>
                <w:sz w:val="24"/>
                <w:szCs w:val="24"/>
                <w:lang w:val="fr-FR"/>
              </w:rPr>
              <w:t>Produits</w:t>
            </w:r>
          </w:p>
        </w:tc>
        <w:tc>
          <w:tcPr>
            <w:tcW w:w="2540" w:type="dxa"/>
          </w:tcPr>
          <w:p w14:paraId="130B6D9B" w14:textId="77777777" w:rsidR="000726BA" w:rsidRPr="00C83DA9" w:rsidRDefault="000726BA" w:rsidP="006D17C7">
            <w:pPr>
              <w:pStyle w:val="Tabletext"/>
              <w:jc w:val="center"/>
              <w:rPr>
                <w:b/>
                <w:bCs/>
                <w:color w:val="0070C0"/>
                <w:sz w:val="24"/>
                <w:szCs w:val="24"/>
                <w:lang w:val="fr-FR"/>
              </w:rPr>
            </w:pPr>
            <w:r w:rsidRPr="00C83DA9">
              <w:rPr>
                <w:b/>
                <w:bCs/>
                <w:color w:val="0070C0"/>
                <w:sz w:val="24"/>
                <w:szCs w:val="24"/>
                <w:lang w:val="fr-FR"/>
              </w:rPr>
              <w:t>Points à retenir</w:t>
            </w:r>
          </w:p>
        </w:tc>
      </w:tr>
      <w:tr w:rsidR="00372A77" w:rsidRPr="00CA734F" w14:paraId="0D5F3504" w14:textId="77777777" w:rsidTr="007F2D90">
        <w:trPr>
          <w:trHeight w:val="1435"/>
        </w:trPr>
        <w:tc>
          <w:tcPr>
            <w:tcW w:w="12328" w:type="dxa"/>
            <w:gridSpan w:val="2"/>
          </w:tcPr>
          <w:p w14:paraId="2A4B0C11" w14:textId="7E887F4B" w:rsidR="00372A77" w:rsidRPr="00C83DA9" w:rsidRDefault="00372A77" w:rsidP="00DC1608">
            <w:pPr>
              <w:pStyle w:val="Tabletext"/>
              <w:spacing w:before="120"/>
              <w:rPr>
                <w:i/>
                <w:iCs/>
                <w:sz w:val="22"/>
                <w:szCs w:val="22"/>
                <w:lang w:val="fr-FR"/>
              </w:rPr>
            </w:pPr>
            <w:r w:rsidRPr="00C83DA9">
              <w:rPr>
                <w:sz w:val="22"/>
                <w:szCs w:val="22"/>
                <w:lang w:val="fr-FR"/>
              </w:rPr>
              <w:t>Entre 2023 et 2025, le BDT a dirigé les efforts déployés à l</w:t>
            </w:r>
            <w:r w:rsidR="00456505" w:rsidRPr="00C83DA9">
              <w:rPr>
                <w:sz w:val="22"/>
                <w:szCs w:val="22"/>
                <w:lang w:val="fr-FR"/>
              </w:rPr>
              <w:t>'</w:t>
            </w:r>
            <w:r w:rsidRPr="00C83DA9">
              <w:rPr>
                <w:sz w:val="22"/>
                <w:szCs w:val="22"/>
                <w:lang w:val="fr-FR"/>
              </w:rPr>
              <w:t>échelle mondiale pour renforcer les télécommunications d</w:t>
            </w:r>
            <w:r w:rsidR="00456505" w:rsidRPr="00C83DA9">
              <w:rPr>
                <w:sz w:val="22"/>
                <w:szCs w:val="22"/>
                <w:lang w:val="fr-FR"/>
              </w:rPr>
              <w:t>'</w:t>
            </w:r>
            <w:r w:rsidRPr="00C83DA9">
              <w:rPr>
                <w:sz w:val="22"/>
                <w:szCs w:val="22"/>
                <w:lang w:val="fr-FR"/>
              </w:rPr>
              <w:t xml:space="preserve">urgence, conformément à </w:t>
            </w:r>
            <w:hyperlink r:id="rId33" w:anchor=":~:text=Early%20Warnings%20for%20All%20is,by%20the%20end%20of%202027" w:history="1">
              <w:r w:rsidR="0034264F" w:rsidRPr="00C83DA9">
                <w:rPr>
                  <w:rStyle w:val="Hyperlink"/>
                  <w:sz w:val="22"/>
                  <w:szCs w:val="22"/>
                  <w:lang w:val="fr-FR"/>
                </w:rPr>
                <w:t>l'Initiative Alertes précoces pour tous (EW4All) du Secrétaire général de l'ONU</w:t>
              </w:r>
            </w:hyperlink>
            <w:r w:rsidRPr="00C83DA9">
              <w:rPr>
                <w:sz w:val="22"/>
                <w:szCs w:val="22"/>
                <w:lang w:val="fr-FR"/>
              </w:rPr>
              <w:t>, qui vise à garantir une couverture universelle en matière d</w:t>
            </w:r>
            <w:r w:rsidR="00456505" w:rsidRPr="00C83DA9">
              <w:rPr>
                <w:sz w:val="22"/>
                <w:szCs w:val="22"/>
                <w:lang w:val="fr-FR"/>
              </w:rPr>
              <w:t>'</w:t>
            </w:r>
            <w:r w:rsidRPr="00C83DA9">
              <w:rPr>
                <w:sz w:val="22"/>
                <w:szCs w:val="22"/>
                <w:lang w:val="fr-FR"/>
              </w:rPr>
              <w:t>alerte avancée d</w:t>
            </w:r>
            <w:r w:rsidR="00456505" w:rsidRPr="00C83DA9">
              <w:rPr>
                <w:sz w:val="22"/>
                <w:szCs w:val="22"/>
                <w:lang w:val="fr-FR"/>
              </w:rPr>
              <w:t>'</w:t>
            </w:r>
            <w:r w:rsidRPr="00C83DA9">
              <w:rPr>
                <w:sz w:val="22"/>
                <w:szCs w:val="22"/>
                <w:lang w:val="fr-FR"/>
              </w:rPr>
              <w:t>ici à 2027. En s</w:t>
            </w:r>
            <w:r w:rsidR="00456505" w:rsidRPr="00C83DA9">
              <w:rPr>
                <w:sz w:val="22"/>
                <w:szCs w:val="22"/>
                <w:lang w:val="fr-FR"/>
              </w:rPr>
              <w:t>'</w:t>
            </w:r>
            <w:r w:rsidRPr="00C83DA9">
              <w:rPr>
                <w:sz w:val="22"/>
                <w:szCs w:val="22"/>
                <w:lang w:val="fr-FR"/>
              </w:rPr>
              <w:t>appuyant sur quatre priorités, à savoir le suivi de la connectivité en temps réel, l</w:t>
            </w:r>
            <w:r w:rsidR="00456505" w:rsidRPr="00C83DA9">
              <w:rPr>
                <w:sz w:val="22"/>
                <w:szCs w:val="22"/>
                <w:lang w:val="fr-FR"/>
              </w:rPr>
              <w:t>'</w:t>
            </w:r>
            <w:r w:rsidRPr="00C83DA9">
              <w:rPr>
                <w:sz w:val="22"/>
                <w:szCs w:val="22"/>
                <w:lang w:val="fr-FR"/>
              </w:rPr>
              <w:t>amélioration des systèmes d</w:t>
            </w:r>
            <w:r w:rsidR="00456505" w:rsidRPr="00C83DA9">
              <w:rPr>
                <w:sz w:val="22"/>
                <w:szCs w:val="22"/>
                <w:lang w:val="fr-FR"/>
              </w:rPr>
              <w:t>'</w:t>
            </w:r>
            <w:r w:rsidRPr="00C83DA9">
              <w:rPr>
                <w:sz w:val="22"/>
                <w:szCs w:val="22"/>
                <w:lang w:val="fr-FR"/>
              </w:rPr>
              <w:t>alerte avancée, l</w:t>
            </w:r>
            <w:r w:rsidR="00456505" w:rsidRPr="00C83DA9">
              <w:rPr>
                <w:sz w:val="22"/>
                <w:szCs w:val="22"/>
                <w:lang w:val="fr-FR"/>
              </w:rPr>
              <w:t>'</w:t>
            </w:r>
            <w:r w:rsidRPr="00C83DA9">
              <w:rPr>
                <w:sz w:val="22"/>
                <w:szCs w:val="22"/>
                <w:lang w:val="fr-FR"/>
              </w:rPr>
              <w:t>élaboration de plans nationaux pour les télécommunications d</w:t>
            </w:r>
            <w:r w:rsidR="00456505" w:rsidRPr="00C83DA9">
              <w:rPr>
                <w:sz w:val="22"/>
                <w:szCs w:val="22"/>
                <w:lang w:val="fr-FR"/>
              </w:rPr>
              <w:t>'</w:t>
            </w:r>
            <w:r w:rsidRPr="00C83DA9">
              <w:rPr>
                <w:sz w:val="22"/>
                <w:szCs w:val="22"/>
                <w:lang w:val="fr-FR"/>
              </w:rPr>
              <w:t>urgence (NETP) et le renforcement de la résilience régionale, le BDT a œuvré dans les régions de l</w:t>
            </w:r>
            <w:r w:rsidR="00456505" w:rsidRPr="00C83DA9">
              <w:rPr>
                <w:sz w:val="22"/>
                <w:szCs w:val="22"/>
                <w:lang w:val="fr-FR"/>
              </w:rPr>
              <w:t>'</w:t>
            </w:r>
            <w:r w:rsidRPr="00C83DA9">
              <w:rPr>
                <w:sz w:val="22"/>
                <w:szCs w:val="22"/>
                <w:lang w:val="fr-FR"/>
              </w:rPr>
              <w:t>Afrique, des Amériques, des États arabes, de l</w:t>
            </w:r>
            <w:r w:rsidR="00456505" w:rsidRPr="00C83DA9">
              <w:rPr>
                <w:sz w:val="22"/>
                <w:szCs w:val="22"/>
                <w:lang w:val="fr-FR"/>
              </w:rPr>
              <w:t>'</w:t>
            </w:r>
            <w:r w:rsidRPr="00C83DA9">
              <w:rPr>
                <w:sz w:val="22"/>
                <w:szCs w:val="22"/>
                <w:lang w:val="fr-FR"/>
              </w:rPr>
              <w:t>Asie</w:t>
            </w:r>
            <w:r w:rsidR="00DF47CA" w:rsidRPr="00C83DA9">
              <w:rPr>
                <w:sz w:val="22"/>
                <w:szCs w:val="22"/>
                <w:lang w:val="fr-FR"/>
              </w:rPr>
              <w:noBreakHyphen/>
            </w:r>
            <w:r w:rsidRPr="00C83DA9">
              <w:rPr>
                <w:sz w:val="22"/>
                <w:szCs w:val="22"/>
                <w:lang w:val="fr-FR"/>
              </w:rPr>
              <w:t>Pacifique, de la Communauté des États indépendants et de l</w:t>
            </w:r>
            <w:r w:rsidR="00456505" w:rsidRPr="00C83DA9">
              <w:rPr>
                <w:sz w:val="22"/>
                <w:szCs w:val="22"/>
                <w:lang w:val="fr-FR"/>
              </w:rPr>
              <w:t>'</w:t>
            </w:r>
            <w:r w:rsidRPr="00C83DA9">
              <w:rPr>
                <w:sz w:val="22"/>
                <w:szCs w:val="22"/>
                <w:lang w:val="fr-FR"/>
              </w:rPr>
              <w:t xml:space="preserve">Europe pour jeter des bases plus fiables et inclusives pour la préparation aux catastrophes. Les produits et services déployés dans les différentes régions ont contribué à la mise en œuvre de la Résolution </w:t>
            </w:r>
            <w:hyperlink r:id="rId34" w:history="1">
              <w:r w:rsidRPr="00C83DA9">
                <w:rPr>
                  <w:rStyle w:val="Hyperlink"/>
                  <w:sz w:val="22"/>
                  <w:szCs w:val="22"/>
                  <w:lang w:val="fr-FR"/>
                </w:rPr>
                <w:t>34 (Rév. Kigali, 2022)</w:t>
              </w:r>
            </w:hyperlink>
            <w:r w:rsidRPr="00C83DA9">
              <w:rPr>
                <w:sz w:val="22"/>
                <w:szCs w:val="22"/>
                <w:lang w:val="fr-FR"/>
              </w:rPr>
              <w:t xml:space="preserve"> de la CMDT-22 sur le </w:t>
            </w:r>
            <w:r w:rsidRPr="00C83DA9">
              <w:rPr>
                <w:i/>
                <w:iCs/>
                <w:sz w:val="22"/>
                <w:szCs w:val="22"/>
                <w:lang w:val="fr-FR"/>
              </w:rPr>
              <w:t>rôle des télécommunications/technologies de l</w:t>
            </w:r>
            <w:r w:rsidR="00456505" w:rsidRPr="00C83DA9">
              <w:rPr>
                <w:i/>
                <w:iCs/>
                <w:sz w:val="22"/>
                <w:szCs w:val="22"/>
                <w:lang w:val="fr-FR"/>
              </w:rPr>
              <w:t>'</w:t>
            </w:r>
            <w:r w:rsidRPr="00C83DA9">
              <w:rPr>
                <w:i/>
                <w:iCs/>
                <w:sz w:val="22"/>
                <w:szCs w:val="22"/>
                <w:lang w:val="fr-FR"/>
              </w:rPr>
              <w:t>information et de la communication dans la préparation en prévision des catastrophes, l</w:t>
            </w:r>
            <w:r w:rsidR="00456505" w:rsidRPr="00C83DA9">
              <w:rPr>
                <w:i/>
                <w:iCs/>
                <w:sz w:val="22"/>
                <w:szCs w:val="22"/>
                <w:lang w:val="fr-FR"/>
              </w:rPr>
              <w:t>'</w:t>
            </w:r>
            <w:r w:rsidRPr="00C83DA9">
              <w:rPr>
                <w:i/>
                <w:iCs/>
                <w:sz w:val="22"/>
                <w:szCs w:val="22"/>
                <w:lang w:val="fr-FR"/>
              </w:rPr>
              <w:t>alerte avancée, l</w:t>
            </w:r>
            <w:r w:rsidR="00456505" w:rsidRPr="00C83DA9">
              <w:rPr>
                <w:i/>
                <w:iCs/>
                <w:sz w:val="22"/>
                <w:szCs w:val="22"/>
                <w:lang w:val="fr-FR"/>
              </w:rPr>
              <w:t>'</w:t>
            </w:r>
            <w:r w:rsidRPr="00C83DA9">
              <w:rPr>
                <w:i/>
                <w:iCs/>
                <w:sz w:val="22"/>
                <w:szCs w:val="22"/>
                <w:lang w:val="fr-FR"/>
              </w:rPr>
              <w:t>atténuation des effets des catastrophes, les interventions et les opérations de secours et de sauvetage</w:t>
            </w:r>
            <w:r w:rsidRPr="00C83DA9">
              <w:rPr>
                <w:sz w:val="22"/>
                <w:szCs w:val="22"/>
                <w:lang w:val="fr-FR"/>
              </w:rPr>
              <w:t>.</w:t>
            </w:r>
            <w:hyperlink r:id="rId35" w:anchor=":~:text=Early%20Warnings%20for%20All%20is,by%20the%20end%20of%202027" w:history="1"/>
            <w:hyperlink r:id="rId36" w:history="1"/>
          </w:p>
          <w:p w14:paraId="45E046AD" w14:textId="7A47BAF5" w:rsidR="00372A77" w:rsidRPr="00C83DA9" w:rsidRDefault="00372A77" w:rsidP="00DC1608">
            <w:pPr>
              <w:pStyle w:val="Tabletext"/>
              <w:spacing w:before="120"/>
              <w:rPr>
                <w:sz w:val="22"/>
                <w:szCs w:val="22"/>
                <w:lang w:val="fr-FR"/>
              </w:rPr>
            </w:pPr>
            <w:r w:rsidRPr="00C83DA9">
              <w:rPr>
                <w:sz w:val="22"/>
                <w:szCs w:val="22"/>
                <w:lang w:val="fr-FR"/>
              </w:rPr>
              <w:t xml:space="preserve">À partir de 2023, la </w:t>
            </w:r>
            <w:hyperlink r:id="rId37" w:history="1">
              <w:r w:rsidRPr="00C83DA9">
                <w:rPr>
                  <w:rStyle w:val="Hyperlink"/>
                  <w:sz w:val="22"/>
                  <w:szCs w:val="22"/>
                  <w:lang w:val="fr-FR"/>
                </w:rPr>
                <w:t>carte de connectivité en cas de catastrophe (DCM)</w:t>
              </w:r>
            </w:hyperlink>
            <w:r w:rsidRPr="00C83DA9">
              <w:rPr>
                <w:sz w:val="22"/>
                <w:szCs w:val="22"/>
                <w:lang w:val="fr-FR"/>
              </w:rPr>
              <w:t>, qui fournit des informations en temps réel sur la résilience des réseaux dans les situations d</w:t>
            </w:r>
            <w:r w:rsidR="00456505" w:rsidRPr="00C83DA9">
              <w:rPr>
                <w:sz w:val="22"/>
                <w:szCs w:val="22"/>
                <w:lang w:val="fr-FR"/>
              </w:rPr>
              <w:t>'</w:t>
            </w:r>
            <w:r w:rsidRPr="00C83DA9">
              <w:rPr>
                <w:sz w:val="22"/>
                <w:szCs w:val="22"/>
                <w:lang w:val="fr-FR"/>
              </w:rPr>
              <w:t xml:space="preserve">urgence, a permis de soutenir le rétablissement après le tremblement de terre survenu </w:t>
            </w:r>
            <w:r w:rsidRPr="00C83DA9">
              <w:rPr>
                <w:b/>
                <w:bCs/>
                <w:sz w:val="22"/>
                <w:szCs w:val="22"/>
                <w:lang w:val="fr-FR"/>
              </w:rPr>
              <w:t>entre la Türkiye et la Syrie,</w:t>
            </w:r>
            <w:r w:rsidRPr="00C83DA9">
              <w:rPr>
                <w:sz w:val="22"/>
                <w:szCs w:val="22"/>
                <w:lang w:val="fr-FR"/>
              </w:rPr>
              <w:t xml:space="preserve"> grâce à un suivi des améliorations de la couverture du réseau, qui sont passées de 79% à plus de 90% pendant la période de rétablissement après la catastrophe, ce qui a facilité la prise de décisions par les organismes de rétablissement des réseaux partenaires. En 2023, la carte DCM a été utilisée pour suivre la forte baisse du service cellulaire lorsque les cyclones Judy et Kevin ont frappé le </w:t>
            </w:r>
            <w:r w:rsidRPr="00C83DA9">
              <w:rPr>
                <w:b/>
                <w:bCs/>
                <w:sz w:val="22"/>
                <w:szCs w:val="22"/>
                <w:lang w:val="fr-FR"/>
              </w:rPr>
              <w:t>Vanuatu</w:t>
            </w:r>
            <w:r w:rsidRPr="00C83DA9">
              <w:rPr>
                <w:sz w:val="22"/>
                <w:szCs w:val="22"/>
                <w:lang w:val="fr-FR"/>
              </w:rPr>
              <w:t>, où la couverture a chuté jusqu</w:t>
            </w:r>
            <w:r w:rsidR="00456505" w:rsidRPr="00C83DA9">
              <w:rPr>
                <w:sz w:val="22"/>
                <w:szCs w:val="22"/>
                <w:lang w:val="fr-FR"/>
              </w:rPr>
              <w:t>'</w:t>
            </w:r>
            <w:r w:rsidRPr="00C83DA9">
              <w:rPr>
                <w:sz w:val="22"/>
                <w:szCs w:val="22"/>
                <w:lang w:val="fr-FR"/>
              </w:rPr>
              <w:t xml:space="preserve">à 36% avant le début du rétablissement, en mars. En 2024 et 2025, la carte DCM a de nouveau été activée pour les cyclones Filipo et Chido au </w:t>
            </w:r>
            <w:r w:rsidRPr="00C83DA9">
              <w:rPr>
                <w:b/>
                <w:bCs/>
                <w:sz w:val="22"/>
                <w:szCs w:val="22"/>
                <w:lang w:val="fr-FR"/>
              </w:rPr>
              <w:t>Mozambique</w:t>
            </w:r>
            <w:r w:rsidRPr="00C83DA9">
              <w:rPr>
                <w:sz w:val="22"/>
                <w:szCs w:val="22"/>
                <w:lang w:val="fr-FR"/>
              </w:rPr>
              <w:t xml:space="preserve">, le cyclone Gamane à </w:t>
            </w:r>
            <w:r w:rsidRPr="00C83DA9">
              <w:rPr>
                <w:b/>
                <w:bCs/>
                <w:sz w:val="22"/>
                <w:szCs w:val="22"/>
                <w:lang w:val="fr-FR"/>
              </w:rPr>
              <w:t>Madagascar</w:t>
            </w:r>
            <w:r w:rsidRPr="00C83DA9">
              <w:rPr>
                <w:sz w:val="22"/>
                <w:szCs w:val="22"/>
                <w:lang w:val="fr-FR"/>
              </w:rPr>
              <w:t xml:space="preserve">, le cyclone Hidaya en </w:t>
            </w:r>
            <w:r w:rsidRPr="00C83DA9">
              <w:rPr>
                <w:b/>
                <w:bCs/>
                <w:sz w:val="22"/>
                <w:szCs w:val="22"/>
                <w:lang w:val="fr-FR"/>
              </w:rPr>
              <w:t>Afrique de l</w:t>
            </w:r>
            <w:r w:rsidR="00456505" w:rsidRPr="00C83DA9">
              <w:rPr>
                <w:b/>
                <w:bCs/>
                <w:sz w:val="22"/>
                <w:szCs w:val="22"/>
                <w:lang w:val="fr-FR"/>
              </w:rPr>
              <w:t>'</w:t>
            </w:r>
            <w:r w:rsidRPr="00C83DA9">
              <w:rPr>
                <w:b/>
                <w:bCs/>
                <w:sz w:val="22"/>
                <w:szCs w:val="22"/>
                <w:lang w:val="fr-FR"/>
              </w:rPr>
              <w:t>Est</w:t>
            </w:r>
            <w:r w:rsidRPr="00C83DA9">
              <w:rPr>
                <w:sz w:val="22"/>
                <w:szCs w:val="22"/>
                <w:lang w:val="fr-FR"/>
              </w:rPr>
              <w:t xml:space="preserve"> et le cyclone Beryl dans les </w:t>
            </w:r>
            <w:r w:rsidRPr="00C83DA9">
              <w:rPr>
                <w:b/>
                <w:bCs/>
                <w:sz w:val="22"/>
                <w:szCs w:val="22"/>
                <w:lang w:val="fr-FR"/>
              </w:rPr>
              <w:t>Caraïbes</w:t>
            </w:r>
            <w:r w:rsidRPr="00C83DA9">
              <w:rPr>
                <w:sz w:val="22"/>
                <w:szCs w:val="22"/>
                <w:lang w:val="fr-FR"/>
              </w:rPr>
              <w:t>. La carte DCM a également été activée pour les inondations qu</w:t>
            </w:r>
            <w:r w:rsidR="00456505" w:rsidRPr="00C83DA9">
              <w:rPr>
                <w:sz w:val="22"/>
                <w:szCs w:val="22"/>
                <w:lang w:val="fr-FR"/>
              </w:rPr>
              <w:t>'</w:t>
            </w:r>
            <w:r w:rsidRPr="00C83DA9">
              <w:rPr>
                <w:sz w:val="22"/>
                <w:szCs w:val="22"/>
                <w:lang w:val="fr-FR"/>
              </w:rPr>
              <w:t xml:space="preserve">a connu le </w:t>
            </w:r>
            <w:r w:rsidRPr="00C83DA9">
              <w:rPr>
                <w:b/>
                <w:bCs/>
                <w:sz w:val="22"/>
                <w:szCs w:val="22"/>
                <w:lang w:val="fr-FR"/>
              </w:rPr>
              <w:t>Pakistan</w:t>
            </w:r>
            <w:r w:rsidRPr="00C83DA9">
              <w:rPr>
                <w:sz w:val="22"/>
                <w:szCs w:val="22"/>
                <w:lang w:val="fr-FR"/>
              </w:rPr>
              <w:t xml:space="preserve"> et pour les tremblements de terre de magnitude 7,7 et 7,3 qui sont survenus au </w:t>
            </w:r>
            <w:r w:rsidRPr="00C83DA9">
              <w:rPr>
                <w:b/>
                <w:bCs/>
                <w:sz w:val="22"/>
                <w:szCs w:val="22"/>
                <w:lang w:val="fr-FR"/>
              </w:rPr>
              <w:t xml:space="preserve">Myanmar </w:t>
            </w:r>
            <w:r w:rsidRPr="00C83DA9">
              <w:rPr>
                <w:sz w:val="22"/>
                <w:szCs w:val="22"/>
                <w:lang w:val="fr-FR"/>
              </w:rPr>
              <w:t>et en</w:t>
            </w:r>
            <w:r w:rsidRPr="00C83DA9">
              <w:rPr>
                <w:b/>
                <w:bCs/>
                <w:sz w:val="22"/>
                <w:szCs w:val="22"/>
                <w:lang w:val="fr-FR"/>
              </w:rPr>
              <w:t xml:space="preserve"> Thaïlande</w:t>
            </w:r>
            <w:r w:rsidRPr="00C83DA9">
              <w:rPr>
                <w:sz w:val="22"/>
                <w:szCs w:val="22"/>
                <w:lang w:val="fr-FR"/>
              </w:rPr>
              <w:t>. Sur la base de ces données d</w:t>
            </w:r>
            <w:r w:rsidR="00456505" w:rsidRPr="00C83DA9">
              <w:rPr>
                <w:sz w:val="22"/>
                <w:szCs w:val="22"/>
                <w:lang w:val="fr-FR"/>
              </w:rPr>
              <w:t>'</w:t>
            </w:r>
            <w:r w:rsidRPr="00C83DA9">
              <w:rPr>
                <w:sz w:val="22"/>
                <w:szCs w:val="22"/>
                <w:lang w:val="fr-FR"/>
              </w:rPr>
              <w:t xml:space="preserve">expérience, la carte DCM a évolué pour devenir la </w:t>
            </w:r>
            <w:hyperlink r:id="rId38" w:history="1">
              <w:r w:rsidRPr="00C83DA9">
                <w:rPr>
                  <w:rStyle w:val="Hyperlink"/>
                  <w:sz w:val="22"/>
                  <w:szCs w:val="22"/>
                  <w:lang w:val="fr-FR"/>
                </w:rPr>
                <w:t>carte de connectivité pour l</w:t>
              </w:r>
              <w:r w:rsidR="00456505" w:rsidRPr="00C83DA9">
                <w:rPr>
                  <w:rStyle w:val="Hyperlink"/>
                  <w:sz w:val="22"/>
                  <w:szCs w:val="22"/>
                  <w:lang w:val="fr-FR"/>
                </w:rPr>
                <w:t>'</w:t>
              </w:r>
              <w:r w:rsidRPr="00C83DA9">
                <w:rPr>
                  <w:rStyle w:val="Hyperlink"/>
                  <w:sz w:val="22"/>
                  <w:szCs w:val="22"/>
                  <w:lang w:val="fr-FR"/>
                </w:rPr>
                <w:t>alerte avancée (EWCM)</w:t>
              </w:r>
            </w:hyperlink>
            <w:r w:rsidRPr="00C83DA9">
              <w:rPr>
                <w:sz w:val="22"/>
                <w:szCs w:val="22"/>
                <w:lang w:val="fr-FR"/>
              </w:rPr>
              <w:t>, un outil fondé sur l</w:t>
            </w:r>
            <w:r w:rsidR="00456505" w:rsidRPr="00C83DA9">
              <w:rPr>
                <w:sz w:val="22"/>
                <w:szCs w:val="22"/>
                <w:lang w:val="fr-FR"/>
              </w:rPr>
              <w:t>'</w:t>
            </w:r>
            <w:r w:rsidRPr="00C83DA9">
              <w:rPr>
                <w:sz w:val="22"/>
                <w:szCs w:val="22"/>
                <w:lang w:val="fr-FR"/>
              </w:rPr>
              <w:t>intelligence artificielle (IA) et développé en collaboration avec Microsoft AI for Good Lab, Planet et l</w:t>
            </w:r>
            <w:r w:rsidR="00456505" w:rsidRPr="00C83DA9">
              <w:rPr>
                <w:sz w:val="22"/>
                <w:szCs w:val="22"/>
                <w:lang w:val="fr-FR"/>
              </w:rPr>
              <w:t>'</w:t>
            </w:r>
            <w:r w:rsidRPr="00C83DA9">
              <w:rPr>
                <w:sz w:val="22"/>
                <w:szCs w:val="22"/>
                <w:lang w:val="fr-FR"/>
              </w:rPr>
              <w:t>Institute for Health Metrics and Evaluation de l</w:t>
            </w:r>
            <w:r w:rsidR="00456505" w:rsidRPr="00C83DA9">
              <w:rPr>
                <w:sz w:val="22"/>
                <w:szCs w:val="22"/>
                <w:lang w:val="fr-FR"/>
              </w:rPr>
              <w:t>'</w:t>
            </w:r>
            <w:r w:rsidRPr="00C83DA9">
              <w:rPr>
                <w:sz w:val="22"/>
                <w:szCs w:val="22"/>
                <w:lang w:val="fr-FR"/>
              </w:rPr>
              <w:t>Université de Washington. Cet outil permet de visualiser les zones de couvertures, le nombre de personnes couvertes, et les "zones blanches", où les populations ne peuvent pas bénéficier des alertes mobiles. Au cours des trois dernières années, 33 pays ont été cartographiés à l</w:t>
            </w:r>
            <w:r w:rsidR="00456505" w:rsidRPr="00C83DA9">
              <w:rPr>
                <w:sz w:val="22"/>
                <w:szCs w:val="22"/>
                <w:lang w:val="fr-FR"/>
              </w:rPr>
              <w:t>'</w:t>
            </w:r>
            <w:r w:rsidRPr="00C83DA9">
              <w:rPr>
                <w:sz w:val="22"/>
                <w:szCs w:val="22"/>
                <w:lang w:val="fr-FR"/>
              </w:rPr>
              <w:t>aide de cet outil.</w:t>
            </w:r>
            <w:hyperlink r:id="rId39"/>
            <w:hyperlink r:id="rId40"/>
          </w:p>
          <w:p w14:paraId="64F00F66" w14:textId="6C47C92E" w:rsidR="00372A77" w:rsidRPr="00C83DA9" w:rsidRDefault="00372A77" w:rsidP="00DC1608">
            <w:pPr>
              <w:pStyle w:val="Tabletext"/>
              <w:spacing w:before="120"/>
              <w:rPr>
                <w:sz w:val="22"/>
                <w:szCs w:val="22"/>
                <w:lang w:val="fr-FR"/>
              </w:rPr>
            </w:pPr>
            <w:r w:rsidRPr="00C83DA9">
              <w:rPr>
                <w:sz w:val="22"/>
                <w:szCs w:val="22"/>
                <w:lang w:val="fr-FR"/>
              </w:rPr>
              <w:lastRenderedPageBreak/>
              <w:t xml:space="preserve">En tant que chef de file au niveau mondial pour le </w:t>
            </w:r>
            <w:hyperlink r:id="rId41" w:history="1">
              <w:r w:rsidR="00763EDA" w:rsidRPr="00C83DA9">
                <w:rPr>
                  <w:rStyle w:val="Hyperlink"/>
                  <w:sz w:val="22"/>
                  <w:szCs w:val="22"/>
                  <w:lang w:val="fr-FR"/>
                </w:rPr>
                <w:t>Pilier 3 de l'Initiative EW4All</w:t>
              </w:r>
            </w:hyperlink>
            <w:r w:rsidRPr="00C83DA9">
              <w:rPr>
                <w:sz w:val="22"/>
                <w:szCs w:val="22"/>
                <w:lang w:val="fr-FR"/>
              </w:rPr>
              <w:t xml:space="preserve"> (Diffusion et communication des alertes en cas d</w:t>
            </w:r>
            <w:r w:rsidR="00456505" w:rsidRPr="00C83DA9">
              <w:rPr>
                <w:sz w:val="22"/>
                <w:szCs w:val="22"/>
                <w:lang w:val="fr-FR"/>
              </w:rPr>
              <w:t>'</w:t>
            </w:r>
            <w:r w:rsidRPr="00C83DA9">
              <w:rPr>
                <w:sz w:val="22"/>
                <w:szCs w:val="22"/>
                <w:lang w:val="fr-FR"/>
              </w:rPr>
              <w:t xml:space="preserve">urgence), le BDT a intensifié ses efforts de renforcement des capacités, en organisant plus de 30 ateliers nationaux et régionaux, notamment en </w:t>
            </w:r>
            <w:r w:rsidRPr="00C83DA9">
              <w:rPr>
                <w:b/>
                <w:bCs/>
                <w:sz w:val="22"/>
                <w:szCs w:val="22"/>
                <w:lang w:val="fr-FR"/>
              </w:rPr>
              <w:t>Tanzanie</w:t>
            </w:r>
            <w:r w:rsidRPr="00C83DA9">
              <w:rPr>
                <w:sz w:val="22"/>
                <w:szCs w:val="22"/>
                <w:lang w:val="fr-FR"/>
              </w:rPr>
              <w:t>, aux</w:t>
            </w:r>
            <w:r w:rsidRPr="00C83DA9">
              <w:rPr>
                <w:b/>
                <w:bCs/>
                <w:sz w:val="22"/>
                <w:szCs w:val="22"/>
                <w:lang w:val="fr-FR"/>
              </w:rPr>
              <w:t xml:space="preserve"> Seychelles</w:t>
            </w:r>
            <w:r w:rsidRPr="00C83DA9">
              <w:rPr>
                <w:sz w:val="22"/>
                <w:szCs w:val="22"/>
                <w:lang w:val="fr-FR"/>
              </w:rPr>
              <w:t>, en</w:t>
            </w:r>
            <w:r w:rsidRPr="00C83DA9">
              <w:rPr>
                <w:b/>
                <w:bCs/>
                <w:sz w:val="22"/>
                <w:szCs w:val="22"/>
                <w:lang w:val="fr-FR"/>
              </w:rPr>
              <w:t xml:space="preserve"> République sudafricaine</w:t>
            </w:r>
            <w:r w:rsidRPr="00C83DA9">
              <w:rPr>
                <w:sz w:val="22"/>
                <w:szCs w:val="22"/>
                <w:lang w:val="fr-FR"/>
              </w:rPr>
              <w:t>, au</w:t>
            </w:r>
            <w:r w:rsidRPr="00C83DA9">
              <w:rPr>
                <w:b/>
                <w:bCs/>
                <w:sz w:val="22"/>
                <w:szCs w:val="22"/>
                <w:lang w:val="fr-FR"/>
              </w:rPr>
              <w:t xml:space="preserve"> Kenya</w:t>
            </w:r>
            <w:r w:rsidRPr="00C83DA9">
              <w:rPr>
                <w:sz w:val="22"/>
                <w:szCs w:val="22"/>
                <w:lang w:val="fr-FR"/>
              </w:rPr>
              <w:t>, au</w:t>
            </w:r>
            <w:r w:rsidRPr="00C83DA9">
              <w:rPr>
                <w:b/>
                <w:bCs/>
                <w:sz w:val="22"/>
                <w:szCs w:val="22"/>
                <w:lang w:val="fr-FR"/>
              </w:rPr>
              <w:t xml:space="preserve"> Bangladesh</w:t>
            </w:r>
            <w:r w:rsidRPr="00C83DA9">
              <w:rPr>
                <w:sz w:val="22"/>
                <w:szCs w:val="22"/>
                <w:lang w:val="fr-FR"/>
              </w:rPr>
              <w:t>, au</w:t>
            </w:r>
            <w:r w:rsidRPr="00C83DA9">
              <w:rPr>
                <w:b/>
                <w:bCs/>
                <w:sz w:val="22"/>
                <w:szCs w:val="22"/>
                <w:lang w:val="fr-FR"/>
              </w:rPr>
              <w:t xml:space="preserve"> Népal</w:t>
            </w:r>
            <w:r w:rsidRPr="00C83DA9">
              <w:rPr>
                <w:sz w:val="22"/>
                <w:szCs w:val="22"/>
                <w:lang w:val="fr-FR"/>
              </w:rPr>
              <w:t>, au</w:t>
            </w:r>
            <w:r w:rsidRPr="00C83DA9">
              <w:rPr>
                <w:b/>
                <w:bCs/>
                <w:sz w:val="22"/>
                <w:szCs w:val="22"/>
                <w:lang w:val="fr-FR"/>
              </w:rPr>
              <w:t xml:space="preserve"> Ghana</w:t>
            </w:r>
            <w:r w:rsidRPr="00C83DA9">
              <w:rPr>
                <w:sz w:val="22"/>
                <w:szCs w:val="22"/>
                <w:lang w:val="fr-FR"/>
              </w:rPr>
              <w:t>, en</w:t>
            </w:r>
            <w:r w:rsidRPr="00C83DA9">
              <w:rPr>
                <w:b/>
                <w:bCs/>
                <w:sz w:val="22"/>
                <w:szCs w:val="22"/>
                <w:lang w:val="fr-FR"/>
              </w:rPr>
              <w:t xml:space="preserve"> Haïti</w:t>
            </w:r>
            <w:r w:rsidRPr="00C83DA9">
              <w:rPr>
                <w:sz w:val="22"/>
                <w:szCs w:val="22"/>
                <w:lang w:val="fr-FR"/>
              </w:rPr>
              <w:t>, au</w:t>
            </w:r>
            <w:r w:rsidRPr="00C83DA9">
              <w:rPr>
                <w:b/>
                <w:bCs/>
                <w:sz w:val="22"/>
                <w:szCs w:val="22"/>
                <w:lang w:val="fr-FR"/>
              </w:rPr>
              <w:t xml:space="preserve"> Lao (R.d.p.)</w:t>
            </w:r>
            <w:r w:rsidRPr="00C83DA9">
              <w:rPr>
                <w:sz w:val="22"/>
                <w:szCs w:val="22"/>
                <w:lang w:val="fr-FR"/>
              </w:rPr>
              <w:t xml:space="preserve"> et à </w:t>
            </w:r>
            <w:r w:rsidRPr="00C83DA9">
              <w:rPr>
                <w:b/>
                <w:bCs/>
                <w:sz w:val="22"/>
                <w:szCs w:val="22"/>
                <w:lang w:val="fr-FR"/>
              </w:rPr>
              <w:t>Kiribati</w:t>
            </w:r>
            <w:r w:rsidRPr="00C83DA9">
              <w:rPr>
                <w:sz w:val="22"/>
                <w:szCs w:val="22"/>
                <w:lang w:val="fr-FR"/>
              </w:rPr>
              <w:t>. Ces sessions ont favorisé l</w:t>
            </w:r>
            <w:r w:rsidR="00456505" w:rsidRPr="00C83DA9">
              <w:rPr>
                <w:sz w:val="22"/>
                <w:szCs w:val="22"/>
                <w:lang w:val="fr-FR"/>
              </w:rPr>
              <w:t>'</w:t>
            </w:r>
            <w:r w:rsidRPr="00C83DA9">
              <w:rPr>
                <w:sz w:val="22"/>
                <w:szCs w:val="22"/>
                <w:lang w:val="fr-FR"/>
              </w:rPr>
              <w:t xml:space="preserve">adoption </w:t>
            </w:r>
            <w:hyperlink r:id="rId42" w:history="1">
              <w:r w:rsidRPr="00C83DA9">
                <w:rPr>
                  <w:rStyle w:val="Hyperlink"/>
                  <w:sz w:val="22"/>
                  <w:szCs w:val="22"/>
                  <w:lang w:val="fr-FR"/>
                </w:rPr>
                <w:t>du protocole d</w:t>
              </w:r>
              <w:r w:rsidR="00456505" w:rsidRPr="00C83DA9">
                <w:rPr>
                  <w:rStyle w:val="Hyperlink"/>
                  <w:sz w:val="22"/>
                  <w:szCs w:val="22"/>
                  <w:lang w:val="fr-FR"/>
                </w:rPr>
                <w:t>'</w:t>
              </w:r>
              <w:r w:rsidRPr="00C83DA9">
                <w:rPr>
                  <w:rStyle w:val="Hyperlink"/>
                  <w:sz w:val="22"/>
                  <w:szCs w:val="22"/>
                  <w:lang w:val="fr-FR"/>
                </w:rPr>
                <w:t>alerte commun (CAP)</w:t>
              </w:r>
            </w:hyperlink>
            <w:r w:rsidRPr="00C83DA9">
              <w:rPr>
                <w:sz w:val="22"/>
                <w:szCs w:val="22"/>
                <w:lang w:val="fr-FR"/>
              </w:rPr>
              <w:t xml:space="preserve"> et de la technologie de diffusion cellulaire (CB) et ont guidé les feuilles de route nationales sur les systèmes d</w:t>
            </w:r>
            <w:r w:rsidR="00456505" w:rsidRPr="00C83DA9">
              <w:rPr>
                <w:sz w:val="22"/>
                <w:szCs w:val="22"/>
                <w:lang w:val="fr-FR"/>
              </w:rPr>
              <w:t>'</w:t>
            </w:r>
            <w:r w:rsidRPr="00C83DA9">
              <w:rPr>
                <w:sz w:val="22"/>
                <w:szCs w:val="22"/>
                <w:lang w:val="fr-FR"/>
              </w:rPr>
              <w:t>alerte avancée. Les efforts de renforcement des capacités ont permis de débloquer un financement de 15 millions USD du Programme des Nations Unies pour le développement (PNUD), du Bureau des Nations Unies pour la prévention des catastrophes (UNDRR), de l</w:t>
            </w:r>
            <w:r w:rsidR="00456505" w:rsidRPr="00C83DA9">
              <w:rPr>
                <w:sz w:val="22"/>
                <w:szCs w:val="22"/>
                <w:lang w:val="fr-FR"/>
              </w:rPr>
              <w:t>'</w:t>
            </w:r>
            <w:r w:rsidRPr="00C83DA9">
              <w:rPr>
                <w:sz w:val="22"/>
                <w:szCs w:val="22"/>
                <w:lang w:val="fr-FR"/>
              </w:rPr>
              <w:t>Organisation météorologique mondiale (OMM) et de la Banque mondiale lors de la COP28, en 2024. En 2025, le BDT a œuvré en faveur de l</w:t>
            </w:r>
            <w:r w:rsidR="00456505" w:rsidRPr="00C83DA9">
              <w:rPr>
                <w:sz w:val="22"/>
                <w:szCs w:val="22"/>
                <w:lang w:val="fr-FR"/>
              </w:rPr>
              <w:t>'</w:t>
            </w:r>
            <w:r w:rsidRPr="00C83DA9">
              <w:rPr>
                <w:sz w:val="22"/>
                <w:szCs w:val="22"/>
                <w:lang w:val="fr-FR"/>
              </w:rPr>
              <w:t>innovation grâce au Défi de l</w:t>
            </w:r>
            <w:r w:rsidR="00456505" w:rsidRPr="00C83DA9">
              <w:rPr>
                <w:sz w:val="22"/>
                <w:szCs w:val="22"/>
                <w:lang w:val="fr-FR"/>
              </w:rPr>
              <w:t>'</w:t>
            </w:r>
            <w:r w:rsidRPr="00C83DA9">
              <w:rPr>
                <w:sz w:val="22"/>
                <w:szCs w:val="22"/>
                <w:lang w:val="fr-FR"/>
              </w:rPr>
              <w:t>innovation "AI for EW4All" (l</w:t>
            </w:r>
            <w:r w:rsidR="00456505" w:rsidRPr="00C83DA9">
              <w:rPr>
                <w:sz w:val="22"/>
                <w:szCs w:val="22"/>
                <w:lang w:val="fr-FR"/>
              </w:rPr>
              <w:t>'</w:t>
            </w:r>
            <w:r w:rsidRPr="00C83DA9">
              <w:rPr>
                <w:sz w:val="22"/>
                <w:szCs w:val="22"/>
                <w:lang w:val="fr-FR"/>
              </w:rPr>
              <w:t>intelligence artificielle au service de l</w:t>
            </w:r>
            <w:r w:rsidR="00456505" w:rsidRPr="00C83DA9">
              <w:rPr>
                <w:sz w:val="22"/>
                <w:szCs w:val="22"/>
                <w:lang w:val="fr-FR"/>
              </w:rPr>
              <w:t>'</w:t>
            </w:r>
            <w:r w:rsidRPr="00C83DA9">
              <w:rPr>
                <w:sz w:val="22"/>
                <w:szCs w:val="22"/>
                <w:lang w:val="fr-FR"/>
              </w:rPr>
              <w:t>alerte précoce pour tous) et au Catalogue de solutions d</w:t>
            </w:r>
            <w:r w:rsidR="00456505" w:rsidRPr="00C83DA9">
              <w:rPr>
                <w:sz w:val="22"/>
                <w:szCs w:val="22"/>
                <w:lang w:val="fr-FR"/>
              </w:rPr>
              <w:t>'</w:t>
            </w:r>
            <w:r w:rsidRPr="00C83DA9">
              <w:rPr>
                <w:sz w:val="22"/>
                <w:szCs w:val="22"/>
                <w:lang w:val="fr-FR"/>
              </w:rPr>
              <w:t>intelligence artificielle, élaborés en collaboration avec Google, le Microsoft AI for Good Lab et le Groupe sur l</w:t>
            </w:r>
            <w:r w:rsidR="00456505" w:rsidRPr="00C83DA9">
              <w:rPr>
                <w:sz w:val="22"/>
                <w:szCs w:val="22"/>
                <w:lang w:val="fr-FR"/>
              </w:rPr>
              <w:t>'</w:t>
            </w:r>
            <w:r w:rsidRPr="00C83DA9">
              <w:rPr>
                <w:sz w:val="22"/>
                <w:szCs w:val="22"/>
                <w:lang w:val="fr-FR"/>
              </w:rPr>
              <w:t xml:space="preserve">observation de la Terre (GEO). Le BDT coordonne également le </w:t>
            </w:r>
            <w:hyperlink r:id="rId43" w:history="1">
              <w:r w:rsidR="004D3425" w:rsidRPr="00C83DA9">
                <w:rPr>
                  <w:rStyle w:val="Hyperlink"/>
                  <w:sz w:val="22"/>
                  <w:szCs w:val="22"/>
                  <w:lang w:val="fr-FR"/>
                </w:rPr>
                <w:t>S</w:t>
              </w:r>
              <w:r w:rsidRPr="00C83DA9">
                <w:rPr>
                  <w:rStyle w:val="Hyperlink"/>
                  <w:sz w:val="22"/>
                  <w:szCs w:val="22"/>
                  <w:lang w:val="fr-FR"/>
                </w:rPr>
                <w:t>ous-groupe EW4All sur l</w:t>
              </w:r>
              <w:r w:rsidR="00456505" w:rsidRPr="00C83DA9">
                <w:rPr>
                  <w:rStyle w:val="Hyperlink"/>
                  <w:sz w:val="22"/>
                  <w:szCs w:val="22"/>
                  <w:lang w:val="fr-FR"/>
                </w:rPr>
                <w:t>'</w:t>
              </w:r>
              <w:r w:rsidRPr="00C83DA9">
                <w:rPr>
                  <w:rStyle w:val="Hyperlink"/>
                  <w:sz w:val="22"/>
                  <w:szCs w:val="22"/>
                  <w:lang w:val="fr-FR"/>
                </w:rPr>
                <w:t>intelli</w:t>
              </w:r>
              <w:r w:rsidRPr="00C83DA9">
                <w:rPr>
                  <w:rStyle w:val="Hyperlink"/>
                  <w:sz w:val="22"/>
                  <w:szCs w:val="22"/>
                  <w:lang w:val="fr-FR"/>
                </w:rPr>
                <w:t>g</w:t>
              </w:r>
              <w:r w:rsidRPr="00C83DA9">
                <w:rPr>
                  <w:rStyle w:val="Hyperlink"/>
                  <w:sz w:val="22"/>
                  <w:szCs w:val="22"/>
                  <w:lang w:val="fr-FR"/>
                </w:rPr>
                <w:t>ence artificielle</w:t>
              </w:r>
            </w:hyperlink>
            <w:r w:rsidRPr="00C83DA9">
              <w:rPr>
                <w:sz w:val="22"/>
                <w:szCs w:val="22"/>
                <w:lang w:val="fr-FR"/>
              </w:rPr>
              <w:t xml:space="preserve">, qui compte plus de 130 membres des secteurs public et privé, et organise chaque mois des </w:t>
            </w:r>
            <w:hyperlink r:id="rId44" w:history="1">
              <w:r w:rsidR="00EC0E1A" w:rsidRPr="00C83DA9">
                <w:rPr>
                  <w:rStyle w:val="Hyperlink"/>
                  <w:sz w:val="22"/>
                  <w:szCs w:val="22"/>
                  <w:lang w:val="fr-FR"/>
                </w:rPr>
                <w:t>p</w:t>
              </w:r>
              <w:r w:rsidRPr="00C83DA9">
                <w:rPr>
                  <w:rStyle w:val="Hyperlink"/>
                  <w:sz w:val="22"/>
                  <w:szCs w:val="22"/>
                  <w:lang w:val="fr-FR"/>
                </w:rPr>
                <w:t>résentations de solutions IA</w:t>
              </w:r>
            </w:hyperlink>
            <w:r w:rsidRPr="00C83DA9">
              <w:rPr>
                <w:sz w:val="22"/>
                <w:szCs w:val="22"/>
                <w:lang w:val="fr-FR"/>
              </w:rPr>
              <w:t>, qui visent à développer les solutions grâce à des projets pilotes nationaux.</w:t>
            </w:r>
            <w:hyperlink r:id="rId45"/>
            <w:hyperlink r:id="rId46"/>
            <w:hyperlink r:id="rId47"/>
            <w:hyperlink r:id="rId48"/>
          </w:p>
          <w:p w14:paraId="52CACCC5" w14:textId="5CD04CB0" w:rsidR="00372A77" w:rsidRPr="00C83DA9" w:rsidRDefault="00372A77" w:rsidP="00DC1608">
            <w:pPr>
              <w:pStyle w:val="Tabletext"/>
              <w:spacing w:before="120"/>
              <w:rPr>
                <w:sz w:val="22"/>
                <w:szCs w:val="22"/>
                <w:lang w:val="fr-FR"/>
              </w:rPr>
            </w:pPr>
            <w:r w:rsidRPr="00C83DA9">
              <w:rPr>
                <w:sz w:val="22"/>
                <w:szCs w:val="22"/>
                <w:lang w:val="fr-FR"/>
              </w:rPr>
              <w:t xml:space="preserve">Les progrès réalisés dans le cadre des </w:t>
            </w:r>
            <w:hyperlink r:id="rId49" w:history="1">
              <w:r w:rsidRPr="00C83DA9">
                <w:rPr>
                  <w:rStyle w:val="Hyperlink"/>
                  <w:sz w:val="22"/>
                  <w:szCs w:val="22"/>
                  <w:lang w:val="fr-FR"/>
                </w:rPr>
                <w:t>plans NETP</w:t>
              </w:r>
            </w:hyperlink>
            <w:r w:rsidRPr="00C83DA9">
              <w:rPr>
                <w:sz w:val="22"/>
                <w:szCs w:val="22"/>
                <w:lang w:val="fr-FR"/>
              </w:rPr>
              <w:t xml:space="preserve"> ont encore renforcé la résilience nationale dans le monde entier. De 2023 à</w:t>
            </w:r>
            <w:r w:rsidR="00763EDA" w:rsidRPr="00C83DA9">
              <w:rPr>
                <w:sz w:val="22"/>
                <w:szCs w:val="22"/>
                <w:lang w:val="fr-FR"/>
              </w:rPr>
              <w:t> </w:t>
            </w:r>
            <w:r w:rsidRPr="00C83DA9">
              <w:rPr>
                <w:sz w:val="22"/>
                <w:szCs w:val="22"/>
                <w:lang w:val="fr-FR"/>
              </w:rPr>
              <w:t>2025, le</w:t>
            </w:r>
            <w:r w:rsidR="004D3425" w:rsidRPr="00C83DA9">
              <w:rPr>
                <w:sz w:val="22"/>
                <w:szCs w:val="22"/>
                <w:lang w:val="fr-FR"/>
              </w:rPr>
              <w:t> </w:t>
            </w:r>
            <w:r w:rsidRPr="00C83DA9">
              <w:rPr>
                <w:sz w:val="22"/>
                <w:szCs w:val="22"/>
                <w:lang w:val="fr-FR"/>
              </w:rPr>
              <w:t>BDT a aidé 25 pays à élaborer et à mettre en œuvre des plans NETP. Un jalon important a été l</w:t>
            </w:r>
            <w:r w:rsidR="00456505" w:rsidRPr="00C83DA9">
              <w:rPr>
                <w:sz w:val="22"/>
                <w:szCs w:val="22"/>
                <w:lang w:val="fr-FR"/>
              </w:rPr>
              <w:t>'</w:t>
            </w:r>
            <w:r w:rsidRPr="00C83DA9">
              <w:rPr>
                <w:sz w:val="22"/>
                <w:szCs w:val="22"/>
                <w:lang w:val="fr-FR"/>
              </w:rPr>
              <w:t>élaboration du modèle de plan NETP de la Communauté de développement de l</w:t>
            </w:r>
            <w:r w:rsidR="00456505" w:rsidRPr="00C83DA9">
              <w:rPr>
                <w:sz w:val="22"/>
                <w:szCs w:val="22"/>
                <w:lang w:val="fr-FR"/>
              </w:rPr>
              <w:t>'</w:t>
            </w:r>
            <w:r w:rsidRPr="00C83DA9">
              <w:rPr>
                <w:sz w:val="22"/>
                <w:szCs w:val="22"/>
                <w:lang w:val="fr-FR"/>
              </w:rPr>
              <w:t>Afrique australe (SADC), qui comprend 16 pays d</w:t>
            </w:r>
            <w:r w:rsidR="00456505" w:rsidRPr="00C83DA9">
              <w:rPr>
                <w:sz w:val="22"/>
                <w:szCs w:val="22"/>
                <w:lang w:val="fr-FR"/>
              </w:rPr>
              <w:t>'</w:t>
            </w:r>
            <w:r w:rsidRPr="00C83DA9">
              <w:rPr>
                <w:sz w:val="22"/>
                <w:szCs w:val="22"/>
                <w:lang w:val="fr-FR"/>
              </w:rPr>
              <w:t xml:space="preserve">Afrique australe, dont le </w:t>
            </w:r>
            <w:r w:rsidRPr="00C83DA9">
              <w:rPr>
                <w:b/>
                <w:bCs/>
                <w:sz w:val="22"/>
                <w:szCs w:val="22"/>
                <w:lang w:val="fr-FR"/>
              </w:rPr>
              <w:t>Malawi</w:t>
            </w:r>
            <w:r w:rsidRPr="00C83DA9">
              <w:rPr>
                <w:sz w:val="22"/>
                <w:szCs w:val="22"/>
                <w:lang w:val="fr-FR"/>
              </w:rPr>
              <w:t>, la</w:t>
            </w:r>
            <w:r w:rsidR="00EC0E1A" w:rsidRPr="00C83DA9">
              <w:rPr>
                <w:b/>
                <w:bCs/>
                <w:sz w:val="22"/>
                <w:szCs w:val="22"/>
                <w:lang w:val="fr-FR"/>
              </w:rPr>
              <w:t> </w:t>
            </w:r>
            <w:r w:rsidRPr="00C83DA9">
              <w:rPr>
                <w:b/>
                <w:bCs/>
                <w:sz w:val="22"/>
                <w:szCs w:val="22"/>
                <w:lang w:val="fr-FR"/>
              </w:rPr>
              <w:t>Zambie</w:t>
            </w:r>
            <w:r w:rsidRPr="00C83DA9">
              <w:rPr>
                <w:sz w:val="22"/>
                <w:szCs w:val="22"/>
                <w:lang w:val="fr-FR"/>
              </w:rPr>
              <w:t xml:space="preserve">, le </w:t>
            </w:r>
            <w:r w:rsidRPr="00C83DA9">
              <w:rPr>
                <w:b/>
                <w:bCs/>
                <w:sz w:val="22"/>
                <w:szCs w:val="22"/>
                <w:lang w:val="fr-FR"/>
              </w:rPr>
              <w:t>Botswana</w:t>
            </w:r>
            <w:r w:rsidRPr="00C83DA9">
              <w:rPr>
                <w:sz w:val="22"/>
                <w:szCs w:val="22"/>
                <w:lang w:val="fr-FR"/>
              </w:rPr>
              <w:t>, le</w:t>
            </w:r>
            <w:r w:rsidRPr="00C83DA9">
              <w:rPr>
                <w:b/>
                <w:bCs/>
                <w:sz w:val="22"/>
                <w:szCs w:val="22"/>
                <w:lang w:val="fr-FR"/>
              </w:rPr>
              <w:t xml:space="preserve"> Rwanda</w:t>
            </w:r>
            <w:r w:rsidRPr="00C83DA9">
              <w:rPr>
                <w:sz w:val="22"/>
                <w:szCs w:val="22"/>
                <w:lang w:val="fr-FR"/>
              </w:rPr>
              <w:t xml:space="preserve">, </w:t>
            </w:r>
            <w:r w:rsidRPr="00C83DA9">
              <w:rPr>
                <w:b/>
                <w:bCs/>
                <w:sz w:val="22"/>
                <w:szCs w:val="22"/>
                <w:lang w:val="fr-FR"/>
              </w:rPr>
              <w:t>Madagascar</w:t>
            </w:r>
            <w:r w:rsidRPr="00C83DA9">
              <w:rPr>
                <w:sz w:val="22"/>
                <w:szCs w:val="22"/>
                <w:lang w:val="fr-FR"/>
              </w:rPr>
              <w:t>, la</w:t>
            </w:r>
            <w:r w:rsidRPr="00C83DA9">
              <w:rPr>
                <w:b/>
                <w:bCs/>
                <w:sz w:val="22"/>
                <w:szCs w:val="22"/>
                <w:lang w:val="fr-FR"/>
              </w:rPr>
              <w:t xml:space="preserve"> Tanzanie</w:t>
            </w:r>
            <w:r w:rsidRPr="00C83DA9">
              <w:rPr>
                <w:sz w:val="22"/>
                <w:szCs w:val="22"/>
                <w:lang w:val="fr-FR"/>
              </w:rPr>
              <w:t>, la</w:t>
            </w:r>
            <w:r w:rsidRPr="00C83DA9">
              <w:rPr>
                <w:b/>
                <w:bCs/>
                <w:sz w:val="22"/>
                <w:szCs w:val="22"/>
                <w:lang w:val="fr-FR"/>
              </w:rPr>
              <w:t xml:space="preserve"> Namibie</w:t>
            </w:r>
            <w:r w:rsidRPr="00C83DA9">
              <w:rPr>
                <w:sz w:val="22"/>
                <w:szCs w:val="22"/>
                <w:lang w:val="fr-FR"/>
              </w:rPr>
              <w:t xml:space="preserve"> et les </w:t>
            </w:r>
            <w:r w:rsidRPr="00C83DA9">
              <w:rPr>
                <w:b/>
                <w:bCs/>
                <w:sz w:val="22"/>
                <w:szCs w:val="22"/>
                <w:lang w:val="fr-FR"/>
              </w:rPr>
              <w:t>Seychelles</w:t>
            </w:r>
            <w:r w:rsidRPr="00C83DA9">
              <w:rPr>
                <w:sz w:val="22"/>
                <w:szCs w:val="22"/>
                <w:lang w:val="fr-FR"/>
              </w:rPr>
              <w:t>, où des plans NETP adaptés ont été élaborés. D</w:t>
            </w:r>
            <w:r w:rsidR="00456505" w:rsidRPr="00C83DA9">
              <w:rPr>
                <w:sz w:val="22"/>
                <w:szCs w:val="22"/>
                <w:lang w:val="fr-FR"/>
              </w:rPr>
              <w:t>'</w:t>
            </w:r>
            <w:r w:rsidRPr="00C83DA9">
              <w:rPr>
                <w:sz w:val="22"/>
                <w:szCs w:val="22"/>
                <w:lang w:val="fr-FR"/>
              </w:rPr>
              <w:t xml:space="preserve">autres plans personnalisés ont été établis à </w:t>
            </w:r>
            <w:r w:rsidRPr="00C83DA9">
              <w:rPr>
                <w:b/>
                <w:bCs/>
                <w:sz w:val="22"/>
                <w:szCs w:val="22"/>
                <w:lang w:val="fr-FR"/>
              </w:rPr>
              <w:t>Djibouti</w:t>
            </w:r>
            <w:r w:rsidRPr="00C83DA9">
              <w:rPr>
                <w:sz w:val="22"/>
                <w:szCs w:val="22"/>
                <w:lang w:val="fr-FR"/>
              </w:rPr>
              <w:t>, aux</w:t>
            </w:r>
            <w:r w:rsidRPr="00C83DA9">
              <w:rPr>
                <w:b/>
                <w:bCs/>
                <w:sz w:val="22"/>
                <w:szCs w:val="22"/>
                <w:lang w:val="fr-FR"/>
              </w:rPr>
              <w:t xml:space="preserve"> Comores</w:t>
            </w:r>
            <w:r w:rsidRPr="00C83DA9">
              <w:rPr>
                <w:sz w:val="22"/>
                <w:szCs w:val="22"/>
                <w:lang w:val="fr-FR"/>
              </w:rPr>
              <w:t>, en</w:t>
            </w:r>
            <w:r w:rsidRPr="00C83DA9">
              <w:rPr>
                <w:b/>
                <w:bCs/>
                <w:sz w:val="22"/>
                <w:szCs w:val="22"/>
                <w:lang w:val="fr-FR"/>
              </w:rPr>
              <w:t xml:space="preserve"> Mauritanie</w:t>
            </w:r>
            <w:r w:rsidRPr="00C83DA9">
              <w:rPr>
                <w:sz w:val="22"/>
                <w:szCs w:val="22"/>
                <w:lang w:val="fr-FR"/>
              </w:rPr>
              <w:t xml:space="preserve"> et en </w:t>
            </w:r>
            <w:r w:rsidRPr="00C83DA9">
              <w:rPr>
                <w:b/>
                <w:bCs/>
                <w:sz w:val="22"/>
                <w:szCs w:val="22"/>
                <w:lang w:val="fr-FR"/>
              </w:rPr>
              <w:t>Libye</w:t>
            </w:r>
            <w:r w:rsidRPr="00C83DA9">
              <w:rPr>
                <w:sz w:val="22"/>
                <w:szCs w:val="22"/>
                <w:lang w:val="fr-FR"/>
              </w:rPr>
              <w:t>, ainsi qu</w:t>
            </w:r>
            <w:r w:rsidR="00456505" w:rsidRPr="00C83DA9">
              <w:rPr>
                <w:sz w:val="22"/>
                <w:szCs w:val="22"/>
                <w:lang w:val="fr-FR"/>
              </w:rPr>
              <w:t>'</w:t>
            </w:r>
            <w:r w:rsidRPr="00C83DA9">
              <w:rPr>
                <w:sz w:val="22"/>
                <w:szCs w:val="22"/>
                <w:lang w:val="fr-FR"/>
              </w:rPr>
              <w:t xml:space="preserve">à </w:t>
            </w:r>
            <w:r w:rsidRPr="00C83DA9">
              <w:rPr>
                <w:b/>
                <w:bCs/>
                <w:sz w:val="22"/>
                <w:szCs w:val="22"/>
                <w:lang w:val="fr-FR"/>
              </w:rPr>
              <w:t>Fidji</w:t>
            </w:r>
            <w:r w:rsidRPr="00C83DA9">
              <w:rPr>
                <w:sz w:val="22"/>
                <w:szCs w:val="22"/>
                <w:lang w:val="fr-FR"/>
              </w:rPr>
              <w:t xml:space="preserve">. Les travaux se sont poursuivis en </w:t>
            </w:r>
            <w:r w:rsidRPr="00C83DA9">
              <w:rPr>
                <w:b/>
                <w:bCs/>
                <w:sz w:val="22"/>
                <w:szCs w:val="22"/>
                <w:lang w:val="fr-FR"/>
              </w:rPr>
              <w:t>Haïti</w:t>
            </w:r>
            <w:r w:rsidRPr="00C83DA9">
              <w:rPr>
                <w:sz w:val="22"/>
                <w:szCs w:val="22"/>
                <w:lang w:val="fr-FR"/>
              </w:rPr>
              <w:t>, en</w:t>
            </w:r>
            <w:r w:rsidRPr="00C83DA9">
              <w:rPr>
                <w:b/>
                <w:bCs/>
                <w:sz w:val="22"/>
                <w:szCs w:val="22"/>
                <w:lang w:val="fr-FR"/>
              </w:rPr>
              <w:t xml:space="preserve"> Jamaïque</w:t>
            </w:r>
            <w:r w:rsidRPr="00C83DA9">
              <w:rPr>
                <w:sz w:val="22"/>
                <w:szCs w:val="22"/>
                <w:lang w:val="fr-FR"/>
              </w:rPr>
              <w:t>, au</w:t>
            </w:r>
            <w:r w:rsidRPr="00C83DA9">
              <w:rPr>
                <w:b/>
                <w:bCs/>
                <w:sz w:val="22"/>
                <w:szCs w:val="22"/>
                <w:lang w:val="fr-FR"/>
              </w:rPr>
              <w:t xml:space="preserve"> Libéria</w:t>
            </w:r>
            <w:r w:rsidRPr="00C83DA9">
              <w:rPr>
                <w:sz w:val="22"/>
                <w:szCs w:val="22"/>
                <w:lang w:val="fr-FR"/>
              </w:rPr>
              <w:t>, en</w:t>
            </w:r>
            <w:r w:rsidRPr="00C83DA9">
              <w:rPr>
                <w:b/>
                <w:bCs/>
                <w:sz w:val="22"/>
                <w:szCs w:val="22"/>
                <w:lang w:val="fr-FR"/>
              </w:rPr>
              <w:t xml:space="preserve"> Guinée-Bissau</w:t>
            </w:r>
            <w:r w:rsidRPr="00C83DA9">
              <w:rPr>
                <w:sz w:val="22"/>
                <w:szCs w:val="22"/>
                <w:lang w:val="fr-FR"/>
              </w:rPr>
              <w:t>, au</w:t>
            </w:r>
            <w:r w:rsidRPr="00C83DA9">
              <w:rPr>
                <w:b/>
                <w:bCs/>
                <w:sz w:val="22"/>
                <w:szCs w:val="22"/>
                <w:lang w:val="fr-FR"/>
              </w:rPr>
              <w:t xml:space="preserve"> Sénégal</w:t>
            </w:r>
            <w:r w:rsidRPr="00C83DA9">
              <w:rPr>
                <w:sz w:val="22"/>
                <w:szCs w:val="22"/>
                <w:lang w:val="fr-FR"/>
              </w:rPr>
              <w:t>, en</w:t>
            </w:r>
            <w:r w:rsidRPr="00C83DA9">
              <w:rPr>
                <w:b/>
                <w:bCs/>
                <w:sz w:val="22"/>
                <w:szCs w:val="22"/>
                <w:lang w:val="fr-FR"/>
              </w:rPr>
              <w:t xml:space="preserve"> Guinée</w:t>
            </w:r>
            <w:r w:rsidRPr="00C83DA9">
              <w:rPr>
                <w:sz w:val="22"/>
                <w:szCs w:val="22"/>
                <w:lang w:val="fr-FR"/>
              </w:rPr>
              <w:t xml:space="preserve">, en </w:t>
            </w:r>
            <w:r w:rsidRPr="00C83DA9">
              <w:rPr>
                <w:b/>
                <w:bCs/>
                <w:sz w:val="22"/>
                <w:szCs w:val="22"/>
                <w:lang w:val="fr-FR"/>
              </w:rPr>
              <w:t>Gambie</w:t>
            </w:r>
            <w:r w:rsidRPr="00C83DA9">
              <w:rPr>
                <w:sz w:val="22"/>
                <w:szCs w:val="22"/>
                <w:lang w:val="fr-FR"/>
              </w:rPr>
              <w:t xml:space="preserve"> et à </w:t>
            </w:r>
            <w:r w:rsidRPr="00C83DA9">
              <w:rPr>
                <w:b/>
                <w:bCs/>
                <w:sz w:val="22"/>
                <w:szCs w:val="22"/>
                <w:lang w:val="fr-FR"/>
              </w:rPr>
              <w:t>Cabo</w:t>
            </w:r>
            <w:r w:rsidR="00C87A2C" w:rsidRPr="00C83DA9">
              <w:rPr>
                <w:b/>
                <w:bCs/>
                <w:sz w:val="22"/>
                <w:szCs w:val="22"/>
                <w:lang w:val="fr-FR"/>
              </w:rPr>
              <w:t> </w:t>
            </w:r>
            <w:r w:rsidRPr="00C83DA9">
              <w:rPr>
                <w:b/>
                <w:bCs/>
                <w:sz w:val="22"/>
                <w:szCs w:val="22"/>
                <w:lang w:val="fr-FR"/>
              </w:rPr>
              <w:t>Verde,</w:t>
            </w:r>
            <w:r w:rsidRPr="00C83DA9">
              <w:rPr>
                <w:sz w:val="22"/>
                <w:szCs w:val="22"/>
                <w:lang w:val="fr-FR"/>
              </w:rPr>
              <w:t xml:space="preserve"> complétés par des ateliers régionaux en </w:t>
            </w:r>
            <w:r w:rsidRPr="00C83DA9">
              <w:rPr>
                <w:b/>
                <w:bCs/>
                <w:sz w:val="22"/>
                <w:szCs w:val="22"/>
                <w:lang w:val="fr-FR"/>
              </w:rPr>
              <w:t>Afrique de l</w:t>
            </w:r>
            <w:r w:rsidR="00456505" w:rsidRPr="00C83DA9">
              <w:rPr>
                <w:b/>
                <w:bCs/>
                <w:sz w:val="22"/>
                <w:szCs w:val="22"/>
                <w:lang w:val="fr-FR"/>
              </w:rPr>
              <w:t>'</w:t>
            </w:r>
            <w:r w:rsidRPr="00C83DA9">
              <w:rPr>
                <w:b/>
                <w:bCs/>
                <w:sz w:val="22"/>
                <w:szCs w:val="22"/>
                <w:lang w:val="fr-FR"/>
              </w:rPr>
              <w:t>Ouest</w:t>
            </w:r>
            <w:r w:rsidRPr="00C83DA9">
              <w:rPr>
                <w:sz w:val="22"/>
                <w:szCs w:val="22"/>
                <w:lang w:val="fr-FR"/>
              </w:rPr>
              <w:t xml:space="preserve"> et dans les </w:t>
            </w:r>
            <w:r w:rsidRPr="00C83DA9">
              <w:rPr>
                <w:b/>
                <w:bCs/>
                <w:sz w:val="22"/>
                <w:szCs w:val="22"/>
                <w:lang w:val="fr-FR"/>
              </w:rPr>
              <w:t>Caraïbes</w:t>
            </w:r>
            <w:r w:rsidRPr="00C83DA9">
              <w:rPr>
                <w:sz w:val="22"/>
                <w:szCs w:val="22"/>
                <w:lang w:val="fr-FR"/>
              </w:rPr>
              <w:t>.</w:t>
            </w:r>
            <w:hyperlink r:id="rId50"/>
          </w:p>
          <w:p w14:paraId="32BE8774" w14:textId="15F2C2C8" w:rsidR="00372A77" w:rsidRPr="00C83DA9" w:rsidRDefault="00372A77" w:rsidP="00DC1608">
            <w:pPr>
              <w:pStyle w:val="Tabletext"/>
              <w:spacing w:before="120"/>
              <w:rPr>
                <w:b/>
                <w:sz w:val="22"/>
                <w:szCs w:val="22"/>
                <w:lang w:val="fr-FR"/>
              </w:rPr>
            </w:pPr>
            <w:r w:rsidRPr="00C83DA9">
              <w:rPr>
                <w:sz w:val="22"/>
                <w:szCs w:val="22"/>
                <w:lang w:val="fr-FR"/>
              </w:rPr>
              <w:t>Pour aider les États Membres à mettre en œuvre des initiatives de télécommunications d</w:t>
            </w:r>
            <w:r w:rsidR="00456505" w:rsidRPr="00C83DA9">
              <w:rPr>
                <w:sz w:val="22"/>
                <w:szCs w:val="22"/>
                <w:lang w:val="fr-FR"/>
              </w:rPr>
              <w:t>'</w:t>
            </w:r>
            <w:r w:rsidRPr="00C83DA9">
              <w:rPr>
                <w:sz w:val="22"/>
                <w:szCs w:val="22"/>
                <w:lang w:val="fr-FR"/>
              </w:rPr>
              <w:t xml:space="preserve">urgence, le BDT a mis en œuvre des activités et fourni des produits et des services dans toutes les régions, </w:t>
            </w:r>
            <w:r w:rsidRPr="00C83DA9">
              <w:rPr>
                <w:b/>
                <w:bCs/>
                <w:sz w:val="22"/>
                <w:szCs w:val="22"/>
                <w:lang w:val="fr-FR"/>
              </w:rPr>
              <w:t>renforçant ainsi les capacités nationales en matière de planification préalable aux catastrophes et de gestion des catastrophes</w:t>
            </w:r>
            <w:r w:rsidRPr="00C83DA9">
              <w:rPr>
                <w:sz w:val="22"/>
                <w:szCs w:val="22"/>
                <w:lang w:val="fr-FR"/>
              </w:rPr>
              <w:t>.</w:t>
            </w:r>
          </w:p>
          <w:p w14:paraId="525F34D9" w14:textId="76B7F857" w:rsidR="00372A77" w:rsidRPr="00C83DA9" w:rsidRDefault="00372A77" w:rsidP="00DC1608">
            <w:pPr>
              <w:pStyle w:val="Tabletext"/>
              <w:spacing w:before="120"/>
              <w:rPr>
                <w:sz w:val="22"/>
                <w:szCs w:val="22"/>
                <w:lang w:val="fr-FR"/>
              </w:rPr>
            </w:pPr>
            <w:r w:rsidRPr="00C83DA9">
              <w:rPr>
                <w:sz w:val="22"/>
                <w:szCs w:val="22"/>
                <w:lang w:val="fr-FR"/>
              </w:rPr>
              <w:t xml:space="preserve">En </w:t>
            </w:r>
            <w:r w:rsidRPr="00C83DA9">
              <w:rPr>
                <w:b/>
                <w:bCs/>
                <w:sz w:val="22"/>
                <w:szCs w:val="22"/>
                <w:lang w:val="fr-FR"/>
              </w:rPr>
              <w:t>Afrique</w:t>
            </w:r>
            <w:r w:rsidRPr="00C83DA9">
              <w:rPr>
                <w:sz w:val="22"/>
                <w:szCs w:val="22"/>
                <w:lang w:val="fr-FR"/>
              </w:rPr>
              <w:t>, le BDT a appuyé des ateliers nationaux de consultation visant à élaborer des feuilles de route nationales pour la mise en œuvre de l</w:t>
            </w:r>
            <w:r w:rsidR="00456505" w:rsidRPr="00C83DA9">
              <w:rPr>
                <w:sz w:val="22"/>
                <w:szCs w:val="22"/>
                <w:lang w:val="fr-FR"/>
              </w:rPr>
              <w:t>'</w:t>
            </w:r>
            <w:r w:rsidRPr="00C83DA9">
              <w:rPr>
                <w:sz w:val="22"/>
                <w:szCs w:val="22"/>
                <w:lang w:val="fr-FR"/>
              </w:rPr>
              <w:t xml:space="preserve">initiative EW4All, en particulier pour le </w:t>
            </w:r>
            <w:r w:rsidR="00763EDA" w:rsidRPr="00C83DA9">
              <w:rPr>
                <w:sz w:val="22"/>
                <w:szCs w:val="22"/>
                <w:lang w:val="fr-FR"/>
              </w:rPr>
              <w:t>P</w:t>
            </w:r>
            <w:r w:rsidRPr="00C83DA9">
              <w:rPr>
                <w:sz w:val="22"/>
                <w:szCs w:val="22"/>
                <w:lang w:val="fr-FR"/>
              </w:rPr>
              <w:t>ilier 3 (Diffusion et communication d</w:t>
            </w:r>
            <w:r w:rsidR="00456505" w:rsidRPr="00C83DA9">
              <w:rPr>
                <w:sz w:val="22"/>
                <w:szCs w:val="22"/>
                <w:lang w:val="fr-FR"/>
              </w:rPr>
              <w:t>'</w:t>
            </w:r>
            <w:r w:rsidRPr="00C83DA9">
              <w:rPr>
                <w:sz w:val="22"/>
                <w:szCs w:val="22"/>
                <w:lang w:val="fr-FR"/>
              </w:rPr>
              <w:t>alertes en cas d</w:t>
            </w:r>
            <w:r w:rsidR="00456505" w:rsidRPr="00C83DA9">
              <w:rPr>
                <w:sz w:val="22"/>
                <w:szCs w:val="22"/>
                <w:lang w:val="fr-FR"/>
              </w:rPr>
              <w:t>'</w:t>
            </w:r>
            <w:r w:rsidRPr="00C83DA9">
              <w:rPr>
                <w:sz w:val="22"/>
                <w:szCs w:val="22"/>
                <w:lang w:val="fr-FR"/>
              </w:rPr>
              <w:t xml:space="preserve">urgence), au </w:t>
            </w:r>
            <w:r w:rsidRPr="00C83DA9">
              <w:rPr>
                <w:b/>
                <w:bCs/>
                <w:sz w:val="22"/>
                <w:szCs w:val="22"/>
                <w:lang w:val="fr-FR"/>
              </w:rPr>
              <w:t>Ghana</w:t>
            </w:r>
            <w:r w:rsidRPr="00C83DA9">
              <w:rPr>
                <w:sz w:val="22"/>
                <w:szCs w:val="22"/>
                <w:lang w:val="fr-FR"/>
              </w:rPr>
              <w:t>, au</w:t>
            </w:r>
            <w:r w:rsidR="004D3425" w:rsidRPr="00C83DA9">
              <w:rPr>
                <w:sz w:val="22"/>
                <w:szCs w:val="22"/>
                <w:lang w:val="fr-FR"/>
              </w:rPr>
              <w:t> </w:t>
            </w:r>
            <w:r w:rsidRPr="00C83DA9">
              <w:rPr>
                <w:b/>
                <w:bCs/>
                <w:sz w:val="22"/>
                <w:szCs w:val="22"/>
                <w:lang w:val="fr-FR"/>
              </w:rPr>
              <w:t>Libéria</w:t>
            </w:r>
            <w:r w:rsidRPr="00C83DA9">
              <w:rPr>
                <w:sz w:val="22"/>
                <w:szCs w:val="22"/>
                <w:lang w:val="fr-FR"/>
              </w:rPr>
              <w:t>, à</w:t>
            </w:r>
            <w:r w:rsidRPr="00C83DA9">
              <w:rPr>
                <w:b/>
                <w:bCs/>
                <w:sz w:val="22"/>
                <w:szCs w:val="22"/>
                <w:lang w:val="fr-FR"/>
              </w:rPr>
              <w:t xml:space="preserve"> Madagascar</w:t>
            </w:r>
            <w:r w:rsidRPr="00C83DA9">
              <w:rPr>
                <w:sz w:val="22"/>
                <w:szCs w:val="22"/>
                <w:lang w:val="fr-FR"/>
              </w:rPr>
              <w:t>, au</w:t>
            </w:r>
            <w:r w:rsidRPr="00C83DA9">
              <w:rPr>
                <w:b/>
                <w:bCs/>
                <w:sz w:val="22"/>
                <w:szCs w:val="22"/>
                <w:lang w:val="fr-FR"/>
              </w:rPr>
              <w:t xml:space="preserve"> Mozambique</w:t>
            </w:r>
            <w:r w:rsidRPr="00C83DA9">
              <w:rPr>
                <w:sz w:val="22"/>
                <w:szCs w:val="22"/>
                <w:lang w:val="fr-FR"/>
              </w:rPr>
              <w:t>, au</w:t>
            </w:r>
            <w:r w:rsidRPr="00C83DA9">
              <w:rPr>
                <w:b/>
                <w:bCs/>
                <w:sz w:val="22"/>
                <w:szCs w:val="22"/>
                <w:lang w:val="fr-FR"/>
              </w:rPr>
              <w:t xml:space="preserve"> Niger</w:t>
            </w:r>
            <w:r w:rsidRPr="00C83DA9">
              <w:rPr>
                <w:sz w:val="22"/>
                <w:szCs w:val="22"/>
                <w:lang w:val="fr-FR"/>
              </w:rPr>
              <w:t>, en</w:t>
            </w:r>
            <w:r w:rsidRPr="00C83DA9">
              <w:rPr>
                <w:b/>
                <w:bCs/>
                <w:sz w:val="22"/>
                <w:szCs w:val="22"/>
                <w:lang w:val="fr-FR"/>
              </w:rPr>
              <w:t xml:space="preserve"> Ouganda</w:t>
            </w:r>
            <w:r w:rsidRPr="00C83DA9">
              <w:rPr>
                <w:sz w:val="22"/>
                <w:szCs w:val="22"/>
                <w:lang w:val="fr-FR"/>
              </w:rPr>
              <w:t>, aux</w:t>
            </w:r>
            <w:r w:rsidRPr="00C83DA9">
              <w:rPr>
                <w:b/>
                <w:bCs/>
                <w:sz w:val="22"/>
                <w:szCs w:val="22"/>
                <w:lang w:val="fr-FR"/>
              </w:rPr>
              <w:t xml:space="preserve"> Seychelles</w:t>
            </w:r>
            <w:r w:rsidRPr="00C83DA9">
              <w:rPr>
                <w:sz w:val="22"/>
                <w:szCs w:val="22"/>
                <w:lang w:val="fr-FR"/>
              </w:rPr>
              <w:t xml:space="preserve">, à </w:t>
            </w:r>
            <w:r w:rsidRPr="00C83DA9">
              <w:rPr>
                <w:b/>
                <w:bCs/>
                <w:sz w:val="22"/>
                <w:szCs w:val="22"/>
                <w:lang w:val="fr-FR"/>
              </w:rPr>
              <w:t>Sao Tomé-et-Principe</w:t>
            </w:r>
            <w:r w:rsidRPr="00C83DA9">
              <w:rPr>
                <w:sz w:val="22"/>
                <w:szCs w:val="22"/>
                <w:lang w:val="fr-FR"/>
              </w:rPr>
              <w:t>, au</w:t>
            </w:r>
            <w:r w:rsidRPr="00C83DA9">
              <w:rPr>
                <w:b/>
                <w:bCs/>
                <w:sz w:val="22"/>
                <w:szCs w:val="22"/>
                <w:lang w:val="fr-FR"/>
              </w:rPr>
              <w:t xml:space="preserve"> Rwanda</w:t>
            </w:r>
            <w:r w:rsidRPr="00C83DA9">
              <w:rPr>
                <w:sz w:val="22"/>
                <w:szCs w:val="22"/>
                <w:lang w:val="fr-FR"/>
              </w:rPr>
              <w:t xml:space="preserve">, en </w:t>
            </w:r>
            <w:r w:rsidRPr="00C83DA9">
              <w:rPr>
                <w:b/>
                <w:bCs/>
                <w:sz w:val="22"/>
                <w:szCs w:val="22"/>
                <w:lang w:val="fr-FR"/>
              </w:rPr>
              <w:t>Tanzanie</w:t>
            </w:r>
            <w:r w:rsidRPr="00C83DA9">
              <w:rPr>
                <w:sz w:val="22"/>
                <w:szCs w:val="22"/>
                <w:lang w:val="fr-FR"/>
              </w:rPr>
              <w:t xml:space="preserve">, en </w:t>
            </w:r>
            <w:r w:rsidRPr="00C83DA9">
              <w:rPr>
                <w:b/>
                <w:bCs/>
                <w:sz w:val="22"/>
                <w:szCs w:val="22"/>
                <w:lang w:val="fr-FR"/>
              </w:rPr>
              <w:t xml:space="preserve">Gambie </w:t>
            </w:r>
            <w:r w:rsidRPr="00C83DA9">
              <w:rPr>
                <w:sz w:val="22"/>
                <w:szCs w:val="22"/>
                <w:lang w:val="fr-FR"/>
              </w:rPr>
              <w:t>et au</w:t>
            </w:r>
            <w:r w:rsidRPr="00C83DA9">
              <w:rPr>
                <w:b/>
                <w:bCs/>
                <w:sz w:val="22"/>
                <w:szCs w:val="22"/>
                <w:lang w:val="fr-FR"/>
              </w:rPr>
              <w:t xml:space="preserve"> Kenya</w:t>
            </w:r>
            <w:r w:rsidRPr="00C83DA9">
              <w:rPr>
                <w:sz w:val="22"/>
                <w:szCs w:val="22"/>
                <w:lang w:val="fr-FR"/>
              </w:rPr>
              <w:t>. L</w:t>
            </w:r>
            <w:r w:rsidR="00456505" w:rsidRPr="00C83DA9">
              <w:rPr>
                <w:sz w:val="22"/>
                <w:szCs w:val="22"/>
                <w:lang w:val="fr-FR"/>
              </w:rPr>
              <w:t>'</w:t>
            </w:r>
            <w:r w:rsidRPr="00C83DA9">
              <w:rPr>
                <w:sz w:val="22"/>
                <w:szCs w:val="22"/>
                <w:lang w:val="fr-FR"/>
              </w:rPr>
              <w:t xml:space="preserve">atelier du BDT sur le </w:t>
            </w:r>
            <w:r w:rsidR="00CA734F">
              <w:rPr>
                <w:sz w:val="22"/>
                <w:szCs w:val="22"/>
                <w:lang w:val="fr-FR"/>
              </w:rPr>
              <w:t>P</w:t>
            </w:r>
            <w:r w:rsidRPr="00C83DA9">
              <w:rPr>
                <w:sz w:val="22"/>
                <w:szCs w:val="22"/>
                <w:lang w:val="fr-FR"/>
              </w:rPr>
              <w:t>ilier 3 de l</w:t>
            </w:r>
            <w:r w:rsidR="00456505" w:rsidRPr="00C83DA9">
              <w:rPr>
                <w:sz w:val="22"/>
                <w:szCs w:val="22"/>
                <w:lang w:val="fr-FR"/>
              </w:rPr>
              <w:t>'</w:t>
            </w:r>
            <w:r w:rsidR="00CA734F">
              <w:rPr>
                <w:sz w:val="22"/>
                <w:szCs w:val="22"/>
                <w:lang w:val="fr-FR"/>
              </w:rPr>
              <w:t>I</w:t>
            </w:r>
            <w:r w:rsidRPr="00C83DA9">
              <w:rPr>
                <w:sz w:val="22"/>
                <w:szCs w:val="22"/>
                <w:lang w:val="fr-FR"/>
              </w:rPr>
              <w:t xml:space="preserve">nitiative EW4All a renforcé la capacité de </w:t>
            </w:r>
            <w:r w:rsidRPr="00C83DA9">
              <w:rPr>
                <w:b/>
                <w:bCs/>
                <w:sz w:val="22"/>
                <w:szCs w:val="22"/>
                <w:lang w:val="fr-FR"/>
              </w:rPr>
              <w:t>Madagascar</w:t>
            </w:r>
            <w:r w:rsidRPr="00C83DA9">
              <w:rPr>
                <w:sz w:val="22"/>
                <w:szCs w:val="22"/>
                <w:lang w:val="fr-FR"/>
              </w:rPr>
              <w:t xml:space="preserve"> à mettre en place la diffusion cellulaire comme moyen de communication pour les alertes d</w:t>
            </w:r>
            <w:r w:rsidR="00456505" w:rsidRPr="00C83DA9">
              <w:rPr>
                <w:sz w:val="22"/>
                <w:szCs w:val="22"/>
                <w:lang w:val="fr-FR"/>
              </w:rPr>
              <w:t>'</w:t>
            </w:r>
            <w:r w:rsidRPr="00C83DA9">
              <w:rPr>
                <w:sz w:val="22"/>
                <w:szCs w:val="22"/>
                <w:lang w:val="fr-FR"/>
              </w:rPr>
              <w:t>urgence.</w:t>
            </w:r>
          </w:p>
          <w:p w14:paraId="297B3C27" w14:textId="205897DE" w:rsidR="00372A77" w:rsidRPr="00C83DA9" w:rsidRDefault="00372A77" w:rsidP="00DC1608">
            <w:pPr>
              <w:pStyle w:val="Tabletext"/>
              <w:keepLines/>
              <w:spacing w:before="120"/>
              <w:rPr>
                <w:sz w:val="22"/>
                <w:szCs w:val="22"/>
                <w:lang w:val="fr-FR"/>
              </w:rPr>
            </w:pPr>
            <w:r w:rsidRPr="00C83DA9">
              <w:rPr>
                <w:sz w:val="22"/>
                <w:szCs w:val="22"/>
                <w:lang w:val="fr-FR"/>
              </w:rPr>
              <w:t>Le BDT a fourni une assistance technique au</w:t>
            </w:r>
            <w:r w:rsidRPr="00C83DA9">
              <w:rPr>
                <w:b/>
                <w:bCs/>
                <w:sz w:val="22"/>
                <w:szCs w:val="22"/>
                <w:lang w:val="fr-FR"/>
              </w:rPr>
              <w:t xml:space="preserve"> Mozambique</w:t>
            </w:r>
            <w:r w:rsidRPr="00C83DA9">
              <w:rPr>
                <w:sz w:val="22"/>
                <w:szCs w:val="22"/>
                <w:lang w:val="fr-FR"/>
              </w:rPr>
              <w:t>, au</w:t>
            </w:r>
            <w:r w:rsidRPr="00C83DA9">
              <w:rPr>
                <w:b/>
                <w:bCs/>
                <w:sz w:val="22"/>
                <w:szCs w:val="22"/>
                <w:lang w:val="fr-FR"/>
              </w:rPr>
              <w:t xml:space="preserve"> Libéria</w:t>
            </w:r>
            <w:r w:rsidRPr="00C83DA9">
              <w:rPr>
                <w:sz w:val="22"/>
                <w:szCs w:val="22"/>
                <w:lang w:val="fr-FR"/>
              </w:rPr>
              <w:t xml:space="preserve"> et à la </w:t>
            </w:r>
            <w:r w:rsidRPr="00C83DA9">
              <w:rPr>
                <w:b/>
                <w:bCs/>
                <w:sz w:val="22"/>
                <w:szCs w:val="22"/>
                <w:lang w:val="fr-FR"/>
              </w:rPr>
              <w:t>Tanzanie</w:t>
            </w:r>
            <w:r w:rsidRPr="00C83DA9">
              <w:rPr>
                <w:sz w:val="22"/>
                <w:szCs w:val="22"/>
                <w:lang w:val="fr-FR"/>
              </w:rPr>
              <w:t xml:space="preserve"> pour la mise en œuvre de la feuille de route nationale et des systèmes d</w:t>
            </w:r>
            <w:r w:rsidR="00456505" w:rsidRPr="00C83DA9">
              <w:rPr>
                <w:sz w:val="22"/>
                <w:szCs w:val="22"/>
                <w:lang w:val="fr-FR"/>
              </w:rPr>
              <w:t>'</w:t>
            </w:r>
            <w:r w:rsidRPr="00C83DA9">
              <w:rPr>
                <w:sz w:val="22"/>
                <w:szCs w:val="22"/>
                <w:lang w:val="fr-FR"/>
              </w:rPr>
              <w:t xml:space="preserve">alerte avancée. Le </w:t>
            </w:r>
            <w:r w:rsidRPr="00C83DA9">
              <w:rPr>
                <w:b/>
                <w:bCs/>
                <w:sz w:val="22"/>
                <w:szCs w:val="22"/>
                <w:lang w:val="fr-FR"/>
              </w:rPr>
              <w:t>Malawi</w:t>
            </w:r>
            <w:r w:rsidRPr="00C83DA9">
              <w:rPr>
                <w:sz w:val="22"/>
                <w:szCs w:val="22"/>
                <w:lang w:val="fr-FR"/>
              </w:rPr>
              <w:t>, les</w:t>
            </w:r>
            <w:r w:rsidRPr="00C83DA9">
              <w:rPr>
                <w:b/>
                <w:bCs/>
                <w:sz w:val="22"/>
                <w:szCs w:val="22"/>
                <w:lang w:val="fr-FR"/>
              </w:rPr>
              <w:t xml:space="preserve"> Seychelles</w:t>
            </w:r>
            <w:r w:rsidRPr="00C83DA9">
              <w:rPr>
                <w:sz w:val="22"/>
                <w:szCs w:val="22"/>
                <w:lang w:val="fr-FR"/>
              </w:rPr>
              <w:t>, la</w:t>
            </w:r>
            <w:r w:rsidRPr="00C83DA9">
              <w:rPr>
                <w:b/>
                <w:bCs/>
                <w:sz w:val="22"/>
                <w:szCs w:val="22"/>
                <w:lang w:val="fr-FR"/>
              </w:rPr>
              <w:t xml:space="preserve"> Zambie</w:t>
            </w:r>
            <w:r w:rsidRPr="00C83DA9">
              <w:rPr>
                <w:sz w:val="22"/>
                <w:szCs w:val="22"/>
                <w:lang w:val="fr-FR"/>
              </w:rPr>
              <w:t xml:space="preserve"> et le </w:t>
            </w:r>
            <w:r w:rsidRPr="00C83DA9">
              <w:rPr>
                <w:b/>
                <w:bCs/>
                <w:sz w:val="22"/>
                <w:szCs w:val="22"/>
                <w:lang w:val="fr-FR"/>
              </w:rPr>
              <w:t>Botswana</w:t>
            </w:r>
            <w:r w:rsidRPr="00C83DA9">
              <w:rPr>
                <w:sz w:val="22"/>
                <w:szCs w:val="22"/>
                <w:lang w:val="fr-FR"/>
              </w:rPr>
              <w:t xml:space="preserve"> ont bénéficié d</w:t>
            </w:r>
            <w:r w:rsidR="00456505" w:rsidRPr="00C83DA9">
              <w:rPr>
                <w:sz w:val="22"/>
                <w:szCs w:val="22"/>
                <w:lang w:val="fr-FR"/>
              </w:rPr>
              <w:t>'</w:t>
            </w:r>
            <w:r w:rsidRPr="00C83DA9">
              <w:rPr>
                <w:sz w:val="22"/>
                <w:szCs w:val="22"/>
                <w:lang w:val="fr-FR"/>
              </w:rPr>
              <w:t>une assistance technique pour la mise en œuvre de la diffusion cellulaire, qui incluait une évaluation technique, économique et réglementaire pour chaque pays.</w:t>
            </w:r>
          </w:p>
          <w:p w14:paraId="77BF7D68" w14:textId="34517B53" w:rsidR="00372A77" w:rsidRPr="00C83DA9" w:rsidRDefault="00372A77" w:rsidP="00DC1608">
            <w:pPr>
              <w:pStyle w:val="Tabletext"/>
              <w:keepLines/>
              <w:spacing w:before="120"/>
              <w:rPr>
                <w:sz w:val="22"/>
                <w:szCs w:val="22"/>
                <w:lang w:val="fr-FR"/>
              </w:rPr>
            </w:pPr>
            <w:r w:rsidRPr="00C83DA9">
              <w:rPr>
                <w:sz w:val="22"/>
                <w:szCs w:val="22"/>
                <w:lang w:val="fr-FR"/>
              </w:rPr>
              <w:lastRenderedPageBreak/>
              <w:t>En collaboration avec l</w:t>
            </w:r>
            <w:r w:rsidR="00456505" w:rsidRPr="00C83DA9">
              <w:rPr>
                <w:sz w:val="22"/>
                <w:szCs w:val="22"/>
                <w:lang w:val="fr-FR"/>
              </w:rPr>
              <w:t>'</w:t>
            </w:r>
            <w:r w:rsidRPr="00C83DA9">
              <w:rPr>
                <w:b/>
                <w:bCs/>
                <w:sz w:val="22"/>
                <w:szCs w:val="22"/>
                <w:lang w:val="fr-FR"/>
              </w:rPr>
              <w:t>Union africaine des télécommunications (UAT)</w:t>
            </w:r>
            <w:r w:rsidRPr="00C83DA9">
              <w:rPr>
                <w:sz w:val="22"/>
                <w:szCs w:val="22"/>
                <w:lang w:val="fr-FR"/>
              </w:rPr>
              <w:t>, le BDT a organisé un webinaire sur l</w:t>
            </w:r>
            <w:r w:rsidR="00456505" w:rsidRPr="00C83DA9">
              <w:rPr>
                <w:sz w:val="22"/>
                <w:szCs w:val="22"/>
                <w:lang w:val="fr-FR"/>
              </w:rPr>
              <w:t>'</w:t>
            </w:r>
            <w:r w:rsidR="00C726F9" w:rsidRPr="00C83DA9">
              <w:rPr>
                <w:sz w:val="22"/>
                <w:szCs w:val="22"/>
                <w:lang w:val="fr-FR"/>
              </w:rPr>
              <w:t>I</w:t>
            </w:r>
            <w:r w:rsidRPr="00C83DA9">
              <w:rPr>
                <w:sz w:val="22"/>
                <w:szCs w:val="22"/>
                <w:lang w:val="fr-FR"/>
              </w:rPr>
              <w:t xml:space="preserve">nitiative EW4All, qui a permis de mieux faire connaître celle-ci, de favoriser une compréhension approfondie du </w:t>
            </w:r>
            <w:r w:rsidR="00C726F9" w:rsidRPr="00C83DA9">
              <w:rPr>
                <w:sz w:val="22"/>
                <w:szCs w:val="22"/>
                <w:lang w:val="fr-FR"/>
              </w:rPr>
              <w:t>P</w:t>
            </w:r>
            <w:r w:rsidRPr="00C83DA9">
              <w:rPr>
                <w:sz w:val="22"/>
                <w:szCs w:val="22"/>
                <w:lang w:val="fr-FR"/>
              </w:rPr>
              <w:t>ilier 3, pour lequel l</w:t>
            </w:r>
            <w:r w:rsidR="00456505" w:rsidRPr="00C83DA9">
              <w:rPr>
                <w:sz w:val="22"/>
                <w:szCs w:val="22"/>
                <w:lang w:val="fr-FR"/>
              </w:rPr>
              <w:t>'</w:t>
            </w:r>
            <w:r w:rsidRPr="00C83DA9">
              <w:rPr>
                <w:sz w:val="22"/>
                <w:szCs w:val="22"/>
                <w:lang w:val="fr-FR"/>
              </w:rPr>
              <w:t>UIT fait fonction de chef de file, et de fournir aux participants les connaissances et les outils nécessaires pour mettre en œuvre des systèmes d</w:t>
            </w:r>
            <w:r w:rsidR="00456505" w:rsidRPr="00C83DA9">
              <w:rPr>
                <w:sz w:val="22"/>
                <w:szCs w:val="22"/>
                <w:lang w:val="fr-FR"/>
              </w:rPr>
              <w:t>'</w:t>
            </w:r>
            <w:r w:rsidRPr="00C83DA9">
              <w:rPr>
                <w:sz w:val="22"/>
                <w:szCs w:val="22"/>
                <w:lang w:val="fr-FR"/>
              </w:rPr>
              <w:t>alerte avancée efficaces.</w:t>
            </w:r>
          </w:p>
          <w:p w14:paraId="5680A778" w14:textId="5EC91B70" w:rsidR="00372A77" w:rsidRPr="00C83DA9" w:rsidRDefault="00372A77" w:rsidP="00DC1608">
            <w:pPr>
              <w:pStyle w:val="Tabletext"/>
              <w:spacing w:before="120"/>
              <w:rPr>
                <w:sz w:val="22"/>
                <w:szCs w:val="22"/>
                <w:lang w:val="fr-FR"/>
              </w:rPr>
            </w:pPr>
            <w:r w:rsidRPr="00C83DA9">
              <w:rPr>
                <w:sz w:val="22"/>
                <w:szCs w:val="22"/>
                <w:lang w:val="fr-FR"/>
              </w:rPr>
              <w:t xml:space="preserve">Dans la région </w:t>
            </w:r>
            <w:r w:rsidRPr="00C83DA9">
              <w:rPr>
                <w:b/>
                <w:bCs/>
                <w:sz w:val="22"/>
                <w:szCs w:val="22"/>
                <w:lang w:val="fr-FR"/>
              </w:rPr>
              <w:t>Asie-Pacifique</w:t>
            </w:r>
            <w:r w:rsidRPr="00C83DA9">
              <w:rPr>
                <w:sz w:val="22"/>
                <w:szCs w:val="22"/>
                <w:lang w:val="fr-FR"/>
              </w:rPr>
              <w:t>, le renforcement de la résilience des TIC est resté une priorité. Le BDT a procédé à des</w:t>
            </w:r>
            <w:r w:rsidRPr="00C83DA9">
              <w:rPr>
                <w:b/>
                <w:bCs/>
                <w:sz w:val="22"/>
                <w:szCs w:val="22"/>
                <w:lang w:val="fr-FR"/>
              </w:rPr>
              <w:t xml:space="preserve"> évaluations de la résilience des infrastructures TIC nationales au Bhoutan, au Lao (R.d.p.), au Népal et aux Philippines</w:t>
            </w:r>
            <w:r w:rsidRPr="00C83DA9">
              <w:rPr>
                <w:sz w:val="22"/>
                <w:szCs w:val="22"/>
                <w:lang w:val="fr-FR"/>
              </w:rPr>
              <w:t>. Les évaluations ont porté sur la résilience technique de l</w:t>
            </w:r>
            <w:r w:rsidR="00456505" w:rsidRPr="00C83DA9">
              <w:rPr>
                <w:sz w:val="22"/>
                <w:szCs w:val="22"/>
                <w:lang w:val="fr-FR"/>
              </w:rPr>
              <w:t>'</w:t>
            </w:r>
            <w:r w:rsidRPr="00C83DA9">
              <w:rPr>
                <w:sz w:val="22"/>
                <w:szCs w:val="22"/>
                <w:lang w:val="fr-FR"/>
              </w:rPr>
              <w:t>infrastructure TIC nationale déployée, l</w:t>
            </w:r>
            <w:r w:rsidR="00456505" w:rsidRPr="00C83DA9">
              <w:rPr>
                <w:sz w:val="22"/>
                <w:szCs w:val="22"/>
                <w:lang w:val="fr-FR"/>
              </w:rPr>
              <w:t>'</w:t>
            </w:r>
            <w:r w:rsidRPr="00C83DA9">
              <w:rPr>
                <w:sz w:val="22"/>
                <w:szCs w:val="22"/>
                <w:lang w:val="fr-FR"/>
              </w:rPr>
              <w:t>état de préparation politique et réglementaire, l</w:t>
            </w:r>
            <w:r w:rsidR="00456505" w:rsidRPr="00C83DA9">
              <w:rPr>
                <w:sz w:val="22"/>
                <w:szCs w:val="22"/>
                <w:lang w:val="fr-FR"/>
              </w:rPr>
              <w:t>'</w:t>
            </w:r>
            <w:r w:rsidRPr="00C83DA9">
              <w:rPr>
                <w:sz w:val="22"/>
                <w:szCs w:val="22"/>
                <w:lang w:val="fr-FR"/>
              </w:rPr>
              <w:t xml:space="preserve">accessibilité financière des services et les capacités de diffusion des alertes avancées. </w:t>
            </w:r>
            <w:r w:rsidR="00212949" w:rsidRPr="00C83DA9">
              <w:rPr>
                <w:sz w:val="22"/>
                <w:szCs w:val="22"/>
                <w:lang w:val="fr-FR"/>
              </w:rPr>
              <w:t>Le BDT s'est préparé à organiser</w:t>
            </w:r>
            <w:r w:rsidRPr="00C83DA9">
              <w:rPr>
                <w:sz w:val="22"/>
                <w:szCs w:val="22"/>
                <w:lang w:val="fr-FR"/>
              </w:rPr>
              <w:t xml:space="preserve"> un atelier sur le thème </w:t>
            </w:r>
            <w:hyperlink r:id="rId51" w:history="1">
              <w:r w:rsidRPr="00C83DA9">
                <w:rPr>
                  <w:rStyle w:val="Hyperlink"/>
                  <w:sz w:val="22"/>
                  <w:szCs w:val="22"/>
                  <w:lang w:val="fr-FR"/>
                </w:rPr>
                <w:t>Infrastructure résiliente pour une diffusion efficace des alertes avancées en 2025 à Sendai (Japon)</w:t>
              </w:r>
            </w:hyperlink>
            <w:r w:rsidRPr="00C83DA9">
              <w:rPr>
                <w:sz w:val="22"/>
                <w:szCs w:val="22"/>
                <w:lang w:val="fr-FR"/>
              </w:rPr>
              <w:t>, qui a offert une occasion unique d</w:t>
            </w:r>
            <w:r w:rsidR="00456505" w:rsidRPr="00C83DA9">
              <w:rPr>
                <w:sz w:val="22"/>
                <w:szCs w:val="22"/>
                <w:lang w:val="fr-FR"/>
              </w:rPr>
              <w:t>'</w:t>
            </w:r>
            <w:r w:rsidRPr="00C83DA9">
              <w:rPr>
                <w:sz w:val="22"/>
                <w:szCs w:val="22"/>
                <w:lang w:val="fr-FR"/>
              </w:rPr>
              <w:t>examiner des moyens innovants permettant d</w:t>
            </w:r>
            <w:r w:rsidR="00456505" w:rsidRPr="00C83DA9">
              <w:rPr>
                <w:sz w:val="22"/>
                <w:szCs w:val="22"/>
                <w:lang w:val="fr-FR"/>
              </w:rPr>
              <w:t>'</w:t>
            </w:r>
            <w:r w:rsidRPr="00C83DA9">
              <w:rPr>
                <w:sz w:val="22"/>
                <w:szCs w:val="22"/>
                <w:lang w:val="fr-FR"/>
              </w:rPr>
              <w:t>améliorer la résilience face aux risques de catastrophe, tandis que le Bhoutan a bénéficié d</w:t>
            </w:r>
            <w:r w:rsidR="00456505" w:rsidRPr="00C83DA9">
              <w:rPr>
                <w:sz w:val="22"/>
                <w:szCs w:val="22"/>
                <w:lang w:val="fr-FR"/>
              </w:rPr>
              <w:t>'</w:t>
            </w:r>
            <w:r w:rsidRPr="00C83DA9">
              <w:rPr>
                <w:sz w:val="22"/>
                <w:szCs w:val="22"/>
                <w:lang w:val="fr-FR"/>
              </w:rPr>
              <w:t>une assistance pour évaluer les lacunes en matière de résilience de son centre de données gouvernemental. Les travaux entrepris en partenariat avec MIC Japon comprenaient le renforcement des compétences en vue d</w:t>
            </w:r>
            <w:r w:rsidR="00456505" w:rsidRPr="00C83DA9">
              <w:rPr>
                <w:sz w:val="22"/>
                <w:szCs w:val="22"/>
                <w:lang w:val="fr-FR"/>
              </w:rPr>
              <w:t>'</w:t>
            </w:r>
            <w:r w:rsidRPr="00C83DA9">
              <w:rPr>
                <w:sz w:val="22"/>
                <w:szCs w:val="22"/>
                <w:lang w:val="fr-FR"/>
              </w:rPr>
              <w:t>élaborer une réglementation globale sur la fibre jusqu</w:t>
            </w:r>
            <w:r w:rsidR="00456505" w:rsidRPr="00C83DA9">
              <w:rPr>
                <w:sz w:val="22"/>
                <w:szCs w:val="22"/>
                <w:lang w:val="fr-FR"/>
              </w:rPr>
              <w:t>'</w:t>
            </w:r>
            <w:r w:rsidRPr="00C83DA9">
              <w:rPr>
                <w:sz w:val="22"/>
                <w:szCs w:val="22"/>
                <w:lang w:val="fr-FR"/>
              </w:rPr>
              <w:t>au domicile (FTTH) en Iran, ainsi que des réglementations sur le partage des infrastructures à Sri Lanka, qui visaient toutes à rendre les services plus abordables grâce à des interventions politiques.</w:t>
            </w:r>
            <w:hyperlink r:id="rId52" w:history="1"/>
          </w:p>
          <w:p w14:paraId="20A57FC3" w14:textId="1FFCA9B0" w:rsidR="00372A77" w:rsidRPr="00C83DA9" w:rsidRDefault="00372A77" w:rsidP="00DC1608">
            <w:pPr>
              <w:pStyle w:val="Tabletext"/>
              <w:spacing w:before="120"/>
              <w:rPr>
                <w:sz w:val="22"/>
                <w:szCs w:val="22"/>
                <w:lang w:val="fr-FR"/>
              </w:rPr>
            </w:pPr>
            <w:r w:rsidRPr="00C83DA9">
              <w:rPr>
                <w:sz w:val="22"/>
                <w:szCs w:val="22"/>
                <w:lang w:val="fr-FR"/>
              </w:rPr>
              <w:t>En collaboration avec l</w:t>
            </w:r>
            <w:r w:rsidR="00456505" w:rsidRPr="00C83DA9">
              <w:rPr>
                <w:sz w:val="22"/>
                <w:szCs w:val="22"/>
                <w:lang w:val="fr-FR"/>
              </w:rPr>
              <w:t>'</w:t>
            </w:r>
            <w:r w:rsidRPr="00C83DA9">
              <w:rPr>
                <w:sz w:val="22"/>
                <w:szCs w:val="22"/>
                <w:lang w:val="fr-FR"/>
              </w:rPr>
              <w:t>UNDRR, l</w:t>
            </w:r>
            <w:r w:rsidR="00456505" w:rsidRPr="00C83DA9">
              <w:rPr>
                <w:sz w:val="22"/>
                <w:szCs w:val="22"/>
                <w:lang w:val="fr-FR"/>
              </w:rPr>
              <w:t>'</w:t>
            </w:r>
            <w:r w:rsidRPr="00C83DA9">
              <w:rPr>
                <w:sz w:val="22"/>
                <w:szCs w:val="22"/>
                <w:lang w:val="fr-FR"/>
              </w:rPr>
              <w:t>OMM et la Fédération internationale des Sociétés de la Croix-Rouge et du Croissant-Rouge (FICR), l</w:t>
            </w:r>
            <w:r w:rsidR="00456505" w:rsidRPr="00C83DA9">
              <w:rPr>
                <w:sz w:val="22"/>
                <w:szCs w:val="22"/>
                <w:lang w:val="fr-FR"/>
              </w:rPr>
              <w:t>'</w:t>
            </w:r>
            <w:r w:rsidRPr="00C83DA9">
              <w:rPr>
                <w:sz w:val="22"/>
                <w:szCs w:val="22"/>
                <w:lang w:val="fr-FR"/>
              </w:rPr>
              <w:t xml:space="preserve">UIT, en tant que chef de file pour le </w:t>
            </w:r>
            <w:r w:rsidR="00C726F9" w:rsidRPr="00C83DA9">
              <w:rPr>
                <w:sz w:val="22"/>
                <w:szCs w:val="22"/>
                <w:lang w:val="fr-FR"/>
              </w:rPr>
              <w:t>P</w:t>
            </w:r>
            <w:r w:rsidRPr="00C83DA9">
              <w:rPr>
                <w:sz w:val="22"/>
                <w:szCs w:val="22"/>
                <w:lang w:val="fr-FR"/>
              </w:rPr>
              <w:t xml:space="preserve">ilier 3 </w:t>
            </w:r>
            <w:r w:rsidR="000726BA" w:rsidRPr="00C83DA9">
              <w:rPr>
                <w:sz w:val="22"/>
                <w:szCs w:val="22"/>
                <w:lang w:val="fr-FR"/>
              </w:rPr>
              <w:t>"</w:t>
            </w:r>
            <w:r w:rsidRPr="00C83DA9">
              <w:rPr>
                <w:sz w:val="22"/>
                <w:szCs w:val="22"/>
                <w:lang w:val="fr-FR"/>
              </w:rPr>
              <w:t>Diffusion et communication des alertes en cas d</w:t>
            </w:r>
            <w:r w:rsidR="00456505" w:rsidRPr="00C83DA9">
              <w:rPr>
                <w:sz w:val="22"/>
                <w:szCs w:val="22"/>
                <w:lang w:val="fr-FR"/>
              </w:rPr>
              <w:t>'</w:t>
            </w:r>
            <w:r w:rsidRPr="00C83DA9">
              <w:rPr>
                <w:sz w:val="22"/>
                <w:szCs w:val="22"/>
                <w:lang w:val="fr-FR"/>
              </w:rPr>
              <w:t>urgence</w:t>
            </w:r>
            <w:r w:rsidR="000726BA" w:rsidRPr="00C83DA9">
              <w:rPr>
                <w:sz w:val="22"/>
                <w:szCs w:val="22"/>
                <w:lang w:val="fr-FR"/>
              </w:rPr>
              <w:t>"</w:t>
            </w:r>
            <w:r w:rsidRPr="00C83DA9">
              <w:rPr>
                <w:sz w:val="22"/>
                <w:szCs w:val="22"/>
                <w:lang w:val="fr-FR"/>
              </w:rPr>
              <w:t>, a collaboré avec dix pays de la région Asie-Pacifique (</w:t>
            </w:r>
            <w:r w:rsidRPr="00C83DA9">
              <w:rPr>
                <w:b/>
                <w:bCs/>
                <w:sz w:val="22"/>
                <w:szCs w:val="22"/>
                <w:lang w:val="fr-FR"/>
              </w:rPr>
              <w:t xml:space="preserve">Bangladesh, Cambodge, Fidji, Kiribati, Lao (R.d.p.), Maldives, Népal, Samoa, </w:t>
            </w:r>
            <w:r w:rsidR="00E47145" w:rsidRPr="00C83DA9">
              <w:rPr>
                <w:rFonts w:ascii="Calibri" w:hAnsi="Calibri" w:cs="Calibri"/>
                <w:b/>
                <w:bCs/>
                <w:sz w:val="22"/>
                <w:szCs w:val="22"/>
                <w:lang w:val="fr-FR"/>
              </w:rPr>
              <w:t>Î</w:t>
            </w:r>
            <w:r w:rsidR="00E47145" w:rsidRPr="00C83DA9">
              <w:rPr>
                <w:b/>
                <w:bCs/>
                <w:sz w:val="22"/>
                <w:szCs w:val="22"/>
                <w:lang w:val="fr-FR"/>
              </w:rPr>
              <w:t>les</w:t>
            </w:r>
            <w:r w:rsidRPr="00C83DA9">
              <w:rPr>
                <w:b/>
                <w:bCs/>
                <w:sz w:val="22"/>
                <w:szCs w:val="22"/>
                <w:lang w:val="fr-FR"/>
              </w:rPr>
              <w:t xml:space="preserve"> Salomon</w:t>
            </w:r>
            <w:r w:rsidRPr="00C83DA9">
              <w:rPr>
                <w:sz w:val="22"/>
                <w:szCs w:val="22"/>
                <w:lang w:val="fr-FR"/>
              </w:rPr>
              <w:t xml:space="preserve"> et</w:t>
            </w:r>
            <w:r w:rsidR="00C726F9" w:rsidRPr="00C83DA9">
              <w:rPr>
                <w:sz w:val="22"/>
                <w:szCs w:val="22"/>
                <w:lang w:val="fr-FR"/>
              </w:rPr>
              <w:t> </w:t>
            </w:r>
            <w:r w:rsidRPr="00C83DA9">
              <w:rPr>
                <w:b/>
                <w:bCs/>
                <w:sz w:val="22"/>
                <w:szCs w:val="22"/>
                <w:lang w:val="fr-FR"/>
              </w:rPr>
              <w:t>Tonga</w:t>
            </w:r>
            <w:r w:rsidRPr="00C83DA9">
              <w:rPr>
                <w:sz w:val="22"/>
                <w:szCs w:val="22"/>
                <w:lang w:val="fr-FR"/>
              </w:rPr>
              <w:t>) pour élaborer des feuilles de route nationales visant à mettre en place des systèmes d</w:t>
            </w:r>
            <w:r w:rsidR="00456505" w:rsidRPr="00C83DA9">
              <w:rPr>
                <w:sz w:val="22"/>
                <w:szCs w:val="22"/>
                <w:lang w:val="fr-FR"/>
              </w:rPr>
              <w:t>'</w:t>
            </w:r>
            <w:r w:rsidRPr="00C83DA9">
              <w:rPr>
                <w:sz w:val="22"/>
                <w:szCs w:val="22"/>
                <w:lang w:val="fr-FR"/>
              </w:rPr>
              <w:t>alerte avancée efficaces. À la suite de l</w:t>
            </w:r>
            <w:r w:rsidR="00456505" w:rsidRPr="00C83DA9">
              <w:rPr>
                <w:sz w:val="22"/>
                <w:szCs w:val="22"/>
                <w:lang w:val="fr-FR"/>
              </w:rPr>
              <w:t>'</w:t>
            </w:r>
            <w:r w:rsidRPr="00C83DA9">
              <w:rPr>
                <w:sz w:val="22"/>
                <w:szCs w:val="22"/>
                <w:lang w:val="fr-FR"/>
              </w:rPr>
              <w:t>adoption de ces feuilles de route, les pays travaillent activement à l</w:t>
            </w:r>
            <w:r w:rsidR="00456505" w:rsidRPr="00C83DA9">
              <w:rPr>
                <w:sz w:val="22"/>
                <w:szCs w:val="22"/>
                <w:lang w:val="fr-FR"/>
              </w:rPr>
              <w:t>'</w:t>
            </w:r>
            <w:r w:rsidRPr="00C83DA9">
              <w:rPr>
                <w:sz w:val="22"/>
                <w:szCs w:val="22"/>
                <w:lang w:val="fr-FR"/>
              </w:rPr>
              <w:t>adoption de la norme de protocole d</w:t>
            </w:r>
            <w:r w:rsidR="00456505" w:rsidRPr="00C83DA9">
              <w:rPr>
                <w:sz w:val="22"/>
                <w:szCs w:val="22"/>
                <w:lang w:val="fr-FR"/>
              </w:rPr>
              <w:t>'</w:t>
            </w:r>
            <w:r w:rsidRPr="00C83DA9">
              <w:rPr>
                <w:sz w:val="22"/>
                <w:szCs w:val="22"/>
                <w:lang w:val="fr-FR"/>
              </w:rPr>
              <w:t>alerte commun (CAP) (</w:t>
            </w:r>
            <w:r w:rsidR="00EC0E1A" w:rsidRPr="00C83DA9">
              <w:rPr>
                <w:sz w:val="22"/>
                <w:szCs w:val="22"/>
                <w:lang w:val="fr-FR"/>
              </w:rPr>
              <w:t>Recommandation </w:t>
            </w:r>
            <w:r w:rsidRPr="00C83DA9">
              <w:rPr>
                <w:sz w:val="22"/>
                <w:szCs w:val="22"/>
                <w:lang w:val="fr-FR"/>
              </w:rPr>
              <w:t>UIT-T X1303) ainsi qu</w:t>
            </w:r>
            <w:r w:rsidR="00456505" w:rsidRPr="00C83DA9">
              <w:rPr>
                <w:sz w:val="22"/>
                <w:szCs w:val="22"/>
                <w:lang w:val="fr-FR"/>
              </w:rPr>
              <w:t>'</w:t>
            </w:r>
            <w:r w:rsidRPr="00C83DA9">
              <w:rPr>
                <w:sz w:val="22"/>
                <w:szCs w:val="22"/>
                <w:lang w:val="fr-FR"/>
              </w:rPr>
              <w:t>au renforcement des capacités de diffusion cellulaire et d</w:t>
            </w:r>
            <w:r w:rsidR="00456505" w:rsidRPr="00C83DA9">
              <w:rPr>
                <w:sz w:val="22"/>
                <w:szCs w:val="22"/>
                <w:lang w:val="fr-FR"/>
              </w:rPr>
              <w:t>'</w:t>
            </w:r>
            <w:r w:rsidRPr="00C83DA9">
              <w:rPr>
                <w:sz w:val="22"/>
                <w:szCs w:val="22"/>
                <w:lang w:val="fr-FR"/>
              </w:rPr>
              <w:t>autres TIC. Le BDT aide également les pays à déterminer les zones dans lesquelles la population n</w:t>
            </w:r>
            <w:r w:rsidR="00456505" w:rsidRPr="00C83DA9">
              <w:rPr>
                <w:sz w:val="22"/>
                <w:szCs w:val="22"/>
                <w:lang w:val="fr-FR"/>
              </w:rPr>
              <w:t>'</w:t>
            </w:r>
            <w:r w:rsidRPr="00C83DA9">
              <w:rPr>
                <w:sz w:val="22"/>
                <w:szCs w:val="22"/>
                <w:lang w:val="fr-FR"/>
              </w:rPr>
              <w:t>est pas couverte par les communications et qui ne sont donc pas desservies par les systèmes d</w:t>
            </w:r>
            <w:r w:rsidR="00456505" w:rsidRPr="00C83DA9">
              <w:rPr>
                <w:sz w:val="22"/>
                <w:szCs w:val="22"/>
                <w:lang w:val="fr-FR"/>
              </w:rPr>
              <w:t>'</w:t>
            </w:r>
            <w:r w:rsidRPr="00C83DA9">
              <w:rPr>
                <w:sz w:val="22"/>
                <w:szCs w:val="22"/>
                <w:lang w:val="fr-FR"/>
              </w:rPr>
              <w:t>alerte avancée, en utilisant des cartes EW4A</w:t>
            </w:r>
            <w:r w:rsidR="00CA734F">
              <w:rPr>
                <w:sz w:val="22"/>
                <w:szCs w:val="22"/>
                <w:lang w:val="fr-FR"/>
              </w:rPr>
              <w:t>ll</w:t>
            </w:r>
            <w:r w:rsidRPr="00C83DA9">
              <w:rPr>
                <w:sz w:val="22"/>
                <w:szCs w:val="22"/>
                <w:lang w:val="fr-FR"/>
              </w:rPr>
              <w:t xml:space="preserve"> associant l</w:t>
            </w:r>
            <w:r w:rsidR="00456505" w:rsidRPr="00C83DA9">
              <w:rPr>
                <w:sz w:val="22"/>
                <w:szCs w:val="22"/>
                <w:lang w:val="fr-FR"/>
              </w:rPr>
              <w:t>'</w:t>
            </w:r>
            <w:r w:rsidRPr="00C83DA9">
              <w:rPr>
                <w:sz w:val="22"/>
                <w:szCs w:val="22"/>
                <w:lang w:val="fr-FR"/>
              </w:rPr>
              <w:t>intelligence artificielle, les cartes de couverture et les images satellite.</w:t>
            </w:r>
          </w:p>
          <w:p w14:paraId="44EF9E03" w14:textId="12127513" w:rsidR="00372A77" w:rsidRPr="00C83DA9" w:rsidRDefault="00372A77" w:rsidP="00DC1608">
            <w:pPr>
              <w:pStyle w:val="Tabletext"/>
              <w:spacing w:before="120"/>
              <w:rPr>
                <w:sz w:val="22"/>
                <w:szCs w:val="22"/>
                <w:lang w:val="fr-FR"/>
              </w:rPr>
            </w:pPr>
            <w:r w:rsidRPr="00C83DA9">
              <w:rPr>
                <w:sz w:val="22"/>
                <w:szCs w:val="22"/>
                <w:lang w:val="fr-FR"/>
              </w:rPr>
              <w:t>Le BDT a collaboré avec le Centre de coordination de l</w:t>
            </w:r>
            <w:r w:rsidR="00456505" w:rsidRPr="00C83DA9">
              <w:rPr>
                <w:sz w:val="22"/>
                <w:szCs w:val="22"/>
                <w:lang w:val="fr-FR"/>
              </w:rPr>
              <w:t>'</w:t>
            </w:r>
            <w:r w:rsidRPr="00C83DA9">
              <w:rPr>
                <w:sz w:val="22"/>
                <w:szCs w:val="22"/>
                <w:lang w:val="fr-FR"/>
              </w:rPr>
              <w:t>ASEAN pour l</w:t>
            </w:r>
            <w:r w:rsidR="00456505" w:rsidRPr="00C83DA9">
              <w:rPr>
                <w:sz w:val="22"/>
                <w:szCs w:val="22"/>
                <w:lang w:val="fr-FR"/>
              </w:rPr>
              <w:t>'</w:t>
            </w:r>
            <w:r w:rsidRPr="00C83DA9">
              <w:rPr>
                <w:sz w:val="22"/>
                <w:szCs w:val="22"/>
                <w:lang w:val="fr-FR"/>
              </w:rPr>
              <w:t>assistance humanitaire sur la gestion des catastrophes (AHA) de</w:t>
            </w:r>
            <w:r w:rsidR="00EC0E1A" w:rsidRPr="00C83DA9">
              <w:rPr>
                <w:sz w:val="22"/>
                <w:szCs w:val="22"/>
                <w:lang w:val="fr-FR"/>
              </w:rPr>
              <w:t> </w:t>
            </w:r>
            <w:r w:rsidRPr="00C83DA9">
              <w:rPr>
                <w:sz w:val="22"/>
                <w:szCs w:val="22"/>
                <w:lang w:val="fr-FR"/>
              </w:rPr>
              <w:t>Jakarta et a officialisé un accord de coopération portant création d</w:t>
            </w:r>
            <w:r w:rsidR="00456505" w:rsidRPr="00C83DA9">
              <w:rPr>
                <w:sz w:val="22"/>
                <w:szCs w:val="22"/>
                <w:lang w:val="fr-FR"/>
              </w:rPr>
              <w:t>'</w:t>
            </w:r>
            <w:r w:rsidRPr="00C83DA9">
              <w:rPr>
                <w:sz w:val="22"/>
                <w:szCs w:val="22"/>
                <w:lang w:val="fr-FR"/>
              </w:rPr>
              <w:t>un engagement structuré pour promouvoir la collaboration régionale en matière de préparation aux catastrophes et d</w:t>
            </w:r>
            <w:r w:rsidR="00456505" w:rsidRPr="00C83DA9">
              <w:rPr>
                <w:sz w:val="22"/>
                <w:szCs w:val="22"/>
                <w:lang w:val="fr-FR"/>
              </w:rPr>
              <w:t>'</w:t>
            </w:r>
            <w:r w:rsidRPr="00C83DA9">
              <w:rPr>
                <w:sz w:val="22"/>
                <w:szCs w:val="22"/>
                <w:lang w:val="fr-FR"/>
              </w:rPr>
              <w:t>étudier le prépositionnement d</w:t>
            </w:r>
            <w:r w:rsidR="00456505" w:rsidRPr="00C83DA9">
              <w:rPr>
                <w:sz w:val="22"/>
                <w:szCs w:val="22"/>
                <w:lang w:val="fr-FR"/>
              </w:rPr>
              <w:t>'</w:t>
            </w:r>
            <w:r w:rsidRPr="00C83DA9">
              <w:rPr>
                <w:sz w:val="22"/>
                <w:szCs w:val="22"/>
                <w:lang w:val="fr-FR"/>
              </w:rPr>
              <w:t>équipements de télécommunication dans les pays de l</w:t>
            </w:r>
            <w:r w:rsidR="00456505" w:rsidRPr="00C83DA9">
              <w:rPr>
                <w:sz w:val="22"/>
                <w:szCs w:val="22"/>
                <w:lang w:val="fr-FR"/>
              </w:rPr>
              <w:t>'</w:t>
            </w:r>
            <w:r w:rsidRPr="00C83DA9">
              <w:rPr>
                <w:sz w:val="22"/>
                <w:szCs w:val="22"/>
                <w:lang w:val="fr-FR"/>
              </w:rPr>
              <w:t>ASEAN.</w:t>
            </w:r>
          </w:p>
          <w:p w14:paraId="4FD73FFF" w14:textId="5FA619BB" w:rsidR="00372A77" w:rsidRPr="00C83DA9" w:rsidRDefault="00372A77" w:rsidP="00DC1608">
            <w:pPr>
              <w:pStyle w:val="Tabletext"/>
              <w:spacing w:before="120"/>
              <w:rPr>
                <w:sz w:val="22"/>
                <w:szCs w:val="22"/>
                <w:lang w:val="fr-FR"/>
              </w:rPr>
            </w:pPr>
            <w:r w:rsidRPr="00C83DA9">
              <w:rPr>
                <w:sz w:val="22"/>
                <w:szCs w:val="22"/>
                <w:lang w:val="fr-FR"/>
              </w:rPr>
              <w:t xml:space="preserve">Dans la région </w:t>
            </w:r>
            <w:r w:rsidRPr="00C83DA9">
              <w:rPr>
                <w:b/>
                <w:bCs/>
                <w:sz w:val="22"/>
                <w:szCs w:val="22"/>
                <w:lang w:val="fr-FR"/>
              </w:rPr>
              <w:t>Amériques</w:t>
            </w:r>
            <w:r w:rsidRPr="00C83DA9">
              <w:rPr>
                <w:sz w:val="22"/>
                <w:szCs w:val="22"/>
                <w:lang w:val="fr-FR"/>
              </w:rPr>
              <w:t>, le BDT a collaboré avec la Global System for Mobile Communications Association (GSMA) et le Réseau des télécommunications d</w:t>
            </w:r>
            <w:r w:rsidR="00456505" w:rsidRPr="00C83DA9">
              <w:rPr>
                <w:sz w:val="22"/>
                <w:szCs w:val="22"/>
                <w:lang w:val="fr-FR"/>
              </w:rPr>
              <w:t>'</w:t>
            </w:r>
            <w:r w:rsidRPr="00C83DA9">
              <w:rPr>
                <w:sz w:val="22"/>
                <w:szCs w:val="22"/>
                <w:lang w:val="fr-FR"/>
              </w:rPr>
              <w:t xml:space="preserve">urgence (ETC) du Programme alimentaire mondial (PAM) pour renforcer la préparation aux catastrophes dans les </w:t>
            </w:r>
            <w:r w:rsidRPr="00C83DA9">
              <w:rPr>
                <w:b/>
                <w:bCs/>
                <w:sz w:val="22"/>
                <w:szCs w:val="22"/>
                <w:lang w:val="fr-FR"/>
              </w:rPr>
              <w:t>Caraïbes</w:t>
            </w:r>
            <w:r w:rsidRPr="00C83DA9">
              <w:rPr>
                <w:sz w:val="22"/>
                <w:szCs w:val="22"/>
                <w:lang w:val="fr-FR"/>
              </w:rPr>
              <w:t xml:space="preserve">, notamment à la </w:t>
            </w:r>
            <w:r w:rsidRPr="00C83DA9">
              <w:rPr>
                <w:b/>
                <w:bCs/>
                <w:sz w:val="22"/>
                <w:szCs w:val="22"/>
                <w:lang w:val="fr-FR"/>
              </w:rPr>
              <w:t>Barbade</w:t>
            </w:r>
            <w:r w:rsidRPr="00C83DA9">
              <w:rPr>
                <w:sz w:val="22"/>
                <w:szCs w:val="22"/>
                <w:lang w:val="fr-FR"/>
              </w:rPr>
              <w:t>, à la</w:t>
            </w:r>
            <w:r w:rsidRPr="00C83DA9">
              <w:rPr>
                <w:b/>
                <w:bCs/>
                <w:sz w:val="22"/>
                <w:szCs w:val="22"/>
                <w:lang w:val="fr-FR"/>
              </w:rPr>
              <w:t xml:space="preserve"> Grenade</w:t>
            </w:r>
            <w:r w:rsidRPr="00C83DA9">
              <w:rPr>
                <w:sz w:val="22"/>
                <w:szCs w:val="22"/>
                <w:lang w:val="fr-FR"/>
              </w:rPr>
              <w:t>, au</w:t>
            </w:r>
            <w:r w:rsidRPr="00C83DA9">
              <w:rPr>
                <w:b/>
                <w:bCs/>
                <w:sz w:val="22"/>
                <w:szCs w:val="22"/>
                <w:lang w:val="fr-FR"/>
              </w:rPr>
              <w:t xml:space="preserve"> Guyana</w:t>
            </w:r>
            <w:r w:rsidRPr="00C83DA9">
              <w:rPr>
                <w:sz w:val="22"/>
                <w:szCs w:val="22"/>
                <w:lang w:val="fr-FR"/>
              </w:rPr>
              <w:t>, en</w:t>
            </w:r>
            <w:r w:rsidRPr="00C83DA9">
              <w:rPr>
                <w:b/>
                <w:bCs/>
                <w:sz w:val="22"/>
                <w:szCs w:val="22"/>
                <w:lang w:val="fr-FR"/>
              </w:rPr>
              <w:t xml:space="preserve"> Haïti</w:t>
            </w:r>
            <w:r w:rsidRPr="00C83DA9">
              <w:rPr>
                <w:sz w:val="22"/>
                <w:szCs w:val="22"/>
                <w:lang w:val="fr-FR"/>
              </w:rPr>
              <w:t>, en</w:t>
            </w:r>
            <w:r w:rsidRPr="00C83DA9">
              <w:rPr>
                <w:b/>
                <w:bCs/>
                <w:sz w:val="22"/>
                <w:szCs w:val="22"/>
                <w:lang w:val="fr-FR"/>
              </w:rPr>
              <w:t xml:space="preserve"> Jamaïque</w:t>
            </w:r>
            <w:r w:rsidRPr="00C83DA9">
              <w:rPr>
                <w:sz w:val="22"/>
                <w:szCs w:val="22"/>
                <w:lang w:val="fr-FR"/>
              </w:rPr>
              <w:t xml:space="preserve"> et à </w:t>
            </w:r>
            <w:r w:rsidRPr="00C83DA9">
              <w:rPr>
                <w:b/>
                <w:bCs/>
                <w:sz w:val="22"/>
                <w:szCs w:val="22"/>
                <w:lang w:val="fr-FR"/>
              </w:rPr>
              <w:t>Saint</w:t>
            </w:r>
            <w:r w:rsidR="00516A11" w:rsidRPr="00C83DA9">
              <w:rPr>
                <w:b/>
                <w:bCs/>
                <w:sz w:val="22"/>
                <w:szCs w:val="22"/>
                <w:lang w:val="fr-FR"/>
              </w:rPr>
              <w:noBreakHyphen/>
            </w:r>
            <w:r w:rsidRPr="00C83DA9">
              <w:rPr>
                <w:b/>
                <w:bCs/>
                <w:sz w:val="22"/>
                <w:szCs w:val="22"/>
                <w:lang w:val="fr-FR"/>
              </w:rPr>
              <w:t>Kitts</w:t>
            </w:r>
            <w:r w:rsidR="00516A11" w:rsidRPr="00C83DA9">
              <w:rPr>
                <w:b/>
                <w:bCs/>
                <w:sz w:val="22"/>
                <w:szCs w:val="22"/>
                <w:lang w:val="fr-FR"/>
              </w:rPr>
              <w:noBreakHyphen/>
            </w:r>
            <w:r w:rsidRPr="00C83DA9">
              <w:rPr>
                <w:b/>
                <w:bCs/>
                <w:sz w:val="22"/>
                <w:szCs w:val="22"/>
                <w:lang w:val="fr-FR"/>
              </w:rPr>
              <w:t>et</w:t>
            </w:r>
            <w:r w:rsidR="00516A11" w:rsidRPr="00C83DA9">
              <w:rPr>
                <w:b/>
                <w:bCs/>
                <w:sz w:val="22"/>
                <w:szCs w:val="22"/>
                <w:lang w:val="fr-FR"/>
              </w:rPr>
              <w:noBreakHyphen/>
            </w:r>
            <w:r w:rsidRPr="00C83DA9">
              <w:rPr>
                <w:b/>
                <w:bCs/>
                <w:sz w:val="22"/>
                <w:szCs w:val="22"/>
                <w:lang w:val="fr-FR"/>
              </w:rPr>
              <w:t>Nevis.</w:t>
            </w:r>
            <w:r w:rsidRPr="00C83DA9">
              <w:rPr>
                <w:sz w:val="22"/>
                <w:szCs w:val="22"/>
                <w:lang w:val="fr-FR"/>
              </w:rPr>
              <w:t xml:space="preserve"> Des équipements satellitaires prépositionnés ont été déployés dans la région avant la saison des ouragans de</w:t>
            </w:r>
            <w:r w:rsidR="00C726F9" w:rsidRPr="00C83DA9">
              <w:rPr>
                <w:sz w:val="22"/>
                <w:szCs w:val="22"/>
                <w:lang w:val="fr-FR"/>
              </w:rPr>
              <w:t> </w:t>
            </w:r>
            <w:r w:rsidRPr="00C83DA9">
              <w:rPr>
                <w:sz w:val="22"/>
                <w:szCs w:val="22"/>
                <w:lang w:val="fr-FR"/>
              </w:rPr>
              <w:t>2024, tandis que les travaux d</w:t>
            </w:r>
            <w:r w:rsidR="00456505" w:rsidRPr="00C83DA9">
              <w:rPr>
                <w:sz w:val="22"/>
                <w:szCs w:val="22"/>
                <w:lang w:val="fr-FR"/>
              </w:rPr>
              <w:t>'</w:t>
            </w:r>
            <w:r w:rsidRPr="00C83DA9">
              <w:rPr>
                <w:sz w:val="22"/>
                <w:szCs w:val="22"/>
                <w:lang w:val="fr-FR"/>
              </w:rPr>
              <w:t>analyse des lacunes dans le cadre de l</w:t>
            </w:r>
            <w:r w:rsidR="00456505" w:rsidRPr="00C83DA9">
              <w:rPr>
                <w:sz w:val="22"/>
                <w:szCs w:val="22"/>
                <w:lang w:val="fr-FR"/>
              </w:rPr>
              <w:t>'</w:t>
            </w:r>
            <w:r w:rsidR="00C726F9" w:rsidRPr="00C83DA9">
              <w:rPr>
                <w:sz w:val="22"/>
                <w:szCs w:val="22"/>
                <w:lang w:val="fr-FR"/>
              </w:rPr>
              <w:t>I</w:t>
            </w:r>
            <w:r w:rsidRPr="00C83DA9">
              <w:rPr>
                <w:sz w:val="22"/>
                <w:szCs w:val="22"/>
                <w:lang w:val="fr-FR"/>
              </w:rPr>
              <w:t xml:space="preserve">nitiative EW4All ont progressé au </w:t>
            </w:r>
            <w:r w:rsidRPr="00C83DA9">
              <w:rPr>
                <w:b/>
                <w:bCs/>
                <w:sz w:val="22"/>
                <w:szCs w:val="22"/>
                <w:lang w:val="fr-FR"/>
              </w:rPr>
              <w:t>Belize</w:t>
            </w:r>
            <w:r w:rsidRPr="00C83DA9">
              <w:rPr>
                <w:sz w:val="22"/>
                <w:szCs w:val="22"/>
                <w:lang w:val="fr-FR"/>
              </w:rPr>
              <w:t xml:space="preserve"> et au </w:t>
            </w:r>
            <w:r w:rsidRPr="00C83DA9">
              <w:rPr>
                <w:b/>
                <w:bCs/>
                <w:sz w:val="22"/>
                <w:szCs w:val="22"/>
                <w:lang w:val="fr-FR"/>
              </w:rPr>
              <w:t>Guyana.</w:t>
            </w:r>
            <w:r w:rsidRPr="00C83DA9">
              <w:rPr>
                <w:sz w:val="22"/>
                <w:szCs w:val="22"/>
                <w:lang w:val="fr-FR"/>
              </w:rPr>
              <w:t xml:space="preserve"> En collaboration avec l</w:t>
            </w:r>
            <w:r w:rsidR="00456505" w:rsidRPr="00C83DA9">
              <w:rPr>
                <w:sz w:val="22"/>
                <w:szCs w:val="22"/>
                <w:lang w:val="fr-FR"/>
              </w:rPr>
              <w:t>'</w:t>
            </w:r>
            <w:r w:rsidRPr="00C83DA9">
              <w:rPr>
                <w:sz w:val="22"/>
                <w:szCs w:val="22"/>
                <w:lang w:val="fr-FR"/>
              </w:rPr>
              <w:t xml:space="preserve">Autorité des télécommunications de </w:t>
            </w:r>
            <w:r w:rsidRPr="00C83DA9">
              <w:rPr>
                <w:b/>
                <w:bCs/>
                <w:sz w:val="22"/>
                <w:szCs w:val="22"/>
                <w:lang w:val="fr-FR"/>
              </w:rPr>
              <w:t>Trinité-et-Tobago</w:t>
            </w:r>
            <w:r w:rsidRPr="00C83DA9">
              <w:rPr>
                <w:sz w:val="22"/>
                <w:szCs w:val="22"/>
                <w:lang w:val="fr-FR"/>
              </w:rPr>
              <w:t xml:space="preserve"> et l</w:t>
            </w:r>
            <w:r w:rsidR="00456505" w:rsidRPr="00C83DA9">
              <w:rPr>
                <w:sz w:val="22"/>
                <w:szCs w:val="22"/>
                <w:lang w:val="fr-FR"/>
              </w:rPr>
              <w:t>'</w:t>
            </w:r>
            <w:r w:rsidRPr="00C83DA9">
              <w:rPr>
                <w:sz w:val="22"/>
                <w:szCs w:val="22"/>
                <w:lang w:val="fr-FR"/>
              </w:rPr>
              <w:t>Union des télécommunications des Caraïbes (CTU), le BDT a appuyé l</w:t>
            </w:r>
            <w:r w:rsidR="00456505" w:rsidRPr="00C83DA9">
              <w:rPr>
                <w:sz w:val="22"/>
                <w:szCs w:val="22"/>
                <w:lang w:val="fr-FR"/>
              </w:rPr>
              <w:t>'</w:t>
            </w:r>
            <w:r w:rsidRPr="00C83DA9">
              <w:rPr>
                <w:sz w:val="22"/>
                <w:szCs w:val="22"/>
                <w:lang w:val="fr-FR"/>
              </w:rPr>
              <w:t xml:space="preserve">élaboration du projet "Smart Seas" (mers intelligentes). Ce projet contribue à accroître la résilience et, à terme, à préserver la vie des personnes vivant </w:t>
            </w:r>
            <w:r w:rsidRPr="00C83DA9">
              <w:rPr>
                <w:sz w:val="22"/>
                <w:szCs w:val="22"/>
                <w:lang w:val="fr-FR"/>
              </w:rPr>
              <w:lastRenderedPageBreak/>
              <w:t>dans la pêche artisanale grâce à l</w:t>
            </w:r>
            <w:r w:rsidR="00456505" w:rsidRPr="00C83DA9">
              <w:rPr>
                <w:sz w:val="22"/>
                <w:szCs w:val="22"/>
                <w:lang w:val="fr-FR"/>
              </w:rPr>
              <w:t>'</w:t>
            </w:r>
            <w:r w:rsidRPr="00C83DA9">
              <w:rPr>
                <w:sz w:val="22"/>
                <w:szCs w:val="22"/>
                <w:lang w:val="fr-FR"/>
              </w:rPr>
              <w:t>amélioration des communications maritimes en mer, l</w:t>
            </w:r>
            <w:r w:rsidR="00456505" w:rsidRPr="00C83DA9">
              <w:rPr>
                <w:sz w:val="22"/>
                <w:szCs w:val="22"/>
                <w:lang w:val="fr-FR"/>
              </w:rPr>
              <w:t>'</w:t>
            </w:r>
            <w:r w:rsidRPr="00C83DA9">
              <w:rPr>
                <w:sz w:val="22"/>
                <w:szCs w:val="22"/>
                <w:lang w:val="fr-FR"/>
              </w:rPr>
              <w:t>accent étant mis sur la création d</w:t>
            </w:r>
            <w:r w:rsidR="00456505" w:rsidRPr="00C83DA9">
              <w:rPr>
                <w:sz w:val="22"/>
                <w:szCs w:val="22"/>
                <w:lang w:val="fr-FR"/>
              </w:rPr>
              <w:t>'</w:t>
            </w:r>
            <w:r w:rsidRPr="00C83DA9">
              <w:rPr>
                <w:sz w:val="22"/>
                <w:szCs w:val="22"/>
                <w:lang w:val="fr-FR"/>
              </w:rPr>
              <w:t xml:space="preserve">un environnement propice. Les autres bénéficiaires du projet sont la </w:t>
            </w:r>
            <w:r w:rsidRPr="00C83DA9">
              <w:rPr>
                <w:b/>
                <w:bCs/>
                <w:sz w:val="22"/>
                <w:szCs w:val="22"/>
                <w:lang w:val="fr-FR"/>
              </w:rPr>
              <w:t>Barbade</w:t>
            </w:r>
            <w:r w:rsidRPr="00C83DA9">
              <w:rPr>
                <w:sz w:val="22"/>
                <w:szCs w:val="22"/>
                <w:lang w:val="fr-FR"/>
              </w:rPr>
              <w:t>, la</w:t>
            </w:r>
            <w:r w:rsidRPr="00C83DA9">
              <w:rPr>
                <w:b/>
                <w:bCs/>
                <w:sz w:val="22"/>
                <w:szCs w:val="22"/>
                <w:lang w:val="fr-FR"/>
              </w:rPr>
              <w:t xml:space="preserve"> Grenade </w:t>
            </w:r>
            <w:r w:rsidRPr="00C83DA9">
              <w:rPr>
                <w:sz w:val="22"/>
                <w:szCs w:val="22"/>
                <w:lang w:val="fr-FR"/>
              </w:rPr>
              <w:t xml:space="preserve">et </w:t>
            </w:r>
            <w:r w:rsidRPr="00C83DA9">
              <w:rPr>
                <w:b/>
                <w:bCs/>
                <w:sz w:val="22"/>
                <w:szCs w:val="22"/>
                <w:lang w:val="fr-FR"/>
              </w:rPr>
              <w:t>Saint-Vincent-et-les-Grenadines</w:t>
            </w:r>
            <w:r w:rsidRPr="00C83DA9">
              <w:rPr>
                <w:sz w:val="22"/>
                <w:szCs w:val="22"/>
                <w:lang w:val="fr-FR"/>
              </w:rPr>
              <w:t>. Le</w:t>
            </w:r>
            <w:r w:rsidR="00CA734F">
              <w:rPr>
                <w:b/>
                <w:bCs/>
                <w:sz w:val="22"/>
                <w:szCs w:val="22"/>
                <w:lang w:val="fr-FR"/>
              </w:rPr>
              <w:t> </w:t>
            </w:r>
            <w:r w:rsidRPr="00C83DA9">
              <w:rPr>
                <w:b/>
                <w:bCs/>
                <w:sz w:val="22"/>
                <w:szCs w:val="22"/>
                <w:lang w:val="fr-FR"/>
              </w:rPr>
              <w:t>Guatemala</w:t>
            </w:r>
            <w:r w:rsidRPr="00C83DA9">
              <w:rPr>
                <w:sz w:val="22"/>
                <w:szCs w:val="22"/>
                <w:lang w:val="fr-FR"/>
              </w:rPr>
              <w:t xml:space="preserve"> a reçu un appui pour l</w:t>
            </w:r>
            <w:r w:rsidR="00456505" w:rsidRPr="00C83DA9">
              <w:rPr>
                <w:sz w:val="22"/>
                <w:szCs w:val="22"/>
                <w:lang w:val="fr-FR"/>
              </w:rPr>
              <w:t>'</w:t>
            </w:r>
            <w:r w:rsidRPr="00C83DA9">
              <w:rPr>
                <w:sz w:val="22"/>
                <w:szCs w:val="22"/>
                <w:lang w:val="fr-FR"/>
              </w:rPr>
              <w:t xml:space="preserve">élaboration des spécifications techniques nécessaires à la mise en </w:t>
            </w:r>
            <w:r w:rsidR="00FC245B" w:rsidRPr="00C83DA9">
              <w:rPr>
                <w:sz w:val="22"/>
                <w:szCs w:val="22"/>
                <w:lang w:val="fr-FR"/>
              </w:rPr>
              <w:t>œ</w:t>
            </w:r>
            <w:r w:rsidRPr="00C83DA9">
              <w:rPr>
                <w:sz w:val="22"/>
                <w:szCs w:val="22"/>
                <w:lang w:val="fr-FR"/>
              </w:rPr>
              <w:t>uvre du système d</w:t>
            </w:r>
            <w:r w:rsidR="00456505" w:rsidRPr="00C83DA9">
              <w:rPr>
                <w:sz w:val="22"/>
                <w:szCs w:val="22"/>
                <w:lang w:val="fr-FR"/>
              </w:rPr>
              <w:t>'</w:t>
            </w:r>
            <w:r w:rsidRPr="00C83DA9">
              <w:rPr>
                <w:sz w:val="22"/>
                <w:szCs w:val="22"/>
                <w:lang w:val="fr-FR"/>
              </w:rPr>
              <w:t>alerte avancée reposant sur la diffusion cellulaire. Des sessions de formation aux télécommunications d</w:t>
            </w:r>
            <w:r w:rsidR="00456505" w:rsidRPr="00C83DA9">
              <w:rPr>
                <w:sz w:val="22"/>
                <w:szCs w:val="22"/>
                <w:lang w:val="fr-FR"/>
              </w:rPr>
              <w:t>'</w:t>
            </w:r>
            <w:r w:rsidRPr="00C83DA9">
              <w:rPr>
                <w:sz w:val="22"/>
                <w:szCs w:val="22"/>
                <w:lang w:val="fr-FR"/>
              </w:rPr>
              <w:t xml:space="preserve">urgence ont été organisées en partenariat avec la COMTELCA au </w:t>
            </w:r>
            <w:r w:rsidRPr="00C83DA9">
              <w:rPr>
                <w:b/>
                <w:bCs/>
                <w:sz w:val="22"/>
                <w:szCs w:val="22"/>
                <w:lang w:val="fr-FR"/>
              </w:rPr>
              <w:t>Guatemala</w:t>
            </w:r>
            <w:r w:rsidRPr="00C83DA9">
              <w:rPr>
                <w:sz w:val="22"/>
                <w:szCs w:val="22"/>
                <w:lang w:val="fr-FR"/>
              </w:rPr>
              <w:t>, en</w:t>
            </w:r>
            <w:r w:rsidRPr="00C83DA9">
              <w:rPr>
                <w:b/>
                <w:bCs/>
                <w:sz w:val="22"/>
                <w:szCs w:val="22"/>
                <w:lang w:val="fr-FR"/>
              </w:rPr>
              <w:t xml:space="preserve"> El Salvador</w:t>
            </w:r>
            <w:r w:rsidRPr="00C83DA9">
              <w:rPr>
                <w:sz w:val="22"/>
                <w:szCs w:val="22"/>
                <w:lang w:val="fr-FR"/>
              </w:rPr>
              <w:t>, au</w:t>
            </w:r>
            <w:r w:rsidRPr="00C83DA9">
              <w:rPr>
                <w:b/>
                <w:bCs/>
                <w:sz w:val="22"/>
                <w:szCs w:val="22"/>
                <w:lang w:val="fr-FR"/>
              </w:rPr>
              <w:t xml:space="preserve"> Honduras</w:t>
            </w:r>
            <w:r w:rsidRPr="00C83DA9">
              <w:rPr>
                <w:sz w:val="22"/>
                <w:szCs w:val="22"/>
                <w:lang w:val="fr-FR"/>
              </w:rPr>
              <w:t xml:space="preserve">, au </w:t>
            </w:r>
            <w:r w:rsidRPr="00C83DA9">
              <w:rPr>
                <w:b/>
                <w:bCs/>
                <w:sz w:val="22"/>
                <w:szCs w:val="22"/>
                <w:lang w:val="fr-FR"/>
              </w:rPr>
              <w:t>Nicaragua</w:t>
            </w:r>
            <w:r w:rsidRPr="00C83DA9">
              <w:rPr>
                <w:sz w:val="22"/>
                <w:szCs w:val="22"/>
                <w:lang w:val="fr-FR"/>
              </w:rPr>
              <w:t>, au</w:t>
            </w:r>
            <w:r w:rsidRPr="00C83DA9">
              <w:rPr>
                <w:b/>
                <w:bCs/>
                <w:sz w:val="22"/>
                <w:szCs w:val="22"/>
                <w:lang w:val="fr-FR"/>
              </w:rPr>
              <w:t xml:space="preserve"> Costa Rica</w:t>
            </w:r>
            <w:r w:rsidRPr="00C83DA9">
              <w:rPr>
                <w:sz w:val="22"/>
                <w:szCs w:val="22"/>
                <w:lang w:val="fr-FR"/>
              </w:rPr>
              <w:t>, au</w:t>
            </w:r>
            <w:r w:rsidRPr="00C83DA9">
              <w:rPr>
                <w:b/>
                <w:bCs/>
                <w:sz w:val="22"/>
                <w:szCs w:val="22"/>
                <w:lang w:val="fr-FR"/>
              </w:rPr>
              <w:t xml:space="preserve"> Panama</w:t>
            </w:r>
            <w:r w:rsidRPr="00C83DA9">
              <w:rPr>
                <w:sz w:val="22"/>
                <w:szCs w:val="22"/>
                <w:lang w:val="fr-FR"/>
              </w:rPr>
              <w:t xml:space="preserve"> et en </w:t>
            </w:r>
            <w:r w:rsidRPr="00C83DA9">
              <w:rPr>
                <w:b/>
                <w:bCs/>
                <w:sz w:val="22"/>
                <w:szCs w:val="22"/>
                <w:lang w:val="fr-FR"/>
              </w:rPr>
              <w:t>République</w:t>
            </w:r>
            <w:r w:rsidR="00DF47CA" w:rsidRPr="00C83DA9">
              <w:rPr>
                <w:b/>
                <w:bCs/>
                <w:sz w:val="22"/>
                <w:szCs w:val="22"/>
                <w:lang w:val="fr-FR"/>
              </w:rPr>
              <w:t> </w:t>
            </w:r>
            <w:r w:rsidRPr="00C83DA9">
              <w:rPr>
                <w:b/>
                <w:bCs/>
                <w:sz w:val="22"/>
                <w:szCs w:val="22"/>
                <w:lang w:val="fr-FR"/>
              </w:rPr>
              <w:t>dominicaine</w:t>
            </w:r>
            <w:r w:rsidRPr="00C83DA9">
              <w:rPr>
                <w:sz w:val="22"/>
                <w:szCs w:val="22"/>
                <w:lang w:val="fr-FR"/>
              </w:rPr>
              <w:t>. Une assistance technique a également été fournie à l</w:t>
            </w:r>
            <w:r w:rsidR="00456505" w:rsidRPr="00C83DA9">
              <w:rPr>
                <w:sz w:val="22"/>
                <w:szCs w:val="22"/>
                <w:lang w:val="fr-FR"/>
              </w:rPr>
              <w:t>'</w:t>
            </w:r>
            <w:r w:rsidR="00FC245B" w:rsidRPr="00C83DA9">
              <w:rPr>
                <w:b/>
                <w:bCs/>
                <w:sz w:val="22"/>
                <w:szCs w:val="22"/>
                <w:lang w:val="fr-FR"/>
              </w:rPr>
              <w:t>É</w:t>
            </w:r>
            <w:r w:rsidRPr="00C83DA9">
              <w:rPr>
                <w:b/>
                <w:bCs/>
                <w:sz w:val="22"/>
                <w:szCs w:val="22"/>
                <w:lang w:val="fr-FR"/>
              </w:rPr>
              <w:t>quateur</w:t>
            </w:r>
            <w:r w:rsidRPr="00C83DA9">
              <w:rPr>
                <w:sz w:val="22"/>
                <w:szCs w:val="22"/>
                <w:lang w:val="fr-FR"/>
              </w:rPr>
              <w:t xml:space="preserve"> dans le cadre de l</w:t>
            </w:r>
            <w:r w:rsidR="00456505" w:rsidRPr="00C83DA9">
              <w:rPr>
                <w:sz w:val="22"/>
                <w:szCs w:val="22"/>
                <w:lang w:val="fr-FR"/>
              </w:rPr>
              <w:t>'</w:t>
            </w:r>
            <w:r w:rsidR="00C726F9" w:rsidRPr="00C83DA9">
              <w:rPr>
                <w:sz w:val="22"/>
                <w:szCs w:val="22"/>
                <w:lang w:val="fr-FR"/>
              </w:rPr>
              <w:t>I</w:t>
            </w:r>
            <w:r w:rsidRPr="00C83DA9">
              <w:rPr>
                <w:sz w:val="22"/>
                <w:szCs w:val="22"/>
                <w:lang w:val="fr-FR"/>
              </w:rPr>
              <w:t>nitiative EW4A</w:t>
            </w:r>
            <w:r w:rsidR="00CA734F">
              <w:rPr>
                <w:sz w:val="22"/>
                <w:szCs w:val="22"/>
                <w:lang w:val="fr-FR"/>
              </w:rPr>
              <w:t>ll</w:t>
            </w:r>
            <w:r w:rsidRPr="00C83DA9">
              <w:rPr>
                <w:sz w:val="22"/>
                <w:szCs w:val="22"/>
                <w:lang w:val="fr-FR"/>
              </w:rPr>
              <w:t>.</w:t>
            </w:r>
          </w:p>
          <w:p w14:paraId="2E4701B2" w14:textId="64ADA92D" w:rsidR="00372A77" w:rsidRPr="00C83DA9" w:rsidRDefault="00372A77" w:rsidP="00DC1608">
            <w:pPr>
              <w:pStyle w:val="Tabletext"/>
              <w:spacing w:before="120"/>
              <w:rPr>
                <w:sz w:val="22"/>
                <w:szCs w:val="22"/>
                <w:lang w:val="fr-FR"/>
              </w:rPr>
            </w:pPr>
            <w:r w:rsidRPr="00C83DA9">
              <w:rPr>
                <w:sz w:val="22"/>
                <w:szCs w:val="22"/>
                <w:lang w:val="fr-FR"/>
              </w:rPr>
              <w:t xml:space="preserve">Dans la </w:t>
            </w:r>
            <w:r w:rsidRPr="00C83DA9">
              <w:rPr>
                <w:b/>
                <w:bCs/>
                <w:sz w:val="22"/>
                <w:szCs w:val="22"/>
                <w:lang w:val="fr-FR"/>
              </w:rPr>
              <w:t>région des États arabes</w:t>
            </w:r>
            <w:r w:rsidRPr="00C83DA9">
              <w:rPr>
                <w:sz w:val="22"/>
                <w:szCs w:val="22"/>
                <w:lang w:val="fr-FR"/>
              </w:rPr>
              <w:t>, des progrès notables ont été accomplis, notamment l</w:t>
            </w:r>
            <w:r w:rsidR="00456505" w:rsidRPr="00C83DA9">
              <w:rPr>
                <w:sz w:val="22"/>
                <w:szCs w:val="22"/>
                <w:lang w:val="fr-FR"/>
              </w:rPr>
              <w:t>'</w:t>
            </w:r>
            <w:r w:rsidRPr="00C83DA9">
              <w:rPr>
                <w:sz w:val="22"/>
                <w:szCs w:val="22"/>
                <w:lang w:val="fr-FR"/>
              </w:rPr>
              <w:t xml:space="preserve">achèvement des plans NETP aux </w:t>
            </w:r>
            <w:r w:rsidRPr="00C83DA9">
              <w:rPr>
                <w:b/>
                <w:bCs/>
                <w:sz w:val="22"/>
                <w:szCs w:val="22"/>
                <w:lang w:val="fr-FR"/>
              </w:rPr>
              <w:t>Comores</w:t>
            </w:r>
            <w:r w:rsidRPr="00CA734F">
              <w:rPr>
                <w:sz w:val="22"/>
                <w:szCs w:val="22"/>
                <w:lang w:val="fr-FR"/>
              </w:rPr>
              <w:t xml:space="preserve">, </w:t>
            </w:r>
            <w:r w:rsidRPr="00C83DA9">
              <w:rPr>
                <w:sz w:val="22"/>
                <w:szCs w:val="22"/>
                <w:lang w:val="fr-FR"/>
              </w:rPr>
              <w:t>à</w:t>
            </w:r>
            <w:r w:rsidR="00CA734F">
              <w:rPr>
                <w:sz w:val="22"/>
                <w:szCs w:val="22"/>
                <w:lang w:val="fr-FR"/>
              </w:rPr>
              <w:t> </w:t>
            </w:r>
            <w:r w:rsidRPr="00C83DA9">
              <w:rPr>
                <w:b/>
                <w:bCs/>
                <w:sz w:val="22"/>
                <w:szCs w:val="22"/>
                <w:lang w:val="fr-FR"/>
              </w:rPr>
              <w:t>Djibouti</w:t>
            </w:r>
            <w:r w:rsidRPr="00C83DA9">
              <w:rPr>
                <w:sz w:val="22"/>
                <w:szCs w:val="22"/>
                <w:lang w:val="fr-FR"/>
              </w:rPr>
              <w:t xml:space="preserve">, en </w:t>
            </w:r>
            <w:r w:rsidRPr="00C83DA9">
              <w:rPr>
                <w:b/>
                <w:bCs/>
                <w:sz w:val="22"/>
                <w:szCs w:val="22"/>
                <w:lang w:val="fr-FR"/>
              </w:rPr>
              <w:t>Iraq</w:t>
            </w:r>
            <w:r w:rsidRPr="00C83DA9">
              <w:rPr>
                <w:sz w:val="22"/>
                <w:szCs w:val="22"/>
                <w:lang w:val="fr-FR"/>
              </w:rPr>
              <w:t>, en</w:t>
            </w:r>
            <w:r w:rsidRPr="00C83DA9">
              <w:rPr>
                <w:b/>
                <w:bCs/>
                <w:sz w:val="22"/>
                <w:szCs w:val="22"/>
                <w:lang w:val="fr-FR"/>
              </w:rPr>
              <w:t xml:space="preserve"> Libye</w:t>
            </w:r>
            <w:r w:rsidRPr="00C83DA9">
              <w:rPr>
                <w:sz w:val="22"/>
                <w:szCs w:val="22"/>
                <w:lang w:val="fr-FR"/>
              </w:rPr>
              <w:t>, en</w:t>
            </w:r>
            <w:r w:rsidRPr="00C83DA9">
              <w:rPr>
                <w:b/>
                <w:bCs/>
                <w:sz w:val="22"/>
                <w:szCs w:val="22"/>
                <w:lang w:val="fr-FR"/>
              </w:rPr>
              <w:t xml:space="preserve"> Mauritanie</w:t>
            </w:r>
            <w:r w:rsidRPr="00C83DA9">
              <w:rPr>
                <w:sz w:val="22"/>
                <w:szCs w:val="22"/>
                <w:lang w:val="fr-FR"/>
              </w:rPr>
              <w:t>, au</w:t>
            </w:r>
            <w:r w:rsidRPr="00C83DA9">
              <w:rPr>
                <w:b/>
                <w:bCs/>
                <w:sz w:val="22"/>
                <w:szCs w:val="22"/>
                <w:lang w:val="fr-FR"/>
              </w:rPr>
              <w:t xml:space="preserve"> Soudan</w:t>
            </w:r>
            <w:r w:rsidRPr="00C83DA9">
              <w:rPr>
                <w:sz w:val="22"/>
                <w:szCs w:val="22"/>
                <w:lang w:val="fr-FR"/>
              </w:rPr>
              <w:t xml:space="preserve"> et dans l</w:t>
            </w:r>
            <w:r w:rsidR="00456505" w:rsidRPr="00C83DA9">
              <w:rPr>
                <w:sz w:val="22"/>
                <w:szCs w:val="22"/>
                <w:lang w:val="fr-FR"/>
              </w:rPr>
              <w:t>'</w:t>
            </w:r>
            <w:r w:rsidRPr="00C83DA9">
              <w:rPr>
                <w:b/>
                <w:bCs/>
                <w:sz w:val="22"/>
                <w:szCs w:val="22"/>
                <w:lang w:val="fr-FR"/>
              </w:rPr>
              <w:t>État de Palestine</w:t>
            </w:r>
            <w:r w:rsidRPr="00C83DA9">
              <w:rPr>
                <w:sz w:val="22"/>
                <w:szCs w:val="22"/>
                <w:lang w:val="fr-FR"/>
              </w:rPr>
              <w:t>, ainsi que l</w:t>
            </w:r>
            <w:r w:rsidR="00456505" w:rsidRPr="00C83DA9">
              <w:rPr>
                <w:sz w:val="22"/>
                <w:szCs w:val="22"/>
                <w:lang w:val="fr-FR"/>
              </w:rPr>
              <w:t>'</w:t>
            </w:r>
            <w:r w:rsidRPr="00C83DA9">
              <w:rPr>
                <w:sz w:val="22"/>
                <w:szCs w:val="22"/>
                <w:lang w:val="fr-FR"/>
              </w:rPr>
              <w:t>organisation d</w:t>
            </w:r>
            <w:r w:rsidR="00456505" w:rsidRPr="00C83DA9">
              <w:rPr>
                <w:sz w:val="22"/>
                <w:szCs w:val="22"/>
                <w:lang w:val="fr-FR"/>
              </w:rPr>
              <w:t>'</w:t>
            </w:r>
            <w:r w:rsidRPr="00C83DA9">
              <w:rPr>
                <w:sz w:val="22"/>
                <w:szCs w:val="22"/>
                <w:lang w:val="fr-FR"/>
              </w:rPr>
              <w:t>ateliers et de formations en 2024. Les Comores</w:t>
            </w:r>
            <w:r w:rsidRPr="00C83DA9">
              <w:rPr>
                <w:b/>
                <w:bCs/>
                <w:sz w:val="22"/>
                <w:szCs w:val="22"/>
                <w:lang w:val="fr-FR"/>
              </w:rPr>
              <w:t xml:space="preserve"> </w:t>
            </w:r>
            <w:r w:rsidRPr="00C83DA9">
              <w:rPr>
                <w:sz w:val="22"/>
                <w:szCs w:val="22"/>
                <w:lang w:val="fr-FR"/>
              </w:rPr>
              <w:t>et</w:t>
            </w:r>
            <w:r w:rsidRPr="00C83DA9">
              <w:rPr>
                <w:b/>
                <w:bCs/>
                <w:sz w:val="22"/>
                <w:szCs w:val="22"/>
                <w:lang w:val="fr-FR"/>
              </w:rPr>
              <w:t xml:space="preserve"> </w:t>
            </w:r>
            <w:r w:rsidRPr="00C83DA9">
              <w:rPr>
                <w:sz w:val="22"/>
                <w:szCs w:val="22"/>
                <w:lang w:val="fr-FR"/>
              </w:rPr>
              <w:t xml:space="preserve">la </w:t>
            </w:r>
            <w:r w:rsidRPr="00C83DA9">
              <w:rPr>
                <w:b/>
                <w:bCs/>
                <w:sz w:val="22"/>
                <w:szCs w:val="22"/>
                <w:lang w:val="fr-FR"/>
              </w:rPr>
              <w:t>Somalie</w:t>
            </w:r>
            <w:r w:rsidRPr="00C83DA9">
              <w:rPr>
                <w:sz w:val="22"/>
                <w:szCs w:val="22"/>
                <w:lang w:val="fr-FR"/>
              </w:rPr>
              <w:t xml:space="preserve"> ont progressé dans la mise en œuvre des systèmes d</w:t>
            </w:r>
            <w:r w:rsidR="00456505" w:rsidRPr="00C83DA9">
              <w:rPr>
                <w:sz w:val="22"/>
                <w:szCs w:val="22"/>
                <w:lang w:val="fr-FR"/>
              </w:rPr>
              <w:t>'</w:t>
            </w:r>
            <w:r w:rsidRPr="00C83DA9">
              <w:rPr>
                <w:sz w:val="22"/>
                <w:szCs w:val="22"/>
                <w:lang w:val="fr-FR"/>
              </w:rPr>
              <w:t>alerte avancée fondés sur le protocole d</w:t>
            </w:r>
            <w:r w:rsidR="00456505" w:rsidRPr="00C83DA9">
              <w:rPr>
                <w:sz w:val="22"/>
                <w:szCs w:val="22"/>
                <w:lang w:val="fr-FR"/>
              </w:rPr>
              <w:t>'</w:t>
            </w:r>
            <w:r w:rsidRPr="00C83DA9">
              <w:rPr>
                <w:sz w:val="22"/>
                <w:szCs w:val="22"/>
                <w:lang w:val="fr-FR"/>
              </w:rPr>
              <w:t xml:space="preserve">alerte commun et la diffusion cellulaire, tandis que la </w:t>
            </w:r>
            <w:r w:rsidRPr="00C83DA9">
              <w:rPr>
                <w:b/>
                <w:bCs/>
                <w:sz w:val="22"/>
                <w:szCs w:val="22"/>
                <w:lang w:val="fr-FR"/>
              </w:rPr>
              <w:t>Libye</w:t>
            </w:r>
            <w:r w:rsidRPr="00C83DA9">
              <w:rPr>
                <w:sz w:val="22"/>
                <w:szCs w:val="22"/>
                <w:lang w:val="fr-FR"/>
              </w:rPr>
              <w:t xml:space="preserve"> et le </w:t>
            </w:r>
            <w:r w:rsidRPr="00C83DA9">
              <w:rPr>
                <w:b/>
                <w:bCs/>
                <w:sz w:val="22"/>
                <w:szCs w:val="22"/>
                <w:lang w:val="fr-FR"/>
              </w:rPr>
              <w:t>Soudan</w:t>
            </w:r>
            <w:r w:rsidRPr="00C83DA9">
              <w:rPr>
                <w:sz w:val="22"/>
                <w:szCs w:val="22"/>
                <w:lang w:val="fr-FR"/>
              </w:rPr>
              <w:t xml:space="preserve"> ont reçu une assistance technique pour lancer des processus de planification visant à renforcer les cadres pour les systèmes d</w:t>
            </w:r>
            <w:r w:rsidR="00456505" w:rsidRPr="00C83DA9">
              <w:rPr>
                <w:sz w:val="22"/>
                <w:szCs w:val="22"/>
                <w:lang w:val="fr-FR"/>
              </w:rPr>
              <w:t>'</w:t>
            </w:r>
            <w:r w:rsidRPr="00C83DA9">
              <w:rPr>
                <w:sz w:val="22"/>
                <w:szCs w:val="22"/>
                <w:lang w:val="fr-FR"/>
              </w:rPr>
              <w:t>alerte avancée. En outre, le BDT a appuyé une étude de faisabilité sur la diffusion cellulaire et a examiné les cadres politique et réglementaire applicables aux télécommunications d</w:t>
            </w:r>
            <w:r w:rsidR="00456505" w:rsidRPr="00C83DA9">
              <w:rPr>
                <w:sz w:val="22"/>
                <w:szCs w:val="22"/>
                <w:lang w:val="fr-FR"/>
              </w:rPr>
              <w:t>'</w:t>
            </w:r>
            <w:r w:rsidRPr="00C83DA9">
              <w:rPr>
                <w:sz w:val="22"/>
                <w:szCs w:val="22"/>
                <w:lang w:val="fr-FR"/>
              </w:rPr>
              <w:t>urgence en</w:t>
            </w:r>
            <w:r w:rsidRPr="00C83DA9">
              <w:rPr>
                <w:b/>
                <w:bCs/>
                <w:sz w:val="22"/>
                <w:szCs w:val="22"/>
                <w:lang w:val="fr-FR"/>
              </w:rPr>
              <w:t xml:space="preserve"> Somalie</w:t>
            </w:r>
            <w:r w:rsidRPr="00C83DA9">
              <w:rPr>
                <w:sz w:val="22"/>
                <w:szCs w:val="22"/>
                <w:lang w:val="fr-FR"/>
              </w:rPr>
              <w:t>.</w:t>
            </w:r>
          </w:p>
          <w:p w14:paraId="56D11E0D" w14:textId="68724661" w:rsidR="00372A77" w:rsidRPr="00C83DA9" w:rsidRDefault="00372A77" w:rsidP="00DC1608">
            <w:pPr>
              <w:pStyle w:val="Tabletext"/>
              <w:spacing w:before="120"/>
              <w:rPr>
                <w:sz w:val="22"/>
                <w:szCs w:val="22"/>
                <w:lang w:val="fr-FR"/>
              </w:rPr>
            </w:pPr>
            <w:r w:rsidRPr="00C83DA9">
              <w:rPr>
                <w:sz w:val="22"/>
                <w:szCs w:val="22"/>
                <w:lang w:val="fr-FR"/>
              </w:rPr>
              <w:t>En 2025, une étape importante a été franchie lorsque l</w:t>
            </w:r>
            <w:r w:rsidR="00456505" w:rsidRPr="00C83DA9">
              <w:rPr>
                <w:sz w:val="22"/>
                <w:szCs w:val="22"/>
                <w:lang w:val="fr-FR"/>
              </w:rPr>
              <w:t>'</w:t>
            </w:r>
            <w:r w:rsidRPr="00C83DA9">
              <w:rPr>
                <w:b/>
                <w:bCs/>
                <w:sz w:val="22"/>
                <w:szCs w:val="22"/>
                <w:lang w:val="fr-FR"/>
              </w:rPr>
              <w:t>Arabie saoudite</w:t>
            </w:r>
            <w:r w:rsidRPr="00C83DA9">
              <w:rPr>
                <w:sz w:val="22"/>
                <w:szCs w:val="22"/>
                <w:lang w:val="fr-FR"/>
              </w:rPr>
              <w:t xml:space="preserve"> est devenue le 50</w:t>
            </w:r>
            <w:r w:rsidR="00516A11" w:rsidRPr="00C83DA9">
              <w:rPr>
                <w:sz w:val="22"/>
                <w:szCs w:val="22"/>
                <w:lang w:val="fr-FR"/>
              </w:rPr>
              <w:t>èm</w:t>
            </w:r>
            <w:r w:rsidRPr="00C83DA9">
              <w:rPr>
                <w:sz w:val="22"/>
                <w:szCs w:val="22"/>
                <w:lang w:val="fr-FR"/>
              </w:rPr>
              <w:t xml:space="preserve">e État à ratifier la </w:t>
            </w:r>
            <w:hyperlink r:id="rId53" w:history="1">
              <w:r w:rsidRPr="00C83DA9">
                <w:rPr>
                  <w:rStyle w:val="Hyperlink"/>
                  <w:sz w:val="22"/>
                  <w:szCs w:val="22"/>
                  <w:lang w:val="fr-FR"/>
                </w:rPr>
                <w:t>Convention de Tampere</w:t>
              </w:r>
            </w:hyperlink>
            <w:r w:rsidRPr="00C83DA9">
              <w:rPr>
                <w:sz w:val="22"/>
                <w:szCs w:val="22"/>
                <w:lang w:val="fr-FR"/>
              </w:rPr>
              <w:t>. La ratification par l</w:t>
            </w:r>
            <w:r w:rsidR="00456505" w:rsidRPr="00C83DA9">
              <w:rPr>
                <w:sz w:val="22"/>
                <w:szCs w:val="22"/>
                <w:lang w:val="fr-FR"/>
              </w:rPr>
              <w:t>'</w:t>
            </w:r>
            <w:r w:rsidRPr="00C83DA9">
              <w:rPr>
                <w:sz w:val="22"/>
                <w:szCs w:val="22"/>
                <w:lang w:val="fr-FR"/>
              </w:rPr>
              <w:t>Arabie saoudite a marqué une étape cruciale dans l</w:t>
            </w:r>
            <w:r w:rsidR="00456505" w:rsidRPr="00C83DA9">
              <w:rPr>
                <w:sz w:val="22"/>
                <w:szCs w:val="22"/>
                <w:lang w:val="fr-FR"/>
              </w:rPr>
              <w:t>'</w:t>
            </w:r>
            <w:r w:rsidRPr="00C83DA9">
              <w:rPr>
                <w:sz w:val="22"/>
                <w:szCs w:val="22"/>
                <w:lang w:val="fr-FR"/>
              </w:rPr>
              <w:t>amélioration de la préparation aux situations d</w:t>
            </w:r>
            <w:r w:rsidR="00456505" w:rsidRPr="00C83DA9">
              <w:rPr>
                <w:sz w:val="22"/>
                <w:szCs w:val="22"/>
                <w:lang w:val="fr-FR"/>
              </w:rPr>
              <w:t>'</w:t>
            </w:r>
            <w:r w:rsidRPr="00C83DA9">
              <w:rPr>
                <w:sz w:val="22"/>
                <w:szCs w:val="22"/>
                <w:lang w:val="fr-FR"/>
              </w:rPr>
              <w:t>urgence, le renforcement de la résilience et la promotion de réponses humanitaires plus efficaces dans le monde entier.</w:t>
            </w:r>
            <w:hyperlink r:id="rId54"/>
          </w:p>
          <w:p w14:paraId="138DF40E" w14:textId="7AB91B40" w:rsidR="00372A77" w:rsidRPr="00C83DA9" w:rsidRDefault="00372A77" w:rsidP="00DC1608">
            <w:pPr>
              <w:pStyle w:val="Tabletext"/>
              <w:spacing w:before="120"/>
              <w:rPr>
                <w:sz w:val="22"/>
                <w:szCs w:val="22"/>
                <w:lang w:val="fr-FR"/>
              </w:rPr>
            </w:pPr>
            <w:r w:rsidRPr="00C83DA9">
              <w:rPr>
                <w:sz w:val="22"/>
                <w:szCs w:val="22"/>
                <w:lang w:val="fr-FR"/>
              </w:rPr>
              <w:t xml:space="preserve">Dans la </w:t>
            </w:r>
            <w:r w:rsidRPr="00C83DA9">
              <w:rPr>
                <w:b/>
                <w:bCs/>
                <w:sz w:val="22"/>
                <w:szCs w:val="22"/>
                <w:lang w:val="fr-FR"/>
              </w:rPr>
              <w:t>région Europe</w:t>
            </w:r>
            <w:r w:rsidRPr="00C83DA9">
              <w:rPr>
                <w:sz w:val="22"/>
                <w:szCs w:val="22"/>
                <w:lang w:val="fr-FR"/>
              </w:rPr>
              <w:t>, le BDT a appuyé la réalisation d</w:t>
            </w:r>
            <w:r w:rsidR="00456505" w:rsidRPr="00C83DA9">
              <w:rPr>
                <w:sz w:val="22"/>
                <w:szCs w:val="22"/>
                <w:lang w:val="fr-FR"/>
              </w:rPr>
              <w:t>'</w:t>
            </w:r>
            <w:r w:rsidRPr="00C83DA9">
              <w:rPr>
                <w:sz w:val="22"/>
                <w:szCs w:val="22"/>
                <w:lang w:val="fr-FR"/>
              </w:rPr>
              <w:t xml:space="preserve">une étude de faisabilité de la diffusion cellulaire au </w:t>
            </w:r>
            <w:r w:rsidRPr="00C83DA9">
              <w:rPr>
                <w:b/>
                <w:bCs/>
                <w:sz w:val="22"/>
                <w:szCs w:val="22"/>
                <w:lang w:val="fr-FR"/>
              </w:rPr>
              <w:t>Moldova</w:t>
            </w:r>
            <w:r w:rsidRPr="00C83DA9">
              <w:rPr>
                <w:sz w:val="22"/>
                <w:szCs w:val="22"/>
                <w:lang w:val="fr-FR"/>
              </w:rPr>
              <w:t xml:space="preserve">, ce qui a permis de débloquer des fonds pour un déploiement national. En </w:t>
            </w:r>
            <w:r w:rsidRPr="00C83DA9">
              <w:rPr>
                <w:b/>
                <w:bCs/>
                <w:sz w:val="22"/>
                <w:szCs w:val="22"/>
                <w:lang w:val="fr-FR"/>
              </w:rPr>
              <w:t>Géorgie</w:t>
            </w:r>
            <w:r w:rsidRPr="00C83DA9">
              <w:rPr>
                <w:sz w:val="22"/>
                <w:szCs w:val="22"/>
                <w:lang w:val="fr-FR"/>
              </w:rPr>
              <w:t>, le BDT a appuyé l</w:t>
            </w:r>
            <w:r w:rsidR="00456505" w:rsidRPr="00C83DA9">
              <w:rPr>
                <w:sz w:val="22"/>
                <w:szCs w:val="22"/>
                <w:lang w:val="fr-FR"/>
              </w:rPr>
              <w:t>'</w:t>
            </w:r>
            <w:r w:rsidRPr="00C83DA9">
              <w:rPr>
                <w:sz w:val="22"/>
                <w:szCs w:val="22"/>
                <w:lang w:val="fr-FR"/>
              </w:rPr>
              <w:t xml:space="preserve">intégration des recommandations relatives à la diffusion cellulaire dans le cadre du plan NETP. Dans les </w:t>
            </w:r>
            <w:r w:rsidRPr="00C83DA9">
              <w:rPr>
                <w:b/>
                <w:bCs/>
                <w:sz w:val="22"/>
                <w:szCs w:val="22"/>
                <w:lang w:val="fr-FR"/>
              </w:rPr>
              <w:t>Balkans occidentaux</w:t>
            </w:r>
            <w:r w:rsidRPr="00C83DA9">
              <w:rPr>
                <w:sz w:val="22"/>
                <w:szCs w:val="22"/>
                <w:lang w:val="fr-FR"/>
              </w:rPr>
              <w:t>, l</w:t>
            </w:r>
            <w:r w:rsidR="00456505" w:rsidRPr="00C83DA9">
              <w:rPr>
                <w:sz w:val="22"/>
                <w:szCs w:val="22"/>
                <w:lang w:val="fr-FR"/>
              </w:rPr>
              <w:t>'</w:t>
            </w:r>
            <w:r w:rsidRPr="00C83DA9">
              <w:rPr>
                <w:sz w:val="22"/>
                <w:szCs w:val="22"/>
                <w:lang w:val="fr-FR"/>
              </w:rPr>
              <w:t>UIT a appuyé l</w:t>
            </w:r>
            <w:r w:rsidR="00456505" w:rsidRPr="00C83DA9">
              <w:rPr>
                <w:sz w:val="22"/>
                <w:szCs w:val="22"/>
                <w:lang w:val="fr-FR"/>
              </w:rPr>
              <w:t>'</w:t>
            </w:r>
            <w:r w:rsidRPr="00C83DA9">
              <w:rPr>
                <w:sz w:val="22"/>
                <w:szCs w:val="22"/>
                <w:lang w:val="fr-FR"/>
              </w:rPr>
              <w:t>organisation d</w:t>
            </w:r>
            <w:r w:rsidR="00456505" w:rsidRPr="00C83DA9">
              <w:rPr>
                <w:sz w:val="22"/>
                <w:szCs w:val="22"/>
                <w:lang w:val="fr-FR"/>
              </w:rPr>
              <w:t>'</w:t>
            </w:r>
            <w:r w:rsidRPr="00C83DA9">
              <w:rPr>
                <w:sz w:val="22"/>
                <w:szCs w:val="22"/>
                <w:lang w:val="fr-FR"/>
              </w:rPr>
              <w:t>un programme régional</w:t>
            </w:r>
            <w:r w:rsidR="00CA734F">
              <w:rPr>
                <w:sz w:val="22"/>
                <w:szCs w:val="22"/>
                <w:lang w:val="fr-FR"/>
              </w:rPr>
              <w:t> </w:t>
            </w:r>
            <w:r w:rsidRPr="00C83DA9">
              <w:rPr>
                <w:sz w:val="22"/>
                <w:szCs w:val="22"/>
                <w:lang w:val="fr-FR"/>
              </w:rPr>
              <w:t>d</w:t>
            </w:r>
            <w:r w:rsidR="00456505" w:rsidRPr="00C83DA9">
              <w:rPr>
                <w:sz w:val="22"/>
                <w:szCs w:val="22"/>
                <w:lang w:val="fr-FR"/>
              </w:rPr>
              <w:t>'</w:t>
            </w:r>
            <w:r w:rsidRPr="00C83DA9">
              <w:rPr>
                <w:sz w:val="22"/>
                <w:szCs w:val="22"/>
                <w:lang w:val="fr-FR"/>
              </w:rPr>
              <w:t>accélération qui a permis de renforcer les capacités sous-régionales de diffusion d</w:t>
            </w:r>
            <w:r w:rsidR="00456505" w:rsidRPr="00C83DA9">
              <w:rPr>
                <w:sz w:val="22"/>
                <w:szCs w:val="22"/>
                <w:lang w:val="fr-FR"/>
              </w:rPr>
              <w:t>'</w:t>
            </w:r>
            <w:r w:rsidRPr="00C83DA9">
              <w:rPr>
                <w:sz w:val="22"/>
                <w:szCs w:val="22"/>
                <w:lang w:val="fr-FR"/>
              </w:rPr>
              <w:t xml:space="preserve">alertes avancées en </w:t>
            </w:r>
            <w:r w:rsidRPr="00C83DA9">
              <w:rPr>
                <w:b/>
                <w:bCs/>
                <w:sz w:val="22"/>
                <w:szCs w:val="22"/>
                <w:lang w:val="fr-FR"/>
              </w:rPr>
              <w:t>Albanie</w:t>
            </w:r>
            <w:r w:rsidRPr="00C83DA9">
              <w:rPr>
                <w:sz w:val="22"/>
                <w:szCs w:val="22"/>
                <w:lang w:val="fr-FR"/>
              </w:rPr>
              <w:t>, en</w:t>
            </w:r>
            <w:r w:rsidR="00CA734F">
              <w:rPr>
                <w:sz w:val="22"/>
                <w:szCs w:val="22"/>
                <w:lang w:val="fr-FR"/>
              </w:rPr>
              <w:t> </w:t>
            </w:r>
            <w:r w:rsidRPr="00C83DA9">
              <w:rPr>
                <w:b/>
                <w:bCs/>
                <w:sz w:val="22"/>
                <w:szCs w:val="22"/>
                <w:lang w:val="fr-FR"/>
              </w:rPr>
              <w:t>Bosnie</w:t>
            </w:r>
            <w:r w:rsidR="00DF47CA" w:rsidRPr="00C83DA9">
              <w:rPr>
                <w:b/>
                <w:bCs/>
                <w:sz w:val="22"/>
                <w:szCs w:val="22"/>
                <w:lang w:val="fr-FR"/>
              </w:rPr>
              <w:noBreakHyphen/>
            </w:r>
            <w:r w:rsidRPr="00C83DA9">
              <w:rPr>
                <w:b/>
                <w:bCs/>
                <w:sz w:val="22"/>
                <w:szCs w:val="22"/>
                <w:lang w:val="fr-FR"/>
              </w:rPr>
              <w:t>Herzégovine</w:t>
            </w:r>
            <w:r w:rsidRPr="00C83DA9">
              <w:rPr>
                <w:sz w:val="22"/>
                <w:szCs w:val="22"/>
                <w:lang w:val="fr-FR"/>
              </w:rPr>
              <w:t>, au</w:t>
            </w:r>
            <w:r w:rsidRPr="00C83DA9">
              <w:rPr>
                <w:b/>
                <w:bCs/>
                <w:sz w:val="22"/>
                <w:szCs w:val="22"/>
                <w:lang w:val="fr-FR"/>
              </w:rPr>
              <w:t xml:space="preserve"> Monténégro</w:t>
            </w:r>
            <w:r w:rsidRPr="00C83DA9">
              <w:rPr>
                <w:sz w:val="22"/>
                <w:szCs w:val="22"/>
                <w:lang w:val="fr-FR"/>
              </w:rPr>
              <w:t>, en</w:t>
            </w:r>
            <w:r w:rsidRPr="00C83DA9">
              <w:rPr>
                <w:b/>
                <w:bCs/>
                <w:sz w:val="22"/>
                <w:szCs w:val="22"/>
                <w:lang w:val="fr-FR"/>
              </w:rPr>
              <w:t xml:space="preserve"> Macédoine du Nord</w:t>
            </w:r>
            <w:r w:rsidRPr="00C83DA9">
              <w:rPr>
                <w:sz w:val="22"/>
                <w:szCs w:val="22"/>
                <w:lang w:val="fr-FR"/>
              </w:rPr>
              <w:t xml:space="preserve"> et en </w:t>
            </w:r>
            <w:r w:rsidRPr="00C83DA9">
              <w:rPr>
                <w:b/>
                <w:bCs/>
                <w:sz w:val="22"/>
                <w:szCs w:val="22"/>
                <w:lang w:val="fr-FR"/>
              </w:rPr>
              <w:t>Serbie</w:t>
            </w:r>
            <w:r w:rsidRPr="00C83DA9">
              <w:rPr>
                <w:sz w:val="22"/>
                <w:szCs w:val="22"/>
                <w:lang w:val="fr-FR"/>
              </w:rPr>
              <w:t xml:space="preserve">. Les ateliers ont permis de fournir des méthodes pour harmoniser les politiques, la réglementation et la mise en œuvre technique, afin de promouvoir les avancées collectives dans la diffusion des alertes avancées. En 2025, le </w:t>
            </w:r>
            <w:r w:rsidRPr="00C83DA9">
              <w:rPr>
                <w:b/>
                <w:bCs/>
                <w:sz w:val="22"/>
                <w:szCs w:val="22"/>
                <w:lang w:val="fr-FR"/>
              </w:rPr>
              <w:t>Monténégro</w:t>
            </w:r>
            <w:r w:rsidRPr="00C83DA9">
              <w:rPr>
                <w:sz w:val="22"/>
                <w:szCs w:val="22"/>
                <w:lang w:val="fr-FR"/>
              </w:rPr>
              <w:t xml:space="preserve"> et la </w:t>
            </w:r>
            <w:r w:rsidRPr="00C83DA9">
              <w:rPr>
                <w:b/>
                <w:bCs/>
                <w:sz w:val="22"/>
                <w:szCs w:val="22"/>
                <w:lang w:val="fr-FR"/>
              </w:rPr>
              <w:t>Macédoine du Nord</w:t>
            </w:r>
            <w:r w:rsidRPr="00C83DA9">
              <w:rPr>
                <w:sz w:val="22"/>
                <w:szCs w:val="22"/>
                <w:lang w:val="fr-FR"/>
              </w:rPr>
              <w:t xml:space="preserve"> ont progressé dans la réalisation d</w:t>
            </w:r>
            <w:r w:rsidR="00456505" w:rsidRPr="00C83DA9">
              <w:rPr>
                <w:sz w:val="22"/>
                <w:szCs w:val="22"/>
                <w:lang w:val="fr-FR"/>
              </w:rPr>
              <w:t>'</w:t>
            </w:r>
            <w:r w:rsidRPr="00C83DA9">
              <w:rPr>
                <w:sz w:val="22"/>
                <w:szCs w:val="22"/>
                <w:lang w:val="fr-FR"/>
              </w:rPr>
              <w:t>études de faisabilité sur les systèmes de diffusion cellulaire, faisant de cette sous-région un chef de file pour la résilience coordonnée.</w:t>
            </w:r>
          </w:p>
          <w:p w14:paraId="5426E436" w14:textId="11FD7171" w:rsidR="00372A77" w:rsidRPr="00C83DA9" w:rsidRDefault="00372A77" w:rsidP="00DC1608">
            <w:pPr>
              <w:pStyle w:val="Tabletext"/>
              <w:spacing w:before="120"/>
              <w:rPr>
                <w:sz w:val="22"/>
                <w:szCs w:val="22"/>
                <w:lang w:val="fr-FR"/>
              </w:rPr>
            </w:pPr>
            <w:r w:rsidRPr="00C83DA9">
              <w:rPr>
                <w:sz w:val="22"/>
                <w:szCs w:val="22"/>
                <w:lang w:val="fr-FR"/>
              </w:rPr>
              <w:t xml:space="preserve">Dans la </w:t>
            </w:r>
            <w:r w:rsidRPr="00C83DA9">
              <w:rPr>
                <w:b/>
                <w:bCs/>
                <w:sz w:val="22"/>
                <w:szCs w:val="22"/>
                <w:lang w:val="fr-FR"/>
              </w:rPr>
              <w:t xml:space="preserve">Communauté des </w:t>
            </w:r>
            <w:r w:rsidR="00C726F9" w:rsidRPr="00C83DA9">
              <w:rPr>
                <w:b/>
                <w:bCs/>
                <w:sz w:val="22"/>
                <w:szCs w:val="22"/>
                <w:lang w:val="fr-FR"/>
              </w:rPr>
              <w:t>É</w:t>
            </w:r>
            <w:r w:rsidRPr="00C83DA9">
              <w:rPr>
                <w:b/>
                <w:bCs/>
                <w:sz w:val="22"/>
                <w:szCs w:val="22"/>
                <w:lang w:val="fr-FR"/>
              </w:rPr>
              <w:t>tats indépendants (CEI)</w:t>
            </w:r>
            <w:r w:rsidRPr="00C83DA9">
              <w:rPr>
                <w:sz w:val="22"/>
                <w:szCs w:val="22"/>
                <w:lang w:val="fr-FR"/>
              </w:rPr>
              <w:t xml:space="preserve">, le </w:t>
            </w:r>
            <w:r w:rsidRPr="00C83DA9">
              <w:rPr>
                <w:b/>
                <w:bCs/>
                <w:sz w:val="22"/>
                <w:szCs w:val="22"/>
                <w:lang w:val="fr-FR"/>
              </w:rPr>
              <w:t>Tadjikistan</w:t>
            </w:r>
            <w:r w:rsidRPr="00C83DA9">
              <w:rPr>
                <w:sz w:val="22"/>
                <w:szCs w:val="22"/>
                <w:lang w:val="fr-FR"/>
              </w:rPr>
              <w:t xml:space="preserve"> a lancé la première feuille de route EW4A</w:t>
            </w:r>
            <w:r w:rsidR="00CA734F">
              <w:rPr>
                <w:sz w:val="22"/>
                <w:szCs w:val="22"/>
                <w:lang w:val="fr-FR"/>
              </w:rPr>
              <w:t>ll</w:t>
            </w:r>
            <w:r w:rsidRPr="00C83DA9">
              <w:rPr>
                <w:sz w:val="22"/>
                <w:szCs w:val="22"/>
                <w:lang w:val="fr-FR"/>
              </w:rPr>
              <w:t xml:space="preserve"> de la région, dans le cadre d</w:t>
            </w:r>
            <w:r w:rsidR="00456505" w:rsidRPr="00C83DA9">
              <w:rPr>
                <w:sz w:val="22"/>
                <w:szCs w:val="22"/>
                <w:lang w:val="fr-FR"/>
              </w:rPr>
              <w:t>'</w:t>
            </w:r>
            <w:r w:rsidRPr="00C83DA9">
              <w:rPr>
                <w:sz w:val="22"/>
                <w:szCs w:val="22"/>
                <w:lang w:val="fr-FR"/>
              </w:rPr>
              <w:t>une consultation de haut niveau présidée par le Vice-Premier Ministre et le Coordonnateur résident des Nations Unies, faisant ainsi fonction de modèle à suivre.</w:t>
            </w:r>
          </w:p>
          <w:p w14:paraId="713D781B" w14:textId="4AE05684" w:rsidR="00372A77" w:rsidRPr="00C83DA9" w:rsidRDefault="00372A77" w:rsidP="00BD7039">
            <w:pPr>
              <w:pStyle w:val="Tabletext"/>
              <w:spacing w:before="120"/>
              <w:rPr>
                <w:sz w:val="22"/>
                <w:szCs w:val="22"/>
                <w:lang w:val="fr-FR"/>
              </w:rPr>
            </w:pPr>
            <w:r w:rsidRPr="00C83DA9">
              <w:rPr>
                <w:sz w:val="22"/>
                <w:szCs w:val="22"/>
                <w:lang w:val="fr-FR"/>
              </w:rPr>
              <w:t>Les trois années écoulées ont montré que les télécommunications d</w:t>
            </w:r>
            <w:r w:rsidR="00456505" w:rsidRPr="00C83DA9">
              <w:rPr>
                <w:sz w:val="22"/>
                <w:szCs w:val="22"/>
                <w:lang w:val="fr-FR"/>
              </w:rPr>
              <w:t>'</w:t>
            </w:r>
            <w:r w:rsidRPr="00C83DA9">
              <w:rPr>
                <w:sz w:val="22"/>
                <w:szCs w:val="22"/>
                <w:lang w:val="fr-FR"/>
              </w:rPr>
              <w:t>urgence étaient un élément essentiel de la résilience nationale et régionale. Grâce à des outils tels que la carte DCM, la carte de connectivité pour l</w:t>
            </w:r>
            <w:r w:rsidR="00456505" w:rsidRPr="00C83DA9">
              <w:rPr>
                <w:sz w:val="22"/>
                <w:szCs w:val="22"/>
                <w:lang w:val="fr-FR"/>
              </w:rPr>
              <w:t>'</w:t>
            </w:r>
            <w:r w:rsidRPr="00C83DA9">
              <w:rPr>
                <w:sz w:val="22"/>
                <w:szCs w:val="22"/>
                <w:lang w:val="fr-FR"/>
              </w:rPr>
              <w:t>alerte avancée et les plates-formes de prévision fondées sur l</w:t>
            </w:r>
            <w:r w:rsidR="00456505" w:rsidRPr="00C83DA9">
              <w:rPr>
                <w:sz w:val="22"/>
                <w:szCs w:val="22"/>
                <w:lang w:val="fr-FR"/>
              </w:rPr>
              <w:t>'</w:t>
            </w:r>
            <w:r w:rsidRPr="00C83DA9">
              <w:rPr>
                <w:sz w:val="22"/>
                <w:szCs w:val="22"/>
                <w:lang w:val="fr-FR"/>
              </w:rPr>
              <w:t>IA, le BDT a permis aux gouvernements d</w:t>
            </w:r>
            <w:r w:rsidR="00456505" w:rsidRPr="00C83DA9">
              <w:rPr>
                <w:sz w:val="22"/>
                <w:szCs w:val="22"/>
                <w:lang w:val="fr-FR"/>
              </w:rPr>
              <w:t>'</w:t>
            </w:r>
            <w:r w:rsidRPr="00C83DA9">
              <w:rPr>
                <w:sz w:val="22"/>
                <w:szCs w:val="22"/>
                <w:lang w:val="fr-FR"/>
              </w:rPr>
              <w:t>anticiper les risques et d</w:t>
            </w:r>
            <w:r w:rsidR="00456505" w:rsidRPr="00C83DA9">
              <w:rPr>
                <w:sz w:val="22"/>
                <w:szCs w:val="22"/>
                <w:lang w:val="fr-FR"/>
              </w:rPr>
              <w:t>'</w:t>
            </w:r>
            <w:r w:rsidRPr="00C83DA9">
              <w:rPr>
                <w:sz w:val="22"/>
                <w:szCs w:val="22"/>
                <w:lang w:val="fr-FR"/>
              </w:rPr>
              <w:t>agir avec une plus grande précision. Le développement de plans NETP et de plates-formes satellitaires prépositionnées permet de garantir que les réponses ne sont pas improvisées, mais plutôt fondées sur des cadres éprouvés et des systèmes de déploiement rapide. Dans toutes les régions, les pays ont démontré que lorsque, les normes mondiales sont adaptées aux réalités locales, les systèmes d</w:t>
            </w:r>
            <w:r w:rsidR="00456505" w:rsidRPr="00C83DA9">
              <w:rPr>
                <w:sz w:val="22"/>
                <w:szCs w:val="22"/>
                <w:lang w:val="fr-FR"/>
              </w:rPr>
              <w:t>'</w:t>
            </w:r>
            <w:r w:rsidRPr="00C83DA9">
              <w:rPr>
                <w:sz w:val="22"/>
                <w:szCs w:val="22"/>
                <w:lang w:val="fr-FR"/>
              </w:rPr>
              <w:t xml:space="preserve">alerte avancée peuvent devenir à la fois inclusifs et efficaces. En </w:t>
            </w:r>
            <w:r w:rsidRPr="00C83DA9">
              <w:rPr>
                <w:b/>
                <w:bCs/>
                <w:sz w:val="22"/>
                <w:szCs w:val="22"/>
                <w:lang w:val="fr-FR"/>
              </w:rPr>
              <w:t>Afrique</w:t>
            </w:r>
            <w:r w:rsidRPr="00C83DA9">
              <w:rPr>
                <w:sz w:val="22"/>
                <w:szCs w:val="22"/>
                <w:lang w:val="fr-FR"/>
              </w:rPr>
              <w:t>, les feuilles de route pour les systèmes d</w:t>
            </w:r>
            <w:r w:rsidR="00456505" w:rsidRPr="00C83DA9">
              <w:rPr>
                <w:sz w:val="22"/>
                <w:szCs w:val="22"/>
                <w:lang w:val="fr-FR"/>
              </w:rPr>
              <w:t>'</w:t>
            </w:r>
            <w:r w:rsidRPr="00C83DA9">
              <w:rPr>
                <w:sz w:val="22"/>
                <w:szCs w:val="22"/>
                <w:lang w:val="fr-FR"/>
              </w:rPr>
              <w:t xml:space="preserve">alerte avancée ont été intégrées dans les stratégies continentales. Des solutions adaptées aux vulnérabilités des îles ont été mises au point dans la région </w:t>
            </w:r>
            <w:r w:rsidRPr="00C83DA9">
              <w:rPr>
                <w:b/>
                <w:bCs/>
                <w:sz w:val="22"/>
                <w:szCs w:val="22"/>
                <w:lang w:val="fr-FR"/>
              </w:rPr>
              <w:t>Asie</w:t>
            </w:r>
            <w:r w:rsidR="00305834" w:rsidRPr="00C83DA9">
              <w:rPr>
                <w:b/>
                <w:bCs/>
                <w:sz w:val="22"/>
                <w:szCs w:val="22"/>
                <w:lang w:val="fr-FR"/>
              </w:rPr>
              <w:noBreakHyphen/>
            </w:r>
            <w:r w:rsidRPr="00C83DA9">
              <w:rPr>
                <w:b/>
                <w:bCs/>
                <w:sz w:val="22"/>
                <w:szCs w:val="22"/>
                <w:lang w:val="fr-FR"/>
              </w:rPr>
              <w:t>Pacifique</w:t>
            </w:r>
            <w:r w:rsidRPr="00C83DA9">
              <w:rPr>
                <w:sz w:val="22"/>
                <w:szCs w:val="22"/>
                <w:lang w:val="fr-FR"/>
              </w:rPr>
              <w:t xml:space="preserve">. Les interventions en cas de </w:t>
            </w:r>
            <w:r w:rsidRPr="00C83DA9">
              <w:rPr>
                <w:sz w:val="22"/>
                <w:szCs w:val="22"/>
                <w:lang w:val="fr-FR"/>
              </w:rPr>
              <w:lastRenderedPageBreak/>
              <w:t xml:space="preserve">catastrophe ont été associées à une réforme plus large des politiques en matière de TIC dans la région </w:t>
            </w:r>
            <w:r w:rsidRPr="00C83DA9">
              <w:rPr>
                <w:b/>
                <w:bCs/>
                <w:sz w:val="22"/>
                <w:szCs w:val="22"/>
                <w:lang w:val="fr-FR"/>
              </w:rPr>
              <w:t>Amériques</w:t>
            </w:r>
            <w:r w:rsidRPr="00C83DA9">
              <w:rPr>
                <w:sz w:val="22"/>
                <w:szCs w:val="22"/>
                <w:lang w:val="fr-FR"/>
              </w:rPr>
              <w:t>. Les pays de la</w:t>
            </w:r>
            <w:r w:rsidR="00BD7039" w:rsidRPr="00C83DA9">
              <w:rPr>
                <w:sz w:val="22"/>
                <w:szCs w:val="22"/>
                <w:lang w:val="fr-FR"/>
              </w:rPr>
              <w:t xml:space="preserve"> </w:t>
            </w:r>
            <w:r w:rsidRPr="00C83DA9">
              <w:rPr>
                <w:b/>
                <w:bCs/>
                <w:sz w:val="22"/>
                <w:szCs w:val="22"/>
                <w:lang w:val="fr-FR"/>
              </w:rPr>
              <w:t>région des États arabes</w:t>
            </w:r>
            <w:r w:rsidRPr="00C83DA9">
              <w:rPr>
                <w:sz w:val="22"/>
                <w:szCs w:val="22"/>
                <w:lang w:val="fr-FR"/>
              </w:rPr>
              <w:t xml:space="preserve"> ont intégré la résilience dans leurs programmes de diversification. Dans la région </w:t>
            </w:r>
            <w:r w:rsidRPr="00C83DA9">
              <w:rPr>
                <w:b/>
                <w:bCs/>
                <w:sz w:val="22"/>
                <w:szCs w:val="22"/>
                <w:lang w:val="fr-FR"/>
              </w:rPr>
              <w:t>Europe</w:t>
            </w:r>
            <w:r w:rsidRPr="00C83DA9">
              <w:rPr>
                <w:sz w:val="22"/>
                <w:szCs w:val="22"/>
                <w:lang w:val="fr-FR"/>
              </w:rPr>
              <w:t>, des approches sous</w:t>
            </w:r>
            <w:r w:rsidR="00DF47CA" w:rsidRPr="00C83DA9">
              <w:rPr>
                <w:sz w:val="22"/>
                <w:szCs w:val="22"/>
                <w:lang w:val="fr-FR"/>
              </w:rPr>
              <w:noBreakHyphen/>
            </w:r>
            <w:r w:rsidRPr="00C83DA9">
              <w:rPr>
                <w:sz w:val="22"/>
                <w:szCs w:val="22"/>
                <w:lang w:val="fr-FR"/>
              </w:rPr>
              <w:t xml:space="preserve">régionales harmonisées ont progressé. Les </w:t>
            </w:r>
            <w:r w:rsidRPr="00C83DA9">
              <w:rPr>
                <w:b/>
                <w:bCs/>
                <w:sz w:val="22"/>
                <w:szCs w:val="22"/>
                <w:lang w:val="fr-FR"/>
              </w:rPr>
              <w:t>pays de la CEI</w:t>
            </w:r>
            <w:r w:rsidRPr="00C83DA9">
              <w:rPr>
                <w:sz w:val="22"/>
                <w:szCs w:val="22"/>
                <w:lang w:val="fr-FR"/>
              </w:rPr>
              <w:t xml:space="preserve"> ont institutionnalisé des feuilles de route sur les systèmes d</w:t>
            </w:r>
            <w:r w:rsidR="00456505" w:rsidRPr="00C83DA9">
              <w:rPr>
                <w:sz w:val="22"/>
                <w:szCs w:val="22"/>
                <w:lang w:val="fr-FR"/>
              </w:rPr>
              <w:t>'</w:t>
            </w:r>
            <w:r w:rsidRPr="00C83DA9">
              <w:rPr>
                <w:sz w:val="22"/>
                <w:szCs w:val="22"/>
                <w:lang w:val="fr-FR"/>
              </w:rPr>
              <w:t>alerte avancée aux niveaux national et municipal.</w:t>
            </w:r>
          </w:p>
          <w:p w14:paraId="3FE028F8" w14:textId="582D663F" w:rsidR="00372A77" w:rsidRPr="00C83DA9" w:rsidRDefault="00372A77" w:rsidP="00DC1608">
            <w:pPr>
              <w:pStyle w:val="Tabletext"/>
              <w:spacing w:before="120" w:after="120"/>
              <w:rPr>
                <w:b/>
                <w:sz w:val="22"/>
                <w:szCs w:val="22"/>
                <w:lang w:val="fr-FR"/>
              </w:rPr>
            </w:pPr>
            <w:r w:rsidRPr="00C83DA9">
              <w:rPr>
                <w:sz w:val="22"/>
                <w:szCs w:val="22"/>
                <w:lang w:val="fr-FR"/>
              </w:rPr>
              <w:t>En dotant les États Membres d</w:t>
            </w:r>
            <w:r w:rsidR="00456505" w:rsidRPr="00C83DA9">
              <w:rPr>
                <w:sz w:val="22"/>
                <w:szCs w:val="22"/>
                <w:lang w:val="fr-FR"/>
              </w:rPr>
              <w:t>'</w:t>
            </w:r>
            <w:r w:rsidRPr="00C83DA9">
              <w:rPr>
                <w:sz w:val="22"/>
                <w:szCs w:val="22"/>
                <w:lang w:val="fr-FR"/>
              </w:rPr>
              <w:t>outils pratiques et de plates-formes de collaboration et en renforçant leurs capacités, le BDT a fait en sorte que les télécommunications d</w:t>
            </w:r>
            <w:r w:rsidR="00456505" w:rsidRPr="00C83DA9">
              <w:rPr>
                <w:sz w:val="22"/>
                <w:szCs w:val="22"/>
                <w:lang w:val="fr-FR"/>
              </w:rPr>
              <w:t>'</w:t>
            </w:r>
            <w:r w:rsidRPr="00C83DA9">
              <w:rPr>
                <w:sz w:val="22"/>
                <w:szCs w:val="22"/>
                <w:lang w:val="fr-FR"/>
              </w:rPr>
              <w:t>urgence s</w:t>
            </w:r>
            <w:r w:rsidR="00456505" w:rsidRPr="00C83DA9">
              <w:rPr>
                <w:sz w:val="22"/>
                <w:szCs w:val="22"/>
                <w:lang w:val="fr-FR"/>
              </w:rPr>
              <w:t>'</w:t>
            </w:r>
            <w:r w:rsidRPr="00C83DA9">
              <w:rPr>
                <w:sz w:val="22"/>
                <w:szCs w:val="22"/>
                <w:lang w:val="fr-FR"/>
              </w:rPr>
              <w:t>imposent comme le pilier de la transformation numérique durable, afin de permettre aux communautés de résister face aux catastrophes, de réagir sans délai et de se rétablir plus rapidement.</w:t>
            </w:r>
          </w:p>
        </w:tc>
        <w:tc>
          <w:tcPr>
            <w:tcW w:w="2540" w:type="dxa"/>
          </w:tcPr>
          <w:p w14:paraId="159095FA" w14:textId="1E8F0272" w:rsidR="00372A77" w:rsidRPr="00C83DA9" w:rsidRDefault="00372A77" w:rsidP="00943D45">
            <w:pPr>
              <w:pStyle w:val="Tabletext"/>
              <w:rPr>
                <w:b/>
                <w:bCs/>
                <w:color w:val="0070C0"/>
                <w:sz w:val="22"/>
                <w:szCs w:val="22"/>
                <w:lang w:val="fr-FR"/>
              </w:rPr>
            </w:pPr>
            <w:r w:rsidRPr="00C83DA9">
              <w:rPr>
                <w:b/>
                <w:bCs/>
                <w:color w:val="0070C0"/>
                <w:sz w:val="22"/>
                <w:szCs w:val="22"/>
                <w:lang w:val="fr-FR"/>
              </w:rPr>
              <w:lastRenderedPageBreak/>
              <w:t>Plans nationaux pour les télécommunications d</w:t>
            </w:r>
            <w:r w:rsidR="00456505" w:rsidRPr="00C83DA9">
              <w:rPr>
                <w:b/>
                <w:bCs/>
                <w:color w:val="0070C0"/>
                <w:sz w:val="22"/>
                <w:szCs w:val="22"/>
                <w:lang w:val="fr-FR"/>
              </w:rPr>
              <w:t>'</w:t>
            </w:r>
            <w:r w:rsidRPr="00C83DA9">
              <w:rPr>
                <w:b/>
                <w:bCs/>
                <w:color w:val="0070C0"/>
                <w:sz w:val="22"/>
                <w:szCs w:val="22"/>
                <w:lang w:val="fr-FR"/>
              </w:rPr>
              <w:t>urgence (NETP):</w:t>
            </w:r>
          </w:p>
          <w:p w14:paraId="66D6502A" w14:textId="2156F7B5" w:rsidR="00372A77" w:rsidRPr="00C83DA9" w:rsidRDefault="000726BA" w:rsidP="00F80279">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0032151A" w:rsidRPr="00C83DA9">
              <w:rPr>
                <w:color w:val="1F497D"/>
                <w:sz w:val="22"/>
                <w:szCs w:val="22"/>
                <w:lang w:val="fr-FR"/>
              </w:rPr>
              <w:tab/>
            </w:r>
            <w:r w:rsidR="00372A77" w:rsidRPr="00C83DA9">
              <w:rPr>
                <w:color w:val="1F497D"/>
                <w:sz w:val="22"/>
                <w:szCs w:val="22"/>
                <w:lang w:val="fr-FR"/>
              </w:rPr>
              <w:t>25 plans NETP élaborés. 2</w:t>
            </w:r>
            <w:r w:rsidR="00F80279" w:rsidRPr="00C83DA9">
              <w:rPr>
                <w:color w:val="1F497D"/>
                <w:sz w:val="22"/>
                <w:szCs w:val="22"/>
                <w:lang w:val="fr-FR"/>
              </w:rPr>
              <w:t> </w:t>
            </w:r>
            <w:r w:rsidR="00372A77" w:rsidRPr="00C83DA9">
              <w:rPr>
                <w:color w:val="1F497D"/>
                <w:sz w:val="22"/>
                <w:szCs w:val="22"/>
                <w:lang w:val="fr-FR"/>
              </w:rPr>
              <w:t>modèles régionaux; 1</w:t>
            </w:r>
            <w:r w:rsidR="00F80279" w:rsidRPr="00C83DA9">
              <w:rPr>
                <w:color w:val="1F497D"/>
                <w:sz w:val="22"/>
                <w:szCs w:val="22"/>
                <w:lang w:val="fr-FR"/>
              </w:rPr>
              <w:t> </w:t>
            </w:r>
            <w:r w:rsidR="00372A77" w:rsidRPr="00C83DA9">
              <w:rPr>
                <w:color w:val="1F497D"/>
                <w:sz w:val="22"/>
                <w:szCs w:val="22"/>
                <w:lang w:val="fr-FR"/>
              </w:rPr>
              <w:t>pour la SADC et 1 pour l</w:t>
            </w:r>
            <w:r w:rsidR="00456505" w:rsidRPr="00C83DA9">
              <w:rPr>
                <w:color w:val="1F497D"/>
                <w:sz w:val="22"/>
                <w:szCs w:val="22"/>
                <w:lang w:val="fr-FR"/>
              </w:rPr>
              <w:t>'</w:t>
            </w:r>
            <w:r w:rsidR="00372A77" w:rsidRPr="00C83DA9">
              <w:rPr>
                <w:color w:val="1F497D"/>
                <w:sz w:val="22"/>
                <w:szCs w:val="22"/>
                <w:lang w:val="fr-FR"/>
              </w:rPr>
              <w:t>Afrique de l</w:t>
            </w:r>
            <w:r w:rsidR="00456505" w:rsidRPr="00C83DA9">
              <w:rPr>
                <w:color w:val="1F497D"/>
                <w:sz w:val="22"/>
                <w:szCs w:val="22"/>
                <w:lang w:val="fr-FR"/>
              </w:rPr>
              <w:t>'</w:t>
            </w:r>
            <w:r w:rsidR="00372A77" w:rsidRPr="00C83DA9">
              <w:rPr>
                <w:color w:val="1F497D"/>
                <w:sz w:val="22"/>
                <w:szCs w:val="22"/>
                <w:lang w:val="fr-FR"/>
              </w:rPr>
              <w:t>Ouest</w:t>
            </w:r>
            <w:r w:rsidR="006A09B8" w:rsidRPr="00C83DA9">
              <w:rPr>
                <w:color w:val="1F497D"/>
                <w:sz w:val="22"/>
                <w:szCs w:val="22"/>
                <w:lang w:val="fr-FR"/>
              </w:rPr>
              <w:t>.</w:t>
            </w:r>
          </w:p>
          <w:p w14:paraId="46CE4BE0" w14:textId="174BFA7D" w:rsidR="00372A77" w:rsidRPr="00C83DA9" w:rsidRDefault="000726BA" w:rsidP="006A09B8">
            <w:pPr>
              <w:pStyle w:val="enumlev1"/>
              <w:tabs>
                <w:tab w:val="clear" w:pos="1134"/>
                <w:tab w:val="left" w:pos="356"/>
              </w:tabs>
              <w:spacing w:before="40" w:after="40"/>
              <w:ind w:left="386" w:right="-117"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Afrique</w:t>
            </w:r>
            <w:r w:rsidR="00372A77" w:rsidRPr="00C83DA9">
              <w:rPr>
                <w:sz w:val="22"/>
                <w:szCs w:val="22"/>
                <w:lang w:val="fr-FR"/>
              </w:rPr>
              <w:t>:</w:t>
            </w:r>
            <w:r w:rsidR="00372A77" w:rsidRPr="00C83DA9">
              <w:rPr>
                <w:color w:val="1F497D"/>
                <w:sz w:val="22"/>
                <w:szCs w:val="22"/>
                <w:lang w:val="fr-FR"/>
              </w:rPr>
              <w:t xml:space="preserve"> SADC et Cabo</w:t>
            </w:r>
            <w:r w:rsidR="009C2C5F" w:rsidRPr="00C83DA9">
              <w:rPr>
                <w:color w:val="1F497D"/>
                <w:sz w:val="22"/>
                <w:szCs w:val="22"/>
                <w:lang w:val="fr-FR"/>
              </w:rPr>
              <w:t> </w:t>
            </w:r>
            <w:r w:rsidR="00372A77" w:rsidRPr="00C83DA9">
              <w:rPr>
                <w:color w:val="1F497D"/>
                <w:sz w:val="22"/>
                <w:szCs w:val="22"/>
                <w:lang w:val="fr-FR"/>
              </w:rPr>
              <w:t>Verde, Gambie, Guinée, Guinée</w:t>
            </w:r>
            <w:r w:rsidR="00DF47CA" w:rsidRPr="00C83DA9">
              <w:rPr>
                <w:color w:val="1F497D"/>
                <w:sz w:val="22"/>
                <w:szCs w:val="22"/>
                <w:lang w:val="fr-FR"/>
              </w:rPr>
              <w:noBreakHyphen/>
            </w:r>
            <w:r w:rsidR="00372A77" w:rsidRPr="00C83DA9">
              <w:rPr>
                <w:color w:val="1F497D"/>
                <w:sz w:val="22"/>
                <w:szCs w:val="22"/>
                <w:lang w:val="fr-FR"/>
              </w:rPr>
              <w:t>Bissau, Libéria, Mauritanie, Sénégal</w:t>
            </w:r>
            <w:r w:rsidR="006A09B8" w:rsidRPr="00C83DA9">
              <w:rPr>
                <w:color w:val="1F497D"/>
                <w:sz w:val="22"/>
                <w:szCs w:val="22"/>
                <w:lang w:val="fr-FR"/>
              </w:rPr>
              <w:t>.</w:t>
            </w:r>
          </w:p>
          <w:p w14:paraId="7341AA70" w14:textId="1C2300F2" w:rsidR="00372A77" w:rsidRPr="00C83DA9" w:rsidRDefault="000726BA" w:rsidP="006A09B8">
            <w:pPr>
              <w:pStyle w:val="enumlev1"/>
              <w:tabs>
                <w:tab w:val="clear" w:pos="1134"/>
                <w:tab w:val="left" w:pos="356"/>
              </w:tabs>
              <w:spacing w:before="40" w:after="40"/>
              <w:ind w:left="386" w:right="-117"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États arabes</w:t>
            </w:r>
            <w:r w:rsidR="00372A77" w:rsidRPr="00C83DA9">
              <w:rPr>
                <w:sz w:val="22"/>
                <w:szCs w:val="22"/>
                <w:lang w:val="fr-FR"/>
              </w:rPr>
              <w:t>:</w:t>
            </w:r>
            <w:r w:rsidR="00372A77" w:rsidRPr="00C83DA9">
              <w:rPr>
                <w:color w:val="1F497D"/>
                <w:sz w:val="22"/>
                <w:szCs w:val="22"/>
                <w:lang w:val="fr-FR"/>
              </w:rPr>
              <w:t xml:space="preserve"> Comores, Djibouti, Libye, Mauritanie</w:t>
            </w:r>
            <w:r w:rsidR="006A09B8" w:rsidRPr="00C83DA9">
              <w:rPr>
                <w:color w:val="1F497D"/>
                <w:sz w:val="22"/>
                <w:szCs w:val="22"/>
                <w:lang w:val="fr-FR"/>
              </w:rPr>
              <w:t>.</w:t>
            </w:r>
          </w:p>
          <w:p w14:paraId="39347144" w14:textId="2E3E722F" w:rsidR="00372A77" w:rsidRPr="00C83DA9" w:rsidRDefault="000726BA" w:rsidP="00F80279">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Asie-Pacifique</w:t>
            </w:r>
            <w:r w:rsidR="00372A77" w:rsidRPr="00C83DA9">
              <w:rPr>
                <w:sz w:val="22"/>
                <w:szCs w:val="22"/>
                <w:lang w:val="fr-FR"/>
              </w:rPr>
              <w:t xml:space="preserve">: </w:t>
            </w:r>
            <w:r w:rsidR="00372A77" w:rsidRPr="00C83DA9">
              <w:rPr>
                <w:color w:val="1F497D"/>
                <w:sz w:val="22"/>
                <w:szCs w:val="22"/>
                <w:lang w:val="fr-FR"/>
              </w:rPr>
              <w:t>Fidji, Tuvalu, collaboration avec le Centre AHA (pour l</w:t>
            </w:r>
            <w:r w:rsidR="00456505" w:rsidRPr="00C83DA9">
              <w:rPr>
                <w:color w:val="1F497D"/>
                <w:sz w:val="22"/>
                <w:szCs w:val="22"/>
                <w:lang w:val="fr-FR"/>
              </w:rPr>
              <w:t>'</w:t>
            </w:r>
            <w:r w:rsidR="00372A77" w:rsidRPr="00C83DA9">
              <w:rPr>
                <w:color w:val="1F497D"/>
                <w:sz w:val="22"/>
                <w:szCs w:val="22"/>
                <w:lang w:val="fr-FR"/>
              </w:rPr>
              <w:t>appui à l</w:t>
            </w:r>
            <w:r w:rsidR="00456505" w:rsidRPr="00C83DA9">
              <w:rPr>
                <w:color w:val="1F497D"/>
                <w:sz w:val="22"/>
                <w:szCs w:val="22"/>
                <w:lang w:val="fr-FR"/>
              </w:rPr>
              <w:t>'</w:t>
            </w:r>
            <w:r w:rsidR="00372A77" w:rsidRPr="00C83DA9">
              <w:rPr>
                <w:color w:val="1F497D"/>
                <w:sz w:val="22"/>
                <w:szCs w:val="22"/>
                <w:lang w:val="fr-FR"/>
              </w:rPr>
              <w:t>échelle de l</w:t>
            </w:r>
            <w:r w:rsidR="00456505" w:rsidRPr="00C83DA9">
              <w:rPr>
                <w:color w:val="1F497D"/>
                <w:sz w:val="22"/>
                <w:szCs w:val="22"/>
                <w:lang w:val="fr-FR"/>
              </w:rPr>
              <w:t>'</w:t>
            </w:r>
            <w:r w:rsidR="00372A77" w:rsidRPr="00C83DA9">
              <w:rPr>
                <w:color w:val="1F497D"/>
                <w:sz w:val="22"/>
                <w:szCs w:val="22"/>
                <w:lang w:val="fr-FR"/>
              </w:rPr>
              <w:t>ASEAN)</w:t>
            </w:r>
            <w:r w:rsidR="006A09B8" w:rsidRPr="00C83DA9">
              <w:rPr>
                <w:color w:val="1F497D"/>
                <w:sz w:val="22"/>
                <w:szCs w:val="22"/>
                <w:lang w:val="fr-FR"/>
              </w:rPr>
              <w:t>.</w:t>
            </w:r>
          </w:p>
          <w:p w14:paraId="2BEA0ACE" w14:textId="2D2A4F4D" w:rsidR="00372A77" w:rsidRPr="00C83DA9" w:rsidRDefault="000726BA" w:rsidP="00142B0A">
            <w:pPr>
              <w:pStyle w:val="enumlev1"/>
              <w:tabs>
                <w:tab w:val="clear" w:pos="1134"/>
                <w:tab w:val="left" w:pos="356"/>
              </w:tabs>
              <w:spacing w:before="40" w:after="240"/>
              <w:ind w:left="386" w:hanging="386"/>
              <w:rPr>
                <w:color w:val="1F497D"/>
                <w:sz w:val="22"/>
                <w:szCs w:val="22"/>
                <w:lang w:val="fr-FR"/>
              </w:rPr>
            </w:pPr>
            <w:r w:rsidRPr="00C83DA9">
              <w:rPr>
                <w:color w:val="1F497D"/>
                <w:sz w:val="22"/>
                <w:szCs w:val="22"/>
                <w:lang w:val="fr-FR"/>
              </w:rPr>
              <w:t>•</w:t>
            </w:r>
            <w:r w:rsidR="00142B0A" w:rsidRPr="00C83DA9">
              <w:rPr>
                <w:color w:val="1F497D"/>
                <w:sz w:val="22"/>
                <w:szCs w:val="22"/>
                <w:lang w:val="fr-FR"/>
              </w:rPr>
              <w:tab/>
            </w:r>
            <w:r w:rsidR="00372A77" w:rsidRPr="00C83DA9">
              <w:rPr>
                <w:b/>
                <w:bCs/>
                <w:sz w:val="22"/>
                <w:szCs w:val="22"/>
                <w:lang w:val="fr-FR"/>
              </w:rPr>
              <w:t>Europe</w:t>
            </w:r>
            <w:r w:rsidR="00372A77" w:rsidRPr="00C83DA9">
              <w:rPr>
                <w:sz w:val="22"/>
                <w:szCs w:val="22"/>
                <w:lang w:val="fr-FR"/>
              </w:rPr>
              <w:t>:</w:t>
            </w:r>
            <w:r w:rsidR="00372A77" w:rsidRPr="00C83DA9">
              <w:rPr>
                <w:color w:val="1F497D"/>
                <w:sz w:val="22"/>
                <w:szCs w:val="22"/>
                <w:lang w:val="fr-FR"/>
              </w:rPr>
              <w:t xml:space="preserve"> pays des Balkans occidentaux.</w:t>
            </w:r>
          </w:p>
          <w:p w14:paraId="30F55699" w14:textId="0818B6C9" w:rsidR="00372A77" w:rsidRPr="00C83DA9" w:rsidRDefault="00763EDA" w:rsidP="00142B0A">
            <w:pPr>
              <w:pStyle w:val="Tabletext"/>
              <w:keepNext/>
              <w:rPr>
                <w:color w:val="1F497D"/>
                <w:sz w:val="22"/>
                <w:szCs w:val="22"/>
                <w:lang w:val="fr-FR"/>
              </w:rPr>
            </w:pPr>
            <w:r w:rsidRPr="00C83DA9">
              <w:rPr>
                <w:b/>
                <w:bCs/>
                <w:color w:val="0070C0"/>
                <w:sz w:val="22"/>
                <w:szCs w:val="22"/>
                <w:lang w:val="fr-FR"/>
              </w:rPr>
              <w:lastRenderedPageBreak/>
              <w:t>É</w:t>
            </w:r>
            <w:r w:rsidR="00372A77" w:rsidRPr="00C83DA9">
              <w:rPr>
                <w:b/>
                <w:bCs/>
                <w:color w:val="0070C0"/>
                <w:sz w:val="22"/>
                <w:szCs w:val="22"/>
                <w:lang w:val="fr-FR"/>
              </w:rPr>
              <w:t>tudes de base sur la diffusion cellulaire:</w:t>
            </w:r>
            <w:r w:rsidR="00372A77" w:rsidRPr="00C83DA9">
              <w:rPr>
                <w:color w:val="0070C0"/>
                <w:sz w:val="22"/>
                <w:szCs w:val="22"/>
                <w:lang w:val="fr-FR"/>
              </w:rPr>
              <w:t xml:space="preserve"> </w:t>
            </w:r>
            <w:r w:rsidR="00372A77" w:rsidRPr="00C83DA9">
              <w:rPr>
                <w:color w:val="1F497D"/>
                <w:sz w:val="22"/>
                <w:szCs w:val="22"/>
                <w:lang w:val="fr-FR"/>
              </w:rPr>
              <w:t>13</w:t>
            </w:r>
            <w:r w:rsidR="00DF47CA" w:rsidRPr="00C83DA9">
              <w:rPr>
                <w:color w:val="1F497D"/>
                <w:sz w:val="22"/>
                <w:szCs w:val="22"/>
                <w:lang w:val="fr-FR"/>
              </w:rPr>
              <w:t> </w:t>
            </w:r>
            <w:r w:rsidR="00372A77" w:rsidRPr="00C83DA9">
              <w:rPr>
                <w:color w:val="1F497D"/>
                <w:sz w:val="22"/>
                <w:szCs w:val="22"/>
                <w:lang w:val="fr-FR"/>
              </w:rPr>
              <w:t>pays</w:t>
            </w:r>
            <w:r w:rsidRPr="00C83DA9">
              <w:rPr>
                <w:color w:val="1F497D"/>
                <w:sz w:val="22"/>
                <w:szCs w:val="22"/>
                <w:lang w:val="fr-FR"/>
              </w:rPr>
              <w:t>.</w:t>
            </w:r>
          </w:p>
          <w:p w14:paraId="4F0806D8" w14:textId="31C9E354" w:rsidR="00372A77" w:rsidRPr="00C83DA9" w:rsidRDefault="000726BA" w:rsidP="00142B0A">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00142B0A" w:rsidRPr="00C83DA9">
              <w:rPr>
                <w:color w:val="1F497D"/>
                <w:sz w:val="22"/>
                <w:szCs w:val="22"/>
                <w:lang w:val="fr-FR"/>
              </w:rPr>
              <w:tab/>
            </w:r>
            <w:r w:rsidR="00372A77" w:rsidRPr="00C83DA9">
              <w:rPr>
                <w:b/>
                <w:bCs/>
                <w:sz w:val="22"/>
                <w:szCs w:val="22"/>
                <w:lang w:val="fr-FR"/>
              </w:rPr>
              <w:t>Afrique</w:t>
            </w:r>
            <w:r w:rsidR="00372A77" w:rsidRPr="00C83DA9">
              <w:rPr>
                <w:sz w:val="22"/>
                <w:szCs w:val="22"/>
                <w:lang w:val="fr-FR"/>
              </w:rPr>
              <w:t>:</w:t>
            </w:r>
            <w:r w:rsidR="00372A77" w:rsidRPr="00C83DA9">
              <w:rPr>
                <w:color w:val="1F497D"/>
                <w:sz w:val="22"/>
                <w:szCs w:val="22"/>
                <w:lang w:val="fr-FR"/>
              </w:rPr>
              <w:t xml:space="preserve"> Botswana, Madagascar, Malawi, Maurice, Seychelles, Tanzanie, Zambie</w:t>
            </w:r>
            <w:r w:rsidR="006A09B8" w:rsidRPr="00C83DA9">
              <w:rPr>
                <w:color w:val="1F497D"/>
                <w:sz w:val="22"/>
                <w:szCs w:val="22"/>
                <w:lang w:val="fr-FR"/>
              </w:rPr>
              <w:t>.</w:t>
            </w:r>
          </w:p>
          <w:p w14:paraId="01FB6F74" w14:textId="5A3CF228" w:rsidR="00372A77" w:rsidRPr="00C83DA9" w:rsidRDefault="000726BA" w:rsidP="00142B0A">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Amériques</w:t>
            </w:r>
            <w:r w:rsidR="00372A77" w:rsidRPr="00C83DA9">
              <w:rPr>
                <w:sz w:val="22"/>
                <w:szCs w:val="22"/>
                <w:lang w:val="fr-FR"/>
              </w:rPr>
              <w:t xml:space="preserve">: </w:t>
            </w:r>
            <w:r w:rsidR="00372A77" w:rsidRPr="00C83DA9">
              <w:rPr>
                <w:color w:val="1F497D"/>
                <w:sz w:val="22"/>
                <w:szCs w:val="22"/>
                <w:lang w:val="fr-FR"/>
              </w:rPr>
              <w:t xml:space="preserve">Guatemala, Haïti. </w:t>
            </w:r>
          </w:p>
          <w:p w14:paraId="25EF6698" w14:textId="2464DE3A" w:rsidR="00372A77" w:rsidRPr="00C83DA9" w:rsidRDefault="000726BA" w:rsidP="00A81F12">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États arabes</w:t>
            </w:r>
            <w:r w:rsidR="00372A77" w:rsidRPr="00C83DA9">
              <w:rPr>
                <w:sz w:val="22"/>
                <w:szCs w:val="22"/>
                <w:lang w:val="fr-FR"/>
              </w:rPr>
              <w:t xml:space="preserve">: </w:t>
            </w:r>
            <w:r w:rsidR="00372A77" w:rsidRPr="00C83DA9">
              <w:rPr>
                <w:color w:val="1F497D"/>
                <w:sz w:val="22"/>
                <w:szCs w:val="22"/>
                <w:lang w:val="fr-FR"/>
              </w:rPr>
              <w:t>Somalie.</w:t>
            </w:r>
          </w:p>
          <w:p w14:paraId="6C3FAA90" w14:textId="4FF93EF0" w:rsidR="00372A77" w:rsidRPr="00C83DA9" w:rsidRDefault="000726BA" w:rsidP="00A81F12">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Asie-Pacifique</w:t>
            </w:r>
            <w:r w:rsidR="00372A77" w:rsidRPr="00C83DA9">
              <w:rPr>
                <w:sz w:val="22"/>
                <w:szCs w:val="22"/>
                <w:lang w:val="fr-FR"/>
              </w:rPr>
              <w:t xml:space="preserve">: </w:t>
            </w:r>
            <w:r w:rsidR="00372A77" w:rsidRPr="00C83DA9">
              <w:rPr>
                <w:color w:val="1F497D"/>
                <w:sz w:val="22"/>
                <w:szCs w:val="22"/>
                <w:lang w:val="fr-FR"/>
              </w:rPr>
              <w:t>Bangladesh, Cambodge, Fidji</w:t>
            </w:r>
            <w:r w:rsidR="006A09B8" w:rsidRPr="00C83DA9">
              <w:rPr>
                <w:color w:val="1F497D"/>
                <w:sz w:val="22"/>
                <w:szCs w:val="22"/>
                <w:lang w:val="fr-FR"/>
              </w:rPr>
              <w:t>.</w:t>
            </w:r>
          </w:p>
          <w:p w14:paraId="617F42E2" w14:textId="66A4258A" w:rsidR="00372A77" w:rsidRPr="00C83DA9" w:rsidRDefault="000726BA" w:rsidP="00A81F12">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Europe</w:t>
            </w:r>
            <w:r w:rsidR="00372A77" w:rsidRPr="00C83DA9">
              <w:rPr>
                <w:sz w:val="22"/>
                <w:szCs w:val="22"/>
                <w:lang w:val="fr-FR"/>
              </w:rPr>
              <w:t xml:space="preserve">: </w:t>
            </w:r>
            <w:r w:rsidR="00372A77" w:rsidRPr="00C83DA9">
              <w:rPr>
                <w:color w:val="1F497D"/>
                <w:sz w:val="22"/>
                <w:szCs w:val="22"/>
                <w:lang w:val="fr-FR"/>
              </w:rPr>
              <w:t>Mold</w:t>
            </w:r>
            <w:r w:rsidR="007F2D90" w:rsidRPr="00C83DA9">
              <w:rPr>
                <w:color w:val="1F497D"/>
                <w:sz w:val="22"/>
                <w:szCs w:val="22"/>
                <w:lang w:val="fr-FR"/>
              </w:rPr>
              <w:t>ova</w:t>
            </w:r>
            <w:r w:rsidR="006A09B8" w:rsidRPr="00C83DA9">
              <w:rPr>
                <w:color w:val="1F497D"/>
                <w:sz w:val="22"/>
                <w:szCs w:val="22"/>
                <w:lang w:val="fr-FR"/>
              </w:rPr>
              <w:t>.</w:t>
            </w:r>
          </w:p>
          <w:p w14:paraId="2A1D6F08" w14:textId="23AB74B0" w:rsidR="00372A77" w:rsidRPr="00C83DA9" w:rsidRDefault="00372A77" w:rsidP="00DF47CA">
            <w:pPr>
              <w:pStyle w:val="Tabletext"/>
              <w:keepNext/>
              <w:spacing w:before="240"/>
              <w:rPr>
                <w:color w:val="1F497D"/>
                <w:sz w:val="22"/>
                <w:szCs w:val="22"/>
                <w:lang w:val="fr-FR"/>
              </w:rPr>
            </w:pPr>
            <w:r w:rsidRPr="00C83DA9">
              <w:rPr>
                <w:b/>
                <w:bCs/>
                <w:color w:val="0070C0"/>
                <w:sz w:val="22"/>
                <w:szCs w:val="22"/>
                <w:lang w:val="fr-FR"/>
              </w:rPr>
              <w:t>EW4A</w:t>
            </w:r>
            <w:r w:rsidR="00CA734F">
              <w:rPr>
                <w:b/>
                <w:bCs/>
                <w:color w:val="0070C0"/>
                <w:sz w:val="22"/>
                <w:szCs w:val="22"/>
                <w:lang w:val="fr-FR"/>
              </w:rPr>
              <w:t>ll</w:t>
            </w:r>
            <w:r w:rsidRPr="00C83DA9">
              <w:rPr>
                <w:b/>
                <w:bCs/>
                <w:color w:val="0070C0"/>
                <w:sz w:val="22"/>
                <w:szCs w:val="22"/>
                <w:lang w:val="fr-FR"/>
              </w:rPr>
              <w:t>:</w:t>
            </w:r>
            <w:r w:rsidRPr="00C83DA9">
              <w:rPr>
                <w:color w:val="0070C0"/>
                <w:sz w:val="22"/>
                <w:szCs w:val="22"/>
                <w:lang w:val="fr-FR"/>
              </w:rPr>
              <w:t xml:space="preserve"> </w:t>
            </w:r>
            <w:r w:rsidR="00763EDA" w:rsidRPr="00C83DA9">
              <w:rPr>
                <w:color w:val="1F497D"/>
                <w:sz w:val="22"/>
                <w:szCs w:val="22"/>
                <w:lang w:val="fr-FR"/>
              </w:rPr>
              <w:t>p</w:t>
            </w:r>
            <w:r w:rsidRPr="00C83DA9">
              <w:rPr>
                <w:color w:val="1F497D"/>
                <w:sz w:val="22"/>
                <w:szCs w:val="22"/>
                <w:lang w:val="fr-FR"/>
              </w:rPr>
              <w:t>lus de 30 pays ont bénéficié d</w:t>
            </w:r>
            <w:r w:rsidR="00456505" w:rsidRPr="00C83DA9">
              <w:rPr>
                <w:color w:val="1F497D"/>
                <w:sz w:val="22"/>
                <w:szCs w:val="22"/>
                <w:lang w:val="fr-FR"/>
              </w:rPr>
              <w:t>'</w:t>
            </w:r>
            <w:r w:rsidRPr="00C83DA9">
              <w:rPr>
                <w:color w:val="1F497D"/>
                <w:sz w:val="22"/>
                <w:szCs w:val="22"/>
                <w:lang w:val="fr-FR"/>
              </w:rPr>
              <w:t>un appui</w:t>
            </w:r>
            <w:r w:rsidR="006A09B8" w:rsidRPr="00C83DA9">
              <w:rPr>
                <w:color w:val="1F497D"/>
                <w:sz w:val="22"/>
                <w:szCs w:val="22"/>
                <w:lang w:val="fr-FR"/>
              </w:rPr>
              <w:t>.</w:t>
            </w:r>
          </w:p>
          <w:p w14:paraId="463960F2" w14:textId="70E2045A" w:rsidR="00372A77" w:rsidRPr="00C83DA9" w:rsidRDefault="000726BA" w:rsidP="007F2D90">
            <w:pPr>
              <w:pStyle w:val="enumlev1"/>
              <w:tabs>
                <w:tab w:val="clear" w:pos="1134"/>
                <w:tab w:val="left" w:pos="356"/>
              </w:tabs>
              <w:spacing w:before="40" w:after="40"/>
              <w:ind w:left="386" w:right="-100"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Afrique</w:t>
            </w:r>
            <w:r w:rsidR="00372A77" w:rsidRPr="00C83DA9">
              <w:rPr>
                <w:sz w:val="22"/>
                <w:szCs w:val="22"/>
                <w:lang w:val="fr-FR"/>
              </w:rPr>
              <w:t xml:space="preserve">: </w:t>
            </w:r>
            <w:r w:rsidR="00372A77" w:rsidRPr="00C83DA9">
              <w:rPr>
                <w:color w:val="1F497D"/>
                <w:sz w:val="22"/>
                <w:szCs w:val="22"/>
                <w:lang w:val="fr-FR"/>
              </w:rPr>
              <w:t>Botswana, Ghana, Libéria, Madagascar, Mozambique, Namibie, Niger, Rwanda, Sao</w:t>
            </w:r>
            <w:r w:rsidR="007F2D90" w:rsidRPr="00C83DA9">
              <w:rPr>
                <w:color w:val="1F497D"/>
                <w:sz w:val="22"/>
                <w:szCs w:val="22"/>
                <w:lang w:val="fr-FR"/>
              </w:rPr>
              <w:t> </w:t>
            </w:r>
            <w:r w:rsidR="00372A77" w:rsidRPr="00C83DA9">
              <w:rPr>
                <w:color w:val="1F497D"/>
                <w:sz w:val="22"/>
                <w:szCs w:val="22"/>
                <w:lang w:val="fr-FR"/>
              </w:rPr>
              <w:t>Tomé</w:t>
            </w:r>
            <w:r w:rsidR="007F2D90" w:rsidRPr="00C83DA9">
              <w:rPr>
                <w:color w:val="1F497D"/>
                <w:sz w:val="22"/>
                <w:szCs w:val="22"/>
                <w:lang w:val="fr-FR"/>
              </w:rPr>
              <w:noBreakHyphen/>
            </w:r>
            <w:r w:rsidR="00372A77" w:rsidRPr="00C83DA9">
              <w:rPr>
                <w:color w:val="1F497D"/>
                <w:sz w:val="22"/>
                <w:szCs w:val="22"/>
                <w:lang w:val="fr-FR"/>
              </w:rPr>
              <w:t>et</w:t>
            </w:r>
            <w:r w:rsidR="007F2D90" w:rsidRPr="00C83DA9">
              <w:rPr>
                <w:color w:val="1F497D"/>
                <w:sz w:val="22"/>
                <w:szCs w:val="22"/>
                <w:lang w:val="fr-FR"/>
              </w:rPr>
              <w:noBreakHyphen/>
            </w:r>
            <w:r w:rsidR="00372A77" w:rsidRPr="00C83DA9">
              <w:rPr>
                <w:color w:val="1F497D"/>
                <w:sz w:val="22"/>
                <w:szCs w:val="22"/>
                <w:lang w:val="fr-FR"/>
              </w:rPr>
              <w:t>Principe, Seychelles, Tanzanie, Ouganda</w:t>
            </w:r>
            <w:r w:rsidR="006A09B8" w:rsidRPr="00C83DA9">
              <w:rPr>
                <w:color w:val="1F497D"/>
                <w:sz w:val="22"/>
                <w:szCs w:val="22"/>
                <w:lang w:val="fr-FR"/>
              </w:rPr>
              <w:t>.</w:t>
            </w:r>
          </w:p>
          <w:p w14:paraId="2248F1FE" w14:textId="54CA3343" w:rsidR="00372A77" w:rsidRPr="00C83DA9" w:rsidRDefault="000726BA" w:rsidP="00DF47CA">
            <w:pPr>
              <w:pStyle w:val="enumlev1"/>
              <w:widowControl w:val="0"/>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Amériques</w:t>
            </w:r>
            <w:r w:rsidR="00372A77" w:rsidRPr="00C83DA9">
              <w:rPr>
                <w:sz w:val="22"/>
                <w:szCs w:val="22"/>
                <w:lang w:val="fr-FR"/>
              </w:rPr>
              <w:t xml:space="preserve">: </w:t>
            </w:r>
            <w:r w:rsidR="00372A77" w:rsidRPr="00C83DA9">
              <w:rPr>
                <w:color w:val="1F497D"/>
                <w:sz w:val="22"/>
                <w:szCs w:val="22"/>
                <w:lang w:val="fr-FR"/>
              </w:rPr>
              <w:t>Antigua</w:t>
            </w:r>
            <w:r w:rsidR="00E50D44" w:rsidRPr="00C83DA9">
              <w:rPr>
                <w:color w:val="1F497D"/>
                <w:sz w:val="22"/>
                <w:szCs w:val="22"/>
                <w:lang w:val="fr-FR"/>
              </w:rPr>
              <w:noBreakHyphen/>
            </w:r>
            <w:r w:rsidR="00372A77" w:rsidRPr="00C83DA9">
              <w:rPr>
                <w:color w:val="1F497D"/>
                <w:sz w:val="22"/>
                <w:szCs w:val="22"/>
                <w:lang w:val="fr-FR"/>
              </w:rPr>
              <w:t>et</w:t>
            </w:r>
            <w:r w:rsidR="00E50D44" w:rsidRPr="00C83DA9">
              <w:rPr>
                <w:color w:val="1F497D"/>
                <w:sz w:val="22"/>
                <w:szCs w:val="22"/>
                <w:lang w:val="fr-FR"/>
              </w:rPr>
              <w:noBreakHyphen/>
            </w:r>
            <w:r w:rsidR="00372A77" w:rsidRPr="00C83DA9">
              <w:rPr>
                <w:color w:val="1F497D"/>
                <w:sz w:val="22"/>
                <w:szCs w:val="22"/>
                <w:lang w:val="fr-FR"/>
              </w:rPr>
              <w:t xml:space="preserve">Barbuda, Barbade, </w:t>
            </w:r>
            <w:r w:rsidR="00FC245B" w:rsidRPr="00C83DA9">
              <w:rPr>
                <w:color w:val="1F497D"/>
                <w:sz w:val="22"/>
                <w:szCs w:val="22"/>
                <w:lang w:val="fr-FR"/>
              </w:rPr>
              <w:t>Équateur</w:t>
            </w:r>
            <w:r w:rsidR="00372A77" w:rsidRPr="00C83DA9">
              <w:rPr>
                <w:color w:val="1F497D"/>
                <w:sz w:val="22"/>
                <w:szCs w:val="22"/>
                <w:lang w:val="fr-FR"/>
              </w:rPr>
              <w:t>, Guatemala, Guyana, Haïti</w:t>
            </w:r>
            <w:r w:rsidR="006A09B8" w:rsidRPr="00C83DA9">
              <w:rPr>
                <w:color w:val="1F497D"/>
                <w:sz w:val="22"/>
                <w:szCs w:val="22"/>
                <w:lang w:val="fr-FR"/>
              </w:rPr>
              <w:t>.</w:t>
            </w:r>
          </w:p>
          <w:p w14:paraId="63785B16" w14:textId="01E22812" w:rsidR="00372A77" w:rsidRPr="00C83DA9" w:rsidRDefault="000726BA" w:rsidP="000726BA">
            <w:pPr>
              <w:pStyle w:val="enumlev1"/>
              <w:keepLines/>
              <w:tabs>
                <w:tab w:val="clear" w:pos="1134"/>
                <w:tab w:val="left" w:pos="356"/>
              </w:tabs>
              <w:spacing w:before="40" w:after="40"/>
              <w:ind w:left="386" w:hanging="386"/>
              <w:rPr>
                <w:color w:val="1F497D"/>
                <w:sz w:val="22"/>
                <w:szCs w:val="22"/>
                <w:lang w:val="fr-FR"/>
              </w:rPr>
            </w:pPr>
            <w:r w:rsidRPr="00C83DA9">
              <w:rPr>
                <w:color w:val="1F497D"/>
                <w:sz w:val="22"/>
                <w:szCs w:val="22"/>
                <w:lang w:val="fr-FR"/>
              </w:rPr>
              <w:lastRenderedPageBreak/>
              <w:t>•</w:t>
            </w:r>
            <w:r w:rsidRPr="00C83DA9">
              <w:rPr>
                <w:color w:val="1F497D"/>
                <w:sz w:val="22"/>
                <w:szCs w:val="22"/>
                <w:lang w:val="fr-FR"/>
              </w:rPr>
              <w:tab/>
            </w:r>
            <w:r w:rsidR="00372A77" w:rsidRPr="00C83DA9">
              <w:rPr>
                <w:b/>
                <w:bCs/>
                <w:sz w:val="22"/>
                <w:szCs w:val="22"/>
                <w:lang w:val="fr-FR"/>
              </w:rPr>
              <w:t>Asie-Pacifique</w:t>
            </w:r>
            <w:r w:rsidR="00372A77" w:rsidRPr="00C83DA9">
              <w:rPr>
                <w:sz w:val="22"/>
                <w:szCs w:val="22"/>
                <w:lang w:val="fr-FR"/>
              </w:rPr>
              <w:t xml:space="preserve">: </w:t>
            </w:r>
            <w:r w:rsidR="00372A77" w:rsidRPr="00C83DA9">
              <w:rPr>
                <w:color w:val="1F497D"/>
                <w:sz w:val="22"/>
                <w:szCs w:val="22"/>
                <w:lang w:val="fr-FR"/>
              </w:rPr>
              <w:t xml:space="preserve">Bangladesh, Bhoutan, Cambodge, Fidji, </w:t>
            </w:r>
            <w:r w:rsidR="00212949" w:rsidRPr="00C83DA9">
              <w:rPr>
                <w:color w:val="1F497D"/>
                <w:sz w:val="22"/>
                <w:szCs w:val="22"/>
                <w:lang w:val="fr-FR"/>
              </w:rPr>
              <w:t xml:space="preserve">Kiribati, </w:t>
            </w:r>
            <w:r w:rsidR="00372A77" w:rsidRPr="00C83DA9">
              <w:rPr>
                <w:color w:val="1F497D"/>
                <w:sz w:val="22"/>
                <w:szCs w:val="22"/>
                <w:lang w:val="fr-FR"/>
              </w:rPr>
              <w:t>Lao (R.d.p.), Malaisie,</w:t>
            </w:r>
            <w:r w:rsidRPr="00C83DA9">
              <w:rPr>
                <w:color w:val="1F497D"/>
                <w:sz w:val="22"/>
                <w:szCs w:val="22"/>
                <w:lang w:val="fr-FR"/>
              </w:rPr>
              <w:t xml:space="preserve"> </w:t>
            </w:r>
            <w:r w:rsidR="00372A77" w:rsidRPr="00C83DA9">
              <w:rPr>
                <w:color w:val="1F497D"/>
                <w:sz w:val="22"/>
                <w:szCs w:val="22"/>
                <w:lang w:val="fr-FR"/>
              </w:rPr>
              <w:t xml:space="preserve">Maldives, Népal, Philippines, </w:t>
            </w:r>
            <w:r w:rsidR="00212949" w:rsidRPr="00C83DA9">
              <w:rPr>
                <w:color w:val="1F497D"/>
                <w:sz w:val="22"/>
                <w:szCs w:val="22"/>
                <w:lang w:val="fr-FR"/>
              </w:rPr>
              <w:t xml:space="preserve">Samoa, Îles Salomon, Tonga, </w:t>
            </w:r>
            <w:r w:rsidR="00372A77" w:rsidRPr="00C83DA9">
              <w:rPr>
                <w:color w:val="1F497D"/>
                <w:sz w:val="22"/>
                <w:szCs w:val="22"/>
                <w:lang w:val="fr-FR"/>
              </w:rPr>
              <w:t>Tuvalu.</w:t>
            </w:r>
          </w:p>
          <w:p w14:paraId="1B4B5594" w14:textId="2E951ED8" w:rsidR="00372A77" w:rsidRPr="00C83DA9" w:rsidRDefault="000726BA" w:rsidP="000726BA">
            <w:pPr>
              <w:pStyle w:val="enumlev1"/>
              <w:keepLines/>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États arabes</w:t>
            </w:r>
            <w:r w:rsidR="00372A77" w:rsidRPr="00C83DA9">
              <w:rPr>
                <w:sz w:val="22"/>
                <w:szCs w:val="22"/>
                <w:lang w:val="fr-FR"/>
              </w:rPr>
              <w:t xml:space="preserve">: </w:t>
            </w:r>
            <w:r w:rsidR="00372A77" w:rsidRPr="00C83DA9">
              <w:rPr>
                <w:color w:val="1F497D"/>
                <w:sz w:val="22"/>
                <w:szCs w:val="22"/>
                <w:lang w:val="fr-FR"/>
              </w:rPr>
              <w:t>Comores, Djibouti, Mauritanie, Somalie, Soudan</w:t>
            </w:r>
            <w:r w:rsidR="006A09B8" w:rsidRPr="00C83DA9">
              <w:rPr>
                <w:color w:val="1F497D"/>
                <w:sz w:val="22"/>
                <w:szCs w:val="22"/>
                <w:lang w:val="fr-FR"/>
              </w:rPr>
              <w:t>.</w:t>
            </w:r>
          </w:p>
          <w:p w14:paraId="341EC889" w14:textId="3A72CC81" w:rsidR="00372A77" w:rsidRPr="00C83DA9" w:rsidRDefault="000726BA" w:rsidP="006D333B">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Europe</w:t>
            </w:r>
            <w:r w:rsidR="00372A77" w:rsidRPr="00C83DA9">
              <w:rPr>
                <w:sz w:val="22"/>
                <w:szCs w:val="22"/>
                <w:lang w:val="fr-FR"/>
              </w:rPr>
              <w:t xml:space="preserve">: </w:t>
            </w:r>
            <w:r w:rsidR="00372A77" w:rsidRPr="00C83DA9">
              <w:rPr>
                <w:color w:val="1F497D"/>
                <w:sz w:val="22"/>
                <w:szCs w:val="22"/>
                <w:lang w:val="fr-FR"/>
              </w:rPr>
              <w:t>Monténégro</w:t>
            </w:r>
            <w:r w:rsidR="006A09B8" w:rsidRPr="00C83DA9">
              <w:rPr>
                <w:color w:val="1F497D"/>
                <w:sz w:val="22"/>
                <w:szCs w:val="22"/>
                <w:lang w:val="fr-FR"/>
              </w:rPr>
              <w:t>.</w:t>
            </w:r>
          </w:p>
          <w:p w14:paraId="1C000B56" w14:textId="15848BE7" w:rsidR="00372A77" w:rsidRPr="00C83DA9" w:rsidRDefault="000726BA" w:rsidP="00A81F12">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CEI</w:t>
            </w:r>
            <w:r w:rsidR="00372A77" w:rsidRPr="00C83DA9">
              <w:rPr>
                <w:sz w:val="22"/>
                <w:szCs w:val="22"/>
                <w:lang w:val="fr-FR"/>
              </w:rPr>
              <w:t xml:space="preserve">: </w:t>
            </w:r>
            <w:r w:rsidR="00372A77" w:rsidRPr="00C83DA9">
              <w:rPr>
                <w:color w:val="1F497D"/>
                <w:sz w:val="22"/>
                <w:szCs w:val="22"/>
                <w:lang w:val="fr-FR"/>
              </w:rPr>
              <w:t>Tadjikistan.</w:t>
            </w:r>
          </w:p>
          <w:p w14:paraId="78ABC7D7" w14:textId="0DA702F7" w:rsidR="00372A77" w:rsidRPr="00C83DA9" w:rsidRDefault="00372A77" w:rsidP="008F6501">
            <w:pPr>
              <w:pStyle w:val="Tabletext"/>
              <w:keepNext/>
              <w:spacing w:before="120"/>
              <w:ind w:right="-62"/>
              <w:rPr>
                <w:b/>
                <w:bCs/>
                <w:sz w:val="22"/>
                <w:szCs w:val="22"/>
                <w:lang w:val="fr-FR"/>
              </w:rPr>
            </w:pPr>
            <w:r w:rsidRPr="00C83DA9">
              <w:rPr>
                <w:b/>
                <w:bCs/>
                <w:color w:val="0070C0"/>
                <w:sz w:val="22"/>
                <w:szCs w:val="22"/>
                <w:lang w:val="fr-FR"/>
              </w:rPr>
              <w:t>Déploiement d</w:t>
            </w:r>
            <w:r w:rsidR="00456505" w:rsidRPr="00C83DA9">
              <w:rPr>
                <w:b/>
                <w:bCs/>
                <w:color w:val="0070C0"/>
                <w:sz w:val="22"/>
                <w:szCs w:val="22"/>
                <w:lang w:val="fr-FR"/>
              </w:rPr>
              <w:t>'</w:t>
            </w:r>
            <w:r w:rsidRPr="00C83DA9">
              <w:rPr>
                <w:b/>
                <w:bCs/>
                <w:color w:val="0070C0"/>
                <w:sz w:val="22"/>
                <w:szCs w:val="22"/>
                <w:lang w:val="fr-FR"/>
              </w:rPr>
              <w:t>équipements:</w:t>
            </w:r>
            <w:r w:rsidR="00763EDA" w:rsidRPr="00C83DA9">
              <w:rPr>
                <w:b/>
                <w:bCs/>
                <w:sz w:val="22"/>
                <w:szCs w:val="22"/>
                <w:lang w:val="fr-FR"/>
              </w:rPr>
              <w:t> </w:t>
            </w:r>
            <w:r w:rsidRPr="00C83DA9">
              <w:rPr>
                <w:b/>
                <w:bCs/>
                <w:sz w:val="22"/>
                <w:szCs w:val="22"/>
                <w:lang w:val="fr-FR"/>
              </w:rPr>
              <w:t>5</w:t>
            </w:r>
          </w:p>
          <w:p w14:paraId="711E804F" w14:textId="762222F0" w:rsidR="00372A77" w:rsidRPr="00C83DA9" w:rsidRDefault="000726BA" w:rsidP="009C2C5F">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color w:val="000000" w:themeColor="text1"/>
                <w:sz w:val="22"/>
                <w:szCs w:val="22"/>
                <w:lang w:val="fr-FR"/>
              </w:rPr>
              <w:t>Afrique</w:t>
            </w:r>
            <w:r w:rsidR="00372A77" w:rsidRPr="00C83DA9">
              <w:rPr>
                <w:color w:val="000000" w:themeColor="text1"/>
                <w:sz w:val="22"/>
                <w:szCs w:val="22"/>
                <w:lang w:val="fr-FR"/>
              </w:rPr>
              <w:t>:</w:t>
            </w:r>
            <w:r w:rsidR="00372A77" w:rsidRPr="00C83DA9">
              <w:rPr>
                <w:color w:val="1F497D"/>
                <w:sz w:val="22"/>
                <w:szCs w:val="22"/>
                <w:lang w:val="fr-FR"/>
              </w:rPr>
              <w:t xml:space="preserve"> Zimbabwe (plate</w:t>
            </w:r>
            <w:r w:rsidR="009C2C5F" w:rsidRPr="00C83DA9">
              <w:rPr>
                <w:color w:val="1F497D"/>
                <w:sz w:val="22"/>
                <w:szCs w:val="22"/>
                <w:lang w:val="fr-FR"/>
              </w:rPr>
              <w:noBreakHyphen/>
            </w:r>
            <w:r w:rsidR="00372A77" w:rsidRPr="00C83DA9">
              <w:rPr>
                <w:color w:val="1F497D"/>
                <w:sz w:val="22"/>
                <w:szCs w:val="22"/>
                <w:lang w:val="fr-FR"/>
              </w:rPr>
              <w:t>forme pour les pays de la SADC).</w:t>
            </w:r>
          </w:p>
          <w:p w14:paraId="3A2D449F" w14:textId="1159A7CE" w:rsidR="00372A77" w:rsidRPr="00C83DA9" w:rsidRDefault="000726BA" w:rsidP="006D333B">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color w:val="000000" w:themeColor="text1"/>
                <w:sz w:val="22"/>
                <w:szCs w:val="22"/>
                <w:lang w:val="fr-FR"/>
              </w:rPr>
              <w:t>Amériques</w:t>
            </w:r>
            <w:r w:rsidR="00372A77" w:rsidRPr="00C83DA9">
              <w:rPr>
                <w:color w:val="000000" w:themeColor="text1"/>
                <w:sz w:val="22"/>
                <w:szCs w:val="22"/>
                <w:lang w:val="fr-FR"/>
              </w:rPr>
              <w:t>:</w:t>
            </w:r>
            <w:r w:rsidR="00372A77" w:rsidRPr="00C83DA9">
              <w:rPr>
                <w:color w:val="1F497D"/>
                <w:sz w:val="22"/>
                <w:szCs w:val="22"/>
                <w:lang w:val="fr-FR"/>
              </w:rPr>
              <w:t xml:space="preserve"> Barbade (appui à la région des Caraïbes), Grenade.</w:t>
            </w:r>
          </w:p>
          <w:p w14:paraId="75AE4D38" w14:textId="66394ED4" w:rsidR="00372A77" w:rsidRPr="00C83DA9" w:rsidRDefault="000726BA" w:rsidP="00FB6E5E">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color w:val="000000" w:themeColor="text1"/>
                <w:sz w:val="22"/>
                <w:szCs w:val="22"/>
                <w:lang w:val="fr-FR"/>
              </w:rPr>
              <w:t>États arabes</w:t>
            </w:r>
            <w:r w:rsidR="00372A77" w:rsidRPr="00C83DA9">
              <w:rPr>
                <w:color w:val="000000" w:themeColor="text1"/>
                <w:sz w:val="22"/>
                <w:szCs w:val="22"/>
                <w:lang w:val="fr-FR"/>
              </w:rPr>
              <w:t xml:space="preserve">: </w:t>
            </w:r>
            <w:r w:rsidR="00372A77" w:rsidRPr="00C83DA9">
              <w:rPr>
                <w:color w:val="1F497D"/>
                <w:sz w:val="22"/>
                <w:szCs w:val="22"/>
                <w:lang w:val="fr-FR"/>
              </w:rPr>
              <w:t>Dubaï (appui à la région des États arabes et aux</w:t>
            </w:r>
            <w:r w:rsidR="00A81F12" w:rsidRPr="00C83DA9">
              <w:rPr>
                <w:color w:val="1F497D"/>
                <w:sz w:val="22"/>
                <w:szCs w:val="22"/>
                <w:lang w:val="fr-FR"/>
              </w:rPr>
              <w:t xml:space="preserve"> </w:t>
            </w:r>
            <w:r w:rsidR="00FB6E5E" w:rsidRPr="00C83DA9">
              <w:rPr>
                <w:color w:val="1F497D"/>
                <w:sz w:val="22"/>
                <w:szCs w:val="22"/>
                <w:lang w:val="fr-FR"/>
              </w:rPr>
              <w:t>régions Afrique et Asie-Pacifique).</w:t>
            </w:r>
          </w:p>
          <w:p w14:paraId="22E35EAE" w14:textId="4790E486" w:rsidR="00372A77" w:rsidRPr="00C83DA9" w:rsidRDefault="00372A77" w:rsidP="008F6501">
            <w:pPr>
              <w:pStyle w:val="Tabletext"/>
              <w:keepNext/>
              <w:spacing w:before="120"/>
              <w:rPr>
                <w:b/>
                <w:bCs/>
                <w:color w:val="0070C0"/>
                <w:sz w:val="22"/>
                <w:szCs w:val="22"/>
                <w:lang w:val="fr-FR"/>
              </w:rPr>
            </w:pPr>
            <w:r w:rsidRPr="00C83DA9">
              <w:rPr>
                <w:b/>
                <w:bCs/>
                <w:color w:val="0070C0"/>
                <w:sz w:val="22"/>
                <w:szCs w:val="22"/>
                <w:lang w:val="fr-FR"/>
              </w:rPr>
              <w:lastRenderedPageBreak/>
              <w:t>CE 1 de l</w:t>
            </w:r>
            <w:r w:rsidR="00456505" w:rsidRPr="00C83DA9">
              <w:rPr>
                <w:b/>
                <w:bCs/>
                <w:color w:val="0070C0"/>
                <w:sz w:val="22"/>
                <w:szCs w:val="22"/>
                <w:lang w:val="fr-FR"/>
              </w:rPr>
              <w:t>'</w:t>
            </w:r>
            <w:r w:rsidRPr="00C83DA9">
              <w:rPr>
                <w:b/>
                <w:bCs/>
                <w:color w:val="0070C0"/>
                <w:sz w:val="22"/>
                <w:szCs w:val="22"/>
                <w:lang w:val="fr-FR"/>
              </w:rPr>
              <w:t>UIT-D, Question</w:t>
            </w:r>
            <w:r w:rsidR="00DF47CA" w:rsidRPr="00C83DA9">
              <w:rPr>
                <w:b/>
                <w:bCs/>
                <w:color w:val="0070C0"/>
                <w:sz w:val="22"/>
                <w:szCs w:val="22"/>
                <w:lang w:val="fr-FR"/>
              </w:rPr>
              <w:t> </w:t>
            </w:r>
            <w:r w:rsidRPr="00C83DA9">
              <w:rPr>
                <w:b/>
                <w:bCs/>
                <w:color w:val="0070C0"/>
                <w:sz w:val="22"/>
                <w:szCs w:val="22"/>
                <w:lang w:val="fr-FR"/>
              </w:rPr>
              <w:t>3:</w:t>
            </w:r>
          </w:p>
          <w:p w14:paraId="07B3FC33" w14:textId="78BFDED8" w:rsidR="00372A77" w:rsidRPr="00C83DA9" w:rsidRDefault="000726BA" w:rsidP="009C2C5F">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4 réunions</w:t>
            </w:r>
            <w:r w:rsidR="006A09B8" w:rsidRPr="00C83DA9">
              <w:rPr>
                <w:color w:val="1F497D"/>
                <w:sz w:val="22"/>
                <w:szCs w:val="22"/>
                <w:lang w:val="fr-FR"/>
              </w:rPr>
              <w:t>.</w:t>
            </w:r>
          </w:p>
          <w:p w14:paraId="1EDEF2D7" w14:textId="4A66B72B" w:rsidR="00372A77" w:rsidRPr="00C83DA9" w:rsidRDefault="000726BA" w:rsidP="009C2C5F">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128 contributions</w:t>
            </w:r>
            <w:r w:rsidR="006A09B8" w:rsidRPr="00C83DA9">
              <w:rPr>
                <w:color w:val="1F497D"/>
                <w:sz w:val="22"/>
                <w:szCs w:val="22"/>
                <w:lang w:val="fr-FR"/>
              </w:rPr>
              <w:t>.</w:t>
            </w:r>
          </w:p>
          <w:p w14:paraId="6A16F26D" w14:textId="1611F968" w:rsidR="00372A77" w:rsidRPr="00C83DA9" w:rsidRDefault="000726BA" w:rsidP="009C2C5F">
            <w:pPr>
              <w:pStyle w:val="enumlev1"/>
              <w:keepNext/>
              <w:tabs>
                <w:tab w:val="clear" w:pos="1134"/>
                <w:tab w:val="left" w:pos="356"/>
              </w:tabs>
              <w:spacing w:before="40" w:after="40"/>
              <w:ind w:left="386" w:hanging="386"/>
              <w:rPr>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 xml:space="preserve">3 </w:t>
            </w:r>
            <w:hyperlink r:id="rId55" w:history="1">
              <w:r w:rsidR="00372A77" w:rsidRPr="00C83DA9">
                <w:rPr>
                  <w:rStyle w:val="Hyperlink"/>
                  <w:sz w:val="22"/>
                  <w:szCs w:val="22"/>
                  <w:lang w:val="fr-FR"/>
                </w:rPr>
                <w:t>ateliers</w:t>
              </w:r>
            </w:hyperlink>
            <w:r w:rsidR="00372A77" w:rsidRPr="00C83DA9">
              <w:rPr>
                <w:color w:val="1F497D"/>
                <w:sz w:val="22"/>
                <w:szCs w:val="22"/>
                <w:lang w:val="fr-FR"/>
              </w:rPr>
              <w:t xml:space="preserve">, un </w:t>
            </w:r>
            <w:hyperlink r:id="rId56" w:history="1">
              <w:r w:rsidR="00372A77" w:rsidRPr="00C83DA9">
                <w:rPr>
                  <w:rStyle w:val="Hyperlink"/>
                  <w:sz w:val="22"/>
                  <w:szCs w:val="22"/>
                  <w:lang w:val="fr-FR"/>
                </w:rPr>
                <w:t>produit intérimaire conjoint</w:t>
              </w:r>
            </w:hyperlink>
            <w:r w:rsidR="00372A77" w:rsidRPr="00C83DA9">
              <w:rPr>
                <w:color w:val="1F497D"/>
                <w:sz w:val="22"/>
                <w:szCs w:val="22"/>
                <w:lang w:val="fr-FR"/>
              </w:rPr>
              <w:t xml:space="preserve"> et un rapport final</w:t>
            </w:r>
            <w:r w:rsidR="006A09B8" w:rsidRPr="00C83DA9">
              <w:rPr>
                <w:color w:val="1F497D"/>
                <w:sz w:val="22"/>
                <w:szCs w:val="22"/>
                <w:lang w:val="fr-FR"/>
              </w:rPr>
              <w:t>.</w:t>
            </w:r>
            <w:hyperlink r:id="rId57" w:history="1"/>
            <w:hyperlink r:id="rId58" w:history="1"/>
          </w:p>
        </w:tc>
      </w:tr>
      <w:tr w:rsidR="00372A77" w:rsidRPr="00CA734F" w14:paraId="59EB8568" w14:textId="77777777" w:rsidTr="007F2D90">
        <w:trPr>
          <w:trHeight w:val="300"/>
        </w:trPr>
        <w:tc>
          <w:tcPr>
            <w:tcW w:w="14868" w:type="dxa"/>
            <w:gridSpan w:val="3"/>
            <w:shd w:val="clear" w:color="auto" w:fill="E5DFEC" w:themeFill="accent4" w:themeFillTint="33"/>
          </w:tcPr>
          <w:p w14:paraId="18817FC5" w14:textId="77777777" w:rsidR="00372A77" w:rsidRPr="00C83DA9" w:rsidRDefault="00372A77" w:rsidP="009B2988">
            <w:pPr>
              <w:pStyle w:val="Headingb"/>
              <w:spacing w:before="40"/>
              <w:rPr>
                <w:color w:val="0070C0"/>
                <w:lang w:val="fr-FR"/>
              </w:rPr>
            </w:pPr>
            <w:bookmarkStart w:id="27" w:name="_Toc211258918"/>
            <w:bookmarkStart w:id="28" w:name="_Toc213307963"/>
            <w:bookmarkStart w:id="29" w:name="_Hlk162438207"/>
            <w:r w:rsidRPr="00C83DA9">
              <w:rPr>
                <w:color w:val="0070C0"/>
                <w:lang w:val="fr-FR"/>
              </w:rPr>
              <w:lastRenderedPageBreak/>
              <w:t>Réseau et infrastructure numérique</w:t>
            </w:r>
            <w:bookmarkEnd w:id="27"/>
            <w:bookmarkEnd w:id="28"/>
          </w:p>
          <w:p w14:paraId="3B0F6D93" w14:textId="0569F74A" w:rsidR="00372A77" w:rsidRPr="00C83DA9" w:rsidRDefault="00372A77" w:rsidP="00305834">
            <w:pPr>
              <w:pStyle w:val="Tabletext"/>
              <w:rPr>
                <w:i/>
                <w:iCs/>
                <w:sz w:val="24"/>
                <w:lang w:val="fr-FR"/>
              </w:rPr>
            </w:pPr>
            <w:r w:rsidRPr="00C83DA9">
              <w:rPr>
                <w:b/>
                <w:bCs/>
                <w:i/>
                <w:iCs/>
                <w:sz w:val="24"/>
                <w:lang w:val="fr-FR"/>
              </w:rPr>
              <w:t>Réalisation</w:t>
            </w:r>
            <w:r w:rsidRPr="00C83DA9">
              <w:rPr>
                <w:i/>
                <w:iCs/>
                <w:sz w:val="24"/>
                <w:lang w:val="fr-FR"/>
              </w:rPr>
              <w:t xml:space="preserve">: </w:t>
            </w:r>
            <w:r w:rsidR="00C726F9" w:rsidRPr="00C83DA9">
              <w:rPr>
                <w:i/>
                <w:iCs/>
                <w:sz w:val="24"/>
                <w:lang w:val="fr-FR"/>
              </w:rPr>
              <w:t>a</w:t>
            </w:r>
            <w:r w:rsidRPr="00C83DA9">
              <w:rPr>
                <w:i/>
                <w:iCs/>
                <w:sz w:val="24"/>
                <w:lang w:val="fr-FR"/>
              </w:rPr>
              <w:t>mélioration de l</w:t>
            </w:r>
            <w:r w:rsidR="00456505" w:rsidRPr="00C83DA9">
              <w:rPr>
                <w:i/>
                <w:iCs/>
                <w:sz w:val="24"/>
                <w:lang w:val="fr-FR"/>
              </w:rPr>
              <w:t>'</w:t>
            </w:r>
            <w:r w:rsidRPr="00C83DA9">
              <w:rPr>
                <w:i/>
                <w:iCs/>
                <w:sz w:val="24"/>
                <w:lang w:val="fr-FR"/>
              </w:rPr>
              <w:t>infrastructure et des services de télécommunication/TIC, en particulier la couverture large bande.</w:t>
            </w:r>
          </w:p>
        </w:tc>
      </w:tr>
      <w:bookmarkEnd w:id="29"/>
      <w:tr w:rsidR="00372A77" w:rsidRPr="00C83DA9" w14:paraId="23CBBD06" w14:textId="77777777" w:rsidTr="007F2D90">
        <w:trPr>
          <w:trHeight w:val="300"/>
        </w:trPr>
        <w:tc>
          <w:tcPr>
            <w:tcW w:w="12328" w:type="dxa"/>
            <w:gridSpan w:val="2"/>
          </w:tcPr>
          <w:p w14:paraId="3B69BAED" w14:textId="77777777" w:rsidR="00372A77" w:rsidRPr="00C83DA9" w:rsidDel="00CC7F87" w:rsidRDefault="00372A77" w:rsidP="00305834">
            <w:pPr>
              <w:pStyle w:val="Tabletext"/>
              <w:jc w:val="center"/>
              <w:rPr>
                <w:b/>
                <w:bCs/>
                <w:color w:val="0070C0"/>
                <w:sz w:val="24"/>
                <w:lang w:val="fr-FR"/>
              </w:rPr>
            </w:pPr>
            <w:r w:rsidRPr="00C83DA9">
              <w:rPr>
                <w:b/>
                <w:bCs/>
                <w:color w:val="0070C0"/>
                <w:sz w:val="24"/>
                <w:lang w:val="fr-FR"/>
              </w:rPr>
              <w:t>Produits</w:t>
            </w:r>
          </w:p>
        </w:tc>
        <w:tc>
          <w:tcPr>
            <w:tcW w:w="2540" w:type="dxa"/>
          </w:tcPr>
          <w:p w14:paraId="6234EF43" w14:textId="77777777" w:rsidR="00372A77" w:rsidRPr="00C83DA9" w:rsidRDefault="00372A77" w:rsidP="00305834">
            <w:pPr>
              <w:pStyle w:val="Tabletext"/>
              <w:jc w:val="center"/>
              <w:rPr>
                <w:b/>
                <w:bCs/>
                <w:color w:val="0070C0"/>
                <w:sz w:val="24"/>
                <w:lang w:val="fr-FR"/>
              </w:rPr>
            </w:pPr>
            <w:r w:rsidRPr="00C83DA9">
              <w:rPr>
                <w:b/>
                <w:bCs/>
                <w:color w:val="0070C0"/>
                <w:sz w:val="24"/>
                <w:lang w:val="fr-FR"/>
              </w:rPr>
              <w:t>Points à retenir</w:t>
            </w:r>
          </w:p>
        </w:tc>
      </w:tr>
      <w:tr w:rsidR="00372A77" w:rsidRPr="00CA734F" w14:paraId="0F76F062" w14:textId="77777777" w:rsidTr="007F2D90">
        <w:trPr>
          <w:trHeight w:val="300"/>
        </w:trPr>
        <w:tc>
          <w:tcPr>
            <w:tcW w:w="12328" w:type="dxa"/>
            <w:gridSpan w:val="2"/>
          </w:tcPr>
          <w:p w14:paraId="5A1F674B" w14:textId="18BEFF17" w:rsidR="00372A77" w:rsidRPr="00C83DA9" w:rsidRDefault="00372A77" w:rsidP="008F6501">
            <w:pPr>
              <w:pStyle w:val="Tabletext"/>
              <w:spacing w:before="120"/>
              <w:rPr>
                <w:sz w:val="22"/>
                <w:szCs w:val="22"/>
                <w:lang w:val="fr-FR"/>
              </w:rPr>
            </w:pPr>
            <w:r w:rsidRPr="00C83DA9">
              <w:rPr>
                <w:sz w:val="22"/>
                <w:szCs w:val="22"/>
                <w:lang w:val="fr-FR"/>
              </w:rPr>
              <w:t>Le BDT a poursuivi ses travaux visant à faire progresser l</w:t>
            </w:r>
            <w:r w:rsidR="00456505" w:rsidRPr="00C83DA9">
              <w:rPr>
                <w:sz w:val="22"/>
                <w:szCs w:val="22"/>
                <w:lang w:val="fr-FR"/>
              </w:rPr>
              <w:t>'</w:t>
            </w:r>
            <w:r w:rsidRPr="00C83DA9">
              <w:rPr>
                <w:sz w:val="22"/>
                <w:szCs w:val="22"/>
                <w:lang w:val="fr-FR"/>
              </w:rPr>
              <w:t>infrastructure de réseau et l</w:t>
            </w:r>
            <w:r w:rsidR="00456505" w:rsidRPr="00C83DA9">
              <w:rPr>
                <w:sz w:val="22"/>
                <w:szCs w:val="22"/>
                <w:lang w:val="fr-FR"/>
              </w:rPr>
              <w:t>'</w:t>
            </w:r>
            <w:r w:rsidRPr="00C83DA9">
              <w:rPr>
                <w:sz w:val="22"/>
                <w:szCs w:val="22"/>
                <w:lang w:val="fr-FR"/>
              </w:rPr>
              <w:t>infrastructure numérique comme fondement de la connectivité et d</w:t>
            </w:r>
            <w:r w:rsidR="00456505" w:rsidRPr="00C83DA9">
              <w:rPr>
                <w:sz w:val="22"/>
                <w:szCs w:val="22"/>
                <w:lang w:val="fr-FR"/>
              </w:rPr>
              <w:t>'</w:t>
            </w:r>
            <w:r w:rsidRPr="00C83DA9">
              <w:rPr>
                <w:sz w:val="22"/>
                <w:szCs w:val="22"/>
                <w:lang w:val="fr-FR"/>
              </w:rPr>
              <w:t>une transformation numérique équitable. Pour améliorer plus rapidement la couverture large bande, le BDT s</w:t>
            </w:r>
            <w:r w:rsidR="00456505" w:rsidRPr="00C83DA9">
              <w:rPr>
                <w:sz w:val="22"/>
                <w:szCs w:val="22"/>
                <w:lang w:val="fr-FR"/>
              </w:rPr>
              <w:t>'</w:t>
            </w:r>
            <w:r w:rsidRPr="00C83DA9">
              <w:rPr>
                <w:sz w:val="22"/>
                <w:szCs w:val="22"/>
                <w:lang w:val="fr-FR"/>
              </w:rPr>
              <w:t>est contenté de fournir un appui pour combler les lacunes en matière de connectivité pour assurer la résilience, l</w:t>
            </w:r>
            <w:r w:rsidR="00456505" w:rsidRPr="00C83DA9">
              <w:rPr>
                <w:sz w:val="22"/>
                <w:szCs w:val="22"/>
                <w:lang w:val="fr-FR"/>
              </w:rPr>
              <w:t>'</w:t>
            </w:r>
            <w:r w:rsidRPr="00C83DA9">
              <w:rPr>
                <w:sz w:val="22"/>
                <w:szCs w:val="22"/>
                <w:lang w:val="fr-FR"/>
              </w:rPr>
              <w:t>inclusion et la durabilité des systèmes qui sous-tendent l</w:t>
            </w:r>
            <w:r w:rsidR="00456505" w:rsidRPr="00C83DA9">
              <w:rPr>
                <w:sz w:val="22"/>
                <w:szCs w:val="22"/>
                <w:lang w:val="fr-FR"/>
              </w:rPr>
              <w:t>'</w:t>
            </w:r>
            <w:r w:rsidRPr="00C83DA9">
              <w:rPr>
                <w:sz w:val="22"/>
                <w:szCs w:val="22"/>
                <w:lang w:val="fr-FR"/>
              </w:rPr>
              <w:t>économie numérique. L</w:t>
            </w:r>
            <w:r w:rsidR="00456505" w:rsidRPr="00C83DA9">
              <w:rPr>
                <w:sz w:val="22"/>
                <w:szCs w:val="22"/>
                <w:lang w:val="fr-FR"/>
              </w:rPr>
              <w:t>'</w:t>
            </w:r>
            <w:r w:rsidRPr="00C83DA9">
              <w:rPr>
                <w:sz w:val="22"/>
                <w:szCs w:val="22"/>
                <w:lang w:val="fr-FR"/>
              </w:rPr>
              <w:t>approche globale combine des outils mondiaux, une assistance technique et des partenariats régionaux en reliant la cartographie et la gestion du spectre à l</w:t>
            </w:r>
            <w:r w:rsidR="00456505" w:rsidRPr="00C83DA9">
              <w:rPr>
                <w:sz w:val="22"/>
                <w:szCs w:val="22"/>
                <w:lang w:val="fr-FR"/>
              </w:rPr>
              <w:t>'</w:t>
            </w:r>
            <w:r w:rsidRPr="00C83DA9">
              <w:rPr>
                <w:sz w:val="22"/>
                <w:szCs w:val="22"/>
                <w:lang w:val="fr-FR"/>
              </w:rPr>
              <w:t>intégration par satellite, ainsi qu</w:t>
            </w:r>
            <w:r w:rsidR="00456505" w:rsidRPr="00C83DA9">
              <w:rPr>
                <w:sz w:val="22"/>
                <w:szCs w:val="22"/>
                <w:lang w:val="fr-FR"/>
              </w:rPr>
              <w:t>'</w:t>
            </w:r>
            <w:r w:rsidRPr="00C83DA9">
              <w:rPr>
                <w:sz w:val="22"/>
                <w:szCs w:val="22"/>
                <w:lang w:val="fr-FR"/>
              </w:rPr>
              <w:t>à la préparation à la 5G et à la connectivité des écoles. Le résultat est une période définie par l</w:t>
            </w:r>
            <w:r w:rsidR="00456505" w:rsidRPr="00C83DA9">
              <w:rPr>
                <w:sz w:val="22"/>
                <w:szCs w:val="22"/>
                <w:lang w:val="fr-FR"/>
              </w:rPr>
              <w:t>'</w:t>
            </w:r>
            <w:r w:rsidRPr="00C83DA9">
              <w:rPr>
                <w:sz w:val="22"/>
                <w:szCs w:val="22"/>
                <w:lang w:val="fr-FR"/>
              </w:rPr>
              <w:t>innovation traduite en politiques et par les données traduites en stratégies prêtes à investir.</w:t>
            </w:r>
          </w:p>
          <w:p w14:paraId="546E2F50" w14:textId="78C17EF8" w:rsidR="00372A77" w:rsidRPr="00C83DA9" w:rsidRDefault="00372A77" w:rsidP="008F6501">
            <w:pPr>
              <w:pStyle w:val="Tabletext"/>
              <w:spacing w:before="120"/>
              <w:rPr>
                <w:sz w:val="22"/>
                <w:szCs w:val="22"/>
                <w:lang w:val="fr-FR"/>
              </w:rPr>
            </w:pPr>
            <w:r w:rsidRPr="00C83DA9">
              <w:rPr>
                <w:sz w:val="22"/>
                <w:szCs w:val="22"/>
                <w:lang w:val="fr-FR"/>
              </w:rPr>
              <w:t>Le lancement et la mise à l</w:t>
            </w:r>
            <w:r w:rsidR="00456505" w:rsidRPr="00C83DA9">
              <w:rPr>
                <w:sz w:val="22"/>
                <w:szCs w:val="22"/>
                <w:lang w:val="fr-FR"/>
              </w:rPr>
              <w:t>'</w:t>
            </w:r>
            <w:r w:rsidRPr="00C83DA9">
              <w:rPr>
                <w:sz w:val="22"/>
                <w:szCs w:val="22"/>
                <w:lang w:val="fr-FR"/>
              </w:rPr>
              <w:t xml:space="preserve">échelle de la </w:t>
            </w:r>
            <w:hyperlink r:id="rId59" w:history="1">
              <w:r w:rsidRPr="00C83DA9">
                <w:rPr>
                  <w:rStyle w:val="Hyperlink"/>
                  <w:sz w:val="22"/>
                  <w:szCs w:val="22"/>
                  <w:lang w:val="fr-FR"/>
                </w:rPr>
                <w:t>cartographie et de l</w:t>
              </w:r>
              <w:r w:rsidR="00456505" w:rsidRPr="00C83DA9">
                <w:rPr>
                  <w:rStyle w:val="Hyperlink"/>
                  <w:sz w:val="22"/>
                  <w:szCs w:val="22"/>
                  <w:lang w:val="fr-FR"/>
                </w:rPr>
                <w:t>'</w:t>
              </w:r>
              <w:r w:rsidRPr="00C83DA9">
                <w:rPr>
                  <w:rStyle w:val="Hyperlink"/>
                  <w:sz w:val="22"/>
                  <w:szCs w:val="22"/>
                  <w:lang w:val="fr-FR"/>
                </w:rPr>
                <w:t>analyse des infrastructures</w:t>
              </w:r>
            </w:hyperlink>
            <w:r w:rsidRPr="00C83DA9">
              <w:rPr>
                <w:sz w:val="22"/>
                <w:szCs w:val="22"/>
                <w:lang w:val="fr-FR"/>
              </w:rPr>
              <w:t xml:space="preserve"> ont marqué une avancée dans la planification des infrastructures nationales et régionales fondée sur des données factuelles. En 2024, le BDT a aidé </w:t>
            </w:r>
            <w:hyperlink r:id="rId60" w:history="1">
              <w:r w:rsidRPr="00C83DA9">
                <w:rPr>
                  <w:rStyle w:val="Hyperlink"/>
                  <w:sz w:val="22"/>
                  <w:szCs w:val="22"/>
                  <w:lang w:val="fr-FR"/>
                </w:rPr>
                <w:t>21 pays</w:t>
              </w:r>
            </w:hyperlink>
            <w:r w:rsidRPr="00C83DA9">
              <w:rPr>
                <w:sz w:val="22"/>
                <w:szCs w:val="22"/>
                <w:lang w:val="fr-FR"/>
              </w:rPr>
              <w:t xml:space="preserve"> à identifier les lacunes en matière d</w:t>
            </w:r>
            <w:r w:rsidR="00456505" w:rsidRPr="00C83DA9">
              <w:rPr>
                <w:sz w:val="22"/>
                <w:szCs w:val="22"/>
                <w:lang w:val="fr-FR"/>
              </w:rPr>
              <w:t>'</w:t>
            </w:r>
            <w:r w:rsidRPr="00C83DA9">
              <w:rPr>
                <w:sz w:val="22"/>
                <w:szCs w:val="22"/>
                <w:lang w:val="fr-FR"/>
              </w:rPr>
              <w:t>infrastructures TIC. Cinq autres cyberexercices ont été organisés en 2020. Le projet de systèmes de cartographie du large bande en Afrique, financé à hauteur de 15 millions d</w:t>
            </w:r>
            <w:r w:rsidR="00456505" w:rsidRPr="00C83DA9">
              <w:rPr>
                <w:sz w:val="22"/>
                <w:szCs w:val="22"/>
                <w:lang w:val="fr-FR"/>
              </w:rPr>
              <w:t>'</w:t>
            </w:r>
            <w:r w:rsidRPr="00C83DA9">
              <w:rPr>
                <w:sz w:val="22"/>
                <w:szCs w:val="22"/>
                <w:lang w:val="fr-FR"/>
              </w:rPr>
              <w:t>euros par la Commission européenne, a été lancé dans le but de créer ou de renforcer des systèmes nationaux d</w:t>
            </w:r>
            <w:r w:rsidR="00456505" w:rsidRPr="00C83DA9">
              <w:rPr>
                <w:sz w:val="22"/>
                <w:szCs w:val="22"/>
                <w:lang w:val="fr-FR"/>
              </w:rPr>
              <w:t>'</w:t>
            </w:r>
            <w:r w:rsidRPr="00C83DA9">
              <w:rPr>
                <w:sz w:val="22"/>
                <w:szCs w:val="22"/>
                <w:lang w:val="fr-FR"/>
              </w:rPr>
              <w:t xml:space="preserve">information géographique (SIG), également appelés systèmes de cartographie large bande, dans </w:t>
            </w:r>
            <w:r w:rsidR="00791FEB" w:rsidRPr="00C83DA9">
              <w:rPr>
                <w:sz w:val="22"/>
                <w:szCs w:val="22"/>
                <w:lang w:val="fr-FR"/>
              </w:rPr>
              <w:t xml:space="preserve">onze </w:t>
            </w:r>
            <w:r w:rsidRPr="00C83DA9">
              <w:rPr>
                <w:sz w:val="22"/>
                <w:szCs w:val="22"/>
                <w:lang w:val="fr-FR"/>
              </w:rPr>
              <w:t>pays (</w:t>
            </w:r>
            <w:r w:rsidRPr="00C83DA9">
              <w:rPr>
                <w:b/>
                <w:bCs/>
                <w:sz w:val="22"/>
                <w:szCs w:val="22"/>
                <w:lang w:val="fr-FR"/>
              </w:rPr>
              <w:t xml:space="preserve">Bénin, Botswana, </w:t>
            </w:r>
            <w:r w:rsidR="00791FEB" w:rsidRPr="00C83DA9">
              <w:rPr>
                <w:b/>
                <w:bCs/>
                <w:sz w:val="22"/>
                <w:szCs w:val="22"/>
                <w:lang w:val="fr-FR"/>
              </w:rPr>
              <w:t xml:space="preserve">Burundi, </w:t>
            </w:r>
            <w:r w:rsidRPr="00C83DA9">
              <w:rPr>
                <w:b/>
                <w:bCs/>
                <w:sz w:val="22"/>
                <w:szCs w:val="22"/>
                <w:lang w:val="fr-FR"/>
              </w:rPr>
              <w:t>Côte d</w:t>
            </w:r>
            <w:r w:rsidR="00456505" w:rsidRPr="00C83DA9">
              <w:rPr>
                <w:b/>
                <w:bCs/>
                <w:sz w:val="22"/>
                <w:szCs w:val="22"/>
                <w:lang w:val="fr-FR"/>
              </w:rPr>
              <w:t>'</w:t>
            </w:r>
            <w:r w:rsidRPr="00C83DA9">
              <w:rPr>
                <w:b/>
                <w:bCs/>
                <w:sz w:val="22"/>
                <w:szCs w:val="22"/>
                <w:lang w:val="fr-FR"/>
              </w:rPr>
              <w:t xml:space="preserve">Ivoire, </w:t>
            </w:r>
            <w:r w:rsidR="00FC245B" w:rsidRPr="00C83DA9">
              <w:rPr>
                <w:b/>
                <w:bCs/>
                <w:sz w:val="22"/>
                <w:szCs w:val="22"/>
                <w:lang w:val="fr-FR"/>
              </w:rPr>
              <w:t>Éthiopie</w:t>
            </w:r>
            <w:r w:rsidRPr="00C83DA9">
              <w:rPr>
                <w:b/>
                <w:bCs/>
                <w:sz w:val="22"/>
                <w:szCs w:val="22"/>
                <w:lang w:val="fr-FR"/>
              </w:rPr>
              <w:t>, Kenya, Malawi, Nigéria, Ouganda, Zambie</w:t>
            </w:r>
            <w:r w:rsidRPr="00C83DA9">
              <w:rPr>
                <w:sz w:val="22"/>
                <w:szCs w:val="22"/>
                <w:lang w:val="fr-FR"/>
              </w:rPr>
              <w:t xml:space="preserve"> et</w:t>
            </w:r>
            <w:r w:rsidRPr="00C83DA9">
              <w:rPr>
                <w:b/>
                <w:bCs/>
                <w:sz w:val="22"/>
                <w:szCs w:val="22"/>
                <w:lang w:val="fr-FR"/>
              </w:rPr>
              <w:t xml:space="preserve"> Zimbabwe</w:t>
            </w:r>
            <w:r w:rsidRPr="00C83DA9">
              <w:rPr>
                <w:sz w:val="22"/>
                <w:szCs w:val="22"/>
                <w:lang w:val="fr-FR"/>
              </w:rPr>
              <w:t>). Ces cartes mettent en évidence à la fois les infrastructures dorsales et les déficits en matière de connectivité pour le dernier kilomètre et orientent les États</w:t>
            </w:r>
            <w:r w:rsidR="00DF47CA" w:rsidRPr="00C83DA9">
              <w:rPr>
                <w:sz w:val="22"/>
                <w:szCs w:val="22"/>
                <w:lang w:val="fr-FR"/>
              </w:rPr>
              <w:t> </w:t>
            </w:r>
            <w:r w:rsidRPr="00C83DA9">
              <w:rPr>
                <w:sz w:val="22"/>
                <w:szCs w:val="22"/>
                <w:lang w:val="fr-FR"/>
              </w:rPr>
              <w:t>Membres vers des stratégies et des priorités d</w:t>
            </w:r>
            <w:r w:rsidR="00456505" w:rsidRPr="00C83DA9">
              <w:rPr>
                <w:sz w:val="22"/>
                <w:szCs w:val="22"/>
                <w:lang w:val="fr-FR"/>
              </w:rPr>
              <w:t>'</w:t>
            </w:r>
            <w:r w:rsidRPr="00C83DA9">
              <w:rPr>
                <w:sz w:val="22"/>
                <w:szCs w:val="22"/>
                <w:lang w:val="fr-FR"/>
              </w:rPr>
              <w:t>investissement judicieuses, tout en permettant des échanges de pratiques et de compétences entre les régions et en favorisant l</w:t>
            </w:r>
            <w:r w:rsidR="00456505" w:rsidRPr="00C83DA9">
              <w:rPr>
                <w:sz w:val="22"/>
                <w:szCs w:val="22"/>
                <w:lang w:val="fr-FR"/>
              </w:rPr>
              <w:t>'</w:t>
            </w:r>
            <w:r w:rsidRPr="00C83DA9">
              <w:rPr>
                <w:sz w:val="22"/>
                <w:szCs w:val="22"/>
                <w:lang w:val="fr-FR"/>
              </w:rPr>
              <w:t xml:space="preserve">harmonisation régionale. Cette initiative a été complétée par le </w:t>
            </w:r>
            <w:hyperlink r:id="rId61" w:history="1">
              <w:r w:rsidRPr="00C83DA9">
                <w:rPr>
                  <w:rStyle w:val="Hyperlink"/>
                  <w:sz w:val="22"/>
                  <w:szCs w:val="22"/>
                  <w:lang w:val="fr-FR"/>
                </w:rPr>
                <w:t>kit</w:t>
              </w:r>
              <w:r w:rsidR="006A05D4">
                <w:rPr>
                  <w:rStyle w:val="Hyperlink"/>
                  <w:sz w:val="22"/>
                  <w:szCs w:val="22"/>
                  <w:lang w:val="fr-FR"/>
                </w:rPr>
                <w:t> </w:t>
              </w:r>
              <w:r w:rsidRPr="00C83DA9">
                <w:rPr>
                  <w:rStyle w:val="Hyperlink"/>
                  <w:sz w:val="22"/>
                  <w:szCs w:val="22"/>
                  <w:lang w:val="fr-FR"/>
                </w:rPr>
                <w:t>pratique sur la cartographie de l</w:t>
              </w:r>
              <w:r w:rsidR="00456505" w:rsidRPr="00C83DA9">
                <w:rPr>
                  <w:rStyle w:val="Hyperlink"/>
                  <w:sz w:val="22"/>
                  <w:szCs w:val="22"/>
                  <w:lang w:val="fr-FR"/>
                </w:rPr>
                <w:t>'</w:t>
              </w:r>
              <w:r w:rsidRPr="00C83DA9">
                <w:rPr>
                  <w:rStyle w:val="Hyperlink"/>
                  <w:sz w:val="22"/>
                  <w:szCs w:val="22"/>
                  <w:lang w:val="fr-FR"/>
                </w:rPr>
                <w:t>infrastruc</w:t>
              </w:r>
              <w:r w:rsidRPr="00C83DA9">
                <w:rPr>
                  <w:rStyle w:val="Hyperlink"/>
                  <w:sz w:val="22"/>
                  <w:szCs w:val="22"/>
                  <w:lang w:val="fr-FR"/>
                </w:rPr>
                <w:t>t</w:t>
              </w:r>
              <w:r w:rsidRPr="00C83DA9">
                <w:rPr>
                  <w:rStyle w:val="Hyperlink"/>
                  <w:sz w:val="22"/>
                  <w:szCs w:val="22"/>
                  <w:lang w:val="fr-FR"/>
                </w:rPr>
                <w:t>ure des TIC</w:t>
              </w:r>
            </w:hyperlink>
            <w:r w:rsidRPr="00C83DA9">
              <w:rPr>
                <w:sz w:val="22"/>
                <w:szCs w:val="22"/>
                <w:lang w:val="fr-FR"/>
              </w:rPr>
              <w:t>, qui fournit une méthodologie pratique pour l</w:t>
            </w:r>
            <w:r w:rsidR="00456505" w:rsidRPr="00C83DA9">
              <w:rPr>
                <w:sz w:val="22"/>
                <w:szCs w:val="22"/>
                <w:lang w:val="fr-FR"/>
              </w:rPr>
              <w:t>'</w:t>
            </w:r>
            <w:r w:rsidRPr="00C83DA9">
              <w:rPr>
                <w:sz w:val="22"/>
                <w:szCs w:val="22"/>
                <w:lang w:val="fr-FR"/>
              </w:rPr>
              <w:t>analyse géospatiale. Le BDT a également réalisé une analyse des lacunes en matière de données sur les fibres optiques pour 16 membres de l</w:t>
            </w:r>
            <w:r w:rsidR="00456505" w:rsidRPr="00C83DA9">
              <w:rPr>
                <w:sz w:val="22"/>
                <w:szCs w:val="22"/>
                <w:lang w:val="fr-FR"/>
              </w:rPr>
              <w:t>'</w:t>
            </w:r>
            <w:r w:rsidRPr="00C83DA9">
              <w:rPr>
                <w:sz w:val="22"/>
                <w:szCs w:val="22"/>
                <w:lang w:val="fr-FR"/>
              </w:rPr>
              <w:t>Assemblée des régulateurs des télécommunications de l</w:t>
            </w:r>
            <w:r w:rsidR="00456505" w:rsidRPr="00C83DA9">
              <w:rPr>
                <w:sz w:val="22"/>
                <w:szCs w:val="22"/>
                <w:lang w:val="fr-FR"/>
              </w:rPr>
              <w:t>'</w:t>
            </w:r>
            <w:r w:rsidRPr="00C83DA9">
              <w:rPr>
                <w:sz w:val="22"/>
                <w:szCs w:val="22"/>
                <w:lang w:val="fr-FR"/>
              </w:rPr>
              <w:t>Afrique de l</w:t>
            </w:r>
            <w:r w:rsidR="00456505" w:rsidRPr="00C83DA9">
              <w:rPr>
                <w:sz w:val="22"/>
                <w:szCs w:val="22"/>
                <w:lang w:val="fr-FR"/>
              </w:rPr>
              <w:t>'</w:t>
            </w:r>
            <w:r w:rsidRPr="00C83DA9">
              <w:rPr>
                <w:sz w:val="22"/>
                <w:szCs w:val="22"/>
                <w:lang w:val="fr-FR"/>
              </w:rPr>
              <w:t xml:space="preserve">Ouest (WATRA), à savoir le </w:t>
            </w:r>
            <w:r w:rsidRPr="00C83DA9">
              <w:rPr>
                <w:b/>
                <w:bCs/>
                <w:sz w:val="22"/>
                <w:szCs w:val="22"/>
                <w:lang w:val="fr-FR"/>
              </w:rPr>
              <w:t>Bénin</w:t>
            </w:r>
            <w:r w:rsidRPr="00C83DA9">
              <w:rPr>
                <w:sz w:val="22"/>
                <w:szCs w:val="22"/>
                <w:lang w:val="fr-FR"/>
              </w:rPr>
              <w:t>, le</w:t>
            </w:r>
            <w:r w:rsidRPr="00C83DA9">
              <w:rPr>
                <w:b/>
                <w:bCs/>
                <w:sz w:val="22"/>
                <w:szCs w:val="22"/>
                <w:lang w:val="fr-FR"/>
              </w:rPr>
              <w:t xml:space="preserve"> Burkina Faso</w:t>
            </w:r>
            <w:r w:rsidRPr="00C83DA9">
              <w:rPr>
                <w:sz w:val="22"/>
                <w:szCs w:val="22"/>
                <w:lang w:val="fr-FR"/>
              </w:rPr>
              <w:t xml:space="preserve">, </w:t>
            </w:r>
            <w:r w:rsidRPr="00C83DA9">
              <w:rPr>
                <w:b/>
                <w:bCs/>
                <w:sz w:val="22"/>
                <w:szCs w:val="22"/>
                <w:lang w:val="fr-FR"/>
              </w:rPr>
              <w:t>Cabo Verde</w:t>
            </w:r>
            <w:r w:rsidRPr="00C83DA9">
              <w:rPr>
                <w:sz w:val="22"/>
                <w:szCs w:val="22"/>
                <w:lang w:val="fr-FR"/>
              </w:rPr>
              <w:t>, la</w:t>
            </w:r>
            <w:r w:rsidRPr="00C83DA9">
              <w:rPr>
                <w:b/>
                <w:bCs/>
                <w:sz w:val="22"/>
                <w:szCs w:val="22"/>
                <w:lang w:val="fr-FR"/>
              </w:rPr>
              <w:t xml:space="preserve"> Côte d</w:t>
            </w:r>
            <w:r w:rsidR="00456505" w:rsidRPr="00C83DA9">
              <w:rPr>
                <w:b/>
                <w:bCs/>
                <w:sz w:val="22"/>
                <w:szCs w:val="22"/>
                <w:lang w:val="fr-FR"/>
              </w:rPr>
              <w:t>'</w:t>
            </w:r>
            <w:r w:rsidRPr="00C83DA9">
              <w:rPr>
                <w:b/>
                <w:bCs/>
                <w:sz w:val="22"/>
                <w:szCs w:val="22"/>
                <w:lang w:val="fr-FR"/>
              </w:rPr>
              <w:t>Ivoire</w:t>
            </w:r>
            <w:r w:rsidRPr="00C83DA9">
              <w:rPr>
                <w:sz w:val="22"/>
                <w:szCs w:val="22"/>
                <w:lang w:val="fr-FR"/>
              </w:rPr>
              <w:t>, la</w:t>
            </w:r>
            <w:r w:rsidRPr="00C83DA9">
              <w:rPr>
                <w:b/>
                <w:bCs/>
                <w:sz w:val="22"/>
                <w:szCs w:val="22"/>
                <w:lang w:val="fr-FR"/>
              </w:rPr>
              <w:t xml:space="preserve"> Gambie</w:t>
            </w:r>
            <w:r w:rsidRPr="00C83DA9">
              <w:rPr>
                <w:sz w:val="22"/>
                <w:szCs w:val="22"/>
                <w:lang w:val="fr-FR"/>
              </w:rPr>
              <w:t>, le</w:t>
            </w:r>
            <w:r w:rsidRPr="00C83DA9">
              <w:rPr>
                <w:b/>
                <w:bCs/>
                <w:sz w:val="22"/>
                <w:szCs w:val="22"/>
                <w:lang w:val="fr-FR"/>
              </w:rPr>
              <w:t xml:space="preserve"> Ghana</w:t>
            </w:r>
            <w:r w:rsidRPr="00C83DA9">
              <w:rPr>
                <w:sz w:val="22"/>
                <w:szCs w:val="22"/>
                <w:lang w:val="fr-FR"/>
              </w:rPr>
              <w:t>, la</w:t>
            </w:r>
            <w:r w:rsidRPr="00C83DA9">
              <w:rPr>
                <w:b/>
                <w:bCs/>
                <w:sz w:val="22"/>
                <w:szCs w:val="22"/>
                <w:lang w:val="fr-FR"/>
              </w:rPr>
              <w:t xml:space="preserve"> Guinée</w:t>
            </w:r>
            <w:r w:rsidRPr="00C83DA9">
              <w:rPr>
                <w:sz w:val="22"/>
                <w:szCs w:val="22"/>
                <w:lang w:val="fr-FR"/>
              </w:rPr>
              <w:t>, la</w:t>
            </w:r>
            <w:r w:rsidRPr="00C83DA9">
              <w:rPr>
                <w:b/>
                <w:bCs/>
                <w:sz w:val="22"/>
                <w:szCs w:val="22"/>
                <w:lang w:val="fr-FR"/>
              </w:rPr>
              <w:t xml:space="preserve"> Guinée-Bissau</w:t>
            </w:r>
            <w:r w:rsidRPr="00C83DA9">
              <w:rPr>
                <w:sz w:val="22"/>
                <w:szCs w:val="22"/>
                <w:lang w:val="fr-FR"/>
              </w:rPr>
              <w:t>, le</w:t>
            </w:r>
            <w:r w:rsidRPr="00C83DA9">
              <w:rPr>
                <w:b/>
                <w:bCs/>
                <w:sz w:val="22"/>
                <w:szCs w:val="22"/>
                <w:lang w:val="fr-FR"/>
              </w:rPr>
              <w:t xml:space="preserve"> Libéria</w:t>
            </w:r>
            <w:r w:rsidRPr="00C83DA9">
              <w:rPr>
                <w:sz w:val="22"/>
                <w:szCs w:val="22"/>
                <w:lang w:val="fr-FR"/>
              </w:rPr>
              <w:t>, le</w:t>
            </w:r>
            <w:r w:rsidRPr="00C83DA9">
              <w:rPr>
                <w:b/>
                <w:bCs/>
                <w:sz w:val="22"/>
                <w:szCs w:val="22"/>
                <w:lang w:val="fr-FR"/>
              </w:rPr>
              <w:t xml:space="preserve"> Mali</w:t>
            </w:r>
            <w:r w:rsidRPr="00C83DA9">
              <w:rPr>
                <w:sz w:val="22"/>
                <w:szCs w:val="22"/>
                <w:lang w:val="fr-FR"/>
              </w:rPr>
              <w:t>, la</w:t>
            </w:r>
            <w:r w:rsidRPr="00C83DA9">
              <w:rPr>
                <w:b/>
                <w:bCs/>
                <w:sz w:val="22"/>
                <w:szCs w:val="22"/>
                <w:lang w:val="fr-FR"/>
              </w:rPr>
              <w:t xml:space="preserve"> Mauritanie</w:t>
            </w:r>
            <w:r w:rsidRPr="00C83DA9">
              <w:rPr>
                <w:sz w:val="22"/>
                <w:szCs w:val="22"/>
                <w:lang w:val="fr-FR"/>
              </w:rPr>
              <w:t>, le</w:t>
            </w:r>
            <w:r w:rsidRPr="00C83DA9">
              <w:rPr>
                <w:b/>
                <w:bCs/>
                <w:sz w:val="22"/>
                <w:szCs w:val="22"/>
                <w:lang w:val="fr-FR"/>
              </w:rPr>
              <w:t xml:space="preserve"> Niger</w:t>
            </w:r>
            <w:r w:rsidRPr="00C83DA9">
              <w:rPr>
                <w:sz w:val="22"/>
                <w:szCs w:val="22"/>
                <w:lang w:val="fr-FR"/>
              </w:rPr>
              <w:t>, le</w:t>
            </w:r>
            <w:r w:rsidRPr="00C83DA9">
              <w:rPr>
                <w:b/>
                <w:bCs/>
                <w:sz w:val="22"/>
                <w:szCs w:val="22"/>
                <w:lang w:val="fr-FR"/>
              </w:rPr>
              <w:t xml:space="preserve"> Nigéria</w:t>
            </w:r>
            <w:r w:rsidRPr="00C83DA9">
              <w:rPr>
                <w:sz w:val="22"/>
                <w:szCs w:val="22"/>
                <w:lang w:val="fr-FR"/>
              </w:rPr>
              <w:t>, le</w:t>
            </w:r>
            <w:r w:rsidRPr="00C83DA9">
              <w:rPr>
                <w:b/>
                <w:bCs/>
                <w:sz w:val="22"/>
                <w:szCs w:val="22"/>
                <w:lang w:val="fr-FR"/>
              </w:rPr>
              <w:t xml:space="preserve"> Sénégal</w:t>
            </w:r>
            <w:r w:rsidRPr="00C83DA9">
              <w:rPr>
                <w:sz w:val="22"/>
                <w:szCs w:val="22"/>
                <w:lang w:val="fr-FR"/>
              </w:rPr>
              <w:t>, la</w:t>
            </w:r>
            <w:r w:rsidRPr="00C83DA9">
              <w:rPr>
                <w:b/>
                <w:bCs/>
                <w:sz w:val="22"/>
                <w:szCs w:val="22"/>
                <w:lang w:val="fr-FR"/>
              </w:rPr>
              <w:t xml:space="preserve"> Sierra Leone</w:t>
            </w:r>
            <w:r w:rsidRPr="00C83DA9">
              <w:rPr>
                <w:sz w:val="22"/>
                <w:szCs w:val="22"/>
                <w:lang w:val="fr-FR"/>
              </w:rPr>
              <w:t xml:space="preserve"> et le</w:t>
            </w:r>
            <w:r w:rsidR="00EC0E1A" w:rsidRPr="00C83DA9">
              <w:rPr>
                <w:sz w:val="22"/>
                <w:szCs w:val="22"/>
                <w:lang w:val="fr-FR"/>
              </w:rPr>
              <w:t> </w:t>
            </w:r>
            <w:r w:rsidRPr="00C83DA9">
              <w:rPr>
                <w:b/>
                <w:bCs/>
                <w:sz w:val="22"/>
                <w:szCs w:val="22"/>
                <w:lang w:val="fr-FR"/>
              </w:rPr>
              <w:t>Togo</w:t>
            </w:r>
            <w:r w:rsidRPr="00C83DA9">
              <w:rPr>
                <w:sz w:val="22"/>
                <w:szCs w:val="22"/>
                <w:lang w:val="fr-FR"/>
              </w:rPr>
              <w:t>, qui a servi de base à l</w:t>
            </w:r>
            <w:r w:rsidR="00456505" w:rsidRPr="00C83DA9">
              <w:rPr>
                <w:sz w:val="22"/>
                <w:szCs w:val="22"/>
                <w:lang w:val="fr-FR"/>
              </w:rPr>
              <w:t>'</w:t>
            </w:r>
            <w:r w:rsidRPr="00C83DA9">
              <w:rPr>
                <w:sz w:val="22"/>
                <w:szCs w:val="22"/>
                <w:lang w:val="fr-FR"/>
              </w:rPr>
              <w:t>élaboration des plans régionaux pour le large bande. Ensemble, ces instruments ont permis de faire en sorte que les stratégies de connectivité reposent sur une connaissance concrète des ressources existantes, transformant ainsi la planification des</w:t>
            </w:r>
            <w:r w:rsidR="008F6501" w:rsidRPr="00C83DA9">
              <w:rPr>
                <w:sz w:val="22"/>
                <w:szCs w:val="22"/>
                <w:lang w:val="fr-FR"/>
              </w:rPr>
              <w:t xml:space="preserve"> </w:t>
            </w:r>
            <w:r w:rsidRPr="00C83DA9">
              <w:rPr>
                <w:sz w:val="22"/>
                <w:szCs w:val="22"/>
                <w:lang w:val="fr-FR"/>
              </w:rPr>
              <w:t xml:space="preserve">infrastructures en un exercice fondé sur des données factuelles. Une analyse similaire a été menée pour appuyer </w:t>
            </w:r>
            <w:r w:rsidRPr="00C83DA9">
              <w:rPr>
                <w:sz w:val="22"/>
                <w:szCs w:val="22"/>
                <w:lang w:val="fr-FR"/>
              </w:rPr>
              <w:lastRenderedPageBreak/>
              <w:t>les</w:t>
            </w:r>
            <w:r w:rsidR="00EC0E1A" w:rsidRPr="00C83DA9">
              <w:rPr>
                <w:sz w:val="22"/>
                <w:szCs w:val="22"/>
                <w:lang w:val="fr-FR"/>
              </w:rPr>
              <w:t> </w:t>
            </w:r>
            <w:r w:rsidRPr="00C83DA9">
              <w:rPr>
                <w:sz w:val="22"/>
                <w:szCs w:val="22"/>
                <w:lang w:val="fr-FR"/>
              </w:rPr>
              <w:t>huit membres de l</w:t>
            </w:r>
            <w:r w:rsidR="00456505" w:rsidRPr="00C83DA9">
              <w:rPr>
                <w:sz w:val="22"/>
                <w:szCs w:val="22"/>
                <w:lang w:val="fr-FR"/>
              </w:rPr>
              <w:t>'</w:t>
            </w:r>
            <w:r w:rsidRPr="00C83DA9">
              <w:rPr>
                <w:sz w:val="22"/>
                <w:szCs w:val="22"/>
                <w:lang w:val="fr-FR"/>
              </w:rPr>
              <w:t>Assemblée des régulateurs des télécommunications de l</w:t>
            </w:r>
            <w:r w:rsidR="00456505" w:rsidRPr="00C83DA9">
              <w:rPr>
                <w:sz w:val="22"/>
                <w:szCs w:val="22"/>
                <w:lang w:val="fr-FR"/>
              </w:rPr>
              <w:t>'</w:t>
            </w:r>
            <w:r w:rsidRPr="00C83DA9">
              <w:rPr>
                <w:sz w:val="22"/>
                <w:szCs w:val="22"/>
                <w:lang w:val="fr-FR"/>
              </w:rPr>
              <w:t xml:space="preserve">Afrique centrale (ARTAC), à savoir le </w:t>
            </w:r>
            <w:r w:rsidRPr="00C83DA9">
              <w:rPr>
                <w:b/>
                <w:bCs/>
                <w:sz w:val="22"/>
                <w:szCs w:val="22"/>
                <w:lang w:val="fr-FR"/>
              </w:rPr>
              <w:t>Burundi</w:t>
            </w:r>
            <w:r w:rsidRPr="00C83DA9">
              <w:rPr>
                <w:sz w:val="22"/>
                <w:szCs w:val="22"/>
                <w:lang w:val="fr-FR"/>
              </w:rPr>
              <w:t xml:space="preserve">, le </w:t>
            </w:r>
            <w:r w:rsidRPr="00C83DA9">
              <w:rPr>
                <w:b/>
                <w:bCs/>
                <w:sz w:val="22"/>
                <w:szCs w:val="22"/>
                <w:lang w:val="fr-FR"/>
              </w:rPr>
              <w:t>Cameroun</w:t>
            </w:r>
            <w:r w:rsidRPr="00C83DA9">
              <w:rPr>
                <w:sz w:val="22"/>
                <w:szCs w:val="22"/>
                <w:lang w:val="fr-FR"/>
              </w:rPr>
              <w:t>, la</w:t>
            </w:r>
            <w:r w:rsidRPr="00C83DA9">
              <w:rPr>
                <w:b/>
                <w:bCs/>
                <w:sz w:val="22"/>
                <w:szCs w:val="22"/>
                <w:lang w:val="fr-FR"/>
              </w:rPr>
              <w:t xml:space="preserve"> République</w:t>
            </w:r>
            <w:r w:rsidR="00DF47CA" w:rsidRPr="00C83DA9">
              <w:rPr>
                <w:b/>
                <w:bCs/>
                <w:sz w:val="22"/>
                <w:szCs w:val="22"/>
                <w:lang w:val="fr-FR"/>
              </w:rPr>
              <w:t xml:space="preserve"> </w:t>
            </w:r>
            <w:r w:rsidRPr="00C83DA9">
              <w:rPr>
                <w:b/>
                <w:bCs/>
                <w:sz w:val="22"/>
                <w:szCs w:val="22"/>
                <w:lang w:val="fr-FR"/>
              </w:rPr>
              <w:t>centrafricaine</w:t>
            </w:r>
            <w:r w:rsidRPr="00C83DA9">
              <w:rPr>
                <w:sz w:val="22"/>
                <w:szCs w:val="22"/>
                <w:lang w:val="fr-FR"/>
              </w:rPr>
              <w:t>, le</w:t>
            </w:r>
            <w:r w:rsidRPr="00C83DA9">
              <w:rPr>
                <w:b/>
                <w:bCs/>
                <w:sz w:val="22"/>
                <w:szCs w:val="22"/>
                <w:lang w:val="fr-FR"/>
              </w:rPr>
              <w:t xml:space="preserve"> Tchad</w:t>
            </w:r>
            <w:r w:rsidRPr="00C83DA9">
              <w:rPr>
                <w:sz w:val="22"/>
                <w:szCs w:val="22"/>
                <w:lang w:val="fr-FR"/>
              </w:rPr>
              <w:t xml:space="preserve">, la </w:t>
            </w:r>
            <w:r w:rsidRPr="00C83DA9">
              <w:rPr>
                <w:b/>
                <w:bCs/>
                <w:sz w:val="22"/>
                <w:szCs w:val="22"/>
                <w:lang w:val="fr-FR"/>
              </w:rPr>
              <w:t>Guinée équatoriale</w:t>
            </w:r>
            <w:r w:rsidRPr="00C83DA9">
              <w:rPr>
                <w:sz w:val="22"/>
                <w:szCs w:val="22"/>
                <w:lang w:val="fr-FR"/>
              </w:rPr>
              <w:t>, la</w:t>
            </w:r>
            <w:r w:rsidRPr="00C83DA9">
              <w:rPr>
                <w:b/>
                <w:bCs/>
                <w:sz w:val="22"/>
                <w:szCs w:val="22"/>
                <w:lang w:val="fr-FR"/>
              </w:rPr>
              <w:t xml:space="preserve"> République démocratique du Congo</w:t>
            </w:r>
            <w:r w:rsidRPr="00C83DA9">
              <w:rPr>
                <w:sz w:val="22"/>
                <w:szCs w:val="22"/>
                <w:lang w:val="fr-FR"/>
              </w:rPr>
              <w:t>, le</w:t>
            </w:r>
            <w:r w:rsidRPr="00C83DA9">
              <w:rPr>
                <w:b/>
                <w:bCs/>
                <w:sz w:val="22"/>
                <w:szCs w:val="22"/>
                <w:lang w:val="fr-FR"/>
              </w:rPr>
              <w:t xml:space="preserve"> Gabon</w:t>
            </w:r>
            <w:r w:rsidRPr="00C83DA9">
              <w:rPr>
                <w:sz w:val="22"/>
                <w:szCs w:val="22"/>
                <w:lang w:val="fr-FR"/>
              </w:rPr>
              <w:t xml:space="preserve"> et la </w:t>
            </w:r>
            <w:r w:rsidRPr="00C83DA9">
              <w:rPr>
                <w:b/>
                <w:bCs/>
                <w:sz w:val="22"/>
                <w:szCs w:val="22"/>
                <w:lang w:val="fr-FR"/>
              </w:rPr>
              <w:t>République du Congo</w:t>
            </w:r>
            <w:r w:rsidRPr="00C83DA9">
              <w:rPr>
                <w:sz w:val="22"/>
                <w:szCs w:val="22"/>
                <w:lang w:val="fr-FR"/>
              </w:rPr>
              <w:t>.</w:t>
            </w:r>
            <w:hyperlink r:id="rId62" w:history="1"/>
            <w:hyperlink r:id="rId63" w:history="1"/>
            <w:hyperlink r:id="rId64" w:history="1"/>
          </w:p>
          <w:p w14:paraId="59E6CC4B" w14:textId="250B52A9" w:rsidR="00372A77" w:rsidRPr="00C83DA9" w:rsidRDefault="00372A77" w:rsidP="00DC1608">
            <w:pPr>
              <w:pStyle w:val="Tabletext"/>
              <w:spacing w:before="120"/>
              <w:rPr>
                <w:sz w:val="22"/>
                <w:szCs w:val="22"/>
                <w:lang w:val="fr-FR"/>
              </w:rPr>
            </w:pPr>
            <w:r w:rsidRPr="00C83DA9">
              <w:rPr>
                <w:sz w:val="22"/>
                <w:szCs w:val="22"/>
                <w:lang w:val="fr-FR"/>
              </w:rPr>
              <w:t xml:space="preserve">Pour compléter les efforts de cartographie, le BDT a également mené des activités de renforcement des capacités au moyen de </w:t>
            </w:r>
            <w:r w:rsidRPr="00C83DA9">
              <w:rPr>
                <w:b/>
                <w:bCs/>
                <w:sz w:val="22"/>
                <w:szCs w:val="22"/>
                <w:lang w:val="fr-FR"/>
              </w:rPr>
              <w:t>formations, d</w:t>
            </w:r>
            <w:r w:rsidR="00456505" w:rsidRPr="00C83DA9">
              <w:rPr>
                <w:b/>
                <w:bCs/>
                <w:sz w:val="22"/>
                <w:szCs w:val="22"/>
                <w:lang w:val="fr-FR"/>
              </w:rPr>
              <w:t>'</w:t>
            </w:r>
            <w:r w:rsidRPr="00C83DA9">
              <w:rPr>
                <w:b/>
                <w:bCs/>
                <w:sz w:val="22"/>
                <w:szCs w:val="22"/>
                <w:lang w:val="fr-FR"/>
              </w:rPr>
              <w:t>ateliers et de produits de connaissance</w:t>
            </w:r>
            <w:r w:rsidRPr="00C83DA9">
              <w:rPr>
                <w:sz w:val="22"/>
                <w:szCs w:val="22"/>
                <w:lang w:val="fr-FR"/>
              </w:rPr>
              <w:t>, qui ont permis aux États Membres d</w:t>
            </w:r>
            <w:r w:rsidR="00456505" w:rsidRPr="00C83DA9">
              <w:rPr>
                <w:sz w:val="22"/>
                <w:szCs w:val="22"/>
                <w:lang w:val="fr-FR"/>
              </w:rPr>
              <w:t>'</w:t>
            </w:r>
            <w:r w:rsidRPr="00C83DA9">
              <w:rPr>
                <w:sz w:val="22"/>
                <w:szCs w:val="22"/>
                <w:lang w:val="fr-FR"/>
              </w:rPr>
              <w:t>améliorer leurs connaissances et leurs capacités d</w:t>
            </w:r>
            <w:r w:rsidR="00456505" w:rsidRPr="00C83DA9">
              <w:rPr>
                <w:sz w:val="22"/>
                <w:szCs w:val="22"/>
                <w:lang w:val="fr-FR"/>
              </w:rPr>
              <w:t>'</w:t>
            </w:r>
            <w:r w:rsidRPr="00C83DA9">
              <w:rPr>
                <w:sz w:val="22"/>
                <w:szCs w:val="22"/>
                <w:lang w:val="fr-FR"/>
              </w:rPr>
              <w:t>utiliser efficacement les outils. Dans le cadre de l</w:t>
            </w:r>
            <w:r w:rsidR="00456505" w:rsidRPr="00C83DA9">
              <w:rPr>
                <w:sz w:val="22"/>
                <w:szCs w:val="22"/>
                <w:lang w:val="fr-FR"/>
              </w:rPr>
              <w:t>'</w:t>
            </w:r>
            <w:r w:rsidRPr="00C83DA9">
              <w:rPr>
                <w:sz w:val="22"/>
                <w:szCs w:val="22"/>
                <w:lang w:val="fr-FR"/>
              </w:rPr>
              <w:t>Académie de l</w:t>
            </w:r>
            <w:r w:rsidR="00456505" w:rsidRPr="00C83DA9">
              <w:rPr>
                <w:sz w:val="22"/>
                <w:szCs w:val="22"/>
                <w:lang w:val="fr-FR"/>
              </w:rPr>
              <w:t>'</w:t>
            </w:r>
            <w:r w:rsidRPr="00C83DA9">
              <w:rPr>
                <w:sz w:val="22"/>
                <w:szCs w:val="22"/>
                <w:lang w:val="fr-FR"/>
              </w:rPr>
              <w:t>UIT, six cours adaptés au rythme de chacun, allant de la planification du large bande à l</w:t>
            </w:r>
            <w:r w:rsidR="00456505" w:rsidRPr="00C83DA9">
              <w:rPr>
                <w:sz w:val="22"/>
                <w:szCs w:val="22"/>
                <w:lang w:val="fr-FR"/>
              </w:rPr>
              <w:t>'</w:t>
            </w:r>
            <w:r w:rsidRPr="00C83DA9">
              <w:rPr>
                <w:sz w:val="22"/>
                <w:szCs w:val="22"/>
                <w:lang w:val="fr-FR"/>
              </w:rPr>
              <w:t>analyse avancée des systèmes d</w:t>
            </w:r>
            <w:r w:rsidR="00456505" w:rsidRPr="00C83DA9">
              <w:rPr>
                <w:sz w:val="22"/>
                <w:szCs w:val="22"/>
                <w:lang w:val="fr-FR"/>
              </w:rPr>
              <w:t>'</w:t>
            </w:r>
            <w:r w:rsidRPr="00C83DA9">
              <w:rPr>
                <w:sz w:val="22"/>
                <w:szCs w:val="22"/>
                <w:lang w:val="fr-FR"/>
              </w:rPr>
              <w:t>information géographique (GIS), ont été proposés et ont été suivis par des centaines d</w:t>
            </w:r>
            <w:r w:rsidR="00456505" w:rsidRPr="00C83DA9">
              <w:rPr>
                <w:sz w:val="22"/>
                <w:szCs w:val="22"/>
                <w:lang w:val="fr-FR"/>
              </w:rPr>
              <w:t>'</w:t>
            </w:r>
            <w:r w:rsidRPr="00C83DA9">
              <w:rPr>
                <w:sz w:val="22"/>
                <w:szCs w:val="22"/>
                <w:lang w:val="fr-FR"/>
              </w:rPr>
              <w:t>apprenants dans le monde entier. Des ateliers soutenus par le BDT dans le cadre d</w:t>
            </w:r>
            <w:r w:rsidR="00456505" w:rsidRPr="00C83DA9">
              <w:rPr>
                <w:sz w:val="22"/>
                <w:szCs w:val="22"/>
                <w:lang w:val="fr-FR"/>
              </w:rPr>
              <w:t>'</w:t>
            </w:r>
            <w:r w:rsidRPr="00C83DA9">
              <w:rPr>
                <w:sz w:val="22"/>
                <w:szCs w:val="22"/>
                <w:lang w:val="fr-FR"/>
              </w:rPr>
              <w:t>un projet mené en collaboration avec le Ministère des affaires étrangères, du Commonwealth et du développement (FCDO) du Royaume</w:t>
            </w:r>
            <w:r w:rsidR="0056541A" w:rsidRPr="00C83DA9">
              <w:rPr>
                <w:sz w:val="22"/>
                <w:szCs w:val="22"/>
                <w:lang w:val="fr-FR"/>
              </w:rPr>
              <w:noBreakHyphen/>
            </w:r>
            <w:r w:rsidRPr="00C83DA9">
              <w:rPr>
                <w:sz w:val="22"/>
                <w:szCs w:val="22"/>
                <w:lang w:val="fr-FR"/>
              </w:rPr>
              <w:t xml:space="preserve">Uni ont permis de former plus de 400 professionnels des TIC originaires du </w:t>
            </w:r>
            <w:r w:rsidRPr="00C83DA9">
              <w:rPr>
                <w:b/>
                <w:bCs/>
                <w:sz w:val="22"/>
                <w:szCs w:val="22"/>
                <w:lang w:val="fr-FR"/>
              </w:rPr>
              <w:t>Brésil</w:t>
            </w:r>
            <w:r w:rsidRPr="00C83DA9">
              <w:rPr>
                <w:sz w:val="22"/>
                <w:szCs w:val="22"/>
                <w:lang w:val="fr-FR"/>
              </w:rPr>
              <w:t>, du</w:t>
            </w:r>
            <w:r w:rsidRPr="00C83DA9">
              <w:rPr>
                <w:b/>
                <w:bCs/>
                <w:sz w:val="22"/>
                <w:szCs w:val="22"/>
                <w:lang w:val="fr-FR"/>
              </w:rPr>
              <w:t xml:space="preserve"> Kazakhstan</w:t>
            </w:r>
            <w:r w:rsidRPr="00C83DA9">
              <w:rPr>
                <w:sz w:val="22"/>
                <w:szCs w:val="22"/>
                <w:lang w:val="fr-FR"/>
              </w:rPr>
              <w:t>, de la</w:t>
            </w:r>
            <w:r w:rsidRPr="00C83DA9">
              <w:rPr>
                <w:b/>
                <w:bCs/>
                <w:sz w:val="22"/>
                <w:szCs w:val="22"/>
                <w:lang w:val="fr-FR"/>
              </w:rPr>
              <w:t xml:space="preserve"> Sierra Leone</w:t>
            </w:r>
            <w:r w:rsidRPr="00C83DA9">
              <w:rPr>
                <w:sz w:val="22"/>
                <w:szCs w:val="22"/>
                <w:lang w:val="fr-FR"/>
              </w:rPr>
              <w:t xml:space="preserve"> et de l</w:t>
            </w:r>
            <w:r w:rsidR="00456505" w:rsidRPr="00C83DA9">
              <w:rPr>
                <w:sz w:val="22"/>
                <w:szCs w:val="22"/>
                <w:lang w:val="fr-FR"/>
              </w:rPr>
              <w:t>'</w:t>
            </w:r>
            <w:r w:rsidRPr="00C83DA9">
              <w:rPr>
                <w:b/>
                <w:bCs/>
                <w:sz w:val="22"/>
                <w:szCs w:val="22"/>
                <w:lang w:val="fr-FR"/>
              </w:rPr>
              <w:t>Ouzbékistan.</w:t>
            </w:r>
            <w:r w:rsidRPr="00C83DA9">
              <w:rPr>
                <w:sz w:val="22"/>
                <w:szCs w:val="22"/>
                <w:lang w:val="fr-FR"/>
              </w:rPr>
              <w:t xml:space="preserve"> La coopération avec le Ministère des sciences de la </w:t>
            </w:r>
            <w:r w:rsidRPr="00C83DA9">
              <w:rPr>
                <w:b/>
                <w:bCs/>
                <w:sz w:val="22"/>
                <w:szCs w:val="22"/>
                <w:lang w:val="fr-FR"/>
              </w:rPr>
              <w:t>République de Corée</w:t>
            </w:r>
            <w:r w:rsidRPr="00C83DA9">
              <w:rPr>
                <w:sz w:val="22"/>
                <w:szCs w:val="22"/>
                <w:lang w:val="fr-FR"/>
              </w:rPr>
              <w:t xml:space="preserve"> et des TIC a permis de dispenser une formation aux systèmes GIS en </w:t>
            </w:r>
            <w:r w:rsidRPr="00C83DA9">
              <w:rPr>
                <w:b/>
                <w:bCs/>
                <w:sz w:val="22"/>
                <w:szCs w:val="22"/>
                <w:lang w:val="fr-FR"/>
              </w:rPr>
              <w:t>Algérie</w:t>
            </w:r>
            <w:r w:rsidRPr="00C83DA9">
              <w:rPr>
                <w:sz w:val="22"/>
                <w:szCs w:val="22"/>
                <w:lang w:val="fr-FR"/>
              </w:rPr>
              <w:t>, en</w:t>
            </w:r>
            <w:r w:rsidRPr="00C83DA9">
              <w:rPr>
                <w:b/>
                <w:bCs/>
                <w:sz w:val="22"/>
                <w:szCs w:val="22"/>
                <w:lang w:val="fr-FR"/>
              </w:rPr>
              <w:t xml:space="preserve"> République dominicaine</w:t>
            </w:r>
            <w:r w:rsidRPr="00C83DA9">
              <w:rPr>
                <w:sz w:val="22"/>
                <w:szCs w:val="22"/>
                <w:lang w:val="fr-FR"/>
              </w:rPr>
              <w:t xml:space="preserve">, en </w:t>
            </w:r>
            <w:r w:rsidRPr="00C83DA9">
              <w:rPr>
                <w:b/>
                <w:bCs/>
                <w:sz w:val="22"/>
                <w:szCs w:val="22"/>
                <w:lang w:val="fr-FR"/>
              </w:rPr>
              <w:t>Indonésie</w:t>
            </w:r>
            <w:r w:rsidRPr="00C83DA9">
              <w:rPr>
                <w:sz w:val="22"/>
                <w:szCs w:val="22"/>
                <w:lang w:val="fr-FR"/>
              </w:rPr>
              <w:t>, en</w:t>
            </w:r>
            <w:r w:rsidRPr="00C83DA9">
              <w:rPr>
                <w:b/>
                <w:bCs/>
                <w:sz w:val="22"/>
                <w:szCs w:val="22"/>
                <w:lang w:val="fr-FR"/>
              </w:rPr>
              <w:t xml:space="preserve"> Malaisie</w:t>
            </w:r>
            <w:r w:rsidRPr="00C83DA9">
              <w:rPr>
                <w:sz w:val="22"/>
                <w:szCs w:val="22"/>
                <w:lang w:val="fr-FR"/>
              </w:rPr>
              <w:t>, au</w:t>
            </w:r>
            <w:r w:rsidRPr="00C83DA9">
              <w:rPr>
                <w:b/>
                <w:bCs/>
                <w:sz w:val="22"/>
                <w:szCs w:val="22"/>
                <w:lang w:val="fr-FR"/>
              </w:rPr>
              <w:t xml:space="preserve"> Tadjikistan</w:t>
            </w:r>
            <w:r w:rsidRPr="00C83DA9">
              <w:rPr>
                <w:sz w:val="22"/>
                <w:szCs w:val="22"/>
                <w:lang w:val="fr-FR"/>
              </w:rPr>
              <w:t xml:space="preserve"> et en </w:t>
            </w:r>
            <w:r w:rsidRPr="00C83DA9">
              <w:rPr>
                <w:b/>
                <w:bCs/>
                <w:sz w:val="22"/>
                <w:szCs w:val="22"/>
                <w:lang w:val="fr-FR"/>
              </w:rPr>
              <w:t>Uruguay</w:t>
            </w:r>
            <w:r w:rsidRPr="00C83DA9">
              <w:rPr>
                <w:sz w:val="22"/>
                <w:szCs w:val="22"/>
                <w:lang w:val="fr-FR"/>
              </w:rPr>
              <w:t xml:space="preserve">. En outre, une assistance technique a été fournie à la </w:t>
            </w:r>
            <w:r w:rsidRPr="00C83DA9">
              <w:rPr>
                <w:b/>
                <w:bCs/>
                <w:sz w:val="22"/>
                <w:szCs w:val="22"/>
                <w:lang w:val="fr-FR"/>
              </w:rPr>
              <w:t>République dominicaine</w:t>
            </w:r>
            <w:r w:rsidRPr="00C83DA9">
              <w:rPr>
                <w:sz w:val="22"/>
                <w:szCs w:val="22"/>
                <w:lang w:val="fr-FR"/>
              </w:rPr>
              <w:t xml:space="preserve"> et à l</w:t>
            </w:r>
            <w:r w:rsidR="00456505" w:rsidRPr="00C83DA9">
              <w:rPr>
                <w:sz w:val="22"/>
                <w:szCs w:val="22"/>
                <w:lang w:val="fr-FR"/>
              </w:rPr>
              <w:t>'</w:t>
            </w:r>
            <w:r w:rsidRPr="00C83DA9">
              <w:rPr>
                <w:b/>
                <w:bCs/>
                <w:sz w:val="22"/>
                <w:szCs w:val="22"/>
                <w:lang w:val="fr-FR"/>
              </w:rPr>
              <w:t>Uruguay</w:t>
            </w:r>
            <w:r w:rsidRPr="00C83DA9">
              <w:rPr>
                <w:sz w:val="22"/>
                <w:szCs w:val="22"/>
                <w:lang w:val="fr-FR"/>
              </w:rPr>
              <w:t xml:space="preserve"> afin d</w:t>
            </w:r>
            <w:r w:rsidR="00456505" w:rsidRPr="00C83DA9">
              <w:rPr>
                <w:sz w:val="22"/>
                <w:szCs w:val="22"/>
                <w:lang w:val="fr-FR"/>
              </w:rPr>
              <w:t>'</w:t>
            </w:r>
            <w:r w:rsidRPr="00C83DA9">
              <w:rPr>
                <w:sz w:val="22"/>
                <w:szCs w:val="22"/>
                <w:lang w:val="fr-FR"/>
              </w:rPr>
              <w:t>établir une feuille de route pour la mise en œuvre d</w:t>
            </w:r>
            <w:r w:rsidR="00456505" w:rsidRPr="00C83DA9">
              <w:rPr>
                <w:sz w:val="22"/>
                <w:szCs w:val="22"/>
                <w:lang w:val="fr-FR"/>
              </w:rPr>
              <w:t>'</w:t>
            </w:r>
            <w:r w:rsidRPr="00C83DA9">
              <w:rPr>
                <w:sz w:val="22"/>
                <w:szCs w:val="22"/>
                <w:lang w:val="fr-FR"/>
              </w:rPr>
              <w:t>un système de cartographie.</w:t>
            </w:r>
          </w:p>
          <w:p w14:paraId="3965129E" w14:textId="1AA01038" w:rsidR="00372A77" w:rsidRPr="00C83DA9" w:rsidRDefault="00372A77" w:rsidP="00DC1608">
            <w:pPr>
              <w:pStyle w:val="Tabletext"/>
              <w:spacing w:before="120"/>
              <w:rPr>
                <w:sz w:val="22"/>
                <w:szCs w:val="22"/>
                <w:lang w:val="fr-FR"/>
              </w:rPr>
            </w:pPr>
            <w:r w:rsidRPr="00C83DA9">
              <w:rPr>
                <w:sz w:val="22"/>
                <w:szCs w:val="22"/>
                <w:lang w:val="fr-FR"/>
              </w:rPr>
              <w:t>En 2025, un nouveau cours sur l</w:t>
            </w:r>
            <w:r w:rsidR="00456505" w:rsidRPr="00C83DA9">
              <w:rPr>
                <w:sz w:val="22"/>
                <w:szCs w:val="22"/>
                <w:lang w:val="fr-FR"/>
              </w:rPr>
              <w:t>'</w:t>
            </w:r>
            <w:r w:rsidRPr="00C83DA9">
              <w:rPr>
                <w:sz w:val="22"/>
                <w:szCs w:val="22"/>
                <w:lang w:val="fr-FR"/>
              </w:rPr>
              <w:t>intelligence artificielle dans l</w:t>
            </w:r>
            <w:r w:rsidR="00456505" w:rsidRPr="00C83DA9">
              <w:rPr>
                <w:sz w:val="22"/>
                <w:szCs w:val="22"/>
                <w:lang w:val="fr-FR"/>
              </w:rPr>
              <w:t>'</w:t>
            </w:r>
            <w:r w:rsidRPr="00C83DA9">
              <w:rPr>
                <w:sz w:val="22"/>
                <w:szCs w:val="22"/>
                <w:lang w:val="fr-FR"/>
              </w:rPr>
              <w:t>infrastructure TIC a été ajouté, démontrant l</w:t>
            </w:r>
            <w:r w:rsidR="00456505" w:rsidRPr="00C83DA9">
              <w:rPr>
                <w:sz w:val="22"/>
                <w:szCs w:val="22"/>
                <w:lang w:val="fr-FR"/>
              </w:rPr>
              <w:t>'</w:t>
            </w:r>
            <w:r w:rsidRPr="00C83DA9">
              <w:rPr>
                <w:sz w:val="22"/>
                <w:szCs w:val="22"/>
                <w:lang w:val="fr-FR"/>
              </w:rPr>
              <w:t>engagement de l</w:t>
            </w:r>
            <w:r w:rsidR="00456505" w:rsidRPr="00C83DA9">
              <w:rPr>
                <w:sz w:val="22"/>
                <w:szCs w:val="22"/>
                <w:lang w:val="fr-FR"/>
              </w:rPr>
              <w:t>'</w:t>
            </w:r>
            <w:r w:rsidRPr="00C83DA9">
              <w:rPr>
                <w:sz w:val="22"/>
                <w:szCs w:val="22"/>
                <w:lang w:val="fr-FR"/>
              </w:rPr>
              <w:t>UIT à rester à l</w:t>
            </w:r>
            <w:r w:rsidR="00456505" w:rsidRPr="00C83DA9">
              <w:rPr>
                <w:sz w:val="22"/>
                <w:szCs w:val="22"/>
                <w:lang w:val="fr-FR"/>
              </w:rPr>
              <w:t>'</w:t>
            </w:r>
            <w:r w:rsidRPr="00C83DA9">
              <w:rPr>
                <w:sz w:val="22"/>
                <w:szCs w:val="22"/>
                <w:lang w:val="fr-FR"/>
              </w:rPr>
              <w:t xml:space="preserve">avant-garde des tendances technologiques. </w:t>
            </w:r>
            <w:hyperlink r:id="rId65" w:anchor="/fr" w:history="1">
              <w:r w:rsidRPr="00C83DA9">
                <w:rPr>
                  <w:rStyle w:val="Hyperlink"/>
                  <w:sz w:val="22"/>
                  <w:szCs w:val="22"/>
                  <w:lang w:val="fr-FR"/>
                </w:rPr>
                <w:t>Le kit pratique de planification commerciale de l</w:t>
              </w:r>
              <w:r w:rsidR="00456505" w:rsidRPr="00C83DA9">
                <w:rPr>
                  <w:rStyle w:val="Hyperlink"/>
                  <w:sz w:val="22"/>
                  <w:szCs w:val="22"/>
                  <w:lang w:val="fr-FR"/>
                </w:rPr>
                <w:t>'</w:t>
              </w:r>
              <w:r w:rsidRPr="00C83DA9">
                <w:rPr>
                  <w:rStyle w:val="Hyperlink"/>
                  <w:sz w:val="22"/>
                  <w:szCs w:val="22"/>
                  <w:lang w:val="fr-FR"/>
                </w:rPr>
                <w:t>infrastructure TIC sur les réseaux 5G</w:t>
              </w:r>
            </w:hyperlink>
            <w:r w:rsidRPr="00C83DA9">
              <w:rPr>
                <w:sz w:val="22"/>
                <w:szCs w:val="22"/>
                <w:lang w:val="fr-FR"/>
              </w:rPr>
              <w:t>, publié pendant cette période, s</w:t>
            </w:r>
            <w:r w:rsidR="00456505" w:rsidRPr="00C83DA9">
              <w:rPr>
                <w:sz w:val="22"/>
                <w:szCs w:val="22"/>
                <w:lang w:val="fr-FR"/>
              </w:rPr>
              <w:t>'</w:t>
            </w:r>
            <w:r w:rsidRPr="00C83DA9">
              <w:rPr>
                <w:sz w:val="22"/>
                <w:szCs w:val="22"/>
                <w:lang w:val="fr-FR"/>
              </w:rPr>
              <w:t>est imposé comme référence essentielle pour plus de 60 pays élaborant des feuilles de route nationales pour la 5G. Ces interventions ont renforcé les capacités institutionnelles et permis de s</w:t>
            </w:r>
            <w:r w:rsidR="00456505" w:rsidRPr="00C83DA9">
              <w:rPr>
                <w:sz w:val="22"/>
                <w:szCs w:val="22"/>
                <w:lang w:val="fr-FR"/>
              </w:rPr>
              <w:t>'</w:t>
            </w:r>
            <w:r w:rsidRPr="00C83DA9">
              <w:rPr>
                <w:sz w:val="22"/>
                <w:szCs w:val="22"/>
                <w:lang w:val="fr-FR"/>
              </w:rPr>
              <w:t>assurer que les projets d</w:t>
            </w:r>
            <w:r w:rsidR="00456505" w:rsidRPr="00C83DA9">
              <w:rPr>
                <w:sz w:val="22"/>
                <w:szCs w:val="22"/>
                <w:lang w:val="fr-FR"/>
              </w:rPr>
              <w:t>'</w:t>
            </w:r>
            <w:r w:rsidRPr="00C83DA9">
              <w:rPr>
                <w:sz w:val="22"/>
                <w:szCs w:val="22"/>
                <w:lang w:val="fr-FR"/>
              </w:rPr>
              <w:t>infrastructure étaient conçus dans une optique de durabilité et d</w:t>
            </w:r>
            <w:r w:rsidR="00456505" w:rsidRPr="00C83DA9">
              <w:rPr>
                <w:sz w:val="22"/>
                <w:szCs w:val="22"/>
                <w:lang w:val="fr-FR"/>
              </w:rPr>
              <w:t>'</w:t>
            </w:r>
            <w:r w:rsidRPr="00C83DA9">
              <w:rPr>
                <w:sz w:val="22"/>
                <w:szCs w:val="22"/>
                <w:lang w:val="fr-FR"/>
              </w:rPr>
              <w:t>évolutivité.</w:t>
            </w:r>
            <w:hyperlink r:id="rId66"/>
          </w:p>
          <w:p w14:paraId="7CAEA97F" w14:textId="1CB56FDA" w:rsidR="00372A77" w:rsidRPr="00C83DA9" w:rsidRDefault="00372A77" w:rsidP="00DC1608">
            <w:pPr>
              <w:pStyle w:val="Tabletext"/>
              <w:spacing w:before="120"/>
              <w:rPr>
                <w:sz w:val="22"/>
                <w:szCs w:val="22"/>
                <w:lang w:val="fr-FR"/>
              </w:rPr>
            </w:pPr>
            <w:r w:rsidRPr="00C83DA9">
              <w:rPr>
                <w:sz w:val="22"/>
                <w:szCs w:val="22"/>
                <w:lang w:val="fr-FR"/>
              </w:rPr>
              <w:t xml:space="preserve">La modernisation de la </w:t>
            </w:r>
            <w:r w:rsidRPr="00C83DA9">
              <w:rPr>
                <w:b/>
                <w:bCs/>
                <w:sz w:val="22"/>
                <w:szCs w:val="22"/>
                <w:lang w:val="fr-FR"/>
              </w:rPr>
              <w:t xml:space="preserve">gestion du spectre et des outils techniques </w:t>
            </w:r>
            <w:r w:rsidRPr="00C83DA9">
              <w:rPr>
                <w:sz w:val="22"/>
                <w:szCs w:val="22"/>
                <w:lang w:val="fr-FR"/>
              </w:rPr>
              <w:t xml:space="preserve">constitue une autre réalisation importante. Le </w:t>
            </w:r>
            <w:r w:rsidRPr="00C83DA9">
              <w:rPr>
                <w:b/>
                <w:bCs/>
                <w:sz w:val="22"/>
                <w:szCs w:val="22"/>
                <w:lang w:val="fr-FR"/>
              </w:rPr>
              <w:t>système de gestion du spectre pour les pays en développement (SMS4DC)</w:t>
            </w:r>
            <w:r w:rsidRPr="00C83DA9">
              <w:rPr>
                <w:sz w:val="22"/>
                <w:szCs w:val="22"/>
                <w:lang w:val="fr-FR"/>
              </w:rPr>
              <w:t xml:space="preserve"> a été mis à jour conformément aux décisions de la Conférence</w:t>
            </w:r>
            <w:r w:rsidR="00644A72" w:rsidRPr="00C83DA9">
              <w:rPr>
                <w:sz w:val="22"/>
                <w:szCs w:val="22"/>
                <w:lang w:val="fr-FR"/>
              </w:rPr>
              <w:t> </w:t>
            </w:r>
            <w:r w:rsidRPr="00C83DA9">
              <w:rPr>
                <w:sz w:val="22"/>
                <w:szCs w:val="22"/>
                <w:lang w:val="fr-FR"/>
              </w:rPr>
              <w:t>mondiale des radiocommunications de 2023 (CMR-23) de l</w:t>
            </w:r>
            <w:r w:rsidR="00456505" w:rsidRPr="00C83DA9">
              <w:rPr>
                <w:sz w:val="22"/>
                <w:szCs w:val="22"/>
                <w:lang w:val="fr-FR"/>
              </w:rPr>
              <w:t>'</w:t>
            </w:r>
            <w:r w:rsidRPr="00C83DA9">
              <w:rPr>
                <w:sz w:val="22"/>
                <w:szCs w:val="22"/>
                <w:lang w:val="fr-FR"/>
              </w:rPr>
              <w:t>UIT, permettant aux États Membres de moderniser leurs bases de</w:t>
            </w:r>
            <w:r w:rsidR="00644A72" w:rsidRPr="00C83DA9">
              <w:rPr>
                <w:sz w:val="22"/>
                <w:szCs w:val="22"/>
                <w:lang w:val="fr-FR"/>
              </w:rPr>
              <w:t> </w:t>
            </w:r>
            <w:r w:rsidRPr="00C83DA9">
              <w:rPr>
                <w:sz w:val="22"/>
                <w:szCs w:val="22"/>
                <w:lang w:val="fr-FR"/>
              </w:rPr>
              <w:t xml:space="preserve">données et leurs procédures réglementaires. Ces efforts ont également contribué à la mise en </w:t>
            </w:r>
            <w:r w:rsidR="00644A72" w:rsidRPr="00C83DA9">
              <w:rPr>
                <w:sz w:val="22"/>
                <w:szCs w:val="22"/>
                <w:lang w:val="fr-FR"/>
              </w:rPr>
              <w:t>œ</w:t>
            </w:r>
            <w:r w:rsidRPr="00C83DA9">
              <w:rPr>
                <w:sz w:val="22"/>
                <w:szCs w:val="22"/>
                <w:lang w:val="fr-FR"/>
              </w:rPr>
              <w:t>uvre de la Résolution</w:t>
            </w:r>
            <w:r w:rsidR="00644A72" w:rsidRPr="00C83DA9">
              <w:rPr>
                <w:sz w:val="22"/>
                <w:szCs w:val="22"/>
                <w:lang w:val="fr-FR"/>
              </w:rPr>
              <w:t> </w:t>
            </w:r>
            <w:hyperlink r:id="rId67" w:history="1">
              <w:r w:rsidRPr="00C83DA9">
                <w:rPr>
                  <w:rStyle w:val="Hyperlink"/>
                  <w:sz w:val="22"/>
                  <w:szCs w:val="22"/>
                  <w:lang w:val="fr-FR"/>
                </w:rPr>
                <w:t>9</w:t>
              </w:r>
              <w:r w:rsidR="00644A72" w:rsidRPr="00C83DA9">
                <w:rPr>
                  <w:rStyle w:val="Hyperlink"/>
                  <w:sz w:val="22"/>
                  <w:szCs w:val="22"/>
                  <w:lang w:val="fr-FR"/>
                </w:rPr>
                <w:t> </w:t>
              </w:r>
              <w:r w:rsidRPr="00C83DA9">
                <w:rPr>
                  <w:rStyle w:val="Hyperlink"/>
                  <w:sz w:val="22"/>
                  <w:szCs w:val="22"/>
                  <w:lang w:val="fr-FR"/>
                </w:rPr>
                <w:t>(Rév.</w:t>
              </w:r>
              <w:r w:rsidR="00644A72" w:rsidRPr="00C83DA9">
                <w:rPr>
                  <w:rStyle w:val="Hyperlink"/>
                  <w:sz w:val="22"/>
                  <w:szCs w:val="22"/>
                  <w:lang w:val="fr-FR"/>
                </w:rPr>
                <w:t> </w:t>
              </w:r>
              <w:r w:rsidRPr="00C83DA9">
                <w:rPr>
                  <w:rStyle w:val="Hyperlink"/>
                  <w:sz w:val="22"/>
                  <w:szCs w:val="22"/>
                  <w:lang w:val="fr-FR"/>
                </w:rPr>
                <w:t>Kigali, 2022)</w:t>
              </w:r>
            </w:hyperlink>
            <w:r w:rsidRPr="00C83DA9">
              <w:rPr>
                <w:sz w:val="22"/>
                <w:szCs w:val="22"/>
                <w:lang w:val="fr-FR"/>
              </w:rPr>
              <w:t xml:space="preserve"> de la CMDT, intitulée "Participation des pays, en particulier des pays en développement, à la gestion du spectre radioélectrique". En 2024, dix petits États insulaires en développement (PEID) ont suivi une formation à Vanuatu, ce qui leur a permis de gérer plus efficacement les ressources spectrales, qui sont limitées. En </w:t>
            </w:r>
            <w:r w:rsidRPr="00C83DA9">
              <w:rPr>
                <w:b/>
                <w:bCs/>
                <w:sz w:val="22"/>
                <w:szCs w:val="22"/>
                <w:lang w:val="fr-FR"/>
              </w:rPr>
              <w:t>Afrique</w:t>
            </w:r>
            <w:r w:rsidRPr="00C83DA9">
              <w:rPr>
                <w:sz w:val="22"/>
                <w:szCs w:val="22"/>
                <w:lang w:val="fr-FR"/>
              </w:rPr>
              <w:t>, le logiciel HCM4A a été déployé en</w:t>
            </w:r>
            <w:r w:rsidR="00644A72" w:rsidRPr="00C83DA9">
              <w:rPr>
                <w:sz w:val="22"/>
                <w:szCs w:val="22"/>
                <w:lang w:val="fr-FR"/>
              </w:rPr>
              <w:t> </w:t>
            </w:r>
            <w:r w:rsidRPr="00C83DA9">
              <w:rPr>
                <w:sz w:val="22"/>
                <w:szCs w:val="22"/>
                <w:lang w:val="fr-FR"/>
              </w:rPr>
              <w:t>2025</w:t>
            </w:r>
            <w:r w:rsidR="003F4994" w:rsidRPr="00C83DA9">
              <w:rPr>
                <w:sz w:val="22"/>
                <w:szCs w:val="22"/>
                <w:lang w:val="fr-FR"/>
              </w:rPr>
              <w:t xml:space="preserve"> dans le cadre de l'Initiative de politique et de régulation pour l'Afrique numérique (projet PRIDA)</w:t>
            </w:r>
            <w:r w:rsidRPr="00C83DA9">
              <w:rPr>
                <w:sz w:val="22"/>
                <w:szCs w:val="22"/>
                <w:lang w:val="fr-FR"/>
              </w:rPr>
              <w:t>, fournissant des méthodes harmonisées pour la coordination du spectre. Dans l</w:t>
            </w:r>
            <w:r w:rsidR="00456505" w:rsidRPr="00C83DA9">
              <w:rPr>
                <w:sz w:val="22"/>
                <w:szCs w:val="22"/>
                <w:lang w:val="fr-FR"/>
              </w:rPr>
              <w:t>'</w:t>
            </w:r>
            <w:r w:rsidRPr="00C83DA9">
              <w:rPr>
                <w:sz w:val="22"/>
                <w:szCs w:val="22"/>
                <w:lang w:val="fr-FR"/>
              </w:rPr>
              <w:t xml:space="preserve">ensemble de la </w:t>
            </w:r>
            <w:r w:rsidRPr="00C83DA9">
              <w:rPr>
                <w:b/>
                <w:bCs/>
                <w:sz w:val="22"/>
                <w:szCs w:val="22"/>
                <w:lang w:val="fr-FR"/>
              </w:rPr>
              <w:t>région Asie-Pacifique</w:t>
            </w:r>
            <w:r w:rsidRPr="00C83DA9">
              <w:rPr>
                <w:sz w:val="22"/>
                <w:szCs w:val="22"/>
                <w:lang w:val="fr-FR"/>
              </w:rPr>
              <w:t>, l</w:t>
            </w:r>
            <w:r w:rsidR="00456505" w:rsidRPr="00C83DA9">
              <w:rPr>
                <w:sz w:val="22"/>
                <w:szCs w:val="22"/>
                <w:lang w:val="fr-FR"/>
              </w:rPr>
              <w:t>'</w:t>
            </w:r>
            <w:r w:rsidRPr="00C83DA9">
              <w:rPr>
                <w:sz w:val="22"/>
                <w:szCs w:val="22"/>
                <w:lang w:val="fr-FR"/>
              </w:rPr>
              <w:t xml:space="preserve">aide fournie à </w:t>
            </w:r>
            <w:r w:rsidRPr="00C83DA9">
              <w:rPr>
                <w:b/>
                <w:bCs/>
                <w:sz w:val="22"/>
                <w:szCs w:val="22"/>
                <w:lang w:val="fr-FR"/>
              </w:rPr>
              <w:t>Nauru</w:t>
            </w:r>
            <w:r w:rsidRPr="00C83DA9">
              <w:rPr>
                <w:sz w:val="22"/>
                <w:szCs w:val="22"/>
                <w:lang w:val="fr-FR"/>
              </w:rPr>
              <w:t xml:space="preserve"> et à </w:t>
            </w:r>
            <w:r w:rsidRPr="00C83DA9">
              <w:rPr>
                <w:b/>
                <w:bCs/>
                <w:sz w:val="22"/>
                <w:szCs w:val="22"/>
                <w:lang w:val="fr-FR"/>
              </w:rPr>
              <w:t>Vanuatu</w:t>
            </w:r>
            <w:r w:rsidRPr="00C83DA9">
              <w:rPr>
                <w:sz w:val="22"/>
                <w:szCs w:val="22"/>
                <w:lang w:val="fr-FR"/>
              </w:rPr>
              <w:t xml:space="preserve"> a permis d</w:t>
            </w:r>
            <w:r w:rsidR="00456505" w:rsidRPr="00C83DA9">
              <w:rPr>
                <w:sz w:val="22"/>
                <w:szCs w:val="22"/>
                <w:lang w:val="fr-FR"/>
              </w:rPr>
              <w:t>'</w:t>
            </w:r>
            <w:r w:rsidRPr="00C83DA9">
              <w:rPr>
                <w:sz w:val="22"/>
                <w:szCs w:val="22"/>
                <w:lang w:val="fr-FR"/>
              </w:rPr>
              <w:t>élaborer un nouveau Tableau national d</w:t>
            </w:r>
            <w:r w:rsidR="00456505" w:rsidRPr="00C83DA9">
              <w:rPr>
                <w:sz w:val="22"/>
                <w:szCs w:val="22"/>
                <w:lang w:val="fr-FR"/>
              </w:rPr>
              <w:t>'</w:t>
            </w:r>
            <w:r w:rsidRPr="00C83DA9">
              <w:rPr>
                <w:sz w:val="22"/>
                <w:szCs w:val="22"/>
                <w:lang w:val="fr-FR"/>
              </w:rPr>
              <w:t xml:space="preserve">attribution des bandes de fréquences, et au </w:t>
            </w:r>
            <w:r w:rsidRPr="00C83DA9">
              <w:rPr>
                <w:b/>
                <w:bCs/>
                <w:sz w:val="22"/>
                <w:szCs w:val="22"/>
                <w:lang w:val="fr-FR"/>
              </w:rPr>
              <w:t>Timor-Leste</w:t>
            </w:r>
            <w:r w:rsidRPr="00C83DA9">
              <w:rPr>
                <w:sz w:val="22"/>
                <w:szCs w:val="22"/>
                <w:lang w:val="fr-FR"/>
              </w:rPr>
              <w:t>, une assistance a été fournie pour mettre à jour le Tableau d</w:t>
            </w:r>
            <w:r w:rsidR="00456505" w:rsidRPr="00C83DA9">
              <w:rPr>
                <w:sz w:val="22"/>
                <w:szCs w:val="22"/>
                <w:lang w:val="fr-FR"/>
              </w:rPr>
              <w:t>'</w:t>
            </w:r>
            <w:r w:rsidRPr="00C83DA9">
              <w:rPr>
                <w:sz w:val="22"/>
                <w:szCs w:val="22"/>
                <w:lang w:val="fr-FR"/>
              </w:rPr>
              <w:t>attribution des bandes de fréquences. Un atelier organisé à Shanghai en 2024 a permis de faire progresser l</w:t>
            </w:r>
            <w:r w:rsidR="00456505" w:rsidRPr="00C83DA9">
              <w:rPr>
                <w:sz w:val="22"/>
                <w:szCs w:val="22"/>
                <w:lang w:val="fr-FR"/>
              </w:rPr>
              <w:t>'</w:t>
            </w:r>
            <w:r w:rsidRPr="00C83DA9">
              <w:rPr>
                <w:sz w:val="22"/>
                <w:szCs w:val="22"/>
                <w:lang w:val="fr-FR"/>
              </w:rPr>
              <w:t>harmonisation des fréquences dans la région, ouvrant la voie à une gestion plus efficace des fréquences au profit de plus de 500</w:t>
            </w:r>
            <w:r w:rsidR="00DF47CA" w:rsidRPr="00C83DA9">
              <w:rPr>
                <w:sz w:val="22"/>
                <w:szCs w:val="22"/>
                <w:lang w:val="fr-FR"/>
              </w:rPr>
              <w:t> </w:t>
            </w:r>
            <w:r w:rsidRPr="00C83DA9">
              <w:rPr>
                <w:sz w:val="22"/>
                <w:szCs w:val="22"/>
                <w:lang w:val="fr-FR"/>
              </w:rPr>
              <w:t>millions d</w:t>
            </w:r>
            <w:r w:rsidR="00456505" w:rsidRPr="00C83DA9">
              <w:rPr>
                <w:sz w:val="22"/>
                <w:szCs w:val="22"/>
                <w:lang w:val="fr-FR"/>
              </w:rPr>
              <w:t>'</w:t>
            </w:r>
            <w:r w:rsidRPr="00C83DA9">
              <w:rPr>
                <w:sz w:val="22"/>
                <w:szCs w:val="22"/>
                <w:lang w:val="fr-FR"/>
              </w:rPr>
              <w:t>utilisateurs d</w:t>
            </w:r>
            <w:r w:rsidR="00456505" w:rsidRPr="00C83DA9">
              <w:rPr>
                <w:sz w:val="22"/>
                <w:szCs w:val="22"/>
                <w:lang w:val="fr-FR"/>
              </w:rPr>
              <w:t>'</w:t>
            </w:r>
            <w:r w:rsidRPr="00C83DA9">
              <w:rPr>
                <w:sz w:val="22"/>
                <w:szCs w:val="22"/>
                <w:lang w:val="fr-FR"/>
              </w:rPr>
              <w:t>ici à 2030. Ces avancées confirment le rôle du spectre en tant que ressource technique et catalyseur stratégique de la croissance numérique.</w:t>
            </w:r>
            <w:hyperlink r:id="rId68" w:history="1"/>
          </w:p>
          <w:p w14:paraId="26756D1D" w14:textId="6A301EB9" w:rsidR="00372A77" w:rsidRPr="00C83DA9" w:rsidRDefault="00372A77" w:rsidP="00DC1608">
            <w:pPr>
              <w:pStyle w:val="Tabletext"/>
              <w:spacing w:before="120"/>
              <w:rPr>
                <w:sz w:val="22"/>
                <w:szCs w:val="22"/>
                <w:lang w:val="fr-FR"/>
              </w:rPr>
            </w:pPr>
            <w:r w:rsidRPr="00C83DA9">
              <w:rPr>
                <w:sz w:val="22"/>
                <w:szCs w:val="22"/>
                <w:lang w:val="fr-FR"/>
              </w:rPr>
              <w:t>L</w:t>
            </w:r>
            <w:r w:rsidR="00456505" w:rsidRPr="00C83DA9">
              <w:rPr>
                <w:sz w:val="22"/>
                <w:szCs w:val="22"/>
                <w:lang w:val="fr-FR"/>
              </w:rPr>
              <w:t>'</w:t>
            </w:r>
            <w:r w:rsidRPr="00C83DA9">
              <w:rPr>
                <w:sz w:val="22"/>
                <w:szCs w:val="22"/>
                <w:lang w:val="fr-FR"/>
              </w:rPr>
              <w:t xml:space="preserve">expansion de la </w:t>
            </w:r>
            <w:r w:rsidRPr="00C83DA9">
              <w:rPr>
                <w:b/>
                <w:bCs/>
                <w:sz w:val="22"/>
                <w:szCs w:val="22"/>
                <w:lang w:val="fr-FR"/>
              </w:rPr>
              <w:t>connectivité satellitaire et spatiale</w:t>
            </w:r>
            <w:r w:rsidRPr="00C83DA9">
              <w:rPr>
                <w:sz w:val="22"/>
                <w:szCs w:val="22"/>
                <w:lang w:val="fr-FR"/>
              </w:rPr>
              <w:t xml:space="preserve"> se traduit par l</w:t>
            </w:r>
            <w:r w:rsidR="00456505" w:rsidRPr="00C83DA9">
              <w:rPr>
                <w:sz w:val="22"/>
                <w:szCs w:val="22"/>
                <w:lang w:val="fr-FR"/>
              </w:rPr>
              <w:t>'</w:t>
            </w:r>
            <w:r w:rsidRPr="00C83DA9">
              <w:rPr>
                <w:sz w:val="22"/>
                <w:szCs w:val="22"/>
                <w:lang w:val="fr-FR"/>
              </w:rPr>
              <w:t xml:space="preserve">importance croissante des solutions hybrides pour réduire les fractures. Entre 2023 et 2025, le BDT a organisé des ateliers à la </w:t>
            </w:r>
            <w:r w:rsidRPr="00C83DA9">
              <w:rPr>
                <w:b/>
                <w:bCs/>
                <w:sz w:val="22"/>
                <w:szCs w:val="22"/>
                <w:lang w:val="fr-FR"/>
              </w:rPr>
              <w:t>Grenade</w:t>
            </w:r>
            <w:r w:rsidRPr="00C83DA9">
              <w:rPr>
                <w:sz w:val="22"/>
                <w:szCs w:val="22"/>
                <w:lang w:val="fr-FR"/>
              </w:rPr>
              <w:t>, en</w:t>
            </w:r>
            <w:r w:rsidRPr="00C83DA9">
              <w:rPr>
                <w:b/>
                <w:bCs/>
                <w:sz w:val="22"/>
                <w:szCs w:val="22"/>
                <w:lang w:val="fr-FR"/>
              </w:rPr>
              <w:t xml:space="preserve"> Mongolie</w:t>
            </w:r>
            <w:r w:rsidRPr="00C83DA9">
              <w:rPr>
                <w:sz w:val="22"/>
                <w:szCs w:val="22"/>
                <w:lang w:val="fr-FR"/>
              </w:rPr>
              <w:t xml:space="preserve"> et en </w:t>
            </w:r>
            <w:r w:rsidRPr="00C83DA9">
              <w:rPr>
                <w:b/>
                <w:bCs/>
                <w:sz w:val="22"/>
                <w:szCs w:val="22"/>
                <w:lang w:val="fr-FR"/>
              </w:rPr>
              <w:t>Arabie saoudite</w:t>
            </w:r>
            <w:r w:rsidRPr="00C83DA9">
              <w:rPr>
                <w:sz w:val="22"/>
                <w:szCs w:val="22"/>
                <w:lang w:val="fr-FR"/>
              </w:rPr>
              <w:t>, afin d</w:t>
            </w:r>
            <w:r w:rsidR="00456505" w:rsidRPr="00C83DA9">
              <w:rPr>
                <w:sz w:val="22"/>
                <w:szCs w:val="22"/>
                <w:lang w:val="fr-FR"/>
              </w:rPr>
              <w:t>'</w:t>
            </w:r>
            <w:r w:rsidRPr="00C83DA9">
              <w:rPr>
                <w:sz w:val="22"/>
                <w:szCs w:val="22"/>
                <w:lang w:val="fr-FR"/>
              </w:rPr>
              <w:t>aider les États</w:t>
            </w:r>
            <w:r w:rsidR="00DF47CA" w:rsidRPr="00C83DA9">
              <w:rPr>
                <w:sz w:val="22"/>
                <w:szCs w:val="22"/>
                <w:lang w:val="fr-FR"/>
              </w:rPr>
              <w:t> </w:t>
            </w:r>
            <w:r w:rsidRPr="00C83DA9">
              <w:rPr>
                <w:sz w:val="22"/>
                <w:szCs w:val="22"/>
                <w:lang w:val="fr-FR"/>
              </w:rPr>
              <w:t xml:space="preserve">Membres à intégrer la technologie satellitaire dans leurs stratégies nationales en matière de large bande. La collaboration avec le </w:t>
            </w:r>
            <w:r w:rsidRPr="00C83DA9">
              <w:rPr>
                <w:sz w:val="22"/>
                <w:szCs w:val="22"/>
                <w:lang w:val="fr-FR"/>
              </w:rPr>
              <w:lastRenderedPageBreak/>
              <w:t>Groupe de réflexion international pour les PDSL (ITTLLDC) a permis de mettre l</w:t>
            </w:r>
            <w:r w:rsidR="00456505" w:rsidRPr="00C83DA9">
              <w:rPr>
                <w:sz w:val="22"/>
                <w:szCs w:val="22"/>
                <w:lang w:val="fr-FR"/>
              </w:rPr>
              <w:t>'</w:t>
            </w:r>
            <w:r w:rsidRPr="00C83DA9">
              <w:rPr>
                <w:sz w:val="22"/>
                <w:szCs w:val="22"/>
                <w:lang w:val="fr-FR"/>
              </w:rPr>
              <w:t xml:space="preserve">accent sur les besoins spécifiques de ces pays. Des séminaires organisés en </w:t>
            </w:r>
            <w:r w:rsidRPr="00C83DA9">
              <w:rPr>
                <w:b/>
                <w:bCs/>
                <w:sz w:val="22"/>
                <w:szCs w:val="22"/>
                <w:lang w:val="fr-FR"/>
              </w:rPr>
              <w:t>Mongolie</w:t>
            </w:r>
            <w:r w:rsidRPr="00C83DA9">
              <w:rPr>
                <w:sz w:val="22"/>
                <w:szCs w:val="22"/>
                <w:lang w:val="fr-FR"/>
              </w:rPr>
              <w:t xml:space="preserve"> en 2024 et 2025 ont permis de présenter 10 études de cas sur la réglementation des satellites et le partage des infrastructures, offrant des orientations pratiques aux décideurs. Un cours en ligne sur la réglementation des satellites a élargi les possibilités de formation dans la région. La </w:t>
            </w:r>
            <w:r w:rsidRPr="00C83DA9">
              <w:rPr>
                <w:b/>
                <w:bCs/>
                <w:sz w:val="22"/>
                <w:szCs w:val="22"/>
                <w:lang w:val="fr-FR"/>
              </w:rPr>
              <w:t>Malaisie</w:t>
            </w:r>
            <w:r w:rsidRPr="00C83DA9">
              <w:rPr>
                <w:sz w:val="22"/>
                <w:szCs w:val="22"/>
                <w:lang w:val="fr-FR"/>
              </w:rPr>
              <w:t xml:space="preserve"> a aligné ses politiques sur les points des ordres du jour de la CMR-23 et de la CMR-27 portant sur l</w:t>
            </w:r>
            <w:r w:rsidR="00456505" w:rsidRPr="00C83DA9">
              <w:rPr>
                <w:sz w:val="22"/>
                <w:szCs w:val="22"/>
                <w:lang w:val="fr-FR"/>
              </w:rPr>
              <w:t>'</w:t>
            </w:r>
            <w:r w:rsidRPr="00C83DA9">
              <w:rPr>
                <w:sz w:val="22"/>
                <w:szCs w:val="22"/>
                <w:lang w:val="fr-FR"/>
              </w:rPr>
              <w:t>orbite des satellites non géostationnaires (non OSG), les réseaux autres que de Terre (NTN) et les systèmes utilisant des plates-formes à haute altitude (HAPS). L</w:t>
            </w:r>
            <w:r w:rsidR="00456505" w:rsidRPr="00C83DA9">
              <w:rPr>
                <w:sz w:val="22"/>
                <w:szCs w:val="22"/>
                <w:lang w:val="fr-FR"/>
              </w:rPr>
              <w:t>'</w:t>
            </w:r>
            <w:r w:rsidRPr="00C83DA9">
              <w:rPr>
                <w:sz w:val="22"/>
                <w:szCs w:val="22"/>
                <w:lang w:val="fr-FR"/>
              </w:rPr>
              <w:t>Association des nations de l</w:t>
            </w:r>
            <w:r w:rsidR="00456505" w:rsidRPr="00C83DA9">
              <w:rPr>
                <w:sz w:val="22"/>
                <w:szCs w:val="22"/>
                <w:lang w:val="fr-FR"/>
              </w:rPr>
              <w:t>'</w:t>
            </w:r>
            <w:r w:rsidRPr="00C83DA9">
              <w:rPr>
                <w:sz w:val="22"/>
                <w:szCs w:val="22"/>
                <w:lang w:val="fr-FR"/>
              </w:rPr>
              <w:t>Asie du Sud-Est (ASEAN) et ses partenaires ont commencé à étudier des outils de contrôle du spectre fondés sur l</w:t>
            </w:r>
            <w:r w:rsidR="00456505" w:rsidRPr="00C83DA9">
              <w:rPr>
                <w:sz w:val="22"/>
                <w:szCs w:val="22"/>
                <w:lang w:val="fr-FR"/>
              </w:rPr>
              <w:t>'</w:t>
            </w:r>
            <w:r w:rsidRPr="00C83DA9">
              <w:rPr>
                <w:sz w:val="22"/>
                <w:szCs w:val="22"/>
                <w:lang w:val="fr-FR"/>
              </w:rPr>
              <w:t>IA, ce qui montre la façon dont les solutions spatiales pourraient évoluer vers des systèmes intelligents et adaptatifs.</w:t>
            </w:r>
          </w:p>
          <w:p w14:paraId="2F954B8C" w14:textId="6EC60249" w:rsidR="00372A77" w:rsidRPr="00C83DA9" w:rsidRDefault="00372A77" w:rsidP="00DC1608">
            <w:pPr>
              <w:pStyle w:val="Tabletext"/>
              <w:spacing w:before="120"/>
              <w:rPr>
                <w:sz w:val="22"/>
                <w:szCs w:val="22"/>
                <w:lang w:val="fr-FR"/>
              </w:rPr>
            </w:pPr>
            <w:r w:rsidRPr="00C83DA9">
              <w:rPr>
                <w:sz w:val="22"/>
                <w:szCs w:val="22"/>
                <w:lang w:val="fr-FR"/>
              </w:rPr>
              <w:t>Les progrès réalisés en matière de connectivité dans les écoles ont contribué aux efforts visant à élargir l</w:t>
            </w:r>
            <w:r w:rsidR="00456505" w:rsidRPr="00C83DA9">
              <w:rPr>
                <w:sz w:val="22"/>
                <w:szCs w:val="22"/>
                <w:lang w:val="fr-FR"/>
              </w:rPr>
              <w:t>'</w:t>
            </w:r>
            <w:r w:rsidRPr="00C83DA9">
              <w:rPr>
                <w:sz w:val="22"/>
                <w:szCs w:val="22"/>
                <w:lang w:val="fr-FR"/>
              </w:rPr>
              <w:t>accès à l</w:t>
            </w:r>
            <w:r w:rsidR="00456505" w:rsidRPr="00C83DA9">
              <w:rPr>
                <w:sz w:val="22"/>
                <w:szCs w:val="22"/>
                <w:lang w:val="fr-FR"/>
              </w:rPr>
              <w:t>'</w:t>
            </w:r>
            <w:r w:rsidRPr="00C83DA9">
              <w:rPr>
                <w:sz w:val="22"/>
                <w:szCs w:val="22"/>
                <w:lang w:val="fr-FR"/>
              </w:rPr>
              <w:t>Internet dans l</w:t>
            </w:r>
            <w:r w:rsidR="00456505" w:rsidRPr="00C83DA9">
              <w:rPr>
                <w:sz w:val="22"/>
                <w:szCs w:val="22"/>
                <w:lang w:val="fr-FR"/>
              </w:rPr>
              <w:t>'</w:t>
            </w:r>
            <w:r w:rsidRPr="00C83DA9">
              <w:rPr>
                <w:sz w:val="22"/>
                <w:szCs w:val="22"/>
                <w:lang w:val="fr-FR"/>
              </w:rPr>
              <w:t>éducation, en démontrant comment les investissements dans les infrastructures numériques peuvent générer des retombées sociales et économiques, tout en appuyant des initiatives mondiales telles que l</w:t>
            </w:r>
            <w:r w:rsidR="00456505" w:rsidRPr="00C83DA9">
              <w:rPr>
                <w:sz w:val="22"/>
                <w:szCs w:val="22"/>
                <w:lang w:val="fr-FR"/>
              </w:rPr>
              <w:t>'</w:t>
            </w:r>
            <w:r w:rsidR="00644A72" w:rsidRPr="00C83DA9">
              <w:rPr>
                <w:sz w:val="22"/>
                <w:szCs w:val="22"/>
                <w:lang w:val="fr-FR"/>
              </w:rPr>
              <w:t>I</w:t>
            </w:r>
            <w:r w:rsidRPr="00C83DA9">
              <w:rPr>
                <w:sz w:val="22"/>
                <w:szCs w:val="22"/>
                <w:lang w:val="fr-FR"/>
              </w:rPr>
              <w:t>nitiative Giga de l</w:t>
            </w:r>
            <w:r w:rsidR="00456505" w:rsidRPr="00C83DA9">
              <w:rPr>
                <w:sz w:val="22"/>
                <w:szCs w:val="22"/>
                <w:lang w:val="fr-FR"/>
              </w:rPr>
              <w:t>'</w:t>
            </w:r>
            <w:r w:rsidRPr="00C83DA9">
              <w:rPr>
                <w:sz w:val="22"/>
                <w:szCs w:val="22"/>
                <w:lang w:val="fr-FR"/>
              </w:rPr>
              <w:t>UIT et de l</w:t>
            </w:r>
            <w:r w:rsidR="00456505" w:rsidRPr="00C83DA9">
              <w:rPr>
                <w:sz w:val="22"/>
                <w:szCs w:val="22"/>
                <w:lang w:val="fr-FR"/>
              </w:rPr>
              <w:t>'</w:t>
            </w:r>
            <w:r w:rsidRPr="00C83DA9">
              <w:rPr>
                <w:sz w:val="22"/>
                <w:szCs w:val="22"/>
                <w:lang w:val="fr-FR"/>
              </w:rPr>
              <w:t>UNICEF.</w:t>
            </w:r>
          </w:p>
          <w:p w14:paraId="02A3A3AF" w14:textId="12D2926E" w:rsidR="00372A77" w:rsidRPr="00C83DA9" w:rsidRDefault="00372A77" w:rsidP="00DC1608">
            <w:pPr>
              <w:pStyle w:val="Tabletext"/>
              <w:spacing w:before="120"/>
              <w:rPr>
                <w:sz w:val="22"/>
                <w:szCs w:val="22"/>
                <w:lang w:val="fr-FR"/>
              </w:rPr>
            </w:pPr>
            <w:r w:rsidRPr="00C83DA9">
              <w:rPr>
                <w:sz w:val="22"/>
                <w:szCs w:val="22"/>
                <w:lang w:val="fr-FR"/>
              </w:rPr>
              <w:t>En mai 2025, le BDT a dispensé une formation aux équipes nationales sur l</w:t>
            </w:r>
            <w:r w:rsidR="00456505" w:rsidRPr="00C83DA9">
              <w:rPr>
                <w:sz w:val="22"/>
                <w:szCs w:val="22"/>
                <w:lang w:val="fr-FR"/>
              </w:rPr>
              <w:t>'</w:t>
            </w:r>
            <w:r w:rsidRPr="00C83DA9">
              <w:rPr>
                <w:sz w:val="22"/>
                <w:szCs w:val="22"/>
                <w:lang w:val="fr-FR"/>
              </w:rPr>
              <w:t>analyse géospatiale à l</w:t>
            </w:r>
            <w:r w:rsidR="00456505" w:rsidRPr="00C83DA9">
              <w:rPr>
                <w:sz w:val="22"/>
                <w:szCs w:val="22"/>
                <w:lang w:val="fr-FR"/>
              </w:rPr>
              <w:t>'</w:t>
            </w:r>
            <w:r w:rsidRPr="00C83DA9">
              <w:rPr>
                <w:sz w:val="22"/>
                <w:szCs w:val="22"/>
                <w:lang w:val="fr-FR"/>
              </w:rPr>
              <w:t>aide de QGIS et de Python, tandis</w:t>
            </w:r>
            <w:r w:rsidR="00EC0E1A" w:rsidRPr="00C83DA9">
              <w:rPr>
                <w:sz w:val="22"/>
                <w:szCs w:val="22"/>
                <w:lang w:val="fr-FR"/>
              </w:rPr>
              <w:t> </w:t>
            </w:r>
            <w:r w:rsidRPr="00C83DA9">
              <w:rPr>
                <w:sz w:val="22"/>
                <w:szCs w:val="22"/>
                <w:lang w:val="fr-FR"/>
              </w:rPr>
              <w:t>que le Forum sur la connectivité Giga de l</w:t>
            </w:r>
            <w:r w:rsidR="00456505" w:rsidRPr="00C83DA9">
              <w:rPr>
                <w:sz w:val="22"/>
                <w:szCs w:val="22"/>
                <w:lang w:val="fr-FR"/>
              </w:rPr>
              <w:t>'</w:t>
            </w:r>
            <w:r w:rsidRPr="00C83DA9">
              <w:rPr>
                <w:sz w:val="22"/>
                <w:szCs w:val="22"/>
                <w:lang w:val="fr-FR"/>
              </w:rPr>
              <w:t>UIT et de l</w:t>
            </w:r>
            <w:r w:rsidR="00456505" w:rsidRPr="00C83DA9">
              <w:rPr>
                <w:sz w:val="22"/>
                <w:szCs w:val="22"/>
                <w:lang w:val="fr-FR"/>
              </w:rPr>
              <w:t>'</w:t>
            </w:r>
            <w:r w:rsidRPr="00C83DA9">
              <w:rPr>
                <w:sz w:val="22"/>
                <w:szCs w:val="22"/>
                <w:lang w:val="fr-FR"/>
              </w:rPr>
              <w:t>UNICEF, organisé en juillet 2025, a réuni des partenaires du développement et des gouvernements afin d</w:t>
            </w:r>
            <w:r w:rsidR="00456505" w:rsidRPr="00C83DA9">
              <w:rPr>
                <w:sz w:val="22"/>
                <w:szCs w:val="22"/>
                <w:lang w:val="fr-FR"/>
              </w:rPr>
              <w:t>'</w:t>
            </w:r>
            <w:r w:rsidRPr="00C83DA9">
              <w:rPr>
                <w:sz w:val="22"/>
                <w:szCs w:val="22"/>
                <w:lang w:val="fr-FR"/>
              </w:rPr>
              <w:t xml:space="preserve">harmoniser les investissements. La collaboration avec Intelsat, qui fait partie de la Coalition pour le numérique </w:t>
            </w:r>
            <w:r w:rsidR="00102458" w:rsidRPr="00C83DA9">
              <w:rPr>
                <w:sz w:val="22"/>
                <w:szCs w:val="22"/>
                <w:lang w:val="fr-FR"/>
              </w:rPr>
              <w:t>"</w:t>
            </w:r>
            <w:r w:rsidRPr="00C83DA9">
              <w:rPr>
                <w:sz w:val="22"/>
                <w:szCs w:val="22"/>
                <w:lang w:val="fr-FR"/>
              </w:rPr>
              <w:t>Partner2Connect</w:t>
            </w:r>
            <w:r w:rsidR="00102458" w:rsidRPr="00C83DA9">
              <w:rPr>
                <w:sz w:val="22"/>
                <w:szCs w:val="22"/>
                <w:lang w:val="fr-FR"/>
              </w:rPr>
              <w:t>"</w:t>
            </w:r>
            <w:r w:rsidRPr="00C83DA9">
              <w:rPr>
                <w:sz w:val="22"/>
                <w:szCs w:val="22"/>
                <w:lang w:val="fr-FR"/>
              </w:rPr>
              <w:t xml:space="preserve">, a permis au </w:t>
            </w:r>
            <w:r w:rsidRPr="00C83DA9">
              <w:rPr>
                <w:b/>
                <w:bCs/>
                <w:sz w:val="22"/>
                <w:szCs w:val="22"/>
                <w:lang w:val="fr-FR"/>
              </w:rPr>
              <w:t>Timor-Leste</w:t>
            </w:r>
            <w:r w:rsidRPr="00C83DA9">
              <w:rPr>
                <w:sz w:val="22"/>
                <w:szCs w:val="22"/>
                <w:lang w:val="fr-FR"/>
              </w:rPr>
              <w:t xml:space="preserve"> d</w:t>
            </w:r>
            <w:r w:rsidR="00456505" w:rsidRPr="00C83DA9">
              <w:rPr>
                <w:sz w:val="22"/>
                <w:szCs w:val="22"/>
                <w:lang w:val="fr-FR"/>
              </w:rPr>
              <w:t>'</w:t>
            </w:r>
            <w:r w:rsidRPr="00C83DA9">
              <w:rPr>
                <w:sz w:val="22"/>
                <w:szCs w:val="22"/>
                <w:lang w:val="fr-FR"/>
              </w:rPr>
              <w:t>activer la connectivité des écoles par satellite, réalisation qui a été suivie d</w:t>
            </w:r>
            <w:r w:rsidR="00456505" w:rsidRPr="00C83DA9">
              <w:rPr>
                <w:sz w:val="22"/>
                <w:szCs w:val="22"/>
                <w:lang w:val="fr-FR"/>
              </w:rPr>
              <w:t>'</w:t>
            </w:r>
            <w:r w:rsidRPr="00C83DA9">
              <w:rPr>
                <w:sz w:val="22"/>
                <w:szCs w:val="22"/>
                <w:lang w:val="fr-FR"/>
              </w:rPr>
              <w:t>accords avec sept autres pays. Au-delà de la cartographie, ces interventions ont intégré les écoles en tant qu</w:t>
            </w:r>
            <w:r w:rsidR="00456505" w:rsidRPr="00C83DA9">
              <w:rPr>
                <w:sz w:val="22"/>
                <w:szCs w:val="22"/>
                <w:lang w:val="fr-FR"/>
              </w:rPr>
              <w:t>'</w:t>
            </w:r>
            <w:r w:rsidRPr="00C83DA9">
              <w:rPr>
                <w:sz w:val="22"/>
                <w:szCs w:val="22"/>
                <w:lang w:val="fr-FR"/>
              </w:rPr>
              <w:t>institutions d</w:t>
            </w:r>
            <w:r w:rsidR="00456505" w:rsidRPr="00C83DA9">
              <w:rPr>
                <w:sz w:val="22"/>
                <w:szCs w:val="22"/>
                <w:lang w:val="fr-FR"/>
              </w:rPr>
              <w:t>'</w:t>
            </w:r>
            <w:r w:rsidRPr="00C83DA9">
              <w:rPr>
                <w:sz w:val="22"/>
                <w:szCs w:val="22"/>
                <w:lang w:val="fr-FR"/>
              </w:rPr>
              <w:t>ancrage dans les plans nationaux de connectivité, créant ainsi des pôles susceptibles de stimuler l</w:t>
            </w:r>
            <w:r w:rsidR="00456505" w:rsidRPr="00C83DA9">
              <w:rPr>
                <w:sz w:val="22"/>
                <w:szCs w:val="22"/>
                <w:lang w:val="fr-FR"/>
              </w:rPr>
              <w:t>'</w:t>
            </w:r>
            <w:r w:rsidRPr="00C83DA9">
              <w:rPr>
                <w:sz w:val="22"/>
                <w:szCs w:val="22"/>
                <w:lang w:val="fr-FR"/>
              </w:rPr>
              <w:t>accès communautaire et la maîtrise des outils numériques.</w:t>
            </w:r>
          </w:p>
          <w:p w14:paraId="3F078ED4" w14:textId="011D3826" w:rsidR="00372A77" w:rsidRPr="00C83DA9" w:rsidRDefault="00372A77" w:rsidP="00DC1608">
            <w:pPr>
              <w:pStyle w:val="Tabletext"/>
              <w:spacing w:before="120"/>
              <w:rPr>
                <w:sz w:val="22"/>
                <w:szCs w:val="22"/>
                <w:lang w:val="fr-FR"/>
              </w:rPr>
            </w:pPr>
            <w:r w:rsidRPr="00C83DA9">
              <w:rPr>
                <w:sz w:val="22"/>
                <w:szCs w:val="22"/>
                <w:lang w:val="fr-FR"/>
              </w:rPr>
              <w:t xml:space="preserve">Au niveau régional, le BDT a aidé les </w:t>
            </w:r>
            <w:r w:rsidR="00FC245B" w:rsidRPr="00C83DA9">
              <w:rPr>
                <w:sz w:val="22"/>
                <w:szCs w:val="22"/>
                <w:lang w:val="fr-FR"/>
              </w:rPr>
              <w:t>É</w:t>
            </w:r>
            <w:r w:rsidRPr="00C83DA9">
              <w:rPr>
                <w:sz w:val="22"/>
                <w:szCs w:val="22"/>
                <w:lang w:val="fr-FR"/>
              </w:rPr>
              <w:t xml:space="preserve">tats Membres en les dotant des connaissances et des capacités nécessaires pour améliorer leurs infrastructures et services de télécommunication/TIC. Dans la région </w:t>
            </w:r>
            <w:r w:rsidRPr="00C83DA9">
              <w:rPr>
                <w:b/>
                <w:bCs/>
                <w:sz w:val="22"/>
                <w:szCs w:val="22"/>
                <w:lang w:val="fr-FR"/>
              </w:rPr>
              <w:t>Afrique</w:t>
            </w:r>
            <w:r w:rsidRPr="00C83DA9">
              <w:rPr>
                <w:sz w:val="22"/>
                <w:szCs w:val="22"/>
                <w:lang w:val="fr-FR"/>
              </w:rPr>
              <w:t>, dans le cadre de l</w:t>
            </w:r>
            <w:r w:rsidR="00456505" w:rsidRPr="00C83DA9">
              <w:rPr>
                <w:sz w:val="22"/>
                <w:szCs w:val="22"/>
                <w:lang w:val="fr-FR"/>
              </w:rPr>
              <w:t>'</w:t>
            </w:r>
            <w:r w:rsidR="00FC245B" w:rsidRPr="00C83DA9">
              <w:rPr>
                <w:sz w:val="22"/>
                <w:szCs w:val="22"/>
                <w:lang w:val="fr-FR"/>
              </w:rPr>
              <w:t>I</w:t>
            </w:r>
            <w:r w:rsidRPr="00C83DA9">
              <w:rPr>
                <w:sz w:val="22"/>
                <w:szCs w:val="22"/>
                <w:lang w:val="fr-FR"/>
              </w:rPr>
              <w:t xml:space="preserve">nitiative Connect2Recover, une évaluation de la résilience a été réalisée au </w:t>
            </w:r>
            <w:r w:rsidRPr="00C83DA9">
              <w:rPr>
                <w:b/>
                <w:bCs/>
                <w:sz w:val="22"/>
                <w:szCs w:val="22"/>
                <w:lang w:val="fr-FR"/>
              </w:rPr>
              <w:t>Zimbabwe</w:t>
            </w:r>
            <w:r w:rsidRPr="00C83DA9">
              <w:rPr>
                <w:sz w:val="22"/>
                <w:szCs w:val="22"/>
                <w:lang w:val="fr-FR"/>
              </w:rPr>
              <w:t xml:space="preserve"> afin de renforcer l</w:t>
            </w:r>
            <w:r w:rsidR="00456505" w:rsidRPr="00C83DA9">
              <w:rPr>
                <w:sz w:val="22"/>
                <w:szCs w:val="22"/>
                <w:lang w:val="fr-FR"/>
              </w:rPr>
              <w:t>'</w:t>
            </w:r>
            <w:r w:rsidRPr="00C83DA9">
              <w:rPr>
                <w:sz w:val="22"/>
                <w:szCs w:val="22"/>
                <w:lang w:val="fr-FR"/>
              </w:rPr>
              <w:t>infrastructure des télécommunications/TIC du pays en vue d</w:t>
            </w:r>
            <w:r w:rsidR="00456505" w:rsidRPr="00C83DA9">
              <w:rPr>
                <w:sz w:val="22"/>
                <w:szCs w:val="22"/>
                <w:lang w:val="fr-FR"/>
              </w:rPr>
              <w:t>'</w:t>
            </w:r>
            <w:r w:rsidRPr="00C83DA9">
              <w:rPr>
                <w:sz w:val="22"/>
                <w:szCs w:val="22"/>
                <w:lang w:val="fr-FR"/>
              </w:rPr>
              <w:t>une reprise économique après une pandémie. Avec l</w:t>
            </w:r>
            <w:r w:rsidR="00456505" w:rsidRPr="00C83DA9">
              <w:rPr>
                <w:sz w:val="22"/>
                <w:szCs w:val="22"/>
                <w:lang w:val="fr-FR"/>
              </w:rPr>
              <w:t>'</w:t>
            </w:r>
            <w:r w:rsidRPr="00C83DA9">
              <w:rPr>
                <w:sz w:val="22"/>
                <w:szCs w:val="22"/>
                <w:lang w:val="fr-FR"/>
              </w:rPr>
              <w:t xml:space="preserve">appui du Ministère des affaires étrangères, du Commonwealth et du développement du Royaume-Uni, une étude a été menée au </w:t>
            </w:r>
            <w:r w:rsidRPr="00C83DA9">
              <w:rPr>
                <w:b/>
                <w:bCs/>
                <w:sz w:val="22"/>
                <w:szCs w:val="22"/>
                <w:lang w:val="fr-FR"/>
              </w:rPr>
              <w:t>Nigéria</w:t>
            </w:r>
            <w:r w:rsidRPr="00C83DA9">
              <w:rPr>
                <w:sz w:val="22"/>
                <w:szCs w:val="22"/>
                <w:lang w:val="fr-FR"/>
              </w:rPr>
              <w:t xml:space="preserve"> sur les coûts d</w:t>
            </w:r>
            <w:r w:rsidR="00456505" w:rsidRPr="00C83DA9">
              <w:rPr>
                <w:sz w:val="22"/>
                <w:szCs w:val="22"/>
                <w:lang w:val="fr-FR"/>
              </w:rPr>
              <w:t>'</w:t>
            </w:r>
            <w:r w:rsidRPr="00C83DA9">
              <w:rPr>
                <w:sz w:val="22"/>
                <w:szCs w:val="22"/>
                <w:lang w:val="fr-FR"/>
              </w:rPr>
              <w:t>exploitation de l</w:t>
            </w:r>
            <w:r w:rsidR="00456505" w:rsidRPr="00C83DA9">
              <w:rPr>
                <w:sz w:val="22"/>
                <w:szCs w:val="22"/>
                <w:lang w:val="fr-FR"/>
              </w:rPr>
              <w:t>'</w:t>
            </w:r>
            <w:r w:rsidRPr="00C83DA9">
              <w:rPr>
                <w:sz w:val="22"/>
                <w:szCs w:val="22"/>
                <w:lang w:val="fr-FR"/>
              </w:rPr>
              <w:t xml:space="preserve">infrastructure des télécommunications et de la connectivité. Au </w:t>
            </w:r>
            <w:r w:rsidRPr="00C83DA9">
              <w:rPr>
                <w:b/>
                <w:bCs/>
                <w:sz w:val="22"/>
                <w:szCs w:val="22"/>
                <w:lang w:val="fr-FR"/>
              </w:rPr>
              <w:t>Kenya</w:t>
            </w:r>
            <w:r w:rsidRPr="00C83DA9">
              <w:rPr>
                <w:sz w:val="22"/>
                <w:szCs w:val="22"/>
                <w:lang w:val="fr-FR"/>
              </w:rPr>
              <w:t>, une étude sur les modèles d</w:t>
            </w:r>
            <w:r w:rsidR="00456505" w:rsidRPr="00C83DA9">
              <w:rPr>
                <w:sz w:val="22"/>
                <w:szCs w:val="22"/>
                <w:lang w:val="fr-FR"/>
              </w:rPr>
              <w:t>'</w:t>
            </w:r>
            <w:r w:rsidRPr="00C83DA9">
              <w:rPr>
                <w:sz w:val="22"/>
                <w:szCs w:val="22"/>
                <w:lang w:val="fr-FR"/>
              </w:rPr>
              <w:t>exploitation d</w:t>
            </w:r>
            <w:r w:rsidR="00456505" w:rsidRPr="00C83DA9">
              <w:rPr>
                <w:sz w:val="22"/>
                <w:szCs w:val="22"/>
                <w:lang w:val="fr-FR"/>
              </w:rPr>
              <w:t>'</w:t>
            </w:r>
            <w:r w:rsidRPr="00C83DA9">
              <w:rPr>
                <w:sz w:val="22"/>
                <w:szCs w:val="22"/>
                <w:lang w:val="fr-FR"/>
              </w:rPr>
              <w:t>une connectivité Internet durable ainsi qu</w:t>
            </w:r>
            <w:r w:rsidR="00456505" w:rsidRPr="00C83DA9">
              <w:rPr>
                <w:sz w:val="22"/>
                <w:szCs w:val="22"/>
                <w:lang w:val="fr-FR"/>
              </w:rPr>
              <w:t>'</w:t>
            </w:r>
            <w:r w:rsidRPr="00C83DA9">
              <w:rPr>
                <w:sz w:val="22"/>
                <w:szCs w:val="22"/>
                <w:lang w:val="fr-FR"/>
              </w:rPr>
              <w:t xml:space="preserve">une étude supplémentaire sur les projets de connectivité sur le dernier kilomètre ont été menées. En </w:t>
            </w:r>
            <w:r w:rsidRPr="00C83DA9">
              <w:rPr>
                <w:b/>
                <w:bCs/>
                <w:sz w:val="22"/>
                <w:szCs w:val="22"/>
                <w:lang w:val="fr-FR"/>
              </w:rPr>
              <w:t>République</w:t>
            </w:r>
            <w:r w:rsidR="00644A72" w:rsidRPr="00C83DA9">
              <w:rPr>
                <w:b/>
                <w:bCs/>
                <w:sz w:val="22"/>
                <w:szCs w:val="22"/>
                <w:lang w:val="fr-FR"/>
              </w:rPr>
              <w:t> </w:t>
            </w:r>
            <w:r w:rsidRPr="00C83DA9">
              <w:rPr>
                <w:b/>
                <w:bCs/>
                <w:sz w:val="22"/>
                <w:szCs w:val="22"/>
                <w:lang w:val="fr-FR"/>
              </w:rPr>
              <w:t>sudafricaine</w:t>
            </w:r>
            <w:r w:rsidRPr="00C83DA9">
              <w:rPr>
                <w:sz w:val="22"/>
                <w:szCs w:val="22"/>
                <w:lang w:val="fr-FR"/>
              </w:rPr>
              <w:t>, des recherches ont été menées sur les modèles de connectivité durable et de compétences numériques pour les jeunes sans emploi et ne suivant ni études ni formation. En outre, le BDT, en collaboration avec le Bureau des radiocommunications (BR) de l</w:t>
            </w:r>
            <w:r w:rsidR="00456505" w:rsidRPr="00C83DA9">
              <w:rPr>
                <w:sz w:val="22"/>
                <w:szCs w:val="22"/>
                <w:lang w:val="fr-FR"/>
              </w:rPr>
              <w:t>'</w:t>
            </w:r>
            <w:r w:rsidRPr="00C83DA9">
              <w:rPr>
                <w:sz w:val="22"/>
                <w:szCs w:val="22"/>
                <w:lang w:val="fr-FR"/>
              </w:rPr>
              <w:t>UIT, a organisé un atelier sur le Tableau national d</w:t>
            </w:r>
            <w:r w:rsidR="00456505" w:rsidRPr="00C83DA9">
              <w:rPr>
                <w:sz w:val="22"/>
                <w:szCs w:val="22"/>
                <w:lang w:val="fr-FR"/>
              </w:rPr>
              <w:t>'</w:t>
            </w:r>
            <w:r w:rsidRPr="00C83DA9">
              <w:rPr>
                <w:sz w:val="22"/>
                <w:szCs w:val="22"/>
                <w:lang w:val="fr-FR"/>
              </w:rPr>
              <w:t>attribution des bandes de fréquences pour la région Afrique à Addis-Abeba (Éthiopie) du</w:t>
            </w:r>
            <w:r w:rsidR="00DF47CA" w:rsidRPr="00C83DA9">
              <w:rPr>
                <w:sz w:val="22"/>
                <w:szCs w:val="22"/>
                <w:lang w:val="fr-FR"/>
              </w:rPr>
              <w:t> </w:t>
            </w:r>
            <w:r w:rsidRPr="00C83DA9">
              <w:rPr>
                <w:sz w:val="22"/>
                <w:szCs w:val="22"/>
                <w:lang w:val="fr-FR"/>
              </w:rPr>
              <w:t>20</w:t>
            </w:r>
            <w:r w:rsidR="00DF47CA" w:rsidRPr="00C83DA9">
              <w:rPr>
                <w:sz w:val="22"/>
                <w:szCs w:val="22"/>
                <w:lang w:val="fr-FR"/>
              </w:rPr>
              <w:t> </w:t>
            </w:r>
            <w:r w:rsidRPr="00C83DA9">
              <w:rPr>
                <w:sz w:val="22"/>
                <w:szCs w:val="22"/>
                <w:lang w:val="fr-FR"/>
              </w:rPr>
              <w:t>au</w:t>
            </w:r>
            <w:r w:rsidR="00DF47CA" w:rsidRPr="00C83DA9">
              <w:rPr>
                <w:sz w:val="22"/>
                <w:szCs w:val="22"/>
                <w:lang w:val="fr-FR"/>
              </w:rPr>
              <w:t> </w:t>
            </w:r>
            <w:r w:rsidRPr="00C83DA9">
              <w:rPr>
                <w:sz w:val="22"/>
                <w:szCs w:val="22"/>
                <w:lang w:val="fr-FR"/>
              </w:rPr>
              <w:t>23</w:t>
            </w:r>
            <w:r w:rsidR="00DF47CA" w:rsidRPr="00C83DA9">
              <w:rPr>
                <w:sz w:val="22"/>
                <w:szCs w:val="22"/>
                <w:lang w:val="fr-FR"/>
              </w:rPr>
              <w:t> </w:t>
            </w:r>
            <w:r w:rsidRPr="00C83DA9">
              <w:rPr>
                <w:sz w:val="22"/>
                <w:szCs w:val="22"/>
                <w:lang w:val="fr-FR"/>
              </w:rPr>
              <w:t>mai</w:t>
            </w:r>
            <w:r w:rsidR="00DF47CA" w:rsidRPr="00C83DA9">
              <w:rPr>
                <w:sz w:val="22"/>
                <w:szCs w:val="22"/>
                <w:lang w:val="fr-FR"/>
              </w:rPr>
              <w:t> </w:t>
            </w:r>
            <w:r w:rsidRPr="00C83DA9">
              <w:rPr>
                <w:sz w:val="22"/>
                <w:szCs w:val="22"/>
                <w:lang w:val="fr-FR"/>
              </w:rPr>
              <w:t>2024, auquel ont participé 120 délégués de 35 États Membres. L</w:t>
            </w:r>
            <w:r w:rsidR="00456505" w:rsidRPr="00C83DA9">
              <w:rPr>
                <w:sz w:val="22"/>
                <w:szCs w:val="22"/>
                <w:lang w:val="fr-FR"/>
              </w:rPr>
              <w:t>'</w:t>
            </w:r>
            <w:r w:rsidRPr="00C83DA9">
              <w:rPr>
                <w:sz w:val="22"/>
                <w:szCs w:val="22"/>
                <w:lang w:val="fr-FR"/>
              </w:rPr>
              <w:t>objectif de cette formation était de mettre à jour le Tableau national d</w:t>
            </w:r>
            <w:r w:rsidR="00456505" w:rsidRPr="00C83DA9">
              <w:rPr>
                <w:sz w:val="22"/>
                <w:szCs w:val="22"/>
                <w:lang w:val="fr-FR"/>
              </w:rPr>
              <w:t>'</w:t>
            </w:r>
            <w:r w:rsidRPr="00C83DA9">
              <w:rPr>
                <w:sz w:val="22"/>
                <w:szCs w:val="22"/>
                <w:lang w:val="fr-FR"/>
              </w:rPr>
              <w:t>attribution des bandes de fréquences et de l</w:t>
            </w:r>
            <w:r w:rsidR="00456505" w:rsidRPr="00C83DA9">
              <w:rPr>
                <w:sz w:val="22"/>
                <w:szCs w:val="22"/>
                <w:lang w:val="fr-FR"/>
              </w:rPr>
              <w:t>'</w:t>
            </w:r>
            <w:r w:rsidRPr="00C83DA9">
              <w:rPr>
                <w:sz w:val="22"/>
                <w:szCs w:val="22"/>
                <w:lang w:val="fr-FR"/>
              </w:rPr>
              <w:t>aligner sur les résultats de la CMR-23. En mai 2025, en collaboration avec le BR, le BDT a préparé le Séminaire des radiocommunications de 2025 pour l</w:t>
            </w:r>
            <w:r w:rsidR="00456505" w:rsidRPr="00C83DA9">
              <w:rPr>
                <w:sz w:val="22"/>
                <w:szCs w:val="22"/>
                <w:lang w:val="fr-FR"/>
              </w:rPr>
              <w:t>'</w:t>
            </w:r>
            <w:r w:rsidRPr="00C83DA9">
              <w:rPr>
                <w:sz w:val="22"/>
                <w:szCs w:val="22"/>
                <w:lang w:val="fr-FR"/>
              </w:rPr>
              <w:t>Afrique (RRS-25-Afrique) à Djibouti. Cette manifestation, organisée aux côtés de l</w:t>
            </w:r>
            <w:r w:rsidR="00456505" w:rsidRPr="00C83DA9">
              <w:rPr>
                <w:sz w:val="22"/>
                <w:szCs w:val="22"/>
                <w:lang w:val="fr-FR"/>
              </w:rPr>
              <w:t>'</w:t>
            </w:r>
            <w:r w:rsidRPr="00C83DA9">
              <w:rPr>
                <w:sz w:val="22"/>
                <w:szCs w:val="22"/>
                <w:lang w:val="fr-FR"/>
              </w:rPr>
              <w:t>Union africaine des télécommunications (UAT) et le Groupe arabe de gestion du spectre (ASMG), a attiré 200 participants de 47 États Membres de la région Afrique.</w:t>
            </w:r>
          </w:p>
          <w:p w14:paraId="1A87BF29" w14:textId="750D3D2A" w:rsidR="00372A77" w:rsidRPr="00C83DA9" w:rsidRDefault="00372A77" w:rsidP="00DC1608">
            <w:pPr>
              <w:pStyle w:val="Tabletext"/>
              <w:keepNext/>
              <w:keepLines/>
              <w:spacing w:before="120"/>
              <w:rPr>
                <w:sz w:val="22"/>
                <w:szCs w:val="22"/>
                <w:lang w:val="fr-FR"/>
              </w:rPr>
            </w:pPr>
            <w:r w:rsidRPr="00C83DA9">
              <w:rPr>
                <w:sz w:val="22"/>
                <w:szCs w:val="22"/>
                <w:lang w:val="fr-FR"/>
              </w:rPr>
              <w:lastRenderedPageBreak/>
              <w:t xml:space="preserve">Dans la région </w:t>
            </w:r>
            <w:r w:rsidRPr="00C83DA9">
              <w:rPr>
                <w:b/>
                <w:bCs/>
                <w:sz w:val="22"/>
                <w:szCs w:val="22"/>
                <w:lang w:val="fr-FR"/>
              </w:rPr>
              <w:t>Asie-Pacifique</w:t>
            </w:r>
            <w:r w:rsidRPr="00C83DA9">
              <w:rPr>
                <w:sz w:val="22"/>
                <w:szCs w:val="22"/>
                <w:lang w:val="fr-FR"/>
              </w:rPr>
              <w:t xml:space="preserve">, le BDT a aidé </w:t>
            </w:r>
            <w:r w:rsidRPr="00C83DA9">
              <w:rPr>
                <w:b/>
                <w:bCs/>
                <w:sz w:val="22"/>
                <w:szCs w:val="22"/>
                <w:lang w:val="fr-FR"/>
              </w:rPr>
              <w:t>Sri Lanka</w:t>
            </w:r>
            <w:r w:rsidRPr="00C83DA9">
              <w:rPr>
                <w:sz w:val="22"/>
                <w:szCs w:val="22"/>
                <w:lang w:val="fr-FR"/>
              </w:rPr>
              <w:t xml:space="preserve"> à élaborer des lignes directrices pour le partage des infrastructures, tandis que des évaluations de l</w:t>
            </w:r>
            <w:r w:rsidR="00456505" w:rsidRPr="00C83DA9">
              <w:rPr>
                <w:sz w:val="22"/>
                <w:szCs w:val="22"/>
                <w:lang w:val="fr-FR"/>
              </w:rPr>
              <w:t>'</w:t>
            </w:r>
            <w:r w:rsidRPr="00C83DA9">
              <w:rPr>
                <w:sz w:val="22"/>
                <w:szCs w:val="22"/>
                <w:lang w:val="fr-FR"/>
              </w:rPr>
              <w:t xml:space="preserve">itinérance nationale ont été réalisées en </w:t>
            </w:r>
            <w:r w:rsidRPr="00C83DA9">
              <w:rPr>
                <w:b/>
                <w:bCs/>
                <w:sz w:val="22"/>
                <w:szCs w:val="22"/>
                <w:lang w:val="fr-FR"/>
              </w:rPr>
              <w:t xml:space="preserve">Mongolie </w:t>
            </w:r>
            <w:r w:rsidRPr="00C83DA9">
              <w:rPr>
                <w:sz w:val="22"/>
                <w:szCs w:val="22"/>
                <w:lang w:val="fr-FR"/>
              </w:rPr>
              <w:t>et que</w:t>
            </w:r>
            <w:r w:rsidRPr="00C83DA9">
              <w:rPr>
                <w:b/>
                <w:bCs/>
                <w:sz w:val="22"/>
                <w:szCs w:val="22"/>
                <w:lang w:val="fr-FR"/>
              </w:rPr>
              <w:t xml:space="preserve"> </w:t>
            </w:r>
            <w:r w:rsidRPr="00C83DA9">
              <w:rPr>
                <w:sz w:val="22"/>
                <w:szCs w:val="22"/>
                <w:lang w:val="fr-FR"/>
              </w:rPr>
              <w:t>les</w:t>
            </w:r>
            <w:r w:rsidRPr="00C83DA9">
              <w:rPr>
                <w:b/>
                <w:bCs/>
                <w:sz w:val="22"/>
                <w:szCs w:val="22"/>
                <w:lang w:val="fr-FR"/>
              </w:rPr>
              <w:t xml:space="preserve"> Tonga</w:t>
            </w:r>
            <w:r w:rsidRPr="00C83DA9">
              <w:rPr>
                <w:sz w:val="22"/>
                <w:szCs w:val="22"/>
                <w:lang w:val="fr-FR"/>
              </w:rPr>
              <w:t xml:space="preserve"> ont adopté des règles relatives à la qualité de service. Parmi les formations dispensées par le BDT, on peut citer le SMS4DC à </w:t>
            </w:r>
            <w:r w:rsidRPr="00C83DA9">
              <w:rPr>
                <w:b/>
                <w:bCs/>
                <w:sz w:val="22"/>
                <w:szCs w:val="22"/>
                <w:lang w:val="fr-FR"/>
              </w:rPr>
              <w:t>Vanuatu</w:t>
            </w:r>
            <w:r w:rsidRPr="00C83DA9">
              <w:rPr>
                <w:sz w:val="22"/>
                <w:szCs w:val="22"/>
                <w:lang w:val="fr-FR"/>
              </w:rPr>
              <w:t xml:space="preserve">, la planification du large bande en </w:t>
            </w:r>
            <w:r w:rsidRPr="00C83DA9">
              <w:rPr>
                <w:b/>
                <w:bCs/>
                <w:sz w:val="22"/>
                <w:szCs w:val="22"/>
                <w:lang w:val="fr-FR"/>
              </w:rPr>
              <w:t>Indonésie</w:t>
            </w:r>
            <w:r w:rsidRPr="00C83DA9">
              <w:rPr>
                <w:sz w:val="22"/>
                <w:szCs w:val="22"/>
                <w:lang w:val="fr-FR"/>
              </w:rPr>
              <w:t xml:space="preserve"> et en </w:t>
            </w:r>
            <w:r w:rsidRPr="00C83DA9">
              <w:rPr>
                <w:b/>
                <w:bCs/>
                <w:sz w:val="22"/>
                <w:szCs w:val="22"/>
                <w:lang w:val="fr-FR"/>
              </w:rPr>
              <w:t>Malaisie,</w:t>
            </w:r>
            <w:r w:rsidRPr="00C83DA9">
              <w:rPr>
                <w:sz w:val="22"/>
                <w:szCs w:val="22"/>
                <w:lang w:val="fr-FR"/>
              </w:rPr>
              <w:t xml:space="preserve"> tandis que l</w:t>
            </w:r>
            <w:r w:rsidR="00456505" w:rsidRPr="00C83DA9">
              <w:rPr>
                <w:sz w:val="22"/>
                <w:szCs w:val="22"/>
                <w:lang w:val="fr-FR"/>
              </w:rPr>
              <w:t>'</w:t>
            </w:r>
            <w:r w:rsidRPr="00C83DA9">
              <w:rPr>
                <w:b/>
                <w:bCs/>
                <w:sz w:val="22"/>
                <w:szCs w:val="22"/>
                <w:lang w:val="fr-FR"/>
              </w:rPr>
              <w:t>Indonésie</w:t>
            </w:r>
            <w:r w:rsidRPr="00C83DA9">
              <w:rPr>
                <w:sz w:val="22"/>
                <w:szCs w:val="22"/>
                <w:lang w:val="fr-FR"/>
              </w:rPr>
              <w:t xml:space="preserve"> bénéficie également d</w:t>
            </w:r>
            <w:r w:rsidR="00456505" w:rsidRPr="00C83DA9">
              <w:rPr>
                <w:sz w:val="22"/>
                <w:szCs w:val="22"/>
                <w:lang w:val="fr-FR"/>
              </w:rPr>
              <w:t>'</w:t>
            </w:r>
            <w:r w:rsidRPr="00C83DA9">
              <w:rPr>
                <w:sz w:val="22"/>
                <w:szCs w:val="22"/>
                <w:lang w:val="fr-FR"/>
              </w:rPr>
              <w:t>un appui pour des audits du spectre. En août 2025, le séminaire organisé par le Groupe de réflexion international pour les PDSL à Oulan-Bator a permis d</w:t>
            </w:r>
            <w:r w:rsidR="00456505" w:rsidRPr="00C83DA9">
              <w:rPr>
                <w:sz w:val="22"/>
                <w:szCs w:val="22"/>
                <w:lang w:val="fr-FR"/>
              </w:rPr>
              <w:t>'</w:t>
            </w:r>
            <w:r w:rsidRPr="00C83DA9">
              <w:rPr>
                <w:sz w:val="22"/>
                <w:szCs w:val="22"/>
                <w:lang w:val="fr-FR"/>
              </w:rPr>
              <w:t>examiner les incidences, sur les pays sans littoral, des lacunes en matière de connectivité des câbles sous-marins et a mis en avant les solutions que constituent les points d</w:t>
            </w:r>
            <w:r w:rsidR="00456505" w:rsidRPr="00C83DA9">
              <w:rPr>
                <w:sz w:val="22"/>
                <w:szCs w:val="22"/>
                <w:lang w:val="fr-FR"/>
              </w:rPr>
              <w:t>'</w:t>
            </w:r>
            <w:r w:rsidRPr="00C83DA9">
              <w:rPr>
                <w:sz w:val="22"/>
                <w:szCs w:val="22"/>
                <w:lang w:val="fr-FR"/>
              </w:rPr>
              <w:t xml:space="preserve">échange Internet (IXP) et les constellations de satellites. Le </w:t>
            </w:r>
            <w:r w:rsidRPr="00C83DA9">
              <w:rPr>
                <w:b/>
                <w:bCs/>
                <w:sz w:val="22"/>
                <w:szCs w:val="22"/>
                <w:lang w:val="fr-FR"/>
              </w:rPr>
              <w:t>Cambodge</w:t>
            </w:r>
            <w:r w:rsidRPr="00C83DA9">
              <w:rPr>
                <w:sz w:val="22"/>
                <w:szCs w:val="22"/>
                <w:lang w:val="fr-FR"/>
              </w:rPr>
              <w:t xml:space="preserve"> a reçu une feuille de route pour la télévision numérique, tandis que </w:t>
            </w:r>
            <w:r w:rsidRPr="00C83DA9">
              <w:rPr>
                <w:b/>
                <w:bCs/>
                <w:sz w:val="22"/>
                <w:szCs w:val="22"/>
                <w:lang w:val="fr-FR"/>
              </w:rPr>
              <w:t>Nauru</w:t>
            </w:r>
            <w:r w:rsidRPr="00C83DA9">
              <w:rPr>
                <w:sz w:val="22"/>
                <w:szCs w:val="22"/>
                <w:lang w:val="fr-FR"/>
              </w:rPr>
              <w:t xml:space="preserve"> et </w:t>
            </w:r>
            <w:r w:rsidRPr="00C83DA9">
              <w:rPr>
                <w:b/>
                <w:bCs/>
                <w:sz w:val="22"/>
                <w:szCs w:val="22"/>
                <w:lang w:val="fr-FR"/>
              </w:rPr>
              <w:t>Vanuatu</w:t>
            </w:r>
            <w:r w:rsidRPr="00C83DA9">
              <w:rPr>
                <w:sz w:val="22"/>
                <w:szCs w:val="22"/>
                <w:lang w:val="fr-FR"/>
              </w:rPr>
              <w:t xml:space="preserve"> ont aligné leur Tableau national d</w:t>
            </w:r>
            <w:r w:rsidR="00456505" w:rsidRPr="00C83DA9">
              <w:rPr>
                <w:sz w:val="22"/>
                <w:szCs w:val="22"/>
                <w:lang w:val="fr-FR"/>
              </w:rPr>
              <w:t>'</w:t>
            </w:r>
            <w:r w:rsidRPr="00C83DA9">
              <w:rPr>
                <w:sz w:val="22"/>
                <w:szCs w:val="22"/>
                <w:lang w:val="fr-FR"/>
              </w:rPr>
              <w:t>attribution des bandes de fréquences sur les normes internationales.</w:t>
            </w:r>
          </w:p>
          <w:p w14:paraId="49CF665E" w14:textId="771AB4F9" w:rsidR="00372A77" w:rsidRPr="00C83DA9" w:rsidRDefault="00372A77" w:rsidP="00DC1608">
            <w:pPr>
              <w:pStyle w:val="Tabletext"/>
              <w:spacing w:before="120"/>
              <w:rPr>
                <w:sz w:val="22"/>
                <w:szCs w:val="22"/>
                <w:lang w:val="fr-FR"/>
              </w:rPr>
            </w:pPr>
            <w:r w:rsidRPr="00C83DA9">
              <w:rPr>
                <w:sz w:val="22"/>
                <w:szCs w:val="22"/>
                <w:lang w:val="fr-FR"/>
              </w:rPr>
              <w:t xml:space="preserve">Dans la région </w:t>
            </w:r>
            <w:r w:rsidRPr="00C83DA9">
              <w:rPr>
                <w:b/>
                <w:bCs/>
                <w:sz w:val="22"/>
                <w:szCs w:val="22"/>
                <w:lang w:val="fr-FR"/>
              </w:rPr>
              <w:t>Amériques</w:t>
            </w:r>
            <w:r w:rsidRPr="00C83DA9">
              <w:rPr>
                <w:sz w:val="22"/>
                <w:szCs w:val="22"/>
                <w:lang w:val="fr-FR"/>
              </w:rPr>
              <w:t xml:space="preserve">, le </w:t>
            </w:r>
            <w:r w:rsidRPr="00C83DA9">
              <w:rPr>
                <w:b/>
                <w:bCs/>
                <w:sz w:val="22"/>
                <w:szCs w:val="22"/>
                <w:lang w:val="fr-FR"/>
              </w:rPr>
              <w:t>Belize</w:t>
            </w:r>
            <w:r w:rsidRPr="00C83DA9">
              <w:rPr>
                <w:sz w:val="22"/>
                <w:szCs w:val="22"/>
                <w:lang w:val="fr-FR"/>
              </w:rPr>
              <w:t>, le</w:t>
            </w:r>
            <w:r w:rsidRPr="00C83DA9">
              <w:rPr>
                <w:b/>
                <w:bCs/>
                <w:sz w:val="22"/>
                <w:szCs w:val="22"/>
                <w:lang w:val="fr-FR"/>
              </w:rPr>
              <w:t xml:space="preserve"> Suriname</w:t>
            </w:r>
            <w:r w:rsidRPr="00C83DA9">
              <w:rPr>
                <w:sz w:val="22"/>
                <w:szCs w:val="22"/>
                <w:lang w:val="fr-FR"/>
              </w:rPr>
              <w:t xml:space="preserve">, </w:t>
            </w:r>
            <w:r w:rsidRPr="00C83DA9">
              <w:rPr>
                <w:b/>
                <w:bCs/>
                <w:sz w:val="22"/>
                <w:szCs w:val="22"/>
                <w:lang w:val="fr-FR"/>
              </w:rPr>
              <w:t>Trinité-et-Tobago</w:t>
            </w:r>
            <w:r w:rsidRPr="00C83DA9">
              <w:rPr>
                <w:sz w:val="22"/>
                <w:szCs w:val="22"/>
                <w:lang w:val="fr-FR"/>
              </w:rPr>
              <w:t xml:space="preserve"> et l</w:t>
            </w:r>
            <w:r w:rsidR="00456505" w:rsidRPr="00C83DA9">
              <w:rPr>
                <w:sz w:val="22"/>
                <w:szCs w:val="22"/>
                <w:lang w:val="fr-FR"/>
              </w:rPr>
              <w:t>'</w:t>
            </w:r>
            <w:r w:rsidRPr="00C83DA9">
              <w:rPr>
                <w:b/>
                <w:bCs/>
                <w:sz w:val="22"/>
                <w:szCs w:val="22"/>
                <w:lang w:val="fr-FR"/>
              </w:rPr>
              <w:t>Organisation des États des Caraïbes orientales (OECO)</w:t>
            </w:r>
            <w:r w:rsidRPr="00C83DA9">
              <w:rPr>
                <w:sz w:val="22"/>
                <w:szCs w:val="22"/>
                <w:lang w:val="fr-FR"/>
              </w:rPr>
              <w:t xml:space="preserve"> ont progressé dans la réalisation d</w:t>
            </w:r>
            <w:r w:rsidR="00456505" w:rsidRPr="00C83DA9">
              <w:rPr>
                <w:sz w:val="22"/>
                <w:szCs w:val="22"/>
                <w:lang w:val="fr-FR"/>
              </w:rPr>
              <w:t>'</w:t>
            </w:r>
            <w:r w:rsidRPr="00C83DA9">
              <w:rPr>
                <w:sz w:val="22"/>
                <w:szCs w:val="22"/>
                <w:lang w:val="fr-FR"/>
              </w:rPr>
              <w:t xml:space="preserve">exercices de cartographie, tandis que la </w:t>
            </w:r>
            <w:r w:rsidRPr="00C83DA9">
              <w:rPr>
                <w:b/>
                <w:bCs/>
                <w:sz w:val="22"/>
                <w:szCs w:val="22"/>
                <w:lang w:val="fr-FR"/>
              </w:rPr>
              <w:t>République dominicaine</w:t>
            </w:r>
            <w:r w:rsidRPr="00C83DA9">
              <w:rPr>
                <w:sz w:val="22"/>
                <w:szCs w:val="22"/>
                <w:lang w:val="fr-FR"/>
              </w:rPr>
              <w:t xml:space="preserve"> et l</w:t>
            </w:r>
            <w:r w:rsidR="00456505" w:rsidRPr="00C83DA9">
              <w:rPr>
                <w:sz w:val="22"/>
                <w:szCs w:val="22"/>
                <w:lang w:val="fr-FR"/>
              </w:rPr>
              <w:t>'</w:t>
            </w:r>
            <w:r w:rsidRPr="00C83DA9">
              <w:rPr>
                <w:b/>
                <w:bCs/>
                <w:sz w:val="22"/>
                <w:szCs w:val="22"/>
                <w:lang w:val="fr-FR"/>
              </w:rPr>
              <w:t>Uruguay</w:t>
            </w:r>
            <w:r w:rsidRPr="00C83DA9">
              <w:rPr>
                <w:sz w:val="22"/>
                <w:szCs w:val="22"/>
                <w:lang w:val="fr-FR"/>
              </w:rPr>
              <w:t xml:space="preserve"> ont accueilli une formation sur les systèmes GIS et les cartes pour le large bande. Le </w:t>
            </w:r>
            <w:r w:rsidRPr="00C83DA9">
              <w:rPr>
                <w:b/>
                <w:bCs/>
                <w:sz w:val="22"/>
                <w:szCs w:val="22"/>
                <w:lang w:val="fr-FR"/>
              </w:rPr>
              <w:t>Brésil</w:t>
            </w:r>
            <w:r w:rsidRPr="00C83DA9">
              <w:rPr>
                <w:sz w:val="22"/>
                <w:szCs w:val="22"/>
                <w:lang w:val="fr-FR"/>
              </w:rPr>
              <w:t xml:space="preserve"> a amélioré la facilité d</w:t>
            </w:r>
            <w:r w:rsidR="00456505" w:rsidRPr="00C83DA9">
              <w:rPr>
                <w:sz w:val="22"/>
                <w:szCs w:val="22"/>
                <w:lang w:val="fr-FR"/>
              </w:rPr>
              <w:t>'</w:t>
            </w:r>
            <w:r w:rsidRPr="00C83DA9">
              <w:rPr>
                <w:sz w:val="22"/>
                <w:szCs w:val="22"/>
                <w:lang w:val="fr-FR"/>
              </w:rPr>
              <w:t xml:space="preserve">utilisation de son interface de cartographie nationale et la </w:t>
            </w:r>
            <w:r w:rsidRPr="00C83DA9">
              <w:rPr>
                <w:b/>
                <w:bCs/>
                <w:sz w:val="22"/>
                <w:szCs w:val="22"/>
                <w:lang w:val="fr-FR"/>
              </w:rPr>
              <w:t>Grenade</w:t>
            </w:r>
            <w:r w:rsidRPr="00C83DA9">
              <w:rPr>
                <w:sz w:val="22"/>
                <w:szCs w:val="22"/>
                <w:lang w:val="fr-FR"/>
              </w:rPr>
              <w:t xml:space="preserve"> a procédé à des évaluations de la résilience dans le cadre de l</w:t>
            </w:r>
            <w:r w:rsidR="00456505" w:rsidRPr="00C83DA9">
              <w:rPr>
                <w:sz w:val="22"/>
                <w:szCs w:val="22"/>
                <w:lang w:val="fr-FR"/>
              </w:rPr>
              <w:t>'</w:t>
            </w:r>
            <w:r w:rsidRPr="00C83DA9">
              <w:rPr>
                <w:sz w:val="22"/>
                <w:szCs w:val="22"/>
                <w:lang w:val="fr-FR"/>
              </w:rPr>
              <w:t>initiative Connect2Recover. La</w:t>
            </w:r>
            <w:r w:rsidR="00EC0E1A" w:rsidRPr="00C83DA9">
              <w:rPr>
                <w:sz w:val="22"/>
                <w:szCs w:val="22"/>
                <w:lang w:val="fr-FR"/>
              </w:rPr>
              <w:t> </w:t>
            </w:r>
            <w:r w:rsidRPr="00C83DA9">
              <w:rPr>
                <w:b/>
                <w:bCs/>
                <w:sz w:val="22"/>
                <w:szCs w:val="22"/>
                <w:lang w:val="fr-FR"/>
              </w:rPr>
              <w:t>Colombie</w:t>
            </w:r>
            <w:r w:rsidRPr="00C83DA9">
              <w:rPr>
                <w:sz w:val="22"/>
                <w:szCs w:val="22"/>
                <w:lang w:val="fr-FR"/>
              </w:rPr>
              <w:t xml:space="preserve"> met actuellement à jour son plan général pour l</w:t>
            </w:r>
            <w:r w:rsidR="00456505" w:rsidRPr="00C83DA9">
              <w:rPr>
                <w:sz w:val="22"/>
                <w:szCs w:val="22"/>
                <w:lang w:val="fr-FR"/>
              </w:rPr>
              <w:t>'</w:t>
            </w:r>
            <w:r w:rsidRPr="00C83DA9">
              <w:rPr>
                <w:sz w:val="22"/>
                <w:szCs w:val="22"/>
                <w:lang w:val="fr-FR"/>
              </w:rPr>
              <w:t>arrêt des émissions de télévision analogique, tandis que des ateliers régionaux sur la 5G, dans le cadre de la collaboration UIT-Commission européenne sur le programme d</w:t>
            </w:r>
            <w:r w:rsidR="00456505" w:rsidRPr="00C83DA9">
              <w:rPr>
                <w:sz w:val="22"/>
                <w:szCs w:val="22"/>
                <w:lang w:val="fr-FR"/>
              </w:rPr>
              <w:t>'</w:t>
            </w:r>
            <w:r w:rsidRPr="00C83DA9">
              <w:rPr>
                <w:sz w:val="22"/>
                <w:szCs w:val="22"/>
                <w:lang w:val="fr-FR"/>
              </w:rPr>
              <w:t>assistance technique et d</w:t>
            </w:r>
            <w:r w:rsidR="00456505" w:rsidRPr="00C83DA9">
              <w:rPr>
                <w:sz w:val="22"/>
                <w:szCs w:val="22"/>
                <w:lang w:val="fr-FR"/>
              </w:rPr>
              <w:t>'</w:t>
            </w:r>
            <w:r w:rsidRPr="00C83DA9">
              <w:rPr>
                <w:sz w:val="22"/>
                <w:szCs w:val="22"/>
                <w:lang w:val="fr-FR"/>
              </w:rPr>
              <w:t>échange d</w:t>
            </w:r>
            <w:r w:rsidR="00456505" w:rsidRPr="00C83DA9">
              <w:rPr>
                <w:sz w:val="22"/>
                <w:szCs w:val="22"/>
                <w:lang w:val="fr-FR"/>
              </w:rPr>
              <w:t>'</w:t>
            </w:r>
            <w:r w:rsidRPr="00C83DA9">
              <w:rPr>
                <w:sz w:val="22"/>
                <w:szCs w:val="22"/>
                <w:lang w:val="fr-FR"/>
              </w:rPr>
              <w:t xml:space="preserve">informations (TAIEX), ont permis de renforcer les compétences techniques. En </w:t>
            </w:r>
            <w:r w:rsidRPr="00C83DA9">
              <w:rPr>
                <w:b/>
                <w:bCs/>
                <w:sz w:val="22"/>
                <w:szCs w:val="22"/>
                <w:lang w:val="fr-FR"/>
              </w:rPr>
              <w:t>Jamaïque</w:t>
            </w:r>
            <w:r w:rsidRPr="00C83DA9">
              <w:rPr>
                <w:sz w:val="22"/>
                <w:szCs w:val="22"/>
                <w:lang w:val="fr-FR"/>
              </w:rPr>
              <w:t xml:space="preserve"> et au </w:t>
            </w:r>
            <w:r w:rsidRPr="00C83DA9">
              <w:rPr>
                <w:b/>
                <w:bCs/>
                <w:sz w:val="22"/>
                <w:szCs w:val="22"/>
                <w:lang w:val="fr-FR"/>
              </w:rPr>
              <w:t>Guatemala</w:t>
            </w:r>
            <w:r w:rsidRPr="00C83DA9">
              <w:rPr>
                <w:sz w:val="22"/>
                <w:szCs w:val="22"/>
                <w:lang w:val="fr-FR"/>
              </w:rPr>
              <w:t>, la plate</w:t>
            </w:r>
            <w:r w:rsidR="00516A11" w:rsidRPr="00C83DA9">
              <w:rPr>
                <w:sz w:val="22"/>
                <w:szCs w:val="22"/>
                <w:lang w:val="fr-FR"/>
              </w:rPr>
              <w:noBreakHyphen/>
            </w:r>
            <w:r w:rsidRPr="00C83DA9">
              <w:rPr>
                <w:sz w:val="22"/>
                <w:szCs w:val="22"/>
                <w:lang w:val="fr-FR"/>
              </w:rPr>
              <w:t>forme de planification de la connectivité a permis d</w:t>
            </w:r>
            <w:r w:rsidR="00456505" w:rsidRPr="00C83DA9">
              <w:rPr>
                <w:sz w:val="22"/>
                <w:szCs w:val="22"/>
                <w:lang w:val="fr-FR"/>
              </w:rPr>
              <w:t>'</w:t>
            </w:r>
            <w:r w:rsidRPr="00C83DA9">
              <w:rPr>
                <w:sz w:val="22"/>
                <w:szCs w:val="22"/>
                <w:lang w:val="fr-FR"/>
              </w:rPr>
              <w:t>orienter les stratégies pour la connectivité sur le dernier kilomètre, aidant les pays à modéliser des scénarios d</w:t>
            </w:r>
            <w:r w:rsidR="00456505" w:rsidRPr="00C83DA9">
              <w:rPr>
                <w:sz w:val="22"/>
                <w:szCs w:val="22"/>
                <w:lang w:val="fr-FR"/>
              </w:rPr>
              <w:t>'</w:t>
            </w:r>
            <w:r w:rsidRPr="00C83DA9">
              <w:rPr>
                <w:sz w:val="22"/>
                <w:szCs w:val="22"/>
                <w:lang w:val="fr-FR"/>
              </w:rPr>
              <w:t>infrastructure pour l</w:t>
            </w:r>
            <w:r w:rsidR="00456505" w:rsidRPr="00C83DA9">
              <w:rPr>
                <w:sz w:val="22"/>
                <w:szCs w:val="22"/>
                <w:lang w:val="fr-FR"/>
              </w:rPr>
              <w:t>'</w:t>
            </w:r>
            <w:r w:rsidRPr="00C83DA9">
              <w:rPr>
                <w:sz w:val="22"/>
                <w:szCs w:val="22"/>
                <w:lang w:val="fr-FR"/>
              </w:rPr>
              <w:t>expansion rurale. Prises ensemble, ces initiatives associent des solutions de connectivité pratiques et des stratégies politiques plus générales.</w:t>
            </w:r>
          </w:p>
          <w:p w14:paraId="1D645E10" w14:textId="7B95C439" w:rsidR="00372A77" w:rsidRPr="00C83DA9" w:rsidRDefault="00372A77" w:rsidP="00DC1608">
            <w:pPr>
              <w:pStyle w:val="Tabletext"/>
              <w:spacing w:before="120"/>
              <w:ind w:right="-79"/>
              <w:rPr>
                <w:sz w:val="22"/>
                <w:szCs w:val="22"/>
                <w:lang w:val="fr-FR"/>
              </w:rPr>
            </w:pPr>
            <w:r w:rsidRPr="00C83DA9">
              <w:rPr>
                <w:sz w:val="22"/>
                <w:szCs w:val="22"/>
                <w:lang w:val="fr-FR"/>
              </w:rPr>
              <w:t xml:space="preserve">Dans la région des </w:t>
            </w:r>
            <w:r w:rsidRPr="00C83DA9">
              <w:rPr>
                <w:b/>
                <w:bCs/>
                <w:sz w:val="22"/>
                <w:szCs w:val="22"/>
                <w:lang w:val="fr-FR"/>
              </w:rPr>
              <w:t>États arabes</w:t>
            </w:r>
            <w:r w:rsidRPr="00C83DA9">
              <w:rPr>
                <w:sz w:val="22"/>
                <w:szCs w:val="22"/>
                <w:lang w:val="fr-FR"/>
              </w:rPr>
              <w:t>, en 2024, un atelier régional organisé à Alger a réuni 278 participants issus de gouvernements, de régulateurs, d</w:t>
            </w:r>
            <w:r w:rsidR="00456505" w:rsidRPr="00C83DA9">
              <w:rPr>
                <w:sz w:val="22"/>
                <w:szCs w:val="22"/>
                <w:lang w:val="fr-FR"/>
              </w:rPr>
              <w:t>'</w:t>
            </w:r>
            <w:r w:rsidRPr="00C83DA9">
              <w:rPr>
                <w:sz w:val="22"/>
                <w:szCs w:val="22"/>
                <w:lang w:val="fr-FR"/>
              </w:rPr>
              <w:t>entreprises et d</w:t>
            </w:r>
            <w:r w:rsidR="00456505" w:rsidRPr="00C83DA9">
              <w:rPr>
                <w:sz w:val="22"/>
                <w:szCs w:val="22"/>
                <w:lang w:val="fr-FR"/>
              </w:rPr>
              <w:t>'</w:t>
            </w:r>
            <w:r w:rsidRPr="00C83DA9">
              <w:rPr>
                <w:sz w:val="22"/>
                <w:szCs w:val="22"/>
                <w:lang w:val="fr-FR"/>
              </w:rPr>
              <w:t>établissements universitaires pour concevoir des stratégies en matière de connectivité universelle. De</w:t>
            </w:r>
            <w:r w:rsidR="00EC0E1A" w:rsidRPr="00C83DA9">
              <w:rPr>
                <w:sz w:val="22"/>
                <w:szCs w:val="22"/>
                <w:lang w:val="fr-FR"/>
              </w:rPr>
              <w:t> </w:t>
            </w:r>
            <w:r w:rsidRPr="00C83DA9">
              <w:rPr>
                <w:sz w:val="22"/>
                <w:szCs w:val="22"/>
                <w:lang w:val="fr-FR"/>
              </w:rPr>
              <w:t>plus, une formation spécialisée sur la cartographie des infrastructures et les outils d</w:t>
            </w:r>
            <w:r w:rsidR="00456505" w:rsidRPr="00C83DA9">
              <w:rPr>
                <w:sz w:val="22"/>
                <w:szCs w:val="22"/>
                <w:lang w:val="fr-FR"/>
              </w:rPr>
              <w:t>'</w:t>
            </w:r>
            <w:r w:rsidRPr="00C83DA9">
              <w:rPr>
                <w:sz w:val="22"/>
                <w:szCs w:val="22"/>
                <w:lang w:val="fr-FR"/>
              </w:rPr>
              <w:t>analyse de la connectivité a été dispensée à</w:t>
            </w:r>
            <w:r w:rsidR="00DF47CA" w:rsidRPr="00C83DA9">
              <w:rPr>
                <w:sz w:val="22"/>
                <w:szCs w:val="22"/>
                <w:lang w:val="fr-FR"/>
              </w:rPr>
              <w:t> </w:t>
            </w:r>
            <w:r w:rsidRPr="00C83DA9">
              <w:rPr>
                <w:sz w:val="22"/>
                <w:szCs w:val="22"/>
                <w:lang w:val="fr-FR"/>
              </w:rPr>
              <w:t>25</w:t>
            </w:r>
            <w:r w:rsidR="00DF47CA" w:rsidRPr="00C83DA9">
              <w:rPr>
                <w:sz w:val="22"/>
                <w:szCs w:val="22"/>
                <w:lang w:val="fr-FR"/>
              </w:rPr>
              <w:t> </w:t>
            </w:r>
            <w:r w:rsidRPr="00C83DA9">
              <w:rPr>
                <w:sz w:val="22"/>
                <w:szCs w:val="22"/>
                <w:lang w:val="fr-FR"/>
              </w:rPr>
              <w:t>participants d</w:t>
            </w:r>
            <w:r w:rsidR="00456505" w:rsidRPr="00C83DA9">
              <w:rPr>
                <w:sz w:val="22"/>
                <w:szCs w:val="22"/>
                <w:lang w:val="fr-FR"/>
              </w:rPr>
              <w:t>'</w:t>
            </w:r>
            <w:r w:rsidRPr="00C83DA9">
              <w:rPr>
                <w:sz w:val="22"/>
                <w:szCs w:val="22"/>
                <w:lang w:val="fr-FR"/>
              </w:rPr>
              <w:t>Algérie Télécom et d</w:t>
            </w:r>
            <w:r w:rsidR="00456505" w:rsidRPr="00C83DA9">
              <w:rPr>
                <w:sz w:val="22"/>
                <w:szCs w:val="22"/>
                <w:lang w:val="fr-FR"/>
              </w:rPr>
              <w:t>'</w:t>
            </w:r>
            <w:r w:rsidRPr="00C83DA9">
              <w:rPr>
                <w:sz w:val="22"/>
                <w:szCs w:val="22"/>
                <w:lang w:val="fr-FR"/>
              </w:rPr>
              <w:t>autres organisations nationales, renforçant ainsi les capacités techniques à l</w:t>
            </w:r>
            <w:r w:rsidR="00456505" w:rsidRPr="00C83DA9">
              <w:rPr>
                <w:sz w:val="22"/>
                <w:szCs w:val="22"/>
                <w:lang w:val="fr-FR"/>
              </w:rPr>
              <w:t>'</w:t>
            </w:r>
            <w:r w:rsidRPr="00C83DA9">
              <w:rPr>
                <w:sz w:val="22"/>
                <w:szCs w:val="22"/>
                <w:lang w:val="fr-FR"/>
              </w:rPr>
              <w:t xml:space="preserve">échelle du pays. </w:t>
            </w:r>
            <w:r w:rsidRPr="00C83DA9">
              <w:rPr>
                <w:b/>
                <w:bCs/>
                <w:sz w:val="22"/>
                <w:szCs w:val="22"/>
                <w:lang w:val="fr-FR"/>
              </w:rPr>
              <w:t>Djibouti</w:t>
            </w:r>
            <w:r w:rsidRPr="00C83DA9">
              <w:rPr>
                <w:sz w:val="22"/>
                <w:szCs w:val="22"/>
                <w:lang w:val="fr-FR"/>
              </w:rPr>
              <w:t xml:space="preserve"> a accueilli des sessions d</w:t>
            </w:r>
            <w:r w:rsidR="00456505" w:rsidRPr="00C83DA9">
              <w:rPr>
                <w:sz w:val="22"/>
                <w:szCs w:val="22"/>
                <w:lang w:val="fr-FR"/>
              </w:rPr>
              <w:t>'</w:t>
            </w:r>
            <w:r w:rsidRPr="00C83DA9">
              <w:rPr>
                <w:sz w:val="22"/>
                <w:szCs w:val="22"/>
                <w:lang w:val="fr-FR"/>
              </w:rPr>
              <w:t>attribution des fréquences, tandis que l</w:t>
            </w:r>
            <w:r w:rsidR="00456505" w:rsidRPr="00C83DA9">
              <w:rPr>
                <w:sz w:val="22"/>
                <w:szCs w:val="22"/>
                <w:lang w:val="fr-FR"/>
              </w:rPr>
              <w:t>'</w:t>
            </w:r>
            <w:r w:rsidRPr="00C83DA9">
              <w:rPr>
                <w:b/>
                <w:bCs/>
                <w:sz w:val="22"/>
                <w:szCs w:val="22"/>
                <w:lang w:val="fr-FR"/>
              </w:rPr>
              <w:t>Arabie saoudite</w:t>
            </w:r>
            <w:r w:rsidRPr="00C83DA9">
              <w:rPr>
                <w:sz w:val="22"/>
                <w:szCs w:val="22"/>
                <w:lang w:val="fr-FR"/>
              </w:rPr>
              <w:t xml:space="preserve"> a organisé des dialogues sur le spectre et les satellites. L</w:t>
            </w:r>
            <w:r w:rsidR="00456505" w:rsidRPr="00C83DA9">
              <w:rPr>
                <w:sz w:val="22"/>
                <w:szCs w:val="22"/>
                <w:lang w:val="fr-FR"/>
              </w:rPr>
              <w:t>'</w:t>
            </w:r>
            <w:r w:rsidRPr="00C83DA9">
              <w:rPr>
                <w:b/>
                <w:bCs/>
                <w:sz w:val="22"/>
                <w:szCs w:val="22"/>
                <w:lang w:val="fr-FR"/>
              </w:rPr>
              <w:t>Algérie</w:t>
            </w:r>
            <w:r w:rsidRPr="00C83DA9">
              <w:rPr>
                <w:sz w:val="22"/>
                <w:szCs w:val="22"/>
                <w:lang w:val="fr-FR"/>
              </w:rPr>
              <w:t>, l</w:t>
            </w:r>
            <w:r w:rsidR="00456505" w:rsidRPr="00C83DA9">
              <w:rPr>
                <w:sz w:val="22"/>
                <w:szCs w:val="22"/>
                <w:lang w:val="fr-FR"/>
              </w:rPr>
              <w:t>'</w:t>
            </w:r>
            <w:r w:rsidRPr="00C83DA9">
              <w:rPr>
                <w:b/>
                <w:bCs/>
                <w:sz w:val="22"/>
                <w:szCs w:val="22"/>
                <w:lang w:val="fr-FR"/>
              </w:rPr>
              <w:t>Égypte</w:t>
            </w:r>
            <w:r w:rsidRPr="00C83DA9">
              <w:rPr>
                <w:sz w:val="22"/>
                <w:szCs w:val="22"/>
                <w:lang w:val="fr-FR"/>
              </w:rPr>
              <w:t xml:space="preserve"> et la </w:t>
            </w:r>
            <w:r w:rsidRPr="00C83DA9">
              <w:rPr>
                <w:b/>
                <w:bCs/>
                <w:sz w:val="22"/>
                <w:szCs w:val="22"/>
                <w:lang w:val="fr-FR"/>
              </w:rPr>
              <w:t>Mauritanie</w:t>
            </w:r>
            <w:r w:rsidRPr="00C83DA9">
              <w:rPr>
                <w:sz w:val="22"/>
                <w:szCs w:val="22"/>
                <w:lang w:val="fr-FR"/>
              </w:rPr>
              <w:t xml:space="preserve"> ont aligné la planification des infrastructures sur des programmes numériques écologiques et inclusifs, tandis que le </w:t>
            </w:r>
            <w:r w:rsidRPr="00C83DA9">
              <w:rPr>
                <w:b/>
                <w:bCs/>
                <w:sz w:val="22"/>
                <w:szCs w:val="22"/>
                <w:lang w:val="fr-FR"/>
              </w:rPr>
              <w:t>Soudan</w:t>
            </w:r>
            <w:r w:rsidRPr="00C83DA9">
              <w:rPr>
                <w:sz w:val="22"/>
                <w:szCs w:val="22"/>
                <w:lang w:val="fr-FR"/>
              </w:rPr>
              <w:t xml:space="preserve"> et la </w:t>
            </w:r>
            <w:r w:rsidRPr="00C83DA9">
              <w:rPr>
                <w:b/>
                <w:bCs/>
                <w:sz w:val="22"/>
                <w:szCs w:val="22"/>
                <w:lang w:val="fr-FR"/>
              </w:rPr>
              <w:t>Libye</w:t>
            </w:r>
            <w:r w:rsidRPr="00C83DA9">
              <w:rPr>
                <w:sz w:val="22"/>
                <w:szCs w:val="22"/>
                <w:lang w:val="fr-FR"/>
              </w:rPr>
              <w:t xml:space="preserve"> ont bénéficié d</w:t>
            </w:r>
            <w:r w:rsidR="00456505" w:rsidRPr="00C83DA9">
              <w:rPr>
                <w:sz w:val="22"/>
                <w:szCs w:val="22"/>
                <w:lang w:val="fr-FR"/>
              </w:rPr>
              <w:t>'</w:t>
            </w:r>
            <w:r w:rsidRPr="00C83DA9">
              <w:rPr>
                <w:sz w:val="22"/>
                <w:szCs w:val="22"/>
                <w:lang w:val="fr-FR"/>
              </w:rPr>
              <w:t>un appui technique pour le rétablissement des infrastructures numériques.</w:t>
            </w:r>
          </w:p>
          <w:p w14:paraId="7D5B2198" w14:textId="5A4ACEE4" w:rsidR="00372A77" w:rsidRPr="00C83DA9" w:rsidRDefault="00372A77" w:rsidP="00DC1608">
            <w:pPr>
              <w:pStyle w:val="Tabletext"/>
              <w:widowControl w:val="0"/>
              <w:spacing w:before="120"/>
              <w:rPr>
                <w:sz w:val="22"/>
                <w:szCs w:val="22"/>
                <w:lang w:val="fr-FR"/>
              </w:rPr>
            </w:pPr>
            <w:r w:rsidRPr="00C83DA9">
              <w:rPr>
                <w:sz w:val="22"/>
                <w:szCs w:val="22"/>
                <w:lang w:val="fr-FR"/>
              </w:rPr>
              <w:t xml:space="preserve">En intégrant la cartographie du large bande dans la coopération régionale, les pays de la région des </w:t>
            </w:r>
            <w:r w:rsidRPr="00C83DA9">
              <w:rPr>
                <w:b/>
                <w:bCs/>
                <w:sz w:val="22"/>
                <w:szCs w:val="22"/>
                <w:lang w:val="fr-FR"/>
              </w:rPr>
              <w:t>États arabes</w:t>
            </w:r>
            <w:r w:rsidRPr="00C83DA9">
              <w:rPr>
                <w:sz w:val="22"/>
                <w:szCs w:val="22"/>
                <w:lang w:val="fr-FR"/>
              </w:rPr>
              <w:t xml:space="preserve"> se sont positionnés comme des centres d</w:t>
            </w:r>
            <w:r w:rsidR="00456505" w:rsidRPr="00C83DA9">
              <w:rPr>
                <w:sz w:val="22"/>
                <w:szCs w:val="22"/>
                <w:lang w:val="fr-FR"/>
              </w:rPr>
              <w:t>'</w:t>
            </w:r>
            <w:r w:rsidRPr="00C83DA9">
              <w:rPr>
                <w:sz w:val="22"/>
                <w:szCs w:val="22"/>
                <w:lang w:val="fr-FR"/>
              </w:rPr>
              <w:t>essai pour l</w:t>
            </w:r>
            <w:r w:rsidR="00456505" w:rsidRPr="00C83DA9">
              <w:rPr>
                <w:sz w:val="22"/>
                <w:szCs w:val="22"/>
                <w:lang w:val="fr-FR"/>
              </w:rPr>
              <w:t>'</w:t>
            </w:r>
            <w:r w:rsidRPr="00C83DA9">
              <w:rPr>
                <w:sz w:val="22"/>
                <w:szCs w:val="22"/>
                <w:lang w:val="fr-FR"/>
              </w:rPr>
              <w:t>élaboration de politiques fondées sur les données et la collaboration. L</w:t>
            </w:r>
            <w:r w:rsidR="00456505" w:rsidRPr="00C83DA9">
              <w:rPr>
                <w:sz w:val="22"/>
                <w:szCs w:val="22"/>
                <w:lang w:val="fr-FR"/>
              </w:rPr>
              <w:t>'</w:t>
            </w:r>
            <w:r w:rsidRPr="00C83DA9">
              <w:rPr>
                <w:sz w:val="22"/>
                <w:szCs w:val="22"/>
                <w:lang w:val="fr-FR"/>
              </w:rPr>
              <w:t>UIT fournit un appui ciblé à l</w:t>
            </w:r>
            <w:r w:rsidR="00456505" w:rsidRPr="00C83DA9">
              <w:rPr>
                <w:sz w:val="22"/>
                <w:szCs w:val="22"/>
                <w:lang w:val="fr-FR"/>
              </w:rPr>
              <w:t>'</w:t>
            </w:r>
            <w:r w:rsidRPr="00C83DA9">
              <w:rPr>
                <w:sz w:val="22"/>
                <w:szCs w:val="22"/>
                <w:lang w:val="fr-FR"/>
              </w:rPr>
              <w:t>Autorité de régulation multisectorielle de Djibouti (ARMD) afin de renforcer les cadres réglementaires et de gestion nationale du spectre. Cette assistance vise à renforcer la capacité du pays à planifier, gérer et utiliser les ressources de fréquences radioélectriques de manière efficace et transparente. Les travaux comprennent l</w:t>
            </w:r>
            <w:r w:rsidR="00456505" w:rsidRPr="00C83DA9">
              <w:rPr>
                <w:sz w:val="22"/>
                <w:szCs w:val="22"/>
                <w:lang w:val="fr-FR"/>
              </w:rPr>
              <w:t>'</w:t>
            </w:r>
            <w:r w:rsidRPr="00C83DA9">
              <w:rPr>
                <w:sz w:val="22"/>
                <w:szCs w:val="22"/>
                <w:lang w:val="fr-FR"/>
              </w:rPr>
              <w:t>élaboration de deux instruments politiques essentiels, à savoir une stratégie nationale pour la gestion et l</w:t>
            </w:r>
            <w:r w:rsidR="00456505" w:rsidRPr="00C83DA9">
              <w:rPr>
                <w:sz w:val="22"/>
                <w:szCs w:val="22"/>
                <w:lang w:val="fr-FR"/>
              </w:rPr>
              <w:t>'</w:t>
            </w:r>
            <w:r w:rsidRPr="00C83DA9">
              <w:rPr>
                <w:sz w:val="22"/>
                <w:szCs w:val="22"/>
                <w:lang w:val="fr-FR"/>
              </w:rPr>
              <w:t>utilisation du spectre radioélectrique et un plan directeur pour améliorer la réglementation du</w:t>
            </w:r>
            <w:r w:rsidR="00DF47CA" w:rsidRPr="00C83DA9">
              <w:rPr>
                <w:sz w:val="22"/>
                <w:szCs w:val="22"/>
                <w:lang w:val="fr-FR"/>
              </w:rPr>
              <w:t xml:space="preserve"> </w:t>
            </w:r>
            <w:r w:rsidRPr="00C83DA9">
              <w:rPr>
                <w:sz w:val="22"/>
                <w:szCs w:val="22"/>
                <w:lang w:val="fr-FR"/>
              </w:rPr>
              <w:t>spectre radioélectrique – qui établiront un système structuré et durable pour l</w:t>
            </w:r>
            <w:r w:rsidR="00456505" w:rsidRPr="00C83DA9">
              <w:rPr>
                <w:sz w:val="22"/>
                <w:szCs w:val="22"/>
                <w:lang w:val="fr-FR"/>
              </w:rPr>
              <w:t>'</w:t>
            </w:r>
            <w:r w:rsidRPr="00C83DA9">
              <w:rPr>
                <w:sz w:val="22"/>
                <w:szCs w:val="22"/>
                <w:lang w:val="fr-FR"/>
              </w:rPr>
              <w:t>attribution et l</w:t>
            </w:r>
            <w:r w:rsidR="00456505" w:rsidRPr="00C83DA9">
              <w:rPr>
                <w:sz w:val="22"/>
                <w:szCs w:val="22"/>
                <w:lang w:val="fr-FR"/>
              </w:rPr>
              <w:t>'</w:t>
            </w:r>
            <w:r w:rsidRPr="00C83DA9">
              <w:rPr>
                <w:sz w:val="22"/>
                <w:szCs w:val="22"/>
                <w:lang w:val="fr-FR"/>
              </w:rPr>
              <w:t>assignation des fréquences. Ces efforts contribuent à améliorer l</w:t>
            </w:r>
            <w:r w:rsidR="00456505" w:rsidRPr="00C83DA9">
              <w:rPr>
                <w:sz w:val="22"/>
                <w:szCs w:val="22"/>
                <w:lang w:val="fr-FR"/>
              </w:rPr>
              <w:t>'</w:t>
            </w:r>
            <w:r w:rsidRPr="00C83DA9">
              <w:rPr>
                <w:sz w:val="22"/>
                <w:szCs w:val="22"/>
                <w:lang w:val="fr-FR"/>
              </w:rPr>
              <w:t>efficacité réglementaire, à optimiser l</w:t>
            </w:r>
            <w:r w:rsidR="00456505" w:rsidRPr="00C83DA9">
              <w:rPr>
                <w:sz w:val="22"/>
                <w:szCs w:val="22"/>
                <w:lang w:val="fr-FR"/>
              </w:rPr>
              <w:t>'</w:t>
            </w:r>
            <w:r w:rsidRPr="00C83DA9">
              <w:rPr>
                <w:sz w:val="22"/>
                <w:szCs w:val="22"/>
                <w:lang w:val="fr-FR"/>
              </w:rPr>
              <w:t>utilisation du spectre et à soutenir la transformation numérique de</w:t>
            </w:r>
            <w:r w:rsidR="00DF47CA" w:rsidRPr="00C83DA9">
              <w:rPr>
                <w:sz w:val="22"/>
                <w:szCs w:val="22"/>
                <w:lang w:val="fr-FR"/>
              </w:rPr>
              <w:t> </w:t>
            </w:r>
            <w:r w:rsidRPr="00C83DA9">
              <w:rPr>
                <w:sz w:val="22"/>
                <w:szCs w:val="22"/>
                <w:lang w:val="fr-FR"/>
              </w:rPr>
              <w:t>Djibouti.</w:t>
            </w:r>
          </w:p>
          <w:p w14:paraId="17EF67D0" w14:textId="3D307D7F" w:rsidR="00372A77" w:rsidRPr="00C83DA9" w:rsidRDefault="00372A77" w:rsidP="00DC1608">
            <w:pPr>
              <w:pStyle w:val="Tabletext"/>
              <w:spacing w:before="120"/>
              <w:rPr>
                <w:sz w:val="22"/>
                <w:szCs w:val="22"/>
                <w:lang w:val="fr-FR"/>
              </w:rPr>
            </w:pPr>
            <w:r w:rsidRPr="00C83DA9">
              <w:rPr>
                <w:sz w:val="22"/>
                <w:szCs w:val="22"/>
                <w:lang w:val="fr-FR"/>
              </w:rPr>
              <w:lastRenderedPageBreak/>
              <w:t>Dans la région de la CEI, la 5G et la résilience figuraient parmi les principales priorités. L</w:t>
            </w:r>
            <w:r w:rsidR="00456505" w:rsidRPr="00C83DA9">
              <w:rPr>
                <w:sz w:val="22"/>
                <w:szCs w:val="22"/>
                <w:lang w:val="fr-FR"/>
              </w:rPr>
              <w:t>'</w:t>
            </w:r>
            <w:r w:rsidRPr="00C83DA9">
              <w:rPr>
                <w:b/>
                <w:bCs/>
                <w:sz w:val="22"/>
                <w:szCs w:val="22"/>
                <w:lang w:val="fr-FR"/>
              </w:rPr>
              <w:t>Arménie</w:t>
            </w:r>
            <w:r w:rsidRPr="00C83DA9">
              <w:rPr>
                <w:sz w:val="22"/>
                <w:szCs w:val="22"/>
                <w:lang w:val="fr-FR"/>
              </w:rPr>
              <w:t>, le</w:t>
            </w:r>
            <w:r w:rsidRPr="00C83DA9">
              <w:rPr>
                <w:b/>
                <w:bCs/>
                <w:sz w:val="22"/>
                <w:szCs w:val="22"/>
                <w:lang w:val="fr-FR"/>
              </w:rPr>
              <w:t xml:space="preserve"> Tadjikistan</w:t>
            </w:r>
            <w:r w:rsidRPr="00C83DA9">
              <w:rPr>
                <w:sz w:val="22"/>
                <w:szCs w:val="22"/>
                <w:lang w:val="fr-FR"/>
              </w:rPr>
              <w:t xml:space="preserve"> et le </w:t>
            </w:r>
            <w:r w:rsidRPr="00C83DA9">
              <w:rPr>
                <w:b/>
                <w:bCs/>
                <w:sz w:val="22"/>
                <w:szCs w:val="22"/>
                <w:lang w:val="fr-FR"/>
              </w:rPr>
              <w:t>Turkménistan</w:t>
            </w:r>
            <w:r w:rsidRPr="00C83DA9">
              <w:rPr>
                <w:sz w:val="22"/>
                <w:szCs w:val="22"/>
                <w:lang w:val="fr-FR"/>
              </w:rPr>
              <w:t xml:space="preserve"> ont reçu une formation sur le déploiement de la 5G, tandis que le </w:t>
            </w:r>
            <w:r w:rsidRPr="00C83DA9">
              <w:rPr>
                <w:b/>
                <w:bCs/>
                <w:sz w:val="22"/>
                <w:szCs w:val="22"/>
                <w:lang w:val="fr-FR"/>
              </w:rPr>
              <w:t>Kazakhstan</w:t>
            </w:r>
            <w:r w:rsidRPr="00C83DA9">
              <w:rPr>
                <w:sz w:val="22"/>
                <w:szCs w:val="22"/>
                <w:lang w:val="fr-FR"/>
              </w:rPr>
              <w:t>, le</w:t>
            </w:r>
            <w:r w:rsidRPr="00C83DA9">
              <w:rPr>
                <w:b/>
                <w:bCs/>
                <w:sz w:val="22"/>
                <w:szCs w:val="22"/>
                <w:lang w:val="fr-FR"/>
              </w:rPr>
              <w:t xml:space="preserve"> Kirghizistan</w:t>
            </w:r>
            <w:r w:rsidRPr="00C83DA9">
              <w:rPr>
                <w:sz w:val="22"/>
                <w:szCs w:val="22"/>
                <w:lang w:val="fr-FR"/>
              </w:rPr>
              <w:t xml:space="preserve"> et l</w:t>
            </w:r>
            <w:r w:rsidR="00456505" w:rsidRPr="00C83DA9">
              <w:rPr>
                <w:sz w:val="22"/>
                <w:szCs w:val="22"/>
                <w:lang w:val="fr-FR"/>
              </w:rPr>
              <w:t>'</w:t>
            </w:r>
            <w:r w:rsidRPr="00C83DA9">
              <w:rPr>
                <w:b/>
                <w:bCs/>
                <w:sz w:val="22"/>
                <w:szCs w:val="22"/>
                <w:lang w:val="fr-FR"/>
              </w:rPr>
              <w:t>Ouzbékistan</w:t>
            </w:r>
            <w:r w:rsidRPr="00C83DA9">
              <w:rPr>
                <w:sz w:val="22"/>
                <w:szCs w:val="22"/>
                <w:lang w:val="fr-FR"/>
              </w:rPr>
              <w:t xml:space="preserve"> ont progressé dans les évaluations de la connectivité des écoles, qui ont été présentées pendant la Semaine de la connectivité des écoles d</w:t>
            </w:r>
            <w:r w:rsidR="00456505" w:rsidRPr="00C83DA9">
              <w:rPr>
                <w:sz w:val="22"/>
                <w:szCs w:val="22"/>
                <w:lang w:val="fr-FR"/>
              </w:rPr>
              <w:t>'</w:t>
            </w:r>
            <w:r w:rsidRPr="00C83DA9">
              <w:rPr>
                <w:sz w:val="22"/>
                <w:szCs w:val="22"/>
                <w:lang w:val="fr-FR"/>
              </w:rPr>
              <w:t>Asie centrale. L</w:t>
            </w:r>
            <w:r w:rsidR="00456505" w:rsidRPr="00C83DA9">
              <w:rPr>
                <w:sz w:val="22"/>
                <w:szCs w:val="22"/>
                <w:lang w:val="fr-FR"/>
              </w:rPr>
              <w:t>'</w:t>
            </w:r>
            <w:r w:rsidRPr="00C83DA9">
              <w:rPr>
                <w:b/>
                <w:bCs/>
                <w:sz w:val="22"/>
                <w:szCs w:val="22"/>
                <w:lang w:val="fr-FR"/>
              </w:rPr>
              <w:t>Ouzbékistan</w:t>
            </w:r>
            <w:r w:rsidRPr="00C83DA9">
              <w:rPr>
                <w:sz w:val="22"/>
                <w:szCs w:val="22"/>
                <w:lang w:val="fr-FR"/>
              </w:rPr>
              <w:t xml:space="preserve"> a accueilli une table ronde sur la VoLTE, tandis qu</w:t>
            </w:r>
            <w:r w:rsidR="00456505" w:rsidRPr="00C83DA9">
              <w:rPr>
                <w:sz w:val="22"/>
                <w:szCs w:val="22"/>
                <w:lang w:val="fr-FR"/>
              </w:rPr>
              <w:t>'</w:t>
            </w:r>
            <w:r w:rsidRPr="00C83DA9">
              <w:rPr>
                <w:sz w:val="22"/>
                <w:szCs w:val="22"/>
                <w:lang w:val="fr-FR"/>
              </w:rPr>
              <w:t xml:space="preserve">une formation organisée au </w:t>
            </w:r>
            <w:r w:rsidRPr="00C83DA9">
              <w:rPr>
                <w:b/>
                <w:bCs/>
                <w:sz w:val="22"/>
                <w:szCs w:val="22"/>
                <w:lang w:val="fr-FR"/>
              </w:rPr>
              <w:t>Tadjikistan</w:t>
            </w:r>
            <w:r w:rsidRPr="00C83DA9">
              <w:rPr>
                <w:sz w:val="22"/>
                <w:szCs w:val="22"/>
                <w:lang w:val="fr-FR"/>
              </w:rPr>
              <w:t xml:space="preserve"> en mars 2025 a permis de renforcer les compétences nationales en matière de planification de la connectivité grâce aux systèmes</w:t>
            </w:r>
            <w:r w:rsidR="00E50D44" w:rsidRPr="00C83DA9">
              <w:rPr>
                <w:sz w:val="22"/>
                <w:szCs w:val="22"/>
                <w:lang w:val="fr-FR"/>
              </w:rPr>
              <w:t> </w:t>
            </w:r>
            <w:r w:rsidRPr="00C83DA9">
              <w:rPr>
                <w:sz w:val="22"/>
                <w:szCs w:val="22"/>
                <w:lang w:val="fr-FR"/>
              </w:rPr>
              <w:t xml:space="preserve">GIS. Au </w:t>
            </w:r>
            <w:r w:rsidRPr="00C83DA9">
              <w:rPr>
                <w:b/>
                <w:bCs/>
                <w:sz w:val="22"/>
                <w:szCs w:val="22"/>
                <w:lang w:val="fr-FR"/>
              </w:rPr>
              <w:t>Kirghizistan</w:t>
            </w:r>
            <w:r w:rsidRPr="00C83DA9">
              <w:rPr>
                <w:sz w:val="22"/>
                <w:szCs w:val="22"/>
                <w:lang w:val="fr-FR"/>
              </w:rPr>
              <w:t>, le BDT a organisé un atelier sur le déploiement de la 5G qui a permis d</w:t>
            </w:r>
            <w:r w:rsidR="00456505" w:rsidRPr="00C83DA9">
              <w:rPr>
                <w:sz w:val="22"/>
                <w:szCs w:val="22"/>
                <w:lang w:val="fr-FR"/>
              </w:rPr>
              <w:t>'</w:t>
            </w:r>
            <w:r w:rsidRPr="00C83DA9">
              <w:rPr>
                <w:sz w:val="22"/>
                <w:szCs w:val="22"/>
                <w:lang w:val="fr-FR"/>
              </w:rPr>
              <w:t>améliorer les connaissances des participants. Le premier séminaire mondial UIT-OMM sur l</w:t>
            </w:r>
            <w:r w:rsidR="00456505" w:rsidRPr="00C83DA9">
              <w:rPr>
                <w:sz w:val="22"/>
                <w:szCs w:val="22"/>
                <w:lang w:val="fr-FR"/>
              </w:rPr>
              <w:t>'</w:t>
            </w:r>
            <w:r w:rsidRPr="00C83DA9">
              <w:rPr>
                <w:sz w:val="22"/>
                <w:szCs w:val="22"/>
                <w:lang w:val="fr-FR"/>
              </w:rPr>
              <w:t>utilisation du spectre au service du développement durable s</w:t>
            </w:r>
            <w:r w:rsidR="00456505" w:rsidRPr="00C83DA9">
              <w:rPr>
                <w:sz w:val="22"/>
                <w:szCs w:val="22"/>
                <w:lang w:val="fr-FR"/>
              </w:rPr>
              <w:t>'</w:t>
            </w:r>
            <w:r w:rsidRPr="00C83DA9">
              <w:rPr>
                <w:sz w:val="22"/>
                <w:szCs w:val="22"/>
                <w:lang w:val="fr-FR"/>
              </w:rPr>
              <w:t>est tenu en septembre 2024 au Kazakhstan. Le programme sur l</w:t>
            </w:r>
            <w:r w:rsidR="00456505" w:rsidRPr="00C83DA9">
              <w:rPr>
                <w:sz w:val="22"/>
                <w:szCs w:val="22"/>
                <w:lang w:val="fr-FR"/>
              </w:rPr>
              <w:t>'</w:t>
            </w:r>
            <w:r w:rsidRPr="00C83DA9">
              <w:rPr>
                <w:sz w:val="22"/>
                <w:szCs w:val="22"/>
                <w:lang w:val="fr-FR"/>
              </w:rPr>
              <w:t>avenir de la connectivité a été lancé en 2025, officialisant la formation et la consultation au niveau régional.</w:t>
            </w:r>
          </w:p>
          <w:p w14:paraId="5FB0D817" w14:textId="4FAD8B7A" w:rsidR="00372A77" w:rsidRPr="00C83DA9" w:rsidRDefault="00372A77" w:rsidP="00DC1608">
            <w:pPr>
              <w:pStyle w:val="Tabletext"/>
              <w:spacing w:before="120"/>
              <w:rPr>
                <w:sz w:val="22"/>
                <w:szCs w:val="22"/>
                <w:lang w:val="fr-FR"/>
              </w:rPr>
            </w:pPr>
            <w:r w:rsidRPr="00C83DA9">
              <w:rPr>
                <w:sz w:val="22"/>
                <w:szCs w:val="22"/>
                <w:lang w:val="fr-FR"/>
              </w:rPr>
              <w:t xml:space="preserve">Dans </w:t>
            </w:r>
            <w:r w:rsidRPr="00C83DA9">
              <w:rPr>
                <w:b/>
                <w:bCs/>
                <w:sz w:val="22"/>
                <w:szCs w:val="22"/>
                <w:lang w:val="fr-FR"/>
              </w:rPr>
              <w:t>la région Europe</w:t>
            </w:r>
            <w:r w:rsidRPr="00C83DA9">
              <w:rPr>
                <w:sz w:val="22"/>
                <w:szCs w:val="22"/>
                <w:lang w:val="fr-FR"/>
              </w:rPr>
              <w:t>, le</w:t>
            </w:r>
            <w:r w:rsidRPr="00C83DA9">
              <w:rPr>
                <w:b/>
                <w:bCs/>
                <w:sz w:val="22"/>
                <w:szCs w:val="22"/>
                <w:lang w:val="fr-FR"/>
              </w:rPr>
              <w:t xml:space="preserve"> Monténégro</w:t>
            </w:r>
            <w:r w:rsidRPr="00C83DA9">
              <w:rPr>
                <w:sz w:val="22"/>
                <w:szCs w:val="22"/>
                <w:lang w:val="fr-FR"/>
              </w:rPr>
              <w:t xml:space="preserve"> a achevé son plan pour le large bande pour 2025-2029, axé sur les zones rurales, tandis que l</w:t>
            </w:r>
            <w:r w:rsidR="00456505" w:rsidRPr="00C83DA9">
              <w:rPr>
                <w:sz w:val="22"/>
                <w:szCs w:val="22"/>
                <w:lang w:val="fr-FR"/>
              </w:rPr>
              <w:t>'</w:t>
            </w:r>
            <w:r w:rsidRPr="00C83DA9">
              <w:rPr>
                <w:b/>
                <w:bCs/>
                <w:sz w:val="22"/>
                <w:szCs w:val="22"/>
                <w:lang w:val="fr-FR"/>
              </w:rPr>
              <w:t>Albanie</w:t>
            </w:r>
            <w:r w:rsidRPr="00C83DA9">
              <w:rPr>
                <w:sz w:val="22"/>
                <w:szCs w:val="22"/>
                <w:lang w:val="fr-FR"/>
              </w:rPr>
              <w:t xml:space="preserve"> a amélioré son système de cartographie Atlas. </w:t>
            </w:r>
            <w:r w:rsidRPr="00C83DA9">
              <w:rPr>
                <w:b/>
                <w:bCs/>
                <w:sz w:val="22"/>
                <w:szCs w:val="22"/>
                <w:lang w:val="fr-FR"/>
              </w:rPr>
              <w:t>Moldova</w:t>
            </w:r>
            <w:r w:rsidRPr="00C83DA9">
              <w:rPr>
                <w:sz w:val="22"/>
                <w:szCs w:val="22"/>
                <w:lang w:val="fr-FR"/>
              </w:rPr>
              <w:t xml:space="preserve"> a élaboré des spécifications techniques pour la cartographie et la gestion du spectre, tandis que la </w:t>
            </w:r>
            <w:r w:rsidRPr="00C83DA9">
              <w:rPr>
                <w:b/>
                <w:bCs/>
                <w:sz w:val="22"/>
                <w:szCs w:val="22"/>
                <w:lang w:val="fr-FR"/>
              </w:rPr>
              <w:t>Bosnie-Herzégovine</w:t>
            </w:r>
            <w:r w:rsidRPr="00C83DA9">
              <w:rPr>
                <w:sz w:val="22"/>
                <w:szCs w:val="22"/>
                <w:lang w:val="fr-FR"/>
              </w:rPr>
              <w:t xml:space="preserve"> a bénéficié d</w:t>
            </w:r>
            <w:r w:rsidR="00456505" w:rsidRPr="00C83DA9">
              <w:rPr>
                <w:sz w:val="22"/>
                <w:szCs w:val="22"/>
                <w:lang w:val="fr-FR"/>
              </w:rPr>
              <w:t>'</w:t>
            </w:r>
            <w:r w:rsidRPr="00C83DA9">
              <w:rPr>
                <w:sz w:val="22"/>
                <w:szCs w:val="22"/>
                <w:lang w:val="fr-FR"/>
              </w:rPr>
              <w:t>une formation sur la réglementation de la</w:t>
            </w:r>
            <w:r w:rsidR="00E50D44" w:rsidRPr="00C83DA9">
              <w:rPr>
                <w:sz w:val="22"/>
                <w:szCs w:val="22"/>
                <w:lang w:val="fr-FR"/>
              </w:rPr>
              <w:t> </w:t>
            </w:r>
            <w:r w:rsidRPr="00C83DA9">
              <w:rPr>
                <w:sz w:val="22"/>
                <w:szCs w:val="22"/>
                <w:lang w:val="fr-FR"/>
              </w:rPr>
              <w:t>5G. Un laboratoire IPv6 au Monténégro a créé une plate-forme ouverte pour le renforcement des capacités, tandis que les ateliers EMERG-EaPeReg ont produit un recueil d</w:t>
            </w:r>
            <w:r w:rsidR="00456505" w:rsidRPr="00C83DA9">
              <w:rPr>
                <w:sz w:val="22"/>
                <w:szCs w:val="22"/>
                <w:lang w:val="fr-FR"/>
              </w:rPr>
              <w:t>'</w:t>
            </w:r>
            <w:r w:rsidRPr="00C83DA9">
              <w:rPr>
                <w:sz w:val="22"/>
                <w:szCs w:val="22"/>
                <w:lang w:val="fr-FR"/>
              </w:rPr>
              <w:t>études de cas sur la cartographie du large bande.</w:t>
            </w:r>
          </w:p>
          <w:p w14:paraId="3462E64B" w14:textId="0E4DFB65" w:rsidR="00372A77" w:rsidRPr="00C83DA9" w:rsidRDefault="00372A77" w:rsidP="00DC1608">
            <w:pPr>
              <w:pStyle w:val="Tabletext"/>
              <w:spacing w:before="120"/>
              <w:rPr>
                <w:sz w:val="22"/>
                <w:szCs w:val="22"/>
                <w:lang w:val="fr-FR"/>
              </w:rPr>
            </w:pPr>
            <w:r w:rsidRPr="00C83DA9">
              <w:rPr>
                <w:sz w:val="22"/>
                <w:szCs w:val="22"/>
                <w:lang w:val="fr-FR"/>
              </w:rPr>
              <w:t>Les travaux du BDT sur les réseaux et l</w:t>
            </w:r>
            <w:r w:rsidR="00456505" w:rsidRPr="00C83DA9">
              <w:rPr>
                <w:sz w:val="22"/>
                <w:szCs w:val="22"/>
                <w:lang w:val="fr-FR"/>
              </w:rPr>
              <w:t>'</w:t>
            </w:r>
            <w:r w:rsidRPr="00C83DA9">
              <w:rPr>
                <w:sz w:val="22"/>
                <w:szCs w:val="22"/>
                <w:lang w:val="fr-FR"/>
              </w:rPr>
              <w:t>infrastructure numérique illustrent l</w:t>
            </w:r>
            <w:r w:rsidR="00456505" w:rsidRPr="00C83DA9">
              <w:rPr>
                <w:sz w:val="22"/>
                <w:szCs w:val="22"/>
                <w:lang w:val="fr-FR"/>
              </w:rPr>
              <w:t>'</w:t>
            </w:r>
            <w:r w:rsidRPr="00C83DA9">
              <w:rPr>
                <w:sz w:val="22"/>
                <w:szCs w:val="22"/>
                <w:lang w:val="fr-FR"/>
              </w:rPr>
              <w:t>efficacité que permet l</w:t>
            </w:r>
            <w:r w:rsidR="00456505" w:rsidRPr="00C83DA9">
              <w:rPr>
                <w:sz w:val="22"/>
                <w:szCs w:val="22"/>
                <w:lang w:val="fr-FR"/>
              </w:rPr>
              <w:t>'</w:t>
            </w:r>
            <w:r w:rsidRPr="00C83DA9">
              <w:rPr>
                <w:sz w:val="22"/>
                <w:szCs w:val="22"/>
                <w:lang w:val="fr-FR"/>
              </w:rPr>
              <w:t>association de l</w:t>
            </w:r>
            <w:r w:rsidR="00456505" w:rsidRPr="00C83DA9">
              <w:rPr>
                <w:sz w:val="22"/>
                <w:szCs w:val="22"/>
                <w:lang w:val="fr-FR"/>
              </w:rPr>
              <w:t>'</w:t>
            </w:r>
            <w:r w:rsidRPr="00C83DA9">
              <w:rPr>
                <w:sz w:val="22"/>
                <w:szCs w:val="22"/>
                <w:lang w:val="fr-FR"/>
              </w:rPr>
              <w:t>innovation numérique et de l</w:t>
            </w:r>
            <w:r w:rsidR="00456505" w:rsidRPr="00C83DA9">
              <w:rPr>
                <w:sz w:val="22"/>
                <w:szCs w:val="22"/>
                <w:lang w:val="fr-FR"/>
              </w:rPr>
              <w:t>'</w:t>
            </w:r>
            <w:r w:rsidRPr="00C83DA9">
              <w:rPr>
                <w:sz w:val="22"/>
                <w:szCs w:val="22"/>
                <w:lang w:val="fr-FR"/>
              </w:rPr>
              <w:t>élaboration de politiques inclusives. La cartographie des infrastructures s</w:t>
            </w:r>
            <w:r w:rsidR="00456505" w:rsidRPr="00C83DA9">
              <w:rPr>
                <w:sz w:val="22"/>
                <w:szCs w:val="22"/>
                <w:lang w:val="fr-FR"/>
              </w:rPr>
              <w:t>'</w:t>
            </w:r>
            <w:r w:rsidRPr="00C83DA9">
              <w:rPr>
                <w:sz w:val="22"/>
                <w:szCs w:val="22"/>
                <w:lang w:val="fr-FR"/>
              </w:rPr>
              <w:t>est imposée comme la pierre angulaire de la planification fondée sur les données, tandis que les programmes de renforcement des capacités ont permis de garantir que les compétences étaient adaptées aux priorités nationales. Les outils de gestion du spectre conformes aux décisions de la CMR-23 et les ateliers régionaux sur les satellites ont permis de mieux faire comprendre le domaine de la connectivité spatiale, et la modélisation des infrastructures pour la connectivité des écoles.</w:t>
            </w:r>
          </w:p>
          <w:p w14:paraId="45DA2CB9" w14:textId="77777777" w:rsidR="00372A77" w:rsidRPr="00C83DA9" w:rsidRDefault="00372A77" w:rsidP="00DC1608">
            <w:pPr>
              <w:pStyle w:val="Tabletext"/>
              <w:spacing w:before="120" w:after="120"/>
              <w:rPr>
                <w:sz w:val="22"/>
                <w:szCs w:val="22"/>
                <w:lang w:val="fr-FR"/>
              </w:rPr>
            </w:pPr>
            <w:r w:rsidRPr="00C83DA9">
              <w:rPr>
                <w:sz w:val="22"/>
                <w:szCs w:val="22"/>
                <w:lang w:val="fr-FR"/>
              </w:rPr>
              <w:t>Le BDT continue de collaborer avec divers partenaires, tels que des organisations régionales, des acteurs privés et des banques de développement, pour faire en sorte que chaque investissement dans la connectivité réduise la fracture numérique et ouvre la voie à une transformation numérique inclusive et durable.</w:t>
            </w:r>
          </w:p>
        </w:tc>
        <w:tc>
          <w:tcPr>
            <w:tcW w:w="2540" w:type="dxa"/>
          </w:tcPr>
          <w:p w14:paraId="5DF29D81" w14:textId="77777777" w:rsidR="00372A77" w:rsidRPr="00C83DA9" w:rsidRDefault="00372A77" w:rsidP="008F6501">
            <w:pPr>
              <w:pStyle w:val="Tabletext"/>
              <w:keepNext/>
              <w:spacing w:before="120"/>
              <w:rPr>
                <w:b/>
                <w:bCs/>
                <w:color w:val="0070C0"/>
                <w:sz w:val="22"/>
                <w:szCs w:val="22"/>
                <w:lang w:val="fr-FR"/>
              </w:rPr>
            </w:pPr>
            <w:r w:rsidRPr="00C83DA9">
              <w:rPr>
                <w:b/>
                <w:bCs/>
                <w:color w:val="0070C0"/>
                <w:sz w:val="22"/>
                <w:szCs w:val="22"/>
                <w:lang w:val="fr-FR"/>
              </w:rPr>
              <w:lastRenderedPageBreak/>
              <w:t>Cartographies du large bande:</w:t>
            </w:r>
          </w:p>
          <w:p w14:paraId="3F915812" w14:textId="0735FAE0" w:rsidR="00372A77" w:rsidRPr="00C83DA9" w:rsidRDefault="000726BA" w:rsidP="009C2C5F">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color w:val="000000" w:themeColor="text1"/>
                <w:sz w:val="22"/>
                <w:szCs w:val="22"/>
                <w:lang w:val="fr-FR"/>
              </w:rPr>
              <w:t>Amériques</w:t>
            </w:r>
            <w:r w:rsidR="00372A77" w:rsidRPr="00C83DA9">
              <w:rPr>
                <w:color w:val="000000" w:themeColor="text1"/>
                <w:sz w:val="22"/>
                <w:szCs w:val="22"/>
                <w:lang w:val="fr-FR"/>
              </w:rPr>
              <w:t>:</w:t>
            </w:r>
            <w:r w:rsidR="00372A77" w:rsidRPr="00C83DA9">
              <w:rPr>
                <w:color w:val="1F497D"/>
                <w:sz w:val="22"/>
                <w:szCs w:val="22"/>
                <w:lang w:val="fr-FR"/>
              </w:rPr>
              <w:t xml:space="preserve"> Uruguay.</w:t>
            </w:r>
          </w:p>
          <w:p w14:paraId="45EC8E32" w14:textId="6401641B" w:rsidR="00372A77" w:rsidRPr="00C83DA9" w:rsidRDefault="000726BA" w:rsidP="009C2C5F">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color w:val="000000" w:themeColor="text1"/>
                <w:sz w:val="22"/>
                <w:szCs w:val="22"/>
                <w:lang w:val="fr-FR"/>
              </w:rPr>
              <w:t>États arabes</w:t>
            </w:r>
            <w:r w:rsidR="00372A77" w:rsidRPr="00C83DA9">
              <w:rPr>
                <w:color w:val="000000" w:themeColor="text1"/>
                <w:sz w:val="22"/>
                <w:szCs w:val="22"/>
                <w:lang w:val="fr-FR"/>
              </w:rPr>
              <w:t>:</w:t>
            </w:r>
            <w:r w:rsidR="00372A77" w:rsidRPr="00C83DA9">
              <w:rPr>
                <w:color w:val="1F497D"/>
                <w:sz w:val="22"/>
                <w:szCs w:val="22"/>
                <w:lang w:val="fr-FR"/>
              </w:rPr>
              <w:t xml:space="preserve"> Algérie.</w:t>
            </w:r>
          </w:p>
          <w:p w14:paraId="1F17DDF9" w14:textId="1AAB218C" w:rsidR="00372A77" w:rsidRPr="00C83DA9" w:rsidRDefault="000726BA" w:rsidP="009C2C5F">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color w:val="000000" w:themeColor="text1"/>
                <w:sz w:val="22"/>
                <w:szCs w:val="22"/>
                <w:lang w:val="fr-FR"/>
              </w:rPr>
              <w:t>Asie-Pacifique</w:t>
            </w:r>
            <w:r w:rsidR="00372A77" w:rsidRPr="00C83DA9">
              <w:rPr>
                <w:color w:val="000000" w:themeColor="text1"/>
                <w:sz w:val="22"/>
                <w:szCs w:val="22"/>
                <w:lang w:val="fr-FR"/>
              </w:rPr>
              <w:t xml:space="preserve">: </w:t>
            </w:r>
            <w:r w:rsidR="00372A77" w:rsidRPr="00C83DA9">
              <w:rPr>
                <w:color w:val="1F497D"/>
                <w:sz w:val="22"/>
                <w:szCs w:val="22"/>
                <w:lang w:val="fr-FR"/>
              </w:rPr>
              <w:t>Indonésie, Malaisie.</w:t>
            </w:r>
          </w:p>
          <w:p w14:paraId="71AB49B5" w14:textId="5FA1345B" w:rsidR="00372A77" w:rsidRPr="00C83DA9" w:rsidRDefault="000726BA" w:rsidP="009C2C5F">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color w:val="000000" w:themeColor="text1"/>
                <w:sz w:val="22"/>
                <w:szCs w:val="22"/>
                <w:lang w:val="fr-FR"/>
              </w:rPr>
              <w:t>Europe</w:t>
            </w:r>
            <w:r w:rsidR="00372A77" w:rsidRPr="00C83DA9">
              <w:rPr>
                <w:color w:val="000000" w:themeColor="text1"/>
                <w:sz w:val="22"/>
                <w:szCs w:val="22"/>
                <w:lang w:val="fr-FR"/>
              </w:rPr>
              <w:t>:</w:t>
            </w:r>
            <w:r w:rsidR="00372A77" w:rsidRPr="00C83DA9">
              <w:rPr>
                <w:color w:val="1F497D"/>
                <w:sz w:val="22"/>
                <w:szCs w:val="22"/>
                <w:lang w:val="fr-FR"/>
              </w:rPr>
              <w:t xml:space="preserve"> Albanie, Croatie, Chypre, France, Italie, Lituanie, Moldova, Portugal, Roumanie, Slovénie</w:t>
            </w:r>
            <w:r w:rsidR="006A09B8" w:rsidRPr="00C83DA9">
              <w:rPr>
                <w:color w:val="1F497D"/>
                <w:sz w:val="22"/>
                <w:szCs w:val="22"/>
                <w:lang w:val="fr-FR"/>
              </w:rPr>
              <w:t>.</w:t>
            </w:r>
          </w:p>
          <w:p w14:paraId="5337A40E" w14:textId="4BA435C1" w:rsidR="00372A77" w:rsidRPr="00C83DA9" w:rsidRDefault="000726BA" w:rsidP="00C726F9">
            <w:pPr>
              <w:pStyle w:val="enumlev1"/>
              <w:tabs>
                <w:tab w:val="clear" w:pos="1134"/>
                <w:tab w:val="left" w:pos="356"/>
              </w:tabs>
              <w:spacing w:before="40" w:after="40"/>
              <w:ind w:left="386" w:hanging="386"/>
              <w:rPr>
                <w:color w:val="1F497D"/>
                <w:sz w:val="22"/>
                <w:szCs w:val="22"/>
                <w:lang w:val="fr-FR"/>
              </w:rPr>
            </w:pPr>
            <w:r w:rsidRPr="00C83DA9">
              <w:rPr>
                <w:color w:val="000000" w:themeColor="text1"/>
                <w:sz w:val="22"/>
                <w:szCs w:val="22"/>
                <w:lang w:val="fr-FR"/>
              </w:rPr>
              <w:t>•</w:t>
            </w:r>
            <w:r w:rsidRPr="00C83DA9">
              <w:rPr>
                <w:color w:val="000000" w:themeColor="text1"/>
                <w:sz w:val="22"/>
                <w:szCs w:val="22"/>
                <w:lang w:val="fr-FR"/>
              </w:rPr>
              <w:tab/>
            </w:r>
            <w:r w:rsidR="00372A77" w:rsidRPr="00C83DA9">
              <w:rPr>
                <w:b/>
                <w:bCs/>
                <w:color w:val="000000" w:themeColor="text1"/>
                <w:sz w:val="22"/>
                <w:szCs w:val="22"/>
                <w:lang w:val="fr-FR"/>
              </w:rPr>
              <w:t>CEI</w:t>
            </w:r>
            <w:r w:rsidR="00372A77" w:rsidRPr="00C83DA9">
              <w:rPr>
                <w:color w:val="000000" w:themeColor="text1"/>
                <w:sz w:val="22"/>
                <w:szCs w:val="22"/>
                <w:lang w:val="fr-FR"/>
              </w:rPr>
              <w:t>:</w:t>
            </w:r>
            <w:r w:rsidR="00372A77" w:rsidRPr="00C83DA9">
              <w:rPr>
                <w:color w:val="1F497D"/>
                <w:sz w:val="22"/>
                <w:szCs w:val="22"/>
                <w:lang w:val="fr-FR"/>
              </w:rPr>
              <w:t xml:space="preserve"> Azerbaïdjan, Arménie, Kazakhstan, Kirghizistan, Fédération de Russie, Tadjikistan, Ouzbékistan.</w:t>
            </w:r>
          </w:p>
          <w:p w14:paraId="71CEDB6B" w14:textId="2A064A08" w:rsidR="00372A77" w:rsidRPr="00C83DA9" w:rsidRDefault="00372A77" w:rsidP="008F6501">
            <w:pPr>
              <w:pStyle w:val="Tabletext"/>
              <w:keepNext/>
              <w:spacing w:before="120"/>
              <w:rPr>
                <w:b/>
                <w:bCs/>
                <w:color w:val="0070C0"/>
                <w:sz w:val="22"/>
                <w:szCs w:val="22"/>
                <w:lang w:val="fr-FR"/>
              </w:rPr>
            </w:pPr>
            <w:r w:rsidRPr="00C83DA9">
              <w:rPr>
                <w:b/>
                <w:bCs/>
                <w:color w:val="0070C0"/>
                <w:sz w:val="22"/>
                <w:szCs w:val="22"/>
                <w:lang w:val="fr-FR"/>
              </w:rPr>
              <w:lastRenderedPageBreak/>
              <w:t>PMA, PDSL et PEID mobilisés ou aidés:</w:t>
            </w:r>
          </w:p>
          <w:p w14:paraId="27C483D8" w14:textId="460C9343" w:rsidR="00372A77" w:rsidRPr="00C83DA9" w:rsidRDefault="000726BA" w:rsidP="00A81F12">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Plus de 20 PMA, PDSL et PEID ont bénéficié d</w:t>
            </w:r>
            <w:r w:rsidR="00456505" w:rsidRPr="00C83DA9">
              <w:rPr>
                <w:color w:val="1F497D"/>
                <w:sz w:val="22"/>
                <w:szCs w:val="22"/>
                <w:lang w:val="fr-FR"/>
              </w:rPr>
              <w:t>'</w:t>
            </w:r>
            <w:r w:rsidR="00372A77" w:rsidRPr="00C83DA9">
              <w:rPr>
                <w:color w:val="1F497D"/>
                <w:sz w:val="22"/>
                <w:szCs w:val="22"/>
                <w:lang w:val="fr-FR"/>
              </w:rPr>
              <w:t>un appui.</w:t>
            </w:r>
          </w:p>
          <w:p w14:paraId="3902C591" w14:textId="44913960" w:rsidR="00372A77" w:rsidRPr="00C83DA9" w:rsidRDefault="000726BA" w:rsidP="00A81F12">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1</w:t>
            </w:r>
            <w:r w:rsidR="00D712B0" w:rsidRPr="00C83DA9">
              <w:rPr>
                <w:color w:val="1F497D"/>
                <w:sz w:val="22"/>
                <w:szCs w:val="22"/>
                <w:lang w:val="fr-FR"/>
              </w:rPr>
              <w:t>2</w:t>
            </w:r>
            <w:r w:rsidR="00372A77" w:rsidRPr="00C83DA9">
              <w:rPr>
                <w:color w:val="1F497D"/>
                <w:sz w:val="22"/>
                <w:szCs w:val="22"/>
                <w:lang w:val="fr-FR"/>
              </w:rPr>
              <w:t xml:space="preserve"> pays ont bénéficié d</w:t>
            </w:r>
            <w:r w:rsidR="00456505" w:rsidRPr="00C83DA9">
              <w:rPr>
                <w:color w:val="1F497D"/>
                <w:sz w:val="22"/>
                <w:szCs w:val="22"/>
                <w:lang w:val="fr-FR"/>
              </w:rPr>
              <w:t>'</w:t>
            </w:r>
            <w:r w:rsidR="00372A77" w:rsidRPr="00C83DA9">
              <w:rPr>
                <w:color w:val="1F497D"/>
                <w:sz w:val="22"/>
                <w:szCs w:val="22"/>
                <w:lang w:val="fr-FR"/>
              </w:rPr>
              <w:t>une assistance technique.</w:t>
            </w:r>
          </w:p>
          <w:p w14:paraId="3A622C2F" w14:textId="00099FBB" w:rsidR="00372A77" w:rsidRPr="00C83DA9" w:rsidRDefault="000726BA" w:rsidP="00A81F12">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D712B0" w:rsidRPr="00C83DA9">
              <w:rPr>
                <w:color w:val="1F497D"/>
                <w:sz w:val="22"/>
                <w:szCs w:val="22"/>
                <w:lang w:val="fr-FR"/>
              </w:rPr>
              <w:t>10</w:t>
            </w:r>
            <w:r w:rsidR="00372A77" w:rsidRPr="00C83DA9">
              <w:rPr>
                <w:color w:val="1F497D"/>
                <w:sz w:val="22"/>
                <w:szCs w:val="22"/>
                <w:lang w:val="fr-FR"/>
              </w:rPr>
              <w:t xml:space="preserve"> pays ont reçu une formation à la gestion du spectre et des compétences professionnelles en matière de TIC.</w:t>
            </w:r>
          </w:p>
          <w:p w14:paraId="6345DF1D" w14:textId="5296A015" w:rsidR="00372A77" w:rsidRPr="00C83DA9" w:rsidRDefault="000726BA" w:rsidP="00A81F12">
            <w:pPr>
              <w:pStyle w:val="enumlev1"/>
              <w:tabs>
                <w:tab w:val="clear" w:pos="1134"/>
                <w:tab w:val="left" w:pos="356"/>
              </w:tabs>
              <w:spacing w:before="40" w:after="40"/>
              <w:ind w:left="386" w:hanging="386"/>
              <w:rPr>
                <w:color w:val="1F497D"/>
                <w:spacing w:val="-4"/>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7 pays ont amélioré</w:t>
            </w:r>
            <w:r w:rsidR="00372A77" w:rsidRPr="00C83DA9">
              <w:rPr>
                <w:color w:val="1F497D"/>
                <w:spacing w:val="-4"/>
                <w:sz w:val="22"/>
                <w:szCs w:val="22"/>
                <w:lang w:val="fr-FR"/>
              </w:rPr>
              <w:t xml:space="preserve"> la connectivité des écoles.</w:t>
            </w:r>
          </w:p>
          <w:p w14:paraId="0A8D45C9" w14:textId="3B9F369A" w:rsidR="00372A77" w:rsidRPr="00C83DA9" w:rsidRDefault="000726BA" w:rsidP="00A81F12">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6 PDSL ont participé à des ateliers spécialisés.</w:t>
            </w:r>
          </w:p>
          <w:p w14:paraId="68BAF939" w14:textId="2EB66262" w:rsidR="00372A77" w:rsidRPr="00C83DA9" w:rsidRDefault="000726BA" w:rsidP="00A81F12">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De nombreuses sessions régionales de sensibilisation ont été organisées en Afrique, dans les États arabes, en Asie</w:t>
            </w:r>
            <w:r w:rsidR="00DF47CA" w:rsidRPr="00C83DA9">
              <w:rPr>
                <w:color w:val="1F497D"/>
                <w:sz w:val="22"/>
                <w:szCs w:val="22"/>
                <w:lang w:val="fr-FR"/>
              </w:rPr>
              <w:noBreakHyphen/>
            </w:r>
            <w:r w:rsidR="00372A77" w:rsidRPr="00C83DA9">
              <w:rPr>
                <w:color w:val="1F497D"/>
                <w:sz w:val="22"/>
                <w:szCs w:val="22"/>
                <w:lang w:val="fr-FR"/>
              </w:rPr>
              <w:t>Pacifique et dans la</w:t>
            </w:r>
            <w:r w:rsidR="00644A72" w:rsidRPr="00C83DA9">
              <w:rPr>
                <w:color w:val="1F497D"/>
                <w:sz w:val="22"/>
                <w:szCs w:val="22"/>
                <w:lang w:val="fr-FR"/>
              </w:rPr>
              <w:t> </w:t>
            </w:r>
            <w:r w:rsidR="00372A77" w:rsidRPr="00C83DA9">
              <w:rPr>
                <w:color w:val="1F497D"/>
                <w:sz w:val="22"/>
                <w:szCs w:val="22"/>
                <w:lang w:val="fr-FR"/>
              </w:rPr>
              <w:t>CEI</w:t>
            </w:r>
            <w:r w:rsidR="00372A77" w:rsidRPr="00C83DA9">
              <w:rPr>
                <w:color w:val="1F497D"/>
                <w:spacing w:val="-4"/>
                <w:sz w:val="22"/>
                <w:szCs w:val="22"/>
                <w:lang w:val="fr-FR"/>
              </w:rPr>
              <w:t>.</w:t>
            </w:r>
          </w:p>
          <w:p w14:paraId="2D0AE2E2" w14:textId="1887B520" w:rsidR="00372A77" w:rsidRPr="00C83DA9" w:rsidRDefault="00372A77" w:rsidP="00EC0E1A">
            <w:pPr>
              <w:pStyle w:val="Tabletext"/>
              <w:keepNext/>
              <w:keepLines/>
              <w:spacing w:before="240"/>
              <w:rPr>
                <w:b/>
                <w:bCs/>
                <w:color w:val="0070C0"/>
                <w:sz w:val="22"/>
                <w:szCs w:val="22"/>
                <w:lang w:val="fr-FR"/>
              </w:rPr>
            </w:pPr>
            <w:r w:rsidRPr="00C83DA9">
              <w:rPr>
                <w:b/>
                <w:bCs/>
                <w:color w:val="0070C0"/>
                <w:sz w:val="22"/>
                <w:szCs w:val="22"/>
                <w:lang w:val="fr-FR"/>
              </w:rPr>
              <w:lastRenderedPageBreak/>
              <w:t>CE 1 de l</w:t>
            </w:r>
            <w:r w:rsidR="00456505" w:rsidRPr="00C83DA9">
              <w:rPr>
                <w:b/>
                <w:bCs/>
                <w:color w:val="0070C0"/>
                <w:sz w:val="22"/>
                <w:szCs w:val="22"/>
                <w:lang w:val="fr-FR"/>
              </w:rPr>
              <w:t>'</w:t>
            </w:r>
            <w:r w:rsidRPr="00C83DA9">
              <w:rPr>
                <w:b/>
                <w:bCs/>
                <w:color w:val="0070C0"/>
                <w:sz w:val="22"/>
                <w:szCs w:val="22"/>
                <w:lang w:val="fr-FR"/>
              </w:rPr>
              <w:t>UIT-D, Question</w:t>
            </w:r>
            <w:r w:rsidR="00DF47CA" w:rsidRPr="00C83DA9">
              <w:rPr>
                <w:b/>
                <w:bCs/>
                <w:color w:val="0070C0"/>
                <w:sz w:val="22"/>
                <w:szCs w:val="22"/>
                <w:lang w:val="fr-FR"/>
              </w:rPr>
              <w:t> </w:t>
            </w:r>
            <w:r w:rsidRPr="00C83DA9">
              <w:rPr>
                <w:b/>
                <w:bCs/>
                <w:color w:val="0070C0"/>
                <w:sz w:val="22"/>
                <w:szCs w:val="22"/>
                <w:lang w:val="fr-FR"/>
              </w:rPr>
              <w:t>5:</w:t>
            </w:r>
          </w:p>
          <w:p w14:paraId="15AEBFE3" w14:textId="310FF708" w:rsidR="00372A77" w:rsidRPr="00C83DA9" w:rsidRDefault="000726BA" w:rsidP="00EC0E1A">
            <w:pPr>
              <w:pStyle w:val="enumlev1"/>
              <w:keepNext/>
              <w:keepLines/>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4 réunions</w:t>
            </w:r>
            <w:r w:rsidR="00486F68" w:rsidRPr="00C83DA9">
              <w:rPr>
                <w:color w:val="1F497D"/>
                <w:sz w:val="22"/>
                <w:szCs w:val="22"/>
                <w:lang w:val="fr-FR"/>
              </w:rPr>
              <w:t>.</w:t>
            </w:r>
          </w:p>
          <w:p w14:paraId="6C041B63" w14:textId="4C84BFA7" w:rsidR="00372A77" w:rsidRPr="00C83DA9" w:rsidRDefault="000726BA" w:rsidP="00EC0E1A">
            <w:pPr>
              <w:pStyle w:val="enumlev1"/>
              <w:keepNext/>
              <w:keepLines/>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174 contributions</w:t>
            </w:r>
            <w:r w:rsidR="00486F68" w:rsidRPr="00C83DA9">
              <w:rPr>
                <w:color w:val="1F497D"/>
                <w:sz w:val="22"/>
                <w:szCs w:val="22"/>
                <w:lang w:val="fr-FR"/>
              </w:rPr>
              <w:t>.</w:t>
            </w:r>
          </w:p>
          <w:p w14:paraId="749BA072" w14:textId="54822AC1" w:rsidR="00372A77" w:rsidRPr="00C83DA9" w:rsidRDefault="000726BA" w:rsidP="00EC0E1A">
            <w:pPr>
              <w:pStyle w:val="enumlev1"/>
              <w:keepNext/>
              <w:keepLines/>
              <w:tabs>
                <w:tab w:val="clear" w:pos="1134"/>
                <w:tab w:val="clear" w:pos="2608"/>
                <w:tab w:val="left" w:pos="356"/>
              </w:tabs>
              <w:spacing w:before="40" w:after="40"/>
              <w:ind w:left="386" w:right="-57"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 xml:space="preserve">2 </w:t>
            </w:r>
            <w:hyperlink r:id="rId69" w:history="1">
              <w:r w:rsidR="00372A77" w:rsidRPr="00C83DA9">
                <w:rPr>
                  <w:rStyle w:val="Hyperlink"/>
                  <w:sz w:val="22"/>
                  <w:szCs w:val="22"/>
                  <w:lang w:val="fr-FR"/>
                </w:rPr>
                <w:t>ateliers</w:t>
              </w:r>
            </w:hyperlink>
            <w:r w:rsidR="00372A77" w:rsidRPr="00C83DA9">
              <w:rPr>
                <w:color w:val="1F497D"/>
                <w:sz w:val="22"/>
                <w:szCs w:val="22"/>
                <w:lang w:val="fr-FR"/>
              </w:rPr>
              <w:t>, élaboration d</w:t>
            </w:r>
            <w:r w:rsidR="00456505" w:rsidRPr="00C83DA9">
              <w:rPr>
                <w:color w:val="1F497D"/>
                <w:sz w:val="22"/>
                <w:szCs w:val="22"/>
                <w:lang w:val="fr-FR"/>
              </w:rPr>
              <w:t>'</w:t>
            </w:r>
            <w:r w:rsidR="00372A77" w:rsidRPr="00C83DA9">
              <w:rPr>
                <w:color w:val="1F497D"/>
                <w:sz w:val="22"/>
                <w:szCs w:val="22"/>
                <w:lang w:val="fr-FR"/>
              </w:rPr>
              <w:t xml:space="preserve">un </w:t>
            </w:r>
            <w:hyperlink r:id="rId70" w:history="1">
              <w:r w:rsidR="00372A77" w:rsidRPr="00C83DA9">
                <w:rPr>
                  <w:rStyle w:val="Hyperlink"/>
                  <w:sz w:val="22"/>
                  <w:szCs w:val="22"/>
                  <w:lang w:val="fr-FR"/>
                </w:rPr>
                <w:t xml:space="preserve">produit </w:t>
              </w:r>
              <w:r w:rsidR="00FC245B" w:rsidRPr="00C83DA9">
                <w:rPr>
                  <w:rStyle w:val="Hyperlink"/>
                  <w:sz w:val="22"/>
                  <w:szCs w:val="22"/>
                  <w:lang w:val="fr-FR"/>
                </w:rPr>
                <w:t>intérimaire conjoint</w:t>
              </w:r>
            </w:hyperlink>
            <w:r w:rsidR="00372A77" w:rsidRPr="00C83DA9">
              <w:rPr>
                <w:color w:val="1F497D"/>
                <w:sz w:val="22"/>
                <w:szCs w:val="22"/>
                <w:lang w:val="fr-FR"/>
              </w:rPr>
              <w:t xml:space="preserve"> et d</w:t>
            </w:r>
            <w:r w:rsidR="00456505" w:rsidRPr="00C83DA9">
              <w:rPr>
                <w:color w:val="1F497D"/>
                <w:sz w:val="22"/>
                <w:szCs w:val="22"/>
                <w:lang w:val="fr-FR"/>
              </w:rPr>
              <w:t>'</w:t>
            </w:r>
            <w:r w:rsidR="00372A77" w:rsidRPr="00C83DA9">
              <w:rPr>
                <w:color w:val="1F497D"/>
                <w:sz w:val="22"/>
                <w:szCs w:val="22"/>
                <w:lang w:val="fr-FR"/>
              </w:rPr>
              <w:t xml:space="preserve">un </w:t>
            </w:r>
            <w:hyperlink r:id="rId71" w:history="1">
              <w:r w:rsidR="00372A77" w:rsidRPr="00C83DA9">
                <w:rPr>
                  <w:rStyle w:val="Hyperlink"/>
                  <w:sz w:val="22"/>
                  <w:szCs w:val="22"/>
                  <w:lang w:val="fr-FR"/>
                </w:rPr>
                <w:t>rapport final</w:t>
              </w:r>
            </w:hyperlink>
            <w:r w:rsidR="00644A72" w:rsidRPr="00C83DA9">
              <w:rPr>
                <w:color w:val="1F497D"/>
                <w:sz w:val="22"/>
                <w:szCs w:val="22"/>
                <w:lang w:val="fr-FR"/>
              </w:rPr>
              <w:t>.</w:t>
            </w:r>
            <w:hyperlink r:id="rId72" w:history="1"/>
            <w:hyperlink r:id="rId73" w:history="1"/>
            <w:hyperlink r:id="rId74" w:history="1"/>
          </w:p>
          <w:p w14:paraId="3BBAEB99" w14:textId="5B015226" w:rsidR="00372A77" w:rsidRPr="00C83DA9" w:rsidRDefault="00372A77" w:rsidP="006B27DC">
            <w:pPr>
              <w:pStyle w:val="Tabletext"/>
              <w:keepNext/>
              <w:spacing w:before="240"/>
              <w:rPr>
                <w:b/>
                <w:bCs/>
                <w:color w:val="0070C0"/>
                <w:sz w:val="22"/>
                <w:szCs w:val="22"/>
                <w:lang w:val="fr-FR"/>
              </w:rPr>
            </w:pPr>
            <w:r w:rsidRPr="00C83DA9">
              <w:rPr>
                <w:b/>
                <w:bCs/>
                <w:color w:val="0070C0"/>
                <w:sz w:val="22"/>
                <w:szCs w:val="22"/>
                <w:lang w:val="fr-FR"/>
              </w:rPr>
              <w:t>CE 2 de l</w:t>
            </w:r>
            <w:r w:rsidR="00456505" w:rsidRPr="00C83DA9">
              <w:rPr>
                <w:b/>
                <w:bCs/>
                <w:color w:val="0070C0"/>
                <w:sz w:val="22"/>
                <w:szCs w:val="22"/>
                <w:lang w:val="fr-FR"/>
              </w:rPr>
              <w:t>'</w:t>
            </w:r>
            <w:r w:rsidRPr="00C83DA9">
              <w:rPr>
                <w:b/>
                <w:bCs/>
                <w:color w:val="0070C0"/>
                <w:sz w:val="22"/>
                <w:szCs w:val="22"/>
                <w:lang w:val="fr-FR"/>
              </w:rPr>
              <w:t>UIT-D, Question</w:t>
            </w:r>
            <w:r w:rsidR="00DF47CA" w:rsidRPr="00C83DA9">
              <w:rPr>
                <w:b/>
                <w:bCs/>
                <w:color w:val="0070C0"/>
                <w:sz w:val="22"/>
                <w:szCs w:val="22"/>
                <w:lang w:val="fr-FR"/>
              </w:rPr>
              <w:t> </w:t>
            </w:r>
            <w:r w:rsidRPr="00C83DA9">
              <w:rPr>
                <w:b/>
                <w:bCs/>
                <w:color w:val="0070C0"/>
                <w:sz w:val="22"/>
                <w:szCs w:val="22"/>
                <w:lang w:val="fr-FR"/>
              </w:rPr>
              <w:t>4:</w:t>
            </w:r>
          </w:p>
          <w:p w14:paraId="0CED308A" w14:textId="025D0FF3" w:rsidR="00372A77" w:rsidRPr="00C83DA9" w:rsidRDefault="000726BA" w:rsidP="00A81F12">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4 réunions</w:t>
            </w:r>
            <w:r w:rsidR="00644A72" w:rsidRPr="00C83DA9">
              <w:rPr>
                <w:color w:val="1F497D"/>
                <w:sz w:val="22"/>
                <w:szCs w:val="22"/>
                <w:lang w:val="fr-FR"/>
              </w:rPr>
              <w:t>.</w:t>
            </w:r>
          </w:p>
          <w:p w14:paraId="026BDD74" w14:textId="473987D6" w:rsidR="00372A77" w:rsidRPr="00C83DA9" w:rsidRDefault="000726BA" w:rsidP="00A81F12">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33 contributions</w:t>
            </w:r>
            <w:r w:rsidR="00644A72" w:rsidRPr="00C83DA9">
              <w:rPr>
                <w:color w:val="1F497D"/>
                <w:sz w:val="22"/>
                <w:szCs w:val="22"/>
                <w:lang w:val="fr-FR"/>
              </w:rPr>
              <w:t>.</w:t>
            </w:r>
          </w:p>
          <w:p w14:paraId="7F1B4AE8" w14:textId="7BC49580" w:rsidR="00372A77" w:rsidRPr="00C83DA9" w:rsidRDefault="000726BA" w:rsidP="009C2C5F">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 xml:space="preserve">2 </w:t>
            </w:r>
            <w:hyperlink r:id="rId75" w:history="1">
              <w:r w:rsidR="00372A77" w:rsidRPr="00C83DA9">
                <w:rPr>
                  <w:rStyle w:val="Hyperlink"/>
                  <w:sz w:val="22"/>
                  <w:szCs w:val="22"/>
                  <w:lang w:val="fr-FR"/>
                </w:rPr>
                <w:t>ateliers</w:t>
              </w:r>
            </w:hyperlink>
            <w:r w:rsidR="00372A77" w:rsidRPr="00C83DA9">
              <w:rPr>
                <w:color w:val="1F497D"/>
                <w:sz w:val="22"/>
                <w:szCs w:val="22"/>
                <w:lang w:val="fr-FR"/>
              </w:rPr>
              <w:t xml:space="preserve"> et élaboration d</w:t>
            </w:r>
            <w:r w:rsidR="00456505" w:rsidRPr="00C83DA9">
              <w:rPr>
                <w:color w:val="1F497D"/>
                <w:sz w:val="22"/>
                <w:szCs w:val="22"/>
                <w:lang w:val="fr-FR"/>
              </w:rPr>
              <w:t>'</w:t>
            </w:r>
            <w:r w:rsidR="00372A77" w:rsidRPr="00C83DA9">
              <w:rPr>
                <w:color w:val="1F497D"/>
                <w:sz w:val="22"/>
                <w:szCs w:val="22"/>
                <w:lang w:val="fr-FR"/>
              </w:rPr>
              <w:t xml:space="preserve">un </w:t>
            </w:r>
            <w:hyperlink r:id="rId76" w:history="1">
              <w:r w:rsidR="00372A77" w:rsidRPr="00C83DA9">
                <w:rPr>
                  <w:rStyle w:val="Hyperlink"/>
                  <w:sz w:val="22"/>
                  <w:szCs w:val="22"/>
                  <w:lang w:val="fr-FR"/>
                </w:rPr>
                <w:t>rapport final</w:t>
              </w:r>
            </w:hyperlink>
            <w:r w:rsidR="00644A72" w:rsidRPr="00C83DA9">
              <w:rPr>
                <w:color w:val="1F497D"/>
                <w:sz w:val="22"/>
                <w:szCs w:val="22"/>
                <w:lang w:val="fr-FR"/>
              </w:rPr>
              <w:t>.</w:t>
            </w:r>
            <w:hyperlink r:id="rId77" w:history="1"/>
            <w:hyperlink r:id="rId78" w:history="1"/>
          </w:p>
          <w:p w14:paraId="4AB1DA14" w14:textId="5116BE93" w:rsidR="00372A77" w:rsidRPr="00C83DA9" w:rsidRDefault="00372A77" w:rsidP="00DF47CA">
            <w:pPr>
              <w:pStyle w:val="Tabletext"/>
              <w:keepNext/>
              <w:spacing w:before="240"/>
              <w:rPr>
                <w:b/>
                <w:bCs/>
                <w:color w:val="0070C0"/>
                <w:sz w:val="22"/>
                <w:szCs w:val="22"/>
                <w:lang w:val="fr-FR"/>
              </w:rPr>
            </w:pPr>
            <w:r w:rsidRPr="00C83DA9">
              <w:rPr>
                <w:b/>
                <w:bCs/>
                <w:color w:val="0070C0"/>
                <w:sz w:val="22"/>
                <w:szCs w:val="22"/>
                <w:lang w:val="fr-FR"/>
              </w:rPr>
              <w:t>CE 2 de l</w:t>
            </w:r>
            <w:r w:rsidR="00456505" w:rsidRPr="00C83DA9">
              <w:rPr>
                <w:b/>
                <w:bCs/>
                <w:color w:val="0070C0"/>
                <w:sz w:val="22"/>
                <w:szCs w:val="22"/>
                <w:lang w:val="fr-FR"/>
              </w:rPr>
              <w:t>'</w:t>
            </w:r>
            <w:r w:rsidRPr="00C83DA9">
              <w:rPr>
                <w:b/>
                <w:bCs/>
                <w:color w:val="0070C0"/>
                <w:sz w:val="22"/>
                <w:szCs w:val="22"/>
                <w:lang w:val="fr-FR"/>
              </w:rPr>
              <w:t>UIT-D, Question</w:t>
            </w:r>
            <w:r w:rsidR="00DF47CA" w:rsidRPr="00C83DA9">
              <w:rPr>
                <w:b/>
                <w:bCs/>
                <w:color w:val="0070C0"/>
                <w:sz w:val="22"/>
                <w:szCs w:val="22"/>
                <w:lang w:val="fr-FR"/>
              </w:rPr>
              <w:t> </w:t>
            </w:r>
            <w:r w:rsidRPr="00C83DA9">
              <w:rPr>
                <w:b/>
                <w:bCs/>
                <w:color w:val="0070C0"/>
                <w:sz w:val="22"/>
                <w:szCs w:val="22"/>
                <w:lang w:val="fr-FR"/>
              </w:rPr>
              <w:t>7:</w:t>
            </w:r>
          </w:p>
          <w:p w14:paraId="24080723" w14:textId="44298F6C" w:rsidR="00372A77" w:rsidRPr="00C83DA9" w:rsidRDefault="000726BA" w:rsidP="009C2C5F">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4 réunions</w:t>
            </w:r>
            <w:r w:rsidR="00644A72" w:rsidRPr="00C83DA9">
              <w:rPr>
                <w:color w:val="1F497D"/>
                <w:sz w:val="22"/>
                <w:szCs w:val="22"/>
                <w:lang w:val="fr-FR"/>
              </w:rPr>
              <w:t>.</w:t>
            </w:r>
          </w:p>
          <w:p w14:paraId="63068355" w14:textId="0970078B" w:rsidR="00372A77" w:rsidRPr="00C83DA9" w:rsidRDefault="000726BA" w:rsidP="009C2C5F">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54 contributions</w:t>
            </w:r>
            <w:r w:rsidR="00644A72" w:rsidRPr="00C83DA9">
              <w:rPr>
                <w:color w:val="1F497D"/>
                <w:sz w:val="22"/>
                <w:szCs w:val="22"/>
                <w:lang w:val="fr-FR"/>
              </w:rPr>
              <w:t>.</w:t>
            </w:r>
          </w:p>
          <w:p w14:paraId="0BE947DF" w14:textId="51FBFB75" w:rsidR="00372A77" w:rsidRPr="00C83DA9" w:rsidRDefault="000726BA" w:rsidP="009C2C5F">
            <w:pPr>
              <w:pStyle w:val="enumlev1"/>
              <w:keepNext/>
              <w:tabs>
                <w:tab w:val="clear" w:pos="1134"/>
                <w:tab w:val="left" w:pos="356"/>
              </w:tabs>
              <w:spacing w:before="40" w:after="40"/>
              <w:ind w:left="386" w:hanging="386"/>
              <w:rPr>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 xml:space="preserve">2 </w:t>
            </w:r>
            <w:hyperlink r:id="rId79" w:history="1">
              <w:r w:rsidR="00372A77" w:rsidRPr="00C83DA9">
                <w:rPr>
                  <w:rStyle w:val="Hyperlink"/>
                  <w:sz w:val="22"/>
                  <w:szCs w:val="22"/>
                  <w:lang w:val="fr-FR"/>
                </w:rPr>
                <w:t>ateliers</w:t>
              </w:r>
            </w:hyperlink>
            <w:r w:rsidR="00372A77" w:rsidRPr="00C83DA9">
              <w:rPr>
                <w:color w:val="1F497D"/>
                <w:sz w:val="22"/>
                <w:szCs w:val="22"/>
                <w:lang w:val="fr-FR"/>
              </w:rPr>
              <w:t xml:space="preserve"> et élaboration d</w:t>
            </w:r>
            <w:r w:rsidR="00456505" w:rsidRPr="00C83DA9">
              <w:rPr>
                <w:color w:val="1F497D"/>
                <w:sz w:val="22"/>
                <w:szCs w:val="22"/>
                <w:lang w:val="fr-FR"/>
              </w:rPr>
              <w:t>'</w:t>
            </w:r>
            <w:r w:rsidR="00372A77" w:rsidRPr="00C83DA9">
              <w:rPr>
                <w:color w:val="1F497D"/>
                <w:sz w:val="22"/>
                <w:szCs w:val="22"/>
                <w:lang w:val="fr-FR"/>
              </w:rPr>
              <w:t xml:space="preserve">un </w:t>
            </w:r>
            <w:hyperlink r:id="rId80" w:history="1">
              <w:r w:rsidR="00372A77" w:rsidRPr="00C83DA9">
                <w:rPr>
                  <w:rStyle w:val="Hyperlink"/>
                  <w:sz w:val="22"/>
                  <w:szCs w:val="22"/>
                  <w:lang w:val="fr-FR"/>
                </w:rPr>
                <w:t>rapport final</w:t>
              </w:r>
            </w:hyperlink>
            <w:r w:rsidR="00644A72" w:rsidRPr="00C83DA9">
              <w:rPr>
                <w:color w:val="1F497D"/>
                <w:sz w:val="22"/>
                <w:szCs w:val="22"/>
                <w:lang w:val="fr-FR"/>
              </w:rPr>
              <w:t>.</w:t>
            </w:r>
            <w:hyperlink r:id="rId81" w:history="1"/>
            <w:hyperlink r:id="rId82" w:history="1"/>
          </w:p>
        </w:tc>
      </w:tr>
      <w:tr w:rsidR="00372A77" w:rsidRPr="00C83DA9" w14:paraId="075D45B3" w14:textId="77777777" w:rsidTr="00CA734F">
        <w:trPr>
          <w:trHeight w:val="355"/>
        </w:trPr>
        <w:tc>
          <w:tcPr>
            <w:tcW w:w="3114" w:type="dxa"/>
            <w:tcBorders>
              <w:top w:val="dotted" w:sz="4" w:space="0" w:color="0070C0"/>
              <w:left w:val="dotted" w:sz="4" w:space="0" w:color="0070C0"/>
              <w:bottom w:val="dotted" w:sz="4" w:space="0" w:color="0070C0"/>
              <w:right w:val="dotted" w:sz="4" w:space="0" w:color="0070C0"/>
            </w:tcBorders>
          </w:tcPr>
          <w:p w14:paraId="60F0A62F" w14:textId="77777777" w:rsidR="00372A77" w:rsidRPr="00C83DA9" w:rsidRDefault="00372A77" w:rsidP="0056541A">
            <w:pPr>
              <w:pStyle w:val="Tabletext"/>
              <w:rPr>
                <w:b/>
                <w:sz w:val="22"/>
                <w:szCs w:val="22"/>
                <w:lang w:val="fr-FR"/>
              </w:rPr>
            </w:pPr>
            <w:r w:rsidRPr="00C83DA9">
              <w:rPr>
                <w:b/>
                <w:bCs/>
                <w:sz w:val="22"/>
                <w:szCs w:val="22"/>
                <w:lang w:val="fr-FR"/>
              </w:rPr>
              <w:lastRenderedPageBreak/>
              <w:t>Contribution à la réalisation des cibles des ODD</w:t>
            </w:r>
          </w:p>
        </w:tc>
        <w:tc>
          <w:tcPr>
            <w:tcW w:w="11754" w:type="dxa"/>
            <w:gridSpan w:val="2"/>
            <w:tcBorders>
              <w:top w:val="dotted" w:sz="4" w:space="0" w:color="0070C0"/>
              <w:left w:val="dotted" w:sz="4" w:space="0" w:color="0070C0"/>
              <w:bottom w:val="dotted" w:sz="4" w:space="0" w:color="0070C0"/>
              <w:right w:val="dotted" w:sz="4" w:space="0" w:color="0070C0"/>
            </w:tcBorders>
          </w:tcPr>
          <w:p w14:paraId="0B2436F7" w14:textId="77777777" w:rsidR="00372A77" w:rsidRPr="00C83DA9" w:rsidRDefault="00372A77" w:rsidP="0056541A">
            <w:pPr>
              <w:pStyle w:val="Tabletext"/>
              <w:rPr>
                <w:sz w:val="22"/>
                <w:szCs w:val="22"/>
                <w:lang w:val="fr-FR"/>
              </w:rPr>
            </w:pPr>
            <w:r w:rsidRPr="00C83DA9">
              <w:rPr>
                <w:sz w:val="22"/>
                <w:szCs w:val="22"/>
                <w:lang w:val="fr-FR"/>
              </w:rPr>
              <w:t>ODD 1, 3, 4, 5, 8, 9, 10, 11, 16, 17</w:t>
            </w:r>
          </w:p>
        </w:tc>
      </w:tr>
      <w:tr w:rsidR="00372A77" w:rsidRPr="00C83DA9" w14:paraId="718B73A9" w14:textId="77777777" w:rsidTr="00CA734F">
        <w:trPr>
          <w:trHeight w:val="300"/>
        </w:trPr>
        <w:tc>
          <w:tcPr>
            <w:tcW w:w="3114" w:type="dxa"/>
            <w:tcBorders>
              <w:top w:val="dotted" w:sz="4" w:space="0" w:color="0070C0"/>
              <w:left w:val="dotted" w:sz="4" w:space="0" w:color="0070C0"/>
              <w:bottom w:val="dotted" w:sz="4" w:space="0" w:color="0070C0"/>
              <w:right w:val="dotted" w:sz="4" w:space="0" w:color="0070C0"/>
            </w:tcBorders>
          </w:tcPr>
          <w:p w14:paraId="20479EB3" w14:textId="77777777" w:rsidR="00372A77" w:rsidRPr="00C83DA9" w:rsidRDefault="00372A77" w:rsidP="00D712B0">
            <w:pPr>
              <w:pStyle w:val="Tabletext"/>
              <w:rPr>
                <w:b/>
                <w:sz w:val="22"/>
                <w:szCs w:val="22"/>
                <w:lang w:val="fr-FR"/>
              </w:rPr>
            </w:pPr>
            <w:r w:rsidRPr="00C83DA9">
              <w:rPr>
                <w:b/>
                <w:bCs/>
                <w:sz w:val="22"/>
                <w:szCs w:val="22"/>
                <w:lang w:val="fr-FR"/>
              </w:rPr>
              <w:t>Grandes orientations du SMSI</w:t>
            </w:r>
          </w:p>
        </w:tc>
        <w:tc>
          <w:tcPr>
            <w:tcW w:w="11754" w:type="dxa"/>
            <w:gridSpan w:val="2"/>
            <w:tcBorders>
              <w:top w:val="dotted" w:sz="4" w:space="0" w:color="0070C0"/>
              <w:left w:val="dotted" w:sz="4" w:space="0" w:color="0070C0"/>
              <w:bottom w:val="dotted" w:sz="4" w:space="0" w:color="0070C0"/>
              <w:right w:val="dotted" w:sz="4" w:space="0" w:color="0070C0"/>
            </w:tcBorders>
          </w:tcPr>
          <w:p w14:paraId="769FF51E" w14:textId="77777777" w:rsidR="00372A77" w:rsidRPr="00C83DA9" w:rsidRDefault="00372A77" w:rsidP="00202BFA">
            <w:pPr>
              <w:pStyle w:val="Tabletext"/>
              <w:rPr>
                <w:sz w:val="22"/>
                <w:szCs w:val="22"/>
                <w:lang w:val="fr-FR"/>
              </w:rPr>
            </w:pPr>
            <w:r w:rsidRPr="00C83DA9">
              <w:rPr>
                <w:sz w:val="22"/>
                <w:szCs w:val="22"/>
                <w:lang w:val="fr-FR"/>
              </w:rPr>
              <w:t>C1, C2, C3, C4, C5, C6, C7, C11</w:t>
            </w:r>
          </w:p>
        </w:tc>
      </w:tr>
      <w:tr w:rsidR="00372A77" w:rsidRPr="00CA734F" w14:paraId="22365436" w14:textId="77777777" w:rsidTr="00CA734F">
        <w:trPr>
          <w:trHeight w:val="300"/>
        </w:trPr>
        <w:tc>
          <w:tcPr>
            <w:tcW w:w="3114" w:type="dxa"/>
            <w:tcBorders>
              <w:top w:val="dotted" w:sz="4" w:space="0" w:color="0070C0"/>
              <w:left w:val="dotted" w:sz="4" w:space="0" w:color="0070C0"/>
              <w:bottom w:val="dotted" w:sz="4" w:space="0" w:color="0070C0"/>
              <w:right w:val="dotted" w:sz="4" w:space="0" w:color="0070C0"/>
            </w:tcBorders>
          </w:tcPr>
          <w:p w14:paraId="0DE10CAA" w14:textId="0B7CE33D" w:rsidR="00372A77" w:rsidRPr="00C83DA9" w:rsidRDefault="00372A77" w:rsidP="0056541A">
            <w:pPr>
              <w:pStyle w:val="Tabletext"/>
              <w:rPr>
                <w:b/>
                <w:sz w:val="22"/>
                <w:szCs w:val="22"/>
                <w:lang w:val="fr-FR"/>
              </w:rPr>
            </w:pPr>
            <w:r w:rsidRPr="00C83DA9">
              <w:rPr>
                <w:b/>
                <w:bCs/>
                <w:sz w:val="22"/>
                <w:szCs w:val="22"/>
                <w:lang w:val="fr-FR"/>
              </w:rPr>
              <w:t>Résolutions</w:t>
            </w:r>
          </w:p>
        </w:tc>
        <w:tc>
          <w:tcPr>
            <w:tcW w:w="11754" w:type="dxa"/>
            <w:gridSpan w:val="2"/>
            <w:tcBorders>
              <w:top w:val="dotted" w:sz="4" w:space="0" w:color="0070C0"/>
              <w:left w:val="dotted" w:sz="4" w:space="0" w:color="0070C0"/>
              <w:bottom w:val="dotted" w:sz="4" w:space="0" w:color="0070C0"/>
              <w:right w:val="dotted" w:sz="4" w:space="0" w:color="0070C0"/>
            </w:tcBorders>
          </w:tcPr>
          <w:p w14:paraId="0DAF8963" w14:textId="27D6D0B2" w:rsidR="00372A77" w:rsidRPr="00C83DA9" w:rsidRDefault="00372A77" w:rsidP="00644A72">
            <w:pPr>
              <w:pStyle w:val="Tabletext"/>
              <w:rPr>
                <w:sz w:val="22"/>
                <w:szCs w:val="22"/>
                <w:lang w:val="fr-FR"/>
              </w:rPr>
            </w:pPr>
            <w:r w:rsidRPr="00C83DA9">
              <w:rPr>
                <w:sz w:val="22"/>
                <w:szCs w:val="22"/>
                <w:lang w:val="fr-FR"/>
              </w:rPr>
              <w:t>136 de la PP; 9, 10, 11, 34, 43 et 66 de la CMDT; 646 et 647 de la CMR</w:t>
            </w:r>
          </w:p>
        </w:tc>
      </w:tr>
      <w:tr w:rsidR="00372A77" w:rsidRPr="00CA734F" w14:paraId="5F9C2B6B" w14:textId="77777777" w:rsidTr="00CA734F">
        <w:trPr>
          <w:trHeight w:val="300"/>
        </w:trPr>
        <w:tc>
          <w:tcPr>
            <w:tcW w:w="3114" w:type="dxa"/>
            <w:tcBorders>
              <w:top w:val="dotted" w:sz="4" w:space="0" w:color="0070C0"/>
              <w:left w:val="dotted" w:sz="4" w:space="0" w:color="0070C0"/>
              <w:bottom w:val="dotted" w:sz="4" w:space="0" w:color="0070C0"/>
              <w:right w:val="dotted" w:sz="4" w:space="0" w:color="0070C0"/>
            </w:tcBorders>
          </w:tcPr>
          <w:p w14:paraId="19496CC4" w14:textId="530821A7" w:rsidR="00372A77" w:rsidRPr="00C83DA9" w:rsidRDefault="00372A77" w:rsidP="00102458">
            <w:pPr>
              <w:pStyle w:val="Tabletext"/>
              <w:ind w:right="28"/>
              <w:rPr>
                <w:b/>
                <w:bCs/>
                <w:sz w:val="22"/>
                <w:szCs w:val="22"/>
                <w:lang w:val="fr-FR"/>
              </w:rPr>
            </w:pPr>
            <w:r w:rsidRPr="00C83DA9">
              <w:rPr>
                <w:b/>
                <w:bCs/>
                <w:sz w:val="22"/>
                <w:szCs w:val="22"/>
                <w:lang w:val="fr-FR"/>
              </w:rPr>
              <w:t>Questions confiées aux commissions d</w:t>
            </w:r>
            <w:r w:rsidR="00456505" w:rsidRPr="00C83DA9">
              <w:rPr>
                <w:b/>
                <w:bCs/>
                <w:sz w:val="22"/>
                <w:szCs w:val="22"/>
                <w:lang w:val="fr-FR"/>
              </w:rPr>
              <w:t>'</w:t>
            </w:r>
            <w:r w:rsidRPr="00C83DA9">
              <w:rPr>
                <w:b/>
                <w:bCs/>
                <w:sz w:val="22"/>
                <w:szCs w:val="22"/>
                <w:lang w:val="fr-FR"/>
              </w:rPr>
              <w:t>études de l</w:t>
            </w:r>
            <w:r w:rsidR="00456505" w:rsidRPr="00C83DA9">
              <w:rPr>
                <w:b/>
                <w:bCs/>
                <w:sz w:val="22"/>
                <w:szCs w:val="22"/>
                <w:lang w:val="fr-FR"/>
              </w:rPr>
              <w:t>'</w:t>
            </w:r>
            <w:r w:rsidRPr="00C83DA9">
              <w:rPr>
                <w:b/>
                <w:bCs/>
                <w:sz w:val="22"/>
                <w:szCs w:val="22"/>
                <w:lang w:val="fr-FR"/>
              </w:rPr>
              <w:t>UIT-D</w:t>
            </w:r>
          </w:p>
        </w:tc>
        <w:tc>
          <w:tcPr>
            <w:tcW w:w="11754" w:type="dxa"/>
            <w:gridSpan w:val="2"/>
            <w:tcBorders>
              <w:top w:val="dotted" w:sz="4" w:space="0" w:color="0070C0"/>
              <w:left w:val="dotted" w:sz="4" w:space="0" w:color="0070C0"/>
              <w:bottom w:val="dotted" w:sz="4" w:space="0" w:color="0070C0"/>
              <w:right w:val="dotted" w:sz="4" w:space="0" w:color="0070C0"/>
            </w:tcBorders>
          </w:tcPr>
          <w:p w14:paraId="30DE6A2E" w14:textId="2E5E36CD" w:rsidR="00372A77" w:rsidRPr="00C83DA9" w:rsidRDefault="00372A77" w:rsidP="00202BFA">
            <w:pPr>
              <w:pStyle w:val="Tabletext"/>
              <w:rPr>
                <w:sz w:val="22"/>
                <w:szCs w:val="22"/>
                <w:lang w:val="fr-FR"/>
              </w:rPr>
            </w:pPr>
            <w:r w:rsidRPr="00C83DA9">
              <w:rPr>
                <w:sz w:val="22"/>
                <w:szCs w:val="22"/>
                <w:lang w:val="fr-FR"/>
              </w:rPr>
              <w:t>Questions 1/1 (Large bande), 2/1 (Radiodiffusion), 3/1 (Réduction des risques de catastrophe) et 5/1 (Télécommunications rurales) confiées à la Commission d</w:t>
            </w:r>
            <w:r w:rsidR="00456505" w:rsidRPr="00C83DA9">
              <w:rPr>
                <w:sz w:val="22"/>
                <w:szCs w:val="22"/>
                <w:lang w:val="fr-FR"/>
              </w:rPr>
              <w:t>'</w:t>
            </w:r>
            <w:r w:rsidRPr="00C83DA9">
              <w:rPr>
                <w:sz w:val="22"/>
                <w:szCs w:val="22"/>
                <w:lang w:val="fr-FR"/>
              </w:rPr>
              <w:t xml:space="preserve">études 1, intitulée </w:t>
            </w:r>
            <w:r w:rsidR="000726BA" w:rsidRPr="00C83DA9">
              <w:rPr>
                <w:sz w:val="22"/>
                <w:szCs w:val="22"/>
                <w:lang w:val="fr-FR"/>
              </w:rPr>
              <w:t>"</w:t>
            </w:r>
            <w:r w:rsidRPr="00C83DA9">
              <w:rPr>
                <w:sz w:val="22"/>
                <w:szCs w:val="22"/>
                <w:lang w:val="fr-FR"/>
              </w:rPr>
              <w:t>Environnement propice à une connectivité efficace</w:t>
            </w:r>
            <w:r w:rsidR="000726BA" w:rsidRPr="00C83DA9">
              <w:rPr>
                <w:sz w:val="22"/>
                <w:szCs w:val="22"/>
                <w:lang w:val="fr-FR"/>
              </w:rPr>
              <w:t>"</w:t>
            </w:r>
            <w:r w:rsidRPr="00C83DA9">
              <w:rPr>
                <w:sz w:val="22"/>
                <w:szCs w:val="22"/>
                <w:lang w:val="fr-FR"/>
              </w:rPr>
              <w:t xml:space="preserve"> et Questions 4/2 (Conformité et interopérabilité) et Question 7/2 (Champs électromagnétiques) confiées à la Commission d</w:t>
            </w:r>
            <w:r w:rsidR="00456505" w:rsidRPr="00C83DA9">
              <w:rPr>
                <w:sz w:val="22"/>
                <w:szCs w:val="22"/>
                <w:lang w:val="fr-FR"/>
              </w:rPr>
              <w:t>'</w:t>
            </w:r>
            <w:r w:rsidRPr="00C83DA9">
              <w:rPr>
                <w:sz w:val="22"/>
                <w:szCs w:val="22"/>
                <w:lang w:val="fr-FR"/>
              </w:rPr>
              <w:t>études 2 relative à la transformation numérique.</w:t>
            </w:r>
          </w:p>
        </w:tc>
      </w:tr>
    </w:tbl>
    <w:p w14:paraId="31778A6D" w14:textId="77777777" w:rsidR="006773A3" w:rsidRPr="00C83DA9" w:rsidRDefault="006773A3">
      <w:pPr>
        <w:tabs>
          <w:tab w:val="clear" w:pos="1134"/>
          <w:tab w:val="clear" w:pos="1871"/>
          <w:tab w:val="clear" w:pos="2268"/>
        </w:tabs>
        <w:overflowPunct/>
        <w:autoSpaceDE/>
        <w:autoSpaceDN/>
        <w:adjustRightInd/>
        <w:spacing w:before="0"/>
        <w:textAlignment w:val="auto"/>
        <w:rPr>
          <w:lang w:val="fr-FR"/>
        </w:rPr>
      </w:pPr>
      <w:r w:rsidRPr="00C83DA9">
        <w:rPr>
          <w:lang w:val="fr-FR"/>
        </w:rPr>
        <w:br w:type="page"/>
      </w:r>
    </w:p>
    <w:tbl>
      <w:tblPr>
        <w:tblStyle w:val="TableGrid3"/>
        <w:tblW w:w="1487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3256"/>
        <w:gridCol w:w="8930"/>
        <w:gridCol w:w="2693"/>
      </w:tblGrid>
      <w:tr w:rsidR="00E318C5" w:rsidRPr="00CA734F" w14:paraId="535C49AF" w14:textId="77777777" w:rsidTr="00BA0616">
        <w:tc>
          <w:tcPr>
            <w:tcW w:w="14879" w:type="dxa"/>
            <w:gridSpan w:val="3"/>
            <w:tcBorders>
              <w:bottom w:val="dotted" w:sz="4" w:space="0" w:color="0070C0"/>
            </w:tcBorders>
            <w:shd w:val="clear" w:color="auto" w:fill="365F91" w:themeFill="accent1" w:themeFillShade="BF"/>
          </w:tcPr>
          <w:p w14:paraId="3B729E3A" w14:textId="74422F37" w:rsidR="006773A3" w:rsidRPr="00C83DA9" w:rsidRDefault="006773A3" w:rsidP="009B2988">
            <w:pPr>
              <w:pStyle w:val="Headingb"/>
              <w:spacing w:before="40"/>
              <w:jc w:val="center"/>
              <w:rPr>
                <w:rFonts w:eastAsia="Times New Roman"/>
                <w:color w:val="FFFFFF" w:themeColor="background1"/>
                <w:kern w:val="0"/>
                <w:szCs w:val="20"/>
                <w:lang w:val="fr-FR"/>
                <w14:ligatures w14:val="none"/>
              </w:rPr>
            </w:pPr>
            <w:bookmarkStart w:id="30" w:name="_Toc213307964"/>
            <w:r w:rsidRPr="00C83DA9">
              <w:rPr>
                <w:rFonts w:eastAsia="Times New Roman"/>
                <w:color w:val="FFFFFF" w:themeColor="background1"/>
                <w:kern w:val="0"/>
                <w:szCs w:val="20"/>
                <w:lang w:val="fr-FR"/>
                <w14:ligatures w14:val="none"/>
              </w:rPr>
              <w:lastRenderedPageBreak/>
              <w:t>Priorité 2 de l'UIT-D: Transformation numérique</w:t>
            </w:r>
            <w:bookmarkEnd w:id="30"/>
          </w:p>
          <w:p w14:paraId="372CF914" w14:textId="1D434670" w:rsidR="006773A3" w:rsidRPr="00C83DA9" w:rsidRDefault="006773A3" w:rsidP="00E318C5">
            <w:pPr>
              <w:pStyle w:val="Tablehead"/>
              <w:spacing w:before="40" w:after="40"/>
              <w:rPr>
                <w:rFonts w:cstheme="minorHAnsi"/>
                <w:bCs/>
                <w:color w:val="FFFFFF" w:themeColor="background1"/>
                <w:sz w:val="24"/>
                <w:szCs w:val="20"/>
                <w:lang w:val="fr-FR"/>
              </w:rPr>
            </w:pPr>
            <w:r w:rsidRPr="00C83DA9">
              <w:rPr>
                <w:rFonts w:eastAsia="Times New Roman"/>
                <w:i/>
                <w:iCs/>
                <w:color w:val="FFFFFF" w:themeColor="background1"/>
                <w:kern w:val="0"/>
                <w:sz w:val="24"/>
                <w:szCs w:val="20"/>
                <w:lang w:val="fr-FR"/>
                <w14:ligatures w14:val="none"/>
              </w:rPr>
              <w:t>Accélérer la transformation numérique grâce à l'entrepreneuriat dans le secteur des TIC</w:t>
            </w:r>
            <w:r w:rsidR="00421884" w:rsidRPr="00C83DA9">
              <w:rPr>
                <w:rFonts w:eastAsia="Times New Roman"/>
                <w:i/>
                <w:iCs/>
                <w:color w:val="FFFFFF" w:themeColor="background1"/>
                <w:kern w:val="0"/>
                <w:sz w:val="24"/>
                <w:szCs w:val="20"/>
                <w:lang w:val="fr-FR"/>
                <w14:ligatures w14:val="none"/>
              </w:rPr>
              <w:br/>
            </w:r>
            <w:r w:rsidRPr="00C83DA9">
              <w:rPr>
                <w:rFonts w:eastAsia="Times New Roman"/>
                <w:i/>
                <w:iCs/>
                <w:color w:val="FFFFFF" w:themeColor="background1"/>
                <w:kern w:val="0"/>
                <w:sz w:val="24"/>
                <w:szCs w:val="20"/>
                <w:lang w:val="fr-FR"/>
                <w14:ligatures w14:val="none"/>
              </w:rPr>
              <w:t>et au renforcement de l'innovation en matière de TIC dans l'écosystème des TIC</w:t>
            </w:r>
          </w:p>
        </w:tc>
      </w:tr>
      <w:tr w:rsidR="006773A3" w:rsidRPr="00CA734F" w14:paraId="75AA5E29" w14:textId="77777777" w:rsidTr="00BA0616">
        <w:tc>
          <w:tcPr>
            <w:tcW w:w="14879" w:type="dxa"/>
            <w:gridSpan w:val="3"/>
            <w:shd w:val="clear" w:color="auto" w:fill="E5DFEC" w:themeFill="accent4" w:themeFillTint="33"/>
          </w:tcPr>
          <w:p w14:paraId="16839B1D" w14:textId="7EE08A9D" w:rsidR="006773A3" w:rsidRPr="00C83DA9" w:rsidRDefault="006773A3" w:rsidP="009B2988">
            <w:pPr>
              <w:pStyle w:val="Headingb"/>
              <w:spacing w:before="40"/>
              <w:rPr>
                <w:rFonts w:eastAsia="Times New Roman"/>
                <w:color w:val="0070C0"/>
                <w:kern w:val="0"/>
                <w:szCs w:val="20"/>
                <w:lang w:val="fr-FR"/>
                <w14:ligatures w14:val="none"/>
              </w:rPr>
            </w:pPr>
            <w:bookmarkStart w:id="31" w:name="_Toc213307965"/>
            <w:r w:rsidRPr="00C83DA9">
              <w:rPr>
                <w:rFonts w:eastAsia="Times New Roman"/>
                <w:color w:val="0070C0"/>
                <w:kern w:val="0"/>
                <w:szCs w:val="20"/>
                <w:lang w:val="fr-FR"/>
                <w14:ligatures w14:val="none"/>
              </w:rPr>
              <w:t>Écosystème de l'innovation numérique</w:t>
            </w:r>
            <w:bookmarkEnd w:id="31"/>
          </w:p>
          <w:p w14:paraId="51E26786" w14:textId="7BAEDC48" w:rsidR="006773A3" w:rsidRPr="00C83DA9" w:rsidRDefault="006773A3" w:rsidP="00421884">
            <w:pPr>
              <w:pStyle w:val="Tabletext"/>
              <w:rPr>
                <w:rFonts w:cstheme="minorHAnsi"/>
                <w:i/>
                <w:iCs/>
                <w:sz w:val="24"/>
                <w:szCs w:val="20"/>
                <w:lang w:val="fr-FR"/>
              </w:rPr>
            </w:pPr>
            <w:r w:rsidRPr="00C83DA9">
              <w:rPr>
                <w:rFonts w:eastAsia="Times New Roman" w:cs="Times New Roman"/>
                <w:b/>
                <w:bCs/>
                <w:i/>
                <w:iCs/>
                <w:sz w:val="24"/>
                <w:szCs w:val="20"/>
                <w:lang w:val="fr-FR"/>
              </w:rPr>
              <w:t>Réalisation</w:t>
            </w:r>
            <w:r w:rsidRPr="00C83DA9">
              <w:rPr>
                <w:rFonts w:eastAsia="Times New Roman" w:cs="Times New Roman"/>
                <w:i/>
                <w:iCs/>
                <w:sz w:val="24"/>
                <w:szCs w:val="20"/>
                <w:lang w:val="fr-FR"/>
              </w:rPr>
              <w:t xml:space="preserve">: renforcement de la capacité des membres de l'UIT d'intégrer l'innovation dans le secteur des télécommunications/TIC et la généralisation du numérique dans leurs programmes nationaux de développement et d'élaborer des stratégies visant à promouvoir les initiatives en matière d'innovation, y compris dans le cadre de partenariats </w:t>
            </w:r>
            <w:r w:rsidRPr="00C83DA9">
              <w:rPr>
                <w:rFonts w:eastAsia="Times New Roman" w:cs="Times New Roman"/>
                <w:i/>
                <w:iCs/>
                <w:kern w:val="0"/>
                <w:sz w:val="24"/>
                <w:szCs w:val="20"/>
                <w:lang w:val="fr-FR"/>
                <w14:ligatures w14:val="none"/>
              </w:rPr>
              <w:t>publics</w:t>
            </w:r>
            <w:r w:rsidRPr="00C83DA9">
              <w:rPr>
                <w:rFonts w:eastAsia="Times New Roman" w:cs="Times New Roman"/>
                <w:i/>
                <w:iCs/>
                <w:sz w:val="24"/>
                <w:szCs w:val="20"/>
                <w:lang w:val="fr-FR"/>
              </w:rPr>
              <w:t>, privés ou public-privé.</w:t>
            </w:r>
            <w:r w:rsidRPr="00C83DA9">
              <w:rPr>
                <w:i/>
                <w:iCs/>
                <w:sz w:val="24"/>
                <w:szCs w:val="20"/>
                <w:lang w:val="fr-FR"/>
              </w:rPr>
              <w:t xml:space="preserve"> </w:t>
            </w:r>
            <w:r w:rsidRPr="00C83DA9">
              <w:rPr>
                <w:rFonts w:eastAsia="Times New Roman" w:cs="Times New Roman"/>
                <w:i/>
                <w:iCs/>
                <w:sz w:val="24"/>
                <w:szCs w:val="20"/>
                <w:lang w:val="fr-FR"/>
              </w:rPr>
              <w:t>Renforcement des capacités humaines et institutionnelles des membres de l'UIT dans le domaine des télécommunications/TIC pour favoriser la transformation numérique.</w:t>
            </w:r>
          </w:p>
        </w:tc>
      </w:tr>
      <w:tr w:rsidR="006773A3" w:rsidRPr="00C83DA9" w14:paraId="098B4FC6" w14:textId="77777777" w:rsidTr="001D6175">
        <w:tc>
          <w:tcPr>
            <w:tcW w:w="12186" w:type="dxa"/>
            <w:gridSpan w:val="2"/>
          </w:tcPr>
          <w:p w14:paraId="23EB4CF9" w14:textId="77777777" w:rsidR="006773A3" w:rsidRPr="00C83DA9" w:rsidRDefault="006773A3" w:rsidP="00421884">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Produits</w:t>
            </w:r>
          </w:p>
        </w:tc>
        <w:tc>
          <w:tcPr>
            <w:tcW w:w="2693" w:type="dxa"/>
          </w:tcPr>
          <w:p w14:paraId="14F4AC86" w14:textId="77777777" w:rsidR="006773A3" w:rsidRPr="00C83DA9" w:rsidRDefault="006773A3" w:rsidP="00421884">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Points à retenir</w:t>
            </w:r>
          </w:p>
        </w:tc>
      </w:tr>
      <w:tr w:rsidR="006773A3" w:rsidRPr="00C83DA9" w14:paraId="5CDDF81C" w14:textId="77777777" w:rsidTr="001D6175">
        <w:trPr>
          <w:trHeight w:val="1027"/>
        </w:trPr>
        <w:tc>
          <w:tcPr>
            <w:tcW w:w="12186" w:type="dxa"/>
            <w:gridSpan w:val="2"/>
            <w:vMerge w:val="restart"/>
          </w:tcPr>
          <w:p w14:paraId="0BF8B556" w14:textId="7E964413"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En se fondant sur la Résolution </w:t>
            </w:r>
            <w:hyperlink r:id="rId83" w:history="1">
              <w:r w:rsidRPr="00C83DA9">
                <w:rPr>
                  <w:rStyle w:val="Hyperlink"/>
                  <w:rFonts w:ascii="Calibri" w:eastAsia="Calibri" w:hAnsi="Calibri" w:cs="Calibri"/>
                  <w:sz w:val="22"/>
                  <w:lang w:val="fr-FR"/>
                </w:rPr>
                <w:t>89 (Rév. Kigali, 2022)</w:t>
              </w:r>
            </w:hyperlink>
            <w:r w:rsidRPr="00C83DA9">
              <w:rPr>
                <w:sz w:val="22"/>
                <w:szCs w:val="24"/>
                <w:lang w:val="fr-FR"/>
              </w:rPr>
              <w:t xml:space="preserve"> adoptée par la CDMT-22</w:t>
            </w:r>
            <w:r w:rsidRPr="00C83DA9">
              <w:rPr>
                <w:rFonts w:ascii="Calibri" w:eastAsia="Calibri" w:hAnsi="Calibri" w:cs="Calibri"/>
                <w:sz w:val="24"/>
                <w:szCs w:val="24"/>
                <w:lang w:val="fr-FR"/>
              </w:rPr>
              <w:t xml:space="preserve"> </w:t>
            </w:r>
            <w:r w:rsidRPr="00C83DA9">
              <w:rPr>
                <w:rFonts w:ascii="Calibri" w:eastAsia="Calibri" w:hAnsi="Calibri" w:cs="Calibri"/>
                <w:sz w:val="22"/>
                <w:lang w:val="fr-FR"/>
              </w:rPr>
              <w:t>i</w:t>
            </w:r>
            <w:r w:rsidRPr="00C83DA9">
              <w:rPr>
                <w:rFonts w:ascii="Calibri" w:hAnsi="Calibri" w:cs="Calibri"/>
                <w:sz w:val="22"/>
                <w:lang w:val="fr-FR"/>
              </w:rPr>
              <w:t>ntitulée "La transformation numérique au service du développement durable"</w:t>
            </w:r>
            <w:r w:rsidRPr="00C83DA9">
              <w:rPr>
                <w:rFonts w:ascii="Calibri" w:eastAsia="Calibri" w:hAnsi="Calibri" w:cs="Calibri"/>
                <w:sz w:val="22"/>
                <w:lang w:val="fr-FR"/>
              </w:rPr>
              <w:t xml:space="preserve"> et la</w:t>
            </w:r>
            <w:r w:rsidRPr="00C83DA9">
              <w:rPr>
                <w:rFonts w:ascii="Calibri" w:hAnsi="Calibri" w:cs="Calibri"/>
                <w:sz w:val="22"/>
                <w:lang w:val="fr-FR"/>
              </w:rPr>
              <w:t xml:space="preserve"> Résolution </w:t>
            </w:r>
            <w:hyperlink r:id="rId84" w:history="1">
              <w:r w:rsidRPr="00C83DA9">
                <w:rPr>
                  <w:rStyle w:val="Hyperlink"/>
                  <w:rFonts w:ascii="Calibri" w:hAnsi="Calibri" w:cs="Calibri"/>
                  <w:sz w:val="22"/>
                  <w:lang w:val="fr-FR"/>
                </w:rPr>
                <w:t>90 (Rév. Kigali, 2022)</w:t>
              </w:r>
            </w:hyperlink>
            <w:r w:rsidR="00421884" w:rsidRPr="00C83DA9">
              <w:rPr>
                <w:rFonts w:ascii="Calibri" w:hAnsi="Calibri" w:cs="Calibri"/>
                <w:sz w:val="22"/>
                <w:lang w:val="fr-FR"/>
              </w:rPr>
              <w:t xml:space="preserve"> </w:t>
            </w:r>
            <w:r w:rsidRPr="00C83DA9">
              <w:rPr>
                <w:sz w:val="22"/>
                <w:lang w:val="fr-FR"/>
              </w:rPr>
              <w:t>adoptée par la CMDT-22 intitulée</w:t>
            </w:r>
            <w:r w:rsidRPr="00C83DA9">
              <w:rPr>
                <w:rFonts w:ascii="Calibri" w:eastAsia="Calibri" w:hAnsi="Calibri" w:cs="Calibri"/>
                <w:sz w:val="22"/>
                <w:lang w:val="fr-FR"/>
              </w:rPr>
              <w:t xml:space="preserve"> "Promouvoir l'entrepreneuriat centré sur les télécommunications/TIC et les écosystèmes de l'innovation numérique pour le développement durable du numérique", le BDT a continué de travailler sur un portefeuilles d'initiatives pour aider les États Membres à renforcer leurs écosystèmes nationaux de l'innovation et à accélérer la </w:t>
            </w:r>
            <w:r w:rsidRPr="00C83DA9">
              <w:rPr>
                <w:rFonts w:ascii="Calibri" w:eastAsia="Times New Roman" w:hAnsi="Calibri" w:cs="Calibri"/>
                <w:sz w:val="22"/>
                <w:lang w:val="fr-FR"/>
                <w14:ligatures w14:val="none"/>
              </w:rPr>
              <w:t>transformation</w:t>
            </w:r>
            <w:r w:rsidRPr="00C83DA9">
              <w:rPr>
                <w:rFonts w:ascii="Calibri" w:eastAsia="Calibri" w:hAnsi="Calibri" w:cs="Calibri"/>
                <w:sz w:val="22"/>
                <w:lang w:val="fr-FR"/>
              </w:rPr>
              <w:t xml:space="preserve"> numérique. Sont combinées deux réalisations pour la priorité de l'UIT-D sur la transformation numérique.</w:t>
            </w:r>
          </w:p>
          <w:p w14:paraId="4FD5718C" w14:textId="7E007F3B"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Pour produire des effets, une approche multidimensionnelle a été mise en place, moyennant une assistance technique ininterrompue concernant l'élaboration de stratégies et de feuilles de route, le renforcement des capacités humaines grâce aux cours proposés par l'Académie de l'UIT et à des ateliers organisés au niveau mondial et régional, le renforcement des capacités institutionnelles grâce aux Centres d'accélération de l'UIT, et des initiatives de recherche et de prospective pour doter les pays des capacités nécessaires pour être des acteurs de notre environnement numérique en perpétuelle évolution. Cette approche a également consisté à élaborer des cadres pour l'innovation et des cadres politiques grâce au laboratoire de transformation numérique, mais aussi des cadres de partage des connaissances pour échanger des bonnes pratiques et stimuler l'économie numérique.</w:t>
            </w:r>
          </w:p>
          <w:p w14:paraId="10258819" w14:textId="67FD5DB3"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Les activités ont été menées dans le cadre d'une coopération et de partenariats multi-parties prenantes, l'objectif étant de créer des modèles durables propres à façonner des écosystèmes numériques résilients. La mise en œuvre a eu lieu dans toutes les régions de l'UIT, et l'on a veillé en particulier à aligner l'appui apporté aux pays sur leurs priorités nationales et sur les initiatives régionales.</w:t>
            </w:r>
          </w:p>
          <w:p w14:paraId="3A49843F" w14:textId="46F0F34E" w:rsidR="006773A3" w:rsidRPr="00C83DA9" w:rsidRDefault="006773A3" w:rsidP="00EC0E1A">
            <w:pPr>
              <w:pStyle w:val="Tabletext"/>
              <w:spacing w:before="120"/>
              <w:rPr>
                <w:rFonts w:ascii="Calibri" w:eastAsia="Calibri" w:hAnsi="Calibri" w:cs="Calibri"/>
                <w:sz w:val="22"/>
                <w:lang w:val="fr-FR"/>
              </w:rPr>
            </w:pPr>
            <w:r w:rsidRPr="00C83DA9">
              <w:rPr>
                <w:rFonts w:ascii="Calibri" w:eastAsia="Calibri" w:hAnsi="Calibri" w:cs="Calibri"/>
                <w:sz w:val="22"/>
                <w:lang w:val="fr-FR"/>
              </w:rPr>
              <w:t>Initiative phare lancée en janvier 2023, l'</w:t>
            </w:r>
            <w:hyperlink r:id="rId85" w:anchor="/fr" w:history="1">
              <w:r w:rsidRPr="00C83DA9">
                <w:rPr>
                  <w:rStyle w:val="Hyperlink"/>
                  <w:rFonts w:ascii="Calibri" w:eastAsia="Calibri" w:hAnsi="Calibri" w:cs="Calibri"/>
                  <w:sz w:val="22"/>
                  <w:lang w:val="fr-FR"/>
                </w:rPr>
                <w:t>Alliance pour l'innovation et l'entrepreneuriat au service du développement du numérique</w:t>
              </w:r>
            </w:hyperlink>
            <w:r w:rsidRPr="00C83DA9">
              <w:rPr>
                <w:rFonts w:ascii="Calibri" w:eastAsia="Calibri" w:hAnsi="Calibri" w:cs="Calibri"/>
                <w:sz w:val="22"/>
                <w:lang w:val="fr-FR"/>
              </w:rPr>
              <w:t xml:space="preserve"> est devenue la pierre angulaire des efforts déployés par le BDT. Cette Alliance a vocation à renforcer les écosystèmes nationaux de l'innovation, à promouvoir la mobilisation du secteur privé et des établissements universitaires et à doter les membres de l'UIT de nouveaux outils et de leurs propres capacités nationales. En avril 2023, plus de 73 demandes avaient été</w:t>
            </w:r>
            <w:r w:rsidR="00DF47CA" w:rsidRPr="00C83DA9">
              <w:rPr>
                <w:rFonts w:ascii="Calibri" w:eastAsia="Calibri" w:hAnsi="Calibri" w:cs="Calibri"/>
                <w:sz w:val="22"/>
                <w:lang w:val="fr-FR"/>
              </w:rPr>
              <w:t xml:space="preserve"> </w:t>
            </w:r>
            <w:r w:rsidRPr="00C83DA9">
              <w:rPr>
                <w:rFonts w:ascii="Calibri" w:eastAsia="Calibri" w:hAnsi="Calibri" w:cs="Calibri"/>
                <w:sz w:val="22"/>
                <w:lang w:val="fr-FR"/>
              </w:rPr>
              <w:t xml:space="preserve">adressées par 54 pays souhaitant accueillir des </w:t>
            </w:r>
            <w:hyperlink r:id="rId86" w:anchor="/fr" w:history="1">
              <w:r w:rsidRPr="00C83DA9">
                <w:rPr>
                  <w:rStyle w:val="Hyperlink"/>
                  <w:rFonts w:ascii="Calibri" w:eastAsia="Calibri" w:hAnsi="Calibri" w:cs="Calibri"/>
                  <w:sz w:val="22"/>
                  <w:lang w:val="fr-FR"/>
                </w:rPr>
                <w:t>Centres d'accélération de l'UIT</w:t>
              </w:r>
            </w:hyperlink>
            <w:r w:rsidRPr="00C83DA9">
              <w:rPr>
                <w:rFonts w:ascii="Calibri" w:eastAsia="Calibri" w:hAnsi="Calibri" w:cs="Calibri"/>
                <w:sz w:val="22"/>
                <w:lang w:val="fr-FR"/>
              </w:rPr>
              <w:t xml:space="preserve">. En outre, le BDT a créé le Bureau de zone et le </w:t>
            </w:r>
            <w:hyperlink r:id="rId87" w:history="1">
              <w:r w:rsidRPr="00C83DA9">
                <w:rPr>
                  <w:rStyle w:val="Hyperlink"/>
                  <w:rFonts w:ascii="Calibri" w:eastAsia="Calibri" w:hAnsi="Calibri" w:cs="Calibri"/>
                  <w:sz w:val="22"/>
                  <w:lang w:val="fr-FR"/>
                </w:rPr>
                <w:t>Centre d'innovation de l'UIT à New Delhi (Inde)</w:t>
              </w:r>
            </w:hyperlink>
            <w:r w:rsidRPr="00C83DA9">
              <w:rPr>
                <w:rFonts w:ascii="Calibri" w:eastAsia="Calibri" w:hAnsi="Calibri" w:cs="Calibri"/>
                <w:sz w:val="22"/>
                <w:lang w:val="fr-FR"/>
              </w:rPr>
              <w:t>, offrant un pôle central de collaboration sur l'innovation numérique et le développement des start-up et des PME.</w:t>
            </w:r>
          </w:p>
          <w:p w14:paraId="444B1B32" w14:textId="79F4001D"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lastRenderedPageBreak/>
              <w:t>En tant qu'initiative mondiale, l'Alliance repose sur trois instruments principaux: le Conseil de l'innovation numérique, le Laboratoire de transformation numérique et le réseau de Centre d'accélération de l'UIT.</w:t>
            </w:r>
          </w:p>
          <w:p w14:paraId="2C8DACDE" w14:textId="55DDA249"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Lancé en 2023, le </w:t>
            </w:r>
            <w:hyperlink r:id="rId88">
              <w:r w:rsidRPr="00C83DA9">
                <w:rPr>
                  <w:rStyle w:val="Hyperlink"/>
                  <w:rFonts w:ascii="Calibri" w:eastAsia="Calibri" w:hAnsi="Calibri" w:cs="Calibri"/>
                  <w:sz w:val="22"/>
                  <w:lang w:val="fr-FR"/>
                </w:rPr>
                <w:t>Laboratoire de transformation numérique</w:t>
              </w:r>
            </w:hyperlink>
            <w:r w:rsidRPr="00C83DA9">
              <w:rPr>
                <w:rFonts w:ascii="Calibri" w:eastAsia="Calibri" w:hAnsi="Calibri" w:cs="Calibri"/>
                <w:sz w:val="22"/>
                <w:lang w:val="fr-FR"/>
              </w:rPr>
              <w:t xml:space="preserve"> est un outil et laboratoire virtuel de recherche et de mise en œuvre avec des objectifs définis fonctionnant comme un groupe de réflexion ("Think Tank") spécialisé dans la recherche appliquée, la cocréation et la conservation d'outils, de supports et de services de connaissances d'un nouveau genre. Grâce à ce laboratoire, le</w:t>
            </w:r>
            <w:r w:rsidR="00F25C88" w:rsidRPr="00C83DA9">
              <w:rPr>
                <w:rFonts w:ascii="Calibri" w:eastAsia="Calibri" w:hAnsi="Calibri" w:cs="Calibri"/>
                <w:sz w:val="22"/>
                <w:lang w:val="fr-FR"/>
              </w:rPr>
              <w:t xml:space="preserve"> </w:t>
            </w:r>
            <w:r w:rsidRPr="00C83DA9">
              <w:rPr>
                <w:rFonts w:ascii="Calibri" w:eastAsia="Calibri" w:hAnsi="Calibri" w:cs="Calibri"/>
                <w:sz w:val="22"/>
                <w:lang w:val="fr-FR"/>
              </w:rPr>
              <w:t>BDT a publié une série de huit manuels sur l'innovation, lesquels portent sur des domaines tels que la prospective stratégique, l'expérimentation de politiques, la croissance des PME, l'élaboration d'initiatives relatives à l'écosystème, ou l'innovation dans le domaine des technologies ouvertes, qui sont alignés sur les objectifs principaux de l'Alliance ainsi que des manuels, mais aussi des manuels transversaux sur la communication stratégique, la mobilisation des ressources et la création de partenariats et de programmes conjoints. Le BDT déploie actuellement ces outils de renforcement des capacités dans le cadre de manifestations organisées partout dans le monde et des cours proposés par l'Académie de l'UIT.</w:t>
            </w:r>
          </w:p>
          <w:p w14:paraId="35ACF736" w14:textId="55F5ADBE"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Créé lui aussi 2023, le </w:t>
            </w:r>
            <w:hyperlink r:id="rId89" w:anchor="/fr">
              <w:r w:rsidRPr="00C83DA9">
                <w:rPr>
                  <w:rStyle w:val="Hyperlink"/>
                  <w:rFonts w:ascii="Calibri" w:eastAsia="Calibri" w:hAnsi="Calibri" w:cs="Calibri"/>
                  <w:sz w:val="22"/>
                  <w:lang w:val="fr-FR"/>
                </w:rPr>
                <w:t>Conseil de l'innovation numérique</w:t>
              </w:r>
            </w:hyperlink>
            <w:r w:rsidRPr="00C83DA9">
              <w:rPr>
                <w:rFonts w:ascii="Calibri" w:eastAsia="Calibri" w:hAnsi="Calibri" w:cs="Calibri"/>
                <w:sz w:val="22"/>
                <w:lang w:val="fr-FR"/>
              </w:rPr>
              <w:t xml:space="preserve"> est composé de 30 membres de haut niveau représentant des décideurs, ainsi que d'autres parties prenantes et partenaires, dont des institutions des Nations Unies, des gouvernement et des entités du secteur privé. Ces membres fournissent des orientations stratégiques, mettent à disposition des compétences spécialisées, mènent de activités de sensibilisation et contribuent à la réalisation de la mission du Conseil, qui est de mettre en place des leviers essentiels à l'échelon local et de promouvoir l'innovation et l'entrepreneuriat dans le domaine du développement du numérique, afin de créer un avenir numérique plus inclusif et équitable pour tous. Le Conseil a tenu trois réunions depuis 2023, lors desquelles il a élaboré et adopté des documents finals qui sont désormais mis en œuvre par l'Alliance. En 2025, le Conseil a approuvé la création du </w:t>
            </w:r>
            <w:hyperlink r:id="rId90" w:anchor="/fr" w:history="1">
              <w:r w:rsidRPr="00C83DA9">
                <w:rPr>
                  <w:rStyle w:val="Hyperlink"/>
                  <w:rFonts w:ascii="Calibri" w:eastAsia="Calibri" w:hAnsi="Calibri" w:cs="Calibri"/>
                  <w:sz w:val="22"/>
                  <w:lang w:val="fr-FR"/>
                </w:rPr>
                <w:t>Réseau d'experts</w:t>
              </w:r>
            </w:hyperlink>
            <w:r w:rsidRPr="00C83DA9">
              <w:rPr>
                <w:rFonts w:ascii="Calibri" w:eastAsia="Calibri" w:hAnsi="Calibri" w:cs="Calibri"/>
                <w:sz w:val="22"/>
                <w:lang w:val="fr-FR"/>
              </w:rPr>
              <w:t>, qui chargé d'appuyer ses travaux et rassemble 70 experts de 30 pays pour fournir des analyses techniques et faciliter l'apprentissage par les pairs.</w:t>
            </w:r>
          </w:p>
          <w:p w14:paraId="2B69F00B" w14:textId="056146B0"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En 2023, dix-sept Centres d'accélération de l'UIT avaient été sélectionnés partout dans le monde pour servir de plate</w:t>
            </w:r>
            <w:r w:rsidR="00F25C88" w:rsidRPr="00C83DA9">
              <w:rPr>
                <w:rFonts w:ascii="Calibri" w:eastAsia="Calibri" w:hAnsi="Calibri" w:cs="Calibri"/>
                <w:sz w:val="22"/>
                <w:lang w:val="fr-FR"/>
              </w:rPr>
              <w:noBreakHyphen/>
            </w:r>
            <w:r w:rsidRPr="00C83DA9">
              <w:rPr>
                <w:rFonts w:ascii="Calibri" w:eastAsia="Calibri" w:hAnsi="Calibri" w:cs="Calibri"/>
                <w:sz w:val="22"/>
                <w:lang w:val="fr-FR"/>
              </w:rPr>
              <w:t>forme permettant aux gouvernements, aux acteurs du secteur privé et aux établissements universitaires de collaborer pour accélérer l'innovation numérique de la recherche à la mise en pratique dans l'intérêt du développement socio-économique. Les États Membres accueillant des centres, dont la Tanzanie, le Zimbabwe, le Kenya, la Chine, la République dominicaine, la République sudafricaine, le</w:t>
            </w:r>
            <w:r w:rsidR="00EC0E1A" w:rsidRPr="00C83DA9">
              <w:rPr>
                <w:rFonts w:ascii="Calibri" w:eastAsia="Calibri" w:hAnsi="Calibri" w:cs="Calibri"/>
                <w:sz w:val="22"/>
                <w:lang w:val="fr-FR"/>
              </w:rPr>
              <w:t> </w:t>
            </w:r>
            <w:r w:rsidRPr="00C83DA9">
              <w:rPr>
                <w:rFonts w:ascii="Calibri" w:eastAsia="Calibri" w:hAnsi="Calibri" w:cs="Calibri"/>
                <w:sz w:val="22"/>
                <w:lang w:val="fr-FR"/>
              </w:rPr>
              <w:t>Pakistan, le Malawi et le Gabon, ont mené à bien la phase de conception ou en sont à la phase de mise en œuvre, le BDT fournissant l'appui institutionnel nécessaire pour leur déploiement à plus grande échelle. Le BDT continue d'apporter un appui aux pays qui souhaitent prendre part à l'initiative ou ont manifesté leur intérêt et un centre est en cours de développement.</w:t>
            </w:r>
          </w:p>
          <w:p w14:paraId="6FA05954" w14:textId="2783C581" w:rsidR="006773A3" w:rsidRPr="00C83DA9" w:rsidRDefault="006773A3" w:rsidP="00D201D9">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Le partage de connaissances s'est poursuivi avec l'organisation de manifestations de haut niveau telles que les </w:t>
            </w:r>
            <w:hyperlink r:id="rId91" w:history="1">
              <w:r w:rsidRPr="00C83DA9">
                <w:rPr>
                  <w:rStyle w:val="Hyperlink"/>
                  <w:rFonts w:ascii="Calibri" w:eastAsia="Calibri" w:hAnsi="Calibri" w:cs="Calibri"/>
                  <w:sz w:val="22"/>
                  <w:lang w:val="fr-FR"/>
                </w:rPr>
                <w:t>Forum mondiaux de l'innovation</w:t>
              </w:r>
            </w:hyperlink>
            <w:r w:rsidRPr="00C83DA9">
              <w:rPr>
                <w:rFonts w:ascii="Calibri" w:eastAsia="Calibri" w:hAnsi="Calibri" w:cs="Calibri"/>
                <w:sz w:val="22"/>
                <w:lang w:val="fr-FR"/>
              </w:rPr>
              <w:t>. L'</w:t>
            </w:r>
            <w:hyperlink r:id="rId92" w:anchor="/fr" w:history="1">
              <w:r w:rsidRPr="00C83DA9">
                <w:rPr>
                  <w:rStyle w:val="Hyperlink"/>
                  <w:rFonts w:ascii="Calibri" w:eastAsia="Calibri" w:hAnsi="Calibri" w:cs="Calibri"/>
                  <w:sz w:val="22"/>
                  <w:lang w:val="fr-FR"/>
                </w:rPr>
                <w:t>édition de 2024 du Forum mondial de l'innovation</w:t>
              </w:r>
            </w:hyperlink>
            <w:r w:rsidRPr="00C83DA9">
              <w:rPr>
                <w:rFonts w:ascii="Calibri" w:eastAsia="Calibri" w:hAnsi="Calibri" w:cs="Calibri"/>
                <w:sz w:val="22"/>
                <w:lang w:val="fr-FR"/>
              </w:rPr>
              <w:t xml:space="preserve"> tenue à </w:t>
            </w:r>
            <w:r w:rsidRPr="00C83DA9">
              <w:rPr>
                <w:rFonts w:ascii="Calibri" w:eastAsia="Calibri" w:hAnsi="Calibri" w:cs="Calibri"/>
                <w:b/>
                <w:bCs/>
                <w:sz w:val="22"/>
                <w:lang w:val="fr-FR"/>
              </w:rPr>
              <w:t>Malte</w:t>
            </w:r>
            <w:r w:rsidRPr="00C83DA9">
              <w:rPr>
                <w:rFonts w:ascii="Calibri" w:eastAsia="Calibri" w:hAnsi="Calibri" w:cs="Calibri"/>
                <w:sz w:val="22"/>
                <w:lang w:val="fr-FR"/>
              </w:rPr>
              <w:t xml:space="preserve"> a offert un cadre mondial pour échanger sur le thème</w:t>
            </w:r>
            <w:r w:rsidR="00D201D9" w:rsidRPr="00C83DA9">
              <w:rPr>
                <w:rFonts w:ascii="Calibri" w:eastAsia="Calibri" w:hAnsi="Calibri" w:cs="Calibri"/>
                <w:sz w:val="22"/>
                <w:lang w:val="fr-FR"/>
              </w:rPr>
              <w:t> </w:t>
            </w:r>
            <w:r w:rsidRPr="00C83DA9">
              <w:rPr>
                <w:rFonts w:ascii="Calibri" w:eastAsia="Calibri" w:hAnsi="Calibri" w:cs="Calibri"/>
                <w:sz w:val="22"/>
                <w:lang w:val="fr-FR"/>
              </w:rPr>
              <w:t xml:space="preserve">"Façonner nos avenirs numériques pour parvenir à la prospérité et au bien-être pour tous". Le Forum a été ouvert par le Président de Malte et a rassemblé des membres de gouvernement, des dirigeants du secteur privé et des représentants des milieux universitaires. Le principal document final adopté à cette occasion, qui est un </w:t>
            </w:r>
            <w:hyperlink r:id="rId93" w:history="1">
              <w:r w:rsidRPr="00C83DA9">
                <w:rPr>
                  <w:rStyle w:val="Hyperlink"/>
                  <w:rFonts w:ascii="Calibri" w:eastAsia="Calibri" w:hAnsi="Calibri" w:cs="Calibri"/>
                  <w:sz w:val="22"/>
                  <w:lang w:val="fr-FR"/>
                </w:rPr>
                <w:t>rapport sur le paysage de l'innovation à Malte</w:t>
              </w:r>
            </w:hyperlink>
            <w:r w:rsidRPr="00C83DA9">
              <w:rPr>
                <w:rFonts w:ascii="Calibri" w:eastAsia="Calibri" w:hAnsi="Calibri" w:cs="Calibri"/>
                <w:sz w:val="22"/>
                <w:lang w:val="fr-FR"/>
              </w:rPr>
              <w:t>, recense des bonnes pratiques et montre en quoi le pays est un exemple à suivre concernant l'intégration de multiples parties-parties prenantes dans une</w:t>
            </w:r>
            <w:r w:rsidR="00F25C88" w:rsidRPr="00C83DA9">
              <w:rPr>
                <w:rFonts w:ascii="Calibri" w:eastAsia="Calibri" w:hAnsi="Calibri" w:cs="Calibri"/>
                <w:sz w:val="22"/>
                <w:lang w:val="fr-FR"/>
              </w:rPr>
              <w:t> </w:t>
            </w:r>
            <w:r w:rsidRPr="00C83DA9">
              <w:rPr>
                <w:rFonts w:ascii="Calibri" w:eastAsia="Calibri" w:hAnsi="Calibri" w:cs="Calibri"/>
                <w:sz w:val="22"/>
                <w:lang w:val="fr-FR"/>
              </w:rPr>
              <w:t xml:space="preserve">stratégie cohérente en faveur de l'innovation. Des échanges de connaissances analogues ont également été </w:t>
            </w:r>
            <w:r w:rsidRPr="00C83DA9">
              <w:rPr>
                <w:rFonts w:ascii="Calibri" w:eastAsia="Calibri" w:hAnsi="Calibri" w:cs="Calibri"/>
                <w:sz w:val="22"/>
                <w:lang w:val="fr-FR"/>
              </w:rPr>
              <w:lastRenderedPageBreak/>
              <w:t>favorisés lors de la</w:t>
            </w:r>
            <w:r w:rsidR="00F25C88" w:rsidRPr="00C83DA9">
              <w:rPr>
                <w:rFonts w:ascii="Calibri" w:eastAsia="Calibri" w:hAnsi="Calibri" w:cs="Calibri"/>
                <w:sz w:val="22"/>
                <w:lang w:val="fr-FR"/>
              </w:rPr>
              <w:t xml:space="preserve"> </w:t>
            </w:r>
            <w:r w:rsidRPr="00C83DA9">
              <w:rPr>
                <w:rFonts w:ascii="Calibri" w:eastAsia="Calibri" w:hAnsi="Calibri" w:cs="Calibri"/>
                <w:sz w:val="22"/>
                <w:lang w:val="fr-FR"/>
              </w:rPr>
              <w:t xml:space="preserve">manifestation "Innovation et entrepreneuriat au service des ODD" organisée en </w:t>
            </w:r>
            <w:r w:rsidRPr="00C83DA9">
              <w:rPr>
                <w:rFonts w:ascii="Calibri" w:eastAsia="Calibri" w:hAnsi="Calibri" w:cs="Calibri"/>
                <w:b/>
                <w:bCs/>
                <w:sz w:val="22"/>
                <w:lang w:val="fr-FR"/>
              </w:rPr>
              <w:t>Inde</w:t>
            </w:r>
            <w:r w:rsidRPr="00C83DA9">
              <w:rPr>
                <w:rFonts w:ascii="Calibri" w:eastAsia="Calibri" w:hAnsi="Calibri" w:cs="Calibri"/>
                <w:sz w:val="22"/>
                <w:lang w:val="fr-FR"/>
              </w:rPr>
              <w:t xml:space="preserve"> et du Forum régional sur l'innovation pour la région Asie-Pacifique, où les acteurs régionaux ont présenté l'expérience acquise et ont resserré la collaboration.</w:t>
            </w:r>
          </w:p>
          <w:p w14:paraId="2D47441C" w14:textId="75A5A69B"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À l'occasion de manifestations mondiales tenues en 2024 et 2025 à Dubaï (Émirats arabes unis), les membres du réseau des Centres d'accélération de l'UIT ont bénéficié d'un renforcement des capacités dans les domaines de la prospective stratégique, de l'expérimentation de politiques et de l'élaboration d'initiatives sur l'écosystème grâce à un partenariat avec l'Autorité de régulation des télécommunications et des services publics numériques des Émirats arabes unis (TDRA). De nouveaux cours en ligne ont en outre été lancés via l'Académie de l'UIT (Prospective stratégique 101, Prospective stratégique 201, Élaboration d'initiatives relatives à l'écosystème 201 et Écosystème 101), suscitant un intérêt considérable auprès des membres. Des séances de renforcement des capacités ont également été organisées, avec les masterclasses tenues lors du Forum mondial de l'innovation de 2024 et du Colloque</w:t>
            </w:r>
            <w:r w:rsidR="00D201D9" w:rsidRPr="00C83DA9">
              <w:rPr>
                <w:rFonts w:ascii="Calibri" w:eastAsia="Calibri" w:hAnsi="Calibri" w:cs="Calibri"/>
                <w:sz w:val="22"/>
                <w:lang w:val="fr-FR"/>
              </w:rPr>
              <w:t> </w:t>
            </w:r>
            <w:r w:rsidRPr="00C83DA9">
              <w:rPr>
                <w:rFonts w:ascii="Calibri" w:eastAsia="Calibri" w:hAnsi="Calibri" w:cs="Calibri"/>
                <w:sz w:val="22"/>
                <w:lang w:val="fr-FR"/>
              </w:rPr>
              <w:t>mondial des régulateurs de 2025 à l'intention des décideurs et des groupes membres en général.</w:t>
            </w:r>
          </w:p>
          <w:p w14:paraId="5BE49F25" w14:textId="2ABE9DDA" w:rsidR="006773A3" w:rsidRPr="00C83DA9" w:rsidRDefault="006773A3" w:rsidP="006773A3">
            <w:pPr>
              <w:pStyle w:val="Tabletext"/>
              <w:spacing w:before="120"/>
              <w:rPr>
                <w:rFonts w:ascii="Calibri" w:hAnsi="Calibri" w:cs="Calibri"/>
                <w:sz w:val="22"/>
                <w:lang w:val="fr-FR"/>
              </w:rPr>
            </w:pPr>
            <w:r w:rsidRPr="00C83DA9">
              <w:rPr>
                <w:rFonts w:ascii="Calibri" w:eastAsia="Calibri" w:hAnsi="Calibri" w:cs="Calibri"/>
                <w:sz w:val="22"/>
                <w:lang w:val="fr-FR"/>
              </w:rPr>
              <w:t xml:space="preserve">La mise en œuvre a pris des formes variées d'une région à l'autre, chacune adaptant le cadre mondial offert par l'Alliance aux situations nationales et locales. Au niveau régional, les principales retombées ont été la fourniture d'une assistance technique pour élaborer des stratégies et des feuilles de route (via les </w:t>
            </w:r>
            <w:hyperlink r:id="rId94" w:history="1">
              <w:r w:rsidRPr="00C83DA9">
                <w:rPr>
                  <w:rStyle w:val="Hyperlink"/>
                  <w:rFonts w:ascii="Calibri" w:eastAsia="Calibri" w:hAnsi="Calibri" w:cs="Calibri"/>
                  <w:sz w:val="22"/>
                  <w:lang w:val="fr-FR"/>
                </w:rPr>
                <w:t>profils d'innovation numérique</w:t>
              </w:r>
            </w:hyperlink>
            <w:r w:rsidRPr="00C83DA9">
              <w:rPr>
                <w:rFonts w:ascii="Calibri" w:eastAsia="Calibri" w:hAnsi="Calibri" w:cs="Calibri"/>
                <w:sz w:val="22"/>
                <w:lang w:val="fr-FR"/>
              </w:rPr>
              <w:t>) afin de renforcer les écosystèmes d'innovation numérique, le déploiement de projets particuliers et la création de Centres d'accélération de l'UIT.</w:t>
            </w:r>
          </w:p>
          <w:p w14:paraId="3C186A4C" w14:textId="116C8A9B"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En </w:t>
            </w:r>
            <w:r w:rsidRPr="00C83DA9">
              <w:rPr>
                <w:rFonts w:ascii="Calibri" w:eastAsia="Calibri" w:hAnsi="Calibri" w:cs="Calibri"/>
                <w:b/>
                <w:bCs/>
                <w:sz w:val="22"/>
                <w:lang w:val="fr-FR"/>
              </w:rPr>
              <w:t>Afrique</w:t>
            </w:r>
            <w:r w:rsidRPr="00C83DA9">
              <w:rPr>
                <w:rFonts w:ascii="Calibri" w:eastAsia="Calibri" w:hAnsi="Calibri" w:cs="Calibri"/>
                <w:sz w:val="22"/>
                <w:lang w:val="fr-FR"/>
              </w:rPr>
              <w:t xml:space="preserve">, des profils d'innovation numérique ont été réalisés pour le </w:t>
            </w:r>
            <w:r w:rsidRPr="00C83DA9">
              <w:rPr>
                <w:rFonts w:ascii="Calibri" w:eastAsia="Calibri" w:hAnsi="Calibri" w:cs="Calibri"/>
                <w:b/>
                <w:bCs/>
                <w:sz w:val="22"/>
                <w:lang w:val="fr-FR"/>
              </w:rPr>
              <w:t>Mozambique</w:t>
            </w:r>
            <w:r w:rsidRPr="00C83DA9">
              <w:rPr>
                <w:rFonts w:ascii="Calibri" w:eastAsia="Calibri" w:hAnsi="Calibri" w:cs="Calibri"/>
                <w:sz w:val="22"/>
                <w:lang w:val="fr-FR"/>
              </w:rPr>
              <w:t xml:space="preserve">, la </w:t>
            </w:r>
            <w:r w:rsidRPr="00C83DA9">
              <w:rPr>
                <w:rFonts w:ascii="Calibri" w:eastAsia="Calibri" w:hAnsi="Calibri" w:cs="Calibri"/>
                <w:b/>
                <w:bCs/>
                <w:sz w:val="22"/>
                <w:lang w:val="fr-FR"/>
              </w:rPr>
              <w:t>Zambie</w:t>
            </w:r>
            <w:r w:rsidRPr="00C83DA9">
              <w:rPr>
                <w:rFonts w:ascii="Calibri" w:eastAsia="Calibri" w:hAnsi="Calibri" w:cs="Calibri"/>
                <w:sz w:val="22"/>
                <w:lang w:val="fr-FR"/>
              </w:rPr>
              <w:t xml:space="preserve"> et le </w:t>
            </w:r>
            <w:r w:rsidRPr="00C83DA9">
              <w:rPr>
                <w:rFonts w:ascii="Calibri" w:eastAsia="Calibri" w:hAnsi="Calibri" w:cs="Calibri"/>
                <w:b/>
                <w:bCs/>
                <w:sz w:val="22"/>
                <w:lang w:val="fr-FR"/>
              </w:rPr>
              <w:t>Zimbabwe</w:t>
            </w:r>
            <w:r w:rsidRPr="00C83DA9">
              <w:rPr>
                <w:rFonts w:ascii="Calibri" w:eastAsia="Calibri" w:hAnsi="Calibri" w:cs="Calibri"/>
                <w:sz w:val="22"/>
                <w:lang w:val="fr-FR"/>
              </w:rPr>
              <w:t xml:space="preserve">. En mars 2025, un atelier organisé dans le cadre du projet VaMoz Digital! A permis d'achever le profil d'innovation numérique du </w:t>
            </w:r>
            <w:r w:rsidRPr="00C83DA9">
              <w:rPr>
                <w:rFonts w:ascii="Calibri" w:eastAsia="Calibri" w:hAnsi="Calibri" w:cs="Calibri"/>
                <w:b/>
                <w:bCs/>
                <w:sz w:val="22"/>
                <w:lang w:val="fr-FR"/>
              </w:rPr>
              <w:t>Mozambique</w:t>
            </w:r>
            <w:r w:rsidRPr="00C83DA9">
              <w:rPr>
                <w:rFonts w:ascii="Calibri" w:eastAsia="Calibri" w:hAnsi="Calibri" w:cs="Calibri"/>
                <w:sz w:val="22"/>
                <w:lang w:val="fr-FR"/>
              </w:rPr>
              <w:t>.</w:t>
            </w:r>
          </w:p>
          <w:p w14:paraId="53B89ADE" w14:textId="2EB5D9AD"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Au </w:t>
            </w:r>
            <w:r w:rsidRPr="00C83DA9">
              <w:rPr>
                <w:rFonts w:ascii="Calibri" w:eastAsia="Calibri" w:hAnsi="Calibri" w:cs="Calibri"/>
                <w:b/>
                <w:sz w:val="22"/>
                <w:lang w:val="fr-FR"/>
              </w:rPr>
              <w:t>Bénin</w:t>
            </w:r>
            <w:r w:rsidRPr="00C83DA9">
              <w:rPr>
                <w:rFonts w:ascii="Calibri" w:eastAsia="Calibri" w:hAnsi="Calibri" w:cs="Calibri"/>
                <w:sz w:val="22"/>
                <w:lang w:val="fr-FR"/>
              </w:rPr>
              <w:t xml:space="preserve">, le BDT, en collaboration avec le Fonds des Nations Unies pour la population, a fourni un appui pour la conception d'une feuille de route pour une innovation axée sur la jeunesse, compte tenu de l'égalité hommes-femmes. Le BDT a également coorganisé le concours annuel "Innovation Challenge" de l'Union africaine des télécommunications, lors duquel ont été présentées des solutions fondées sur l'IA imaginées par de jeunes innovateurs. Plus de 50 régulateurs et décideurs de pays d'Afrique francophones ont pris part à un programme sur la gouvernance des données, tandis que le </w:t>
            </w:r>
            <w:r w:rsidRPr="00C83DA9">
              <w:rPr>
                <w:rFonts w:ascii="Calibri" w:eastAsia="Calibri" w:hAnsi="Calibri" w:cs="Calibri"/>
                <w:b/>
                <w:bCs/>
                <w:sz w:val="22"/>
                <w:lang w:val="fr-FR"/>
              </w:rPr>
              <w:t>Sénégal</w:t>
            </w:r>
            <w:r w:rsidRPr="00C83DA9">
              <w:rPr>
                <w:rFonts w:ascii="Calibri" w:eastAsia="Calibri" w:hAnsi="Calibri" w:cs="Calibri"/>
                <w:sz w:val="22"/>
                <w:lang w:val="fr-FR"/>
              </w:rPr>
              <w:t xml:space="preserve"> a lancé un projet pilote sur la cyberjustice avec l'UIT, le PNUD, le Office for Project Services (UNOPS) et ONU-Femmes, afin de transformer le fonctionnement de la justice grâce au passage au numérique.</w:t>
            </w:r>
          </w:p>
          <w:p w14:paraId="403F0E57" w14:textId="7743CCE8"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Dans la région </w:t>
            </w:r>
            <w:r w:rsidRPr="00C83DA9">
              <w:rPr>
                <w:rFonts w:ascii="Calibri" w:eastAsia="Calibri" w:hAnsi="Calibri" w:cs="Calibri"/>
                <w:b/>
                <w:bCs/>
                <w:sz w:val="22"/>
                <w:lang w:val="fr-FR"/>
              </w:rPr>
              <w:t>Asie-Pacifique</w:t>
            </w:r>
            <w:r w:rsidRPr="00C83DA9">
              <w:rPr>
                <w:rFonts w:ascii="Calibri" w:eastAsia="Calibri" w:hAnsi="Calibri" w:cs="Calibri"/>
                <w:sz w:val="22"/>
                <w:lang w:val="fr-FR"/>
              </w:rPr>
              <w:t xml:space="preserve">, le </w:t>
            </w:r>
            <w:r w:rsidRPr="00C83DA9">
              <w:rPr>
                <w:rFonts w:ascii="Calibri" w:eastAsia="Calibri" w:hAnsi="Calibri" w:cs="Calibri"/>
                <w:b/>
                <w:bCs/>
                <w:sz w:val="22"/>
                <w:lang w:val="fr-FR"/>
              </w:rPr>
              <w:t xml:space="preserve">Bureau de zone et Centre d'innovation de l'UIT </w:t>
            </w:r>
            <w:r w:rsidRPr="00C83DA9">
              <w:rPr>
                <w:rFonts w:ascii="Calibri" w:eastAsia="Calibri" w:hAnsi="Calibri" w:cs="Calibri"/>
                <w:sz w:val="22"/>
                <w:lang w:val="fr-FR"/>
              </w:rPr>
              <w:t>de New Delhi (Inde) est devenu un pôle régional de l'innovation numérique et des technologies émergentes et a lancé une nouvelle plate-forme, les "cafés de l'innovation", en</w:t>
            </w:r>
            <w:r w:rsidR="00D201D9" w:rsidRPr="00C83DA9">
              <w:rPr>
                <w:rFonts w:ascii="Calibri" w:eastAsia="Calibri" w:hAnsi="Calibri" w:cs="Calibri"/>
                <w:sz w:val="22"/>
                <w:lang w:val="fr-FR"/>
              </w:rPr>
              <w:t> </w:t>
            </w:r>
            <w:r w:rsidRPr="00C83DA9">
              <w:rPr>
                <w:rFonts w:ascii="Calibri" w:eastAsia="Calibri" w:hAnsi="Calibri" w:cs="Calibri"/>
                <w:sz w:val="22"/>
                <w:lang w:val="fr-FR"/>
              </w:rPr>
              <w:t>février</w:t>
            </w:r>
            <w:r w:rsidR="00F25C88" w:rsidRPr="00C83DA9">
              <w:rPr>
                <w:rFonts w:ascii="Calibri" w:eastAsia="Calibri" w:hAnsi="Calibri" w:cs="Calibri"/>
                <w:sz w:val="22"/>
                <w:lang w:val="fr-FR"/>
              </w:rPr>
              <w:t> </w:t>
            </w:r>
            <w:r w:rsidRPr="00C83DA9">
              <w:rPr>
                <w:rFonts w:ascii="Calibri" w:eastAsia="Calibri" w:hAnsi="Calibri" w:cs="Calibri"/>
                <w:sz w:val="22"/>
                <w:lang w:val="fr-FR"/>
              </w:rPr>
              <w:t>2025, dont l'objectif est de transformer des concepts abstraits en réalisations concrètes et de rendre l'innovation accessible à</w:t>
            </w:r>
            <w:r w:rsidR="00F25C88" w:rsidRPr="00C83DA9">
              <w:rPr>
                <w:rFonts w:ascii="Calibri" w:eastAsia="Calibri" w:hAnsi="Calibri" w:cs="Calibri"/>
                <w:sz w:val="22"/>
                <w:lang w:val="fr-FR"/>
              </w:rPr>
              <w:t> </w:t>
            </w:r>
            <w:r w:rsidRPr="00C83DA9">
              <w:rPr>
                <w:rFonts w:ascii="Calibri" w:eastAsia="Calibri" w:hAnsi="Calibri" w:cs="Calibri"/>
                <w:sz w:val="22"/>
                <w:lang w:val="fr-FR"/>
              </w:rPr>
              <w:t>tous. Depuis février 2025, huit cafés de l'innovation ont été organisés sur des questions comme l'IA et l'Internet des objets (IoT), l'identité numérique, l'utilisation de solutions innovantes pour appuyer l'initiatives sur les îles intelligentes, les déchets d'équipements électriques et électroniques, l'IA au service de la transformation numérique, l'avenir de l'IA et le renforcement de la connectivité dans les PDSL. Ces cafés, qui ont rassemblé au total plus de 300 participants de plus de 30 États Membres de la région Asie-Pacifique, ont mis en lumière des perspectives stratégiques pour l'UIT, notamment la nécessité de mener des initiatives de partage des connaissances sur l'IA et l'identité numérique, et l'importance des solutions innovantes pour assurer la viabilité de l'initiative sur les îles intelligentes. Grâce aux prochains cafés de l'innovation qui seront organisés sur l'IA, le Centre d'innovation est bien placé pour répondre aux besoin des États Membres du monde entier. L'</w:t>
            </w:r>
            <w:hyperlink r:id="rId95" w:anchor="/fr" w:history="1">
              <w:r w:rsidRPr="00C83DA9">
                <w:rPr>
                  <w:rStyle w:val="Hyperlink"/>
                  <w:rFonts w:ascii="Calibri" w:eastAsia="Calibri" w:hAnsi="Calibri" w:cs="Calibri"/>
                  <w:sz w:val="22"/>
                  <w:lang w:val="fr-FR"/>
                </w:rPr>
                <w:t>Atelier d'accélération des initiatives régionales de l'Asie-Pacifique</w:t>
              </w:r>
            </w:hyperlink>
            <w:r w:rsidRPr="00C83DA9">
              <w:rPr>
                <w:rFonts w:ascii="Calibri" w:eastAsia="Calibri" w:hAnsi="Calibri" w:cs="Calibri"/>
                <w:sz w:val="22"/>
                <w:lang w:val="fr-FR"/>
              </w:rPr>
              <w:t xml:space="preserve"> a eu </w:t>
            </w:r>
            <w:r w:rsidRPr="00C83DA9">
              <w:rPr>
                <w:rFonts w:ascii="Calibri" w:eastAsia="Calibri" w:hAnsi="Calibri" w:cs="Calibri"/>
                <w:sz w:val="22"/>
                <w:lang w:val="fr-FR"/>
              </w:rPr>
              <w:lastRenderedPageBreak/>
              <w:t>lieu du</w:t>
            </w:r>
            <w:r w:rsidR="00DF47CA" w:rsidRPr="00C83DA9">
              <w:rPr>
                <w:rFonts w:ascii="Calibri" w:eastAsia="Calibri" w:hAnsi="Calibri" w:cs="Calibri"/>
                <w:sz w:val="22"/>
                <w:lang w:val="fr-FR"/>
              </w:rPr>
              <w:t> </w:t>
            </w:r>
            <w:r w:rsidRPr="00C83DA9">
              <w:rPr>
                <w:rFonts w:ascii="Calibri" w:eastAsia="Calibri" w:hAnsi="Calibri" w:cs="Calibri"/>
                <w:sz w:val="22"/>
                <w:lang w:val="fr-FR"/>
              </w:rPr>
              <w:t>27</w:t>
            </w:r>
            <w:r w:rsidR="00DF47CA" w:rsidRPr="00C83DA9">
              <w:rPr>
                <w:rFonts w:ascii="Calibri" w:eastAsia="Calibri" w:hAnsi="Calibri" w:cs="Calibri"/>
                <w:sz w:val="22"/>
                <w:lang w:val="fr-FR"/>
              </w:rPr>
              <w:t> </w:t>
            </w:r>
            <w:r w:rsidRPr="00C83DA9">
              <w:rPr>
                <w:rFonts w:ascii="Calibri" w:eastAsia="Calibri" w:hAnsi="Calibri" w:cs="Calibri"/>
                <w:sz w:val="22"/>
                <w:lang w:val="fr-FR"/>
              </w:rPr>
              <w:t>au</w:t>
            </w:r>
            <w:r w:rsidR="00DF47CA" w:rsidRPr="00C83DA9">
              <w:rPr>
                <w:rFonts w:ascii="Calibri" w:eastAsia="Calibri" w:hAnsi="Calibri" w:cs="Calibri"/>
                <w:sz w:val="22"/>
                <w:lang w:val="fr-FR"/>
              </w:rPr>
              <w:t> </w:t>
            </w:r>
            <w:r w:rsidRPr="00C83DA9">
              <w:rPr>
                <w:rFonts w:ascii="Calibri" w:eastAsia="Calibri" w:hAnsi="Calibri" w:cs="Calibri"/>
                <w:sz w:val="22"/>
                <w:lang w:val="fr-FR"/>
              </w:rPr>
              <w:t>29</w:t>
            </w:r>
            <w:r w:rsidR="00DF47CA" w:rsidRPr="00C83DA9">
              <w:rPr>
                <w:rFonts w:ascii="Calibri" w:eastAsia="Calibri" w:hAnsi="Calibri" w:cs="Calibri"/>
                <w:sz w:val="22"/>
                <w:lang w:val="fr-FR"/>
              </w:rPr>
              <w:t> </w:t>
            </w:r>
            <w:r w:rsidRPr="00C83DA9">
              <w:rPr>
                <w:rFonts w:ascii="Calibri" w:eastAsia="Calibri" w:hAnsi="Calibri" w:cs="Calibri"/>
                <w:sz w:val="22"/>
                <w:lang w:val="fr-FR"/>
              </w:rPr>
              <w:t>avril</w:t>
            </w:r>
            <w:r w:rsidR="00DF47CA" w:rsidRPr="00C83DA9">
              <w:rPr>
                <w:rFonts w:ascii="Calibri" w:eastAsia="Calibri" w:hAnsi="Calibri" w:cs="Calibri"/>
                <w:sz w:val="22"/>
                <w:lang w:val="fr-FR"/>
              </w:rPr>
              <w:t> </w:t>
            </w:r>
            <w:r w:rsidRPr="00C83DA9">
              <w:rPr>
                <w:rFonts w:ascii="Calibri" w:eastAsia="Calibri" w:hAnsi="Calibri" w:cs="Calibri"/>
                <w:sz w:val="22"/>
                <w:lang w:val="fr-FR"/>
              </w:rPr>
              <w:t>2025 à Shenzhen (Chine) à l'occasion d'une manifestation organisée par le BRICS. Cet atelier de trois jours était organisé conjointement par l'UIT, l'Académie chinoise des technologies de l'information et des communications et la Branche chinoise de l'Institut BRICS pour les réseaux futurs.</w:t>
            </w:r>
          </w:p>
          <w:p w14:paraId="3A93ED28" w14:textId="6EDAD813"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Dans la </w:t>
            </w:r>
            <w:r w:rsidRPr="00C83DA9">
              <w:rPr>
                <w:rFonts w:ascii="Calibri" w:eastAsia="Calibri" w:hAnsi="Calibri" w:cs="Calibri"/>
                <w:b/>
                <w:bCs/>
                <w:sz w:val="22"/>
                <w:lang w:val="fr-FR"/>
              </w:rPr>
              <w:t>région Amériques</w:t>
            </w:r>
            <w:r w:rsidRPr="00C83DA9">
              <w:rPr>
                <w:rFonts w:ascii="Calibri" w:eastAsia="Calibri" w:hAnsi="Calibri" w:cs="Calibri"/>
                <w:sz w:val="22"/>
                <w:lang w:val="fr-FR"/>
              </w:rPr>
              <w:t xml:space="preserve">, la </w:t>
            </w:r>
            <w:r w:rsidRPr="00C83DA9">
              <w:rPr>
                <w:rFonts w:ascii="Calibri" w:eastAsia="Calibri" w:hAnsi="Calibri" w:cs="Calibri"/>
                <w:b/>
                <w:bCs/>
                <w:sz w:val="22"/>
                <w:lang w:val="fr-FR"/>
              </w:rPr>
              <w:t>République dominicaine</w:t>
            </w:r>
            <w:r w:rsidRPr="00C83DA9">
              <w:rPr>
                <w:rFonts w:ascii="Calibri" w:eastAsia="Calibri" w:hAnsi="Calibri" w:cs="Calibri"/>
                <w:sz w:val="22"/>
                <w:lang w:val="fr-FR"/>
              </w:rPr>
              <w:t xml:space="preserve"> a progressé concernant la conception de son Centre d'accélération qui sera un point d'ancrage de l'innovation au niveau national. Le </w:t>
            </w:r>
            <w:r w:rsidRPr="00C83DA9">
              <w:rPr>
                <w:rFonts w:ascii="Calibri" w:eastAsia="Calibri" w:hAnsi="Calibri" w:cs="Calibri"/>
                <w:b/>
                <w:bCs/>
                <w:sz w:val="22"/>
                <w:lang w:val="fr-FR"/>
              </w:rPr>
              <w:t>Brésil</w:t>
            </w:r>
            <w:r w:rsidRPr="00C83DA9">
              <w:rPr>
                <w:rFonts w:ascii="Calibri" w:eastAsia="Calibri" w:hAnsi="Calibri" w:cs="Calibri"/>
                <w:sz w:val="22"/>
                <w:lang w:val="fr-FR"/>
              </w:rPr>
              <w:t xml:space="preserve">, le </w:t>
            </w:r>
            <w:r w:rsidRPr="00C83DA9">
              <w:rPr>
                <w:rFonts w:ascii="Calibri" w:eastAsia="Calibri" w:hAnsi="Calibri" w:cs="Calibri"/>
                <w:b/>
                <w:bCs/>
                <w:sz w:val="22"/>
                <w:lang w:val="fr-FR"/>
              </w:rPr>
              <w:t>Suriname</w:t>
            </w:r>
            <w:r w:rsidRPr="00C83DA9">
              <w:rPr>
                <w:rFonts w:ascii="Calibri" w:eastAsia="Calibri" w:hAnsi="Calibri" w:cs="Calibri"/>
                <w:sz w:val="22"/>
                <w:lang w:val="fr-FR"/>
              </w:rPr>
              <w:t xml:space="preserve"> et l'</w:t>
            </w:r>
            <w:r w:rsidRPr="00C83DA9">
              <w:rPr>
                <w:rFonts w:ascii="Calibri" w:eastAsia="Calibri" w:hAnsi="Calibri" w:cs="Calibri"/>
                <w:b/>
                <w:bCs/>
                <w:sz w:val="22"/>
                <w:lang w:val="fr-FR"/>
              </w:rPr>
              <w:t>Organisation des États des Caraïbes orientales (OECS)</w:t>
            </w:r>
            <w:r w:rsidRPr="00C83DA9">
              <w:rPr>
                <w:rFonts w:ascii="Calibri" w:eastAsia="Calibri" w:hAnsi="Calibri" w:cs="Calibri"/>
                <w:sz w:val="22"/>
                <w:lang w:val="fr-FR"/>
              </w:rPr>
              <w:t xml:space="preserve"> ont bénéficié de programmes de formation et d'un travail de mise en correspondance des écosystèmes, qui ont permis de renforcer les connaissances des décideurs et d'avoir un tableau clair des environnements de l'innovation dans les pays. La </w:t>
            </w:r>
            <w:r w:rsidRPr="00C83DA9">
              <w:rPr>
                <w:rFonts w:ascii="Calibri" w:eastAsia="Calibri" w:hAnsi="Calibri" w:cs="Calibri"/>
                <w:b/>
                <w:bCs/>
                <w:sz w:val="22"/>
                <w:lang w:val="fr-FR"/>
              </w:rPr>
              <w:t>Colombie</w:t>
            </w:r>
            <w:r w:rsidRPr="00C83DA9">
              <w:rPr>
                <w:rFonts w:ascii="Calibri" w:eastAsia="Calibri" w:hAnsi="Calibri" w:cs="Calibri"/>
                <w:sz w:val="22"/>
                <w:lang w:val="fr-FR"/>
              </w:rPr>
              <w:t xml:space="preserve"> a actualisé son cadre national pour l'innovation en l'alignant sur des stratégies de diversification économique plus larges. Les ateliers régionaux tenus dans le cadre du programme UIT-CE sur l'assistance technique et l'échange d'informations (TAIEX) a permis d'approfondir les connaissances spécialisées dans les domaines de l'innovation fondée sur les PME et de l'état de préparation à la 5G, et de montrer de quelle manière il est possible d'aligner les politiques en matière d'innovation sur l'infrastructure et l'état de préparation du marché. De</w:t>
            </w:r>
            <w:r w:rsidR="00DF47CA" w:rsidRPr="00C83DA9">
              <w:rPr>
                <w:rFonts w:ascii="Calibri" w:eastAsia="Calibri" w:hAnsi="Calibri" w:cs="Calibri"/>
                <w:sz w:val="22"/>
                <w:lang w:val="fr-FR"/>
              </w:rPr>
              <w:t> </w:t>
            </w:r>
            <w:r w:rsidRPr="00C83DA9">
              <w:rPr>
                <w:rFonts w:ascii="Calibri" w:eastAsia="Calibri" w:hAnsi="Calibri" w:cs="Calibri"/>
                <w:sz w:val="22"/>
                <w:lang w:val="fr-FR"/>
              </w:rPr>
              <w:t xml:space="preserve">plus, pour appuyer la gouvernance numérique, le BDT a fourni une assistance technique à la </w:t>
            </w:r>
            <w:r w:rsidRPr="00C83DA9">
              <w:rPr>
                <w:rFonts w:ascii="Calibri" w:eastAsia="Calibri" w:hAnsi="Calibri" w:cs="Calibri"/>
                <w:b/>
                <w:bCs/>
                <w:sz w:val="22"/>
                <w:lang w:val="fr-FR"/>
              </w:rPr>
              <w:t>République dominicaine</w:t>
            </w:r>
            <w:r w:rsidRPr="00C83DA9">
              <w:rPr>
                <w:rFonts w:ascii="Calibri" w:eastAsia="Calibri" w:hAnsi="Calibri" w:cs="Calibri"/>
                <w:sz w:val="22"/>
                <w:lang w:val="fr-FR"/>
              </w:rPr>
              <w:t>,</w:t>
            </w:r>
            <w:r w:rsidRPr="00C83DA9">
              <w:rPr>
                <w:rFonts w:ascii="Calibri" w:hAnsi="Calibri" w:cs="Calibri"/>
                <w:sz w:val="22"/>
                <w:lang w:val="fr-FR"/>
              </w:rPr>
              <w:t xml:space="preserve"> </w:t>
            </w:r>
            <w:r w:rsidRPr="00C83DA9">
              <w:rPr>
                <w:rFonts w:ascii="Calibri" w:eastAsia="Calibri" w:hAnsi="Calibri" w:cs="Calibri"/>
                <w:b/>
                <w:bCs/>
                <w:sz w:val="22"/>
                <w:lang w:val="fr-FR"/>
              </w:rPr>
              <w:t>Saint</w:t>
            </w:r>
            <w:r w:rsidR="00DF47CA" w:rsidRPr="00C83DA9">
              <w:rPr>
                <w:rFonts w:ascii="Calibri" w:eastAsia="Calibri" w:hAnsi="Calibri" w:cs="Calibri"/>
                <w:b/>
                <w:bCs/>
                <w:sz w:val="22"/>
                <w:lang w:val="fr-FR"/>
              </w:rPr>
              <w:noBreakHyphen/>
            </w:r>
            <w:r w:rsidRPr="00C83DA9">
              <w:rPr>
                <w:rFonts w:ascii="Calibri" w:eastAsia="Calibri" w:hAnsi="Calibri" w:cs="Calibri"/>
                <w:b/>
                <w:bCs/>
                <w:sz w:val="22"/>
                <w:lang w:val="fr-FR"/>
              </w:rPr>
              <w:t>Kitts</w:t>
            </w:r>
            <w:r w:rsidR="00DF47CA" w:rsidRPr="00C83DA9">
              <w:rPr>
                <w:rFonts w:ascii="Calibri" w:eastAsia="Calibri" w:hAnsi="Calibri" w:cs="Calibri"/>
                <w:b/>
                <w:bCs/>
                <w:sz w:val="22"/>
                <w:lang w:val="fr-FR"/>
              </w:rPr>
              <w:noBreakHyphen/>
            </w:r>
            <w:r w:rsidRPr="00C83DA9">
              <w:rPr>
                <w:rFonts w:ascii="Calibri" w:eastAsia="Calibri" w:hAnsi="Calibri" w:cs="Calibri"/>
                <w:b/>
                <w:bCs/>
                <w:sz w:val="22"/>
                <w:lang w:val="fr-FR"/>
              </w:rPr>
              <w:t>et</w:t>
            </w:r>
            <w:r w:rsidR="00DF47CA" w:rsidRPr="00C83DA9">
              <w:rPr>
                <w:rFonts w:ascii="Calibri" w:eastAsia="Calibri" w:hAnsi="Calibri" w:cs="Calibri"/>
                <w:b/>
                <w:bCs/>
                <w:sz w:val="22"/>
                <w:lang w:val="fr-FR"/>
              </w:rPr>
              <w:noBreakHyphen/>
            </w:r>
            <w:r w:rsidRPr="00C83DA9">
              <w:rPr>
                <w:rFonts w:ascii="Calibri" w:eastAsia="Calibri" w:hAnsi="Calibri" w:cs="Calibri"/>
                <w:b/>
                <w:bCs/>
                <w:sz w:val="22"/>
                <w:lang w:val="fr-FR"/>
              </w:rPr>
              <w:t>Nevis</w:t>
            </w:r>
            <w:r w:rsidRPr="00C83DA9">
              <w:rPr>
                <w:rFonts w:ascii="Calibri" w:eastAsia="Calibri" w:hAnsi="Calibri" w:cs="Calibri"/>
                <w:sz w:val="22"/>
                <w:lang w:val="fr-FR"/>
              </w:rPr>
              <w:t xml:space="preserve"> et </w:t>
            </w:r>
            <w:r w:rsidRPr="00C83DA9">
              <w:rPr>
                <w:rFonts w:ascii="Calibri" w:eastAsia="Calibri" w:hAnsi="Calibri" w:cs="Calibri"/>
                <w:b/>
                <w:bCs/>
                <w:sz w:val="22"/>
                <w:lang w:val="fr-FR"/>
              </w:rPr>
              <w:t>Trinité-et-Tobago</w:t>
            </w:r>
            <w:r w:rsidRPr="00C83DA9">
              <w:rPr>
                <w:rFonts w:ascii="Calibri" w:eastAsia="Calibri" w:hAnsi="Calibri" w:cs="Calibri"/>
                <w:sz w:val="22"/>
                <w:lang w:val="fr-FR"/>
              </w:rPr>
              <w:t xml:space="preserve">. L'appui ainsi apporté a aidé ces pays à établir un écosystème juridique cohérent pour les systèmes d'identité électronique, ce qui est essentiel pour sécuriser les services numériques. Le BDT a contribué au Sommet international des femmes sur les technologies organisé en </w:t>
            </w:r>
            <w:r w:rsidRPr="00C83DA9">
              <w:rPr>
                <w:rFonts w:ascii="Calibri" w:eastAsia="Calibri" w:hAnsi="Calibri" w:cs="Calibri"/>
                <w:b/>
                <w:bCs/>
                <w:sz w:val="22"/>
                <w:lang w:val="fr-FR"/>
              </w:rPr>
              <w:t>Haïti</w:t>
            </w:r>
            <w:r w:rsidRPr="00C83DA9">
              <w:rPr>
                <w:rFonts w:ascii="Calibri" w:hAnsi="Calibri" w:cs="Calibri"/>
                <w:sz w:val="22"/>
                <w:lang w:val="fr-FR"/>
              </w:rPr>
              <w:t xml:space="preserve"> </w:t>
            </w:r>
            <w:r w:rsidRPr="00C83DA9">
              <w:rPr>
                <w:rFonts w:ascii="Calibri" w:eastAsia="Calibri" w:hAnsi="Calibri" w:cs="Calibri"/>
                <w:sz w:val="22"/>
                <w:lang w:val="fr-FR"/>
              </w:rPr>
              <w:t>par la Chambre de commerce des femmes d'Haïti, avec l'appui de la Banque centrale et de l'Administration haïtienne (CONATEL), sur le thème "Innovation inclusive: un moteur de rentabilité économique et financière".</w:t>
            </w:r>
          </w:p>
          <w:p w14:paraId="4518D010" w14:textId="319611A1"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Dans la </w:t>
            </w:r>
            <w:r w:rsidRPr="00C83DA9">
              <w:rPr>
                <w:rFonts w:ascii="Calibri" w:eastAsia="Calibri" w:hAnsi="Calibri" w:cs="Calibri"/>
                <w:b/>
                <w:bCs/>
                <w:sz w:val="22"/>
                <w:lang w:val="fr-FR"/>
              </w:rPr>
              <w:t>région des États arabes</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Bahreïn</w:t>
            </w:r>
            <w:r w:rsidRPr="00C83DA9">
              <w:rPr>
                <w:rFonts w:ascii="Calibri" w:eastAsia="Calibri" w:hAnsi="Calibri" w:cs="Calibri"/>
                <w:sz w:val="22"/>
                <w:lang w:val="fr-FR"/>
              </w:rPr>
              <w:t xml:space="preserve"> a établi la version définitive de son profil d'innovation numérique, tandis que le </w:t>
            </w:r>
            <w:r w:rsidRPr="00C83DA9">
              <w:rPr>
                <w:rFonts w:ascii="Calibri" w:eastAsia="Calibri" w:hAnsi="Calibri" w:cs="Calibri"/>
                <w:b/>
                <w:bCs/>
                <w:sz w:val="22"/>
                <w:lang w:val="fr-FR"/>
              </w:rPr>
              <w:t>Qatar</w:t>
            </w:r>
            <w:r w:rsidRPr="00C83DA9">
              <w:rPr>
                <w:rFonts w:ascii="Calibri" w:eastAsia="Calibri" w:hAnsi="Calibri" w:cs="Calibri"/>
                <w:sz w:val="22"/>
                <w:lang w:val="fr-FR"/>
              </w:rPr>
              <w:t xml:space="preserve"> et la </w:t>
            </w:r>
            <w:r w:rsidRPr="00C83DA9">
              <w:rPr>
                <w:rFonts w:ascii="Calibri" w:eastAsia="Calibri" w:hAnsi="Calibri" w:cs="Calibri"/>
                <w:b/>
                <w:bCs/>
                <w:sz w:val="22"/>
                <w:lang w:val="fr-FR"/>
              </w:rPr>
              <w:t>Jordanie</w:t>
            </w:r>
            <w:r w:rsidRPr="00C83DA9">
              <w:rPr>
                <w:rFonts w:ascii="Calibri" w:eastAsia="Calibri" w:hAnsi="Calibri" w:cs="Calibri"/>
                <w:sz w:val="22"/>
                <w:lang w:val="fr-FR"/>
              </w:rPr>
              <w:t xml:space="preserve"> ont avancé et devraient achever ce travail en 2025, et que l'</w:t>
            </w:r>
            <w:r w:rsidRPr="00C83DA9">
              <w:rPr>
                <w:rFonts w:ascii="Calibri" w:eastAsia="Calibri" w:hAnsi="Calibri" w:cs="Calibri"/>
                <w:b/>
                <w:bCs/>
                <w:sz w:val="22"/>
                <w:lang w:val="fr-FR"/>
              </w:rPr>
              <w:t>État de Palestine</w:t>
            </w:r>
            <w:r w:rsidRPr="00C83DA9">
              <w:rPr>
                <w:rFonts w:ascii="Calibri" w:eastAsia="Calibri" w:hAnsi="Calibri" w:cs="Calibri"/>
                <w:sz w:val="22"/>
                <w:lang w:val="fr-FR"/>
              </w:rPr>
              <w:t xml:space="preserve"> et la </w:t>
            </w:r>
            <w:r w:rsidRPr="00C83DA9">
              <w:rPr>
                <w:rFonts w:ascii="Calibri" w:eastAsia="Calibri" w:hAnsi="Calibri" w:cs="Calibri"/>
                <w:b/>
                <w:bCs/>
                <w:sz w:val="22"/>
                <w:lang w:val="fr-FR"/>
              </w:rPr>
              <w:t>Tunisie</w:t>
            </w:r>
            <w:r w:rsidRPr="00C83DA9">
              <w:rPr>
                <w:rFonts w:ascii="Calibri" w:eastAsia="Calibri" w:hAnsi="Calibri" w:cs="Calibri"/>
                <w:sz w:val="22"/>
                <w:lang w:val="fr-FR"/>
              </w:rPr>
              <w:t xml:space="preserve"> ont commencé le processus les concernant. Un nouveau partenariat noué avec la TDRA aux Émirats arabes unis dans le cadre de l'</w:t>
            </w:r>
            <w:r w:rsidR="00877206" w:rsidRPr="00C83DA9">
              <w:rPr>
                <w:rFonts w:ascii="Calibri" w:eastAsia="Calibri" w:hAnsi="Calibri" w:cs="Calibri"/>
                <w:sz w:val="22"/>
                <w:lang w:val="fr-FR"/>
              </w:rPr>
              <w:t>I</w:t>
            </w:r>
            <w:r w:rsidRPr="00C83DA9">
              <w:rPr>
                <w:rFonts w:ascii="Calibri" w:eastAsia="Calibri" w:hAnsi="Calibri" w:cs="Calibri"/>
                <w:sz w:val="22"/>
                <w:lang w:val="fr-FR"/>
              </w:rPr>
              <w:t>nitiative iCodi a permis de donner un caractère institutionnel aux ateliers mondiaux et régionaux en tant que manifestations offrant des possibilités récurrentes de dialogue.</w:t>
            </w:r>
          </w:p>
          <w:p w14:paraId="73A51BE4" w14:textId="6BE8366A" w:rsidR="006773A3" w:rsidRPr="00C83DA9" w:rsidRDefault="006773A3" w:rsidP="00C57A72">
            <w:pPr>
              <w:pStyle w:val="Tabletext"/>
              <w:spacing w:before="120"/>
              <w:rPr>
                <w:rFonts w:ascii="Calibri" w:hAnsi="Calibri" w:cs="Calibri"/>
                <w:sz w:val="22"/>
                <w:lang w:val="fr-FR"/>
              </w:rPr>
            </w:pPr>
            <w:r w:rsidRPr="00C83DA9">
              <w:rPr>
                <w:rFonts w:ascii="Calibri" w:eastAsia="Calibri" w:hAnsi="Calibri" w:cs="Calibri"/>
                <w:sz w:val="22"/>
                <w:lang w:val="fr-FR"/>
              </w:rPr>
              <w:t xml:space="preserve">Dans la </w:t>
            </w:r>
            <w:r w:rsidRPr="00C83DA9">
              <w:rPr>
                <w:rFonts w:ascii="Calibri" w:eastAsia="Calibri" w:hAnsi="Calibri" w:cs="Calibri"/>
                <w:b/>
                <w:bCs/>
                <w:sz w:val="22"/>
                <w:lang w:val="fr-FR"/>
              </w:rPr>
              <w:t>région</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Europe</w:t>
            </w:r>
            <w:r w:rsidRPr="00C83DA9">
              <w:rPr>
                <w:rFonts w:ascii="Calibri" w:eastAsia="Calibri" w:hAnsi="Calibri" w:cs="Calibri"/>
                <w:sz w:val="22"/>
                <w:lang w:val="fr-FR"/>
              </w:rPr>
              <w:t>, l'</w:t>
            </w:r>
            <w:r w:rsidRPr="00C83DA9">
              <w:rPr>
                <w:rFonts w:ascii="Calibri" w:eastAsia="Calibri" w:hAnsi="Calibri" w:cs="Calibri"/>
                <w:b/>
                <w:sz w:val="22"/>
                <w:lang w:val="fr-FR"/>
              </w:rPr>
              <w:t>Albanie</w:t>
            </w:r>
            <w:r w:rsidRPr="00C83DA9">
              <w:rPr>
                <w:rFonts w:ascii="Calibri" w:eastAsia="Calibri" w:hAnsi="Calibri" w:cs="Calibri"/>
                <w:sz w:val="22"/>
                <w:lang w:val="fr-FR"/>
              </w:rPr>
              <w:t xml:space="preserve"> a établi la version définitive de son profil d'innovation numérique en l'alignant sur sa stratégie de spécialisation intelligente et en le mettant en œuvre au moyen d'une commission interministérielle présidée par le Vice-Premier ministre. Le </w:t>
            </w:r>
            <w:r w:rsidRPr="00C83DA9">
              <w:rPr>
                <w:rFonts w:ascii="Calibri" w:eastAsia="Calibri" w:hAnsi="Calibri" w:cs="Calibri"/>
                <w:b/>
                <w:bCs/>
                <w:sz w:val="22"/>
                <w:lang w:val="fr-FR"/>
              </w:rPr>
              <w:t>Monténégro</w:t>
            </w:r>
            <w:r w:rsidRPr="00C83DA9">
              <w:rPr>
                <w:rFonts w:ascii="Calibri" w:eastAsia="Calibri" w:hAnsi="Calibri" w:cs="Calibri"/>
                <w:sz w:val="22"/>
                <w:lang w:val="fr-FR"/>
              </w:rPr>
              <w:t xml:space="preserve"> a poursuivi ses initiatives en faveur de la transformation numérique en collaboration avec l'UNOPS et a accueilli en 2025 l'</w:t>
            </w:r>
            <w:hyperlink r:id="rId96" w:history="1">
              <w:r w:rsidRPr="00C83DA9">
                <w:rPr>
                  <w:rStyle w:val="Hyperlink"/>
                  <w:rFonts w:ascii="Calibri" w:eastAsia="Calibri" w:hAnsi="Calibri" w:cs="Calibri"/>
                  <w:sz w:val="22"/>
                  <w:lang w:val="fr-FR"/>
                </w:rPr>
                <w:t>Atelier d'accélération des initiatives régionales</w:t>
              </w:r>
            </w:hyperlink>
            <w:r w:rsidRPr="00C83DA9">
              <w:rPr>
                <w:rFonts w:ascii="Calibri" w:eastAsia="Calibri" w:hAnsi="Calibri" w:cs="Calibri"/>
                <w:sz w:val="22"/>
                <w:lang w:val="fr-FR"/>
              </w:rPr>
              <w:t>, qui a abouti à l'élaboration de cinq concepts de projet à l'intention des pays des Balkans occidentaux, pour une valeur de 20 millions USD. Le rapport sur le paysage de l'innovation à</w:t>
            </w:r>
            <w:r w:rsidR="00C57A72" w:rsidRPr="00C83DA9">
              <w:rPr>
                <w:rFonts w:ascii="Calibri" w:eastAsia="Calibri" w:hAnsi="Calibri" w:cs="Calibri"/>
                <w:sz w:val="22"/>
                <w:lang w:val="fr-FR"/>
              </w:rPr>
              <w:t xml:space="preserve"> </w:t>
            </w:r>
            <w:r w:rsidRPr="00C83DA9">
              <w:rPr>
                <w:rFonts w:ascii="Calibri" w:eastAsia="Calibri" w:hAnsi="Calibri" w:cs="Calibri"/>
                <w:b/>
                <w:bCs/>
                <w:sz w:val="22"/>
                <w:lang w:val="fr-FR"/>
              </w:rPr>
              <w:t>Malte</w:t>
            </w:r>
            <w:r w:rsidRPr="00C83DA9">
              <w:rPr>
                <w:rFonts w:ascii="Calibri" w:eastAsia="Calibri" w:hAnsi="Calibri" w:cs="Calibri"/>
                <w:sz w:val="22"/>
                <w:lang w:val="fr-FR"/>
              </w:rPr>
              <w:t>, publié lors de l'édition de 2024 du Forum mondial de l'innovation, a renforcé le statut du pays en tant qu'exemple à suivre en matière d'intégration des parties prenantes et de planification fondée sur la prospective, ouvrant ainsi la voie aux autres États</w:t>
            </w:r>
            <w:r w:rsidR="00877206" w:rsidRPr="00C83DA9">
              <w:rPr>
                <w:rFonts w:ascii="Calibri" w:eastAsia="Calibri" w:hAnsi="Calibri" w:cs="Calibri"/>
                <w:sz w:val="22"/>
                <w:lang w:val="fr-FR"/>
              </w:rPr>
              <w:t> </w:t>
            </w:r>
            <w:r w:rsidRPr="00C83DA9">
              <w:rPr>
                <w:rFonts w:ascii="Calibri" w:eastAsia="Calibri" w:hAnsi="Calibri" w:cs="Calibri"/>
                <w:sz w:val="22"/>
                <w:lang w:val="fr-FR"/>
              </w:rPr>
              <w:t>Membres.</w:t>
            </w:r>
          </w:p>
          <w:p w14:paraId="50A2A7FB" w14:textId="187ECD6E"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Dans la </w:t>
            </w:r>
            <w:r w:rsidRPr="00C83DA9">
              <w:rPr>
                <w:rFonts w:ascii="Calibri" w:eastAsia="Calibri" w:hAnsi="Calibri" w:cs="Calibri"/>
                <w:b/>
                <w:bCs/>
                <w:sz w:val="22"/>
                <w:lang w:val="fr-FR"/>
              </w:rPr>
              <w:t>région de la CEI</w:t>
            </w:r>
            <w:r w:rsidRPr="00C83DA9">
              <w:rPr>
                <w:rFonts w:ascii="Calibri" w:eastAsia="Calibri" w:hAnsi="Calibri" w:cs="Calibri"/>
                <w:sz w:val="22"/>
                <w:lang w:val="fr-FR"/>
              </w:rPr>
              <w:t xml:space="preserve">, le </w:t>
            </w:r>
            <w:r w:rsidRPr="00C83DA9">
              <w:rPr>
                <w:rFonts w:ascii="Calibri" w:eastAsia="Calibri" w:hAnsi="Calibri" w:cs="Calibri"/>
                <w:b/>
                <w:bCs/>
                <w:sz w:val="22"/>
                <w:lang w:val="fr-FR"/>
              </w:rPr>
              <w:t>Tadjikistan</w:t>
            </w:r>
            <w:r w:rsidRPr="00C83DA9">
              <w:rPr>
                <w:rFonts w:ascii="Calibri" w:eastAsia="Calibri" w:hAnsi="Calibri" w:cs="Calibri"/>
                <w:sz w:val="22"/>
                <w:lang w:val="fr-FR"/>
              </w:rPr>
              <w:t xml:space="preserve"> a accueilli des "concours d'idées" afin de permettre à des étudiants d'acquérir des connaissances de base sur la création de start-up et sur les compétences entrepreneuriales, tandis que le </w:t>
            </w:r>
            <w:r w:rsidRPr="00C83DA9">
              <w:rPr>
                <w:rFonts w:ascii="Calibri" w:eastAsia="Calibri" w:hAnsi="Calibri" w:cs="Calibri"/>
                <w:b/>
                <w:bCs/>
                <w:sz w:val="22"/>
                <w:lang w:val="fr-FR"/>
              </w:rPr>
              <w:t>Bélarus</w:t>
            </w:r>
            <w:r w:rsidRPr="00C83DA9">
              <w:rPr>
                <w:rFonts w:ascii="Calibri" w:eastAsia="Calibri" w:hAnsi="Calibri" w:cs="Calibri"/>
                <w:sz w:val="22"/>
                <w:lang w:val="fr-FR"/>
              </w:rPr>
              <w:t xml:space="preserve"> a organisé un hackathon sur les villes intelligentes, auquel ont pris part plus de cent universités qui ont développé des solutions technologiques pour relever les défis urbains. Le </w:t>
            </w:r>
            <w:r w:rsidRPr="00C83DA9">
              <w:rPr>
                <w:rFonts w:ascii="Calibri" w:eastAsia="Calibri" w:hAnsi="Calibri" w:cs="Calibri"/>
                <w:b/>
                <w:bCs/>
                <w:sz w:val="22"/>
                <w:lang w:val="fr-FR"/>
              </w:rPr>
              <w:t>Kirghizistan</w:t>
            </w:r>
            <w:r w:rsidRPr="00C83DA9">
              <w:rPr>
                <w:rFonts w:ascii="Calibri" w:eastAsia="Calibri" w:hAnsi="Calibri" w:cs="Calibri"/>
                <w:sz w:val="22"/>
                <w:lang w:val="fr-FR"/>
              </w:rPr>
              <w:t xml:space="preserve"> a travaillé sur l'élaboration d'une stratégie nationale relative à l'écosystème des start-up en 2025, appuyée par la formation des responsables d'accélérateur d'entreprises afin de renforcer l'infrastructure de l'innovation. </w:t>
            </w:r>
            <w:r w:rsidRPr="00C83DA9">
              <w:rPr>
                <w:rFonts w:ascii="Calibri" w:eastAsia="Calibri" w:hAnsi="Calibri" w:cs="Calibri"/>
                <w:sz w:val="22"/>
                <w:lang w:val="fr-FR"/>
              </w:rPr>
              <w:lastRenderedPageBreak/>
              <w:t>Le</w:t>
            </w:r>
            <w:r w:rsidR="001B5292" w:rsidRPr="00C83DA9">
              <w:rPr>
                <w:rFonts w:ascii="Calibri" w:eastAsia="Calibri" w:hAnsi="Calibri" w:cs="Calibri"/>
                <w:sz w:val="22"/>
                <w:lang w:val="fr-FR"/>
              </w:rPr>
              <w:t> </w:t>
            </w:r>
            <w:r w:rsidRPr="00C83DA9">
              <w:rPr>
                <w:rFonts w:ascii="Calibri" w:eastAsia="Calibri" w:hAnsi="Calibri" w:cs="Calibri"/>
                <w:sz w:val="22"/>
                <w:lang w:val="fr-FR"/>
              </w:rPr>
              <w:t>hackathon "Batken 4.0" a rassemblé des collectivités locales, des universités et des entrepreneurs qui ont imaginé ensemble des solutions numériques pour répondre aux besoins locaux, démontrant ainsi que l'innovation peut découler des priorités communautaires. Ces efforts ont montré que la région prend progressivement conscience que les écosystèmes numériques prospèrent dès lors que les jeunes talents et les acteurs locaux sont placés au cœur de l'innovation.</w:t>
            </w:r>
          </w:p>
          <w:p w14:paraId="7B4BCC79" w14:textId="31F4BC28"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Le BDT continue de tester un </w:t>
            </w:r>
            <w:r w:rsidRPr="00C83DA9">
              <w:rPr>
                <w:rFonts w:ascii="Calibri" w:eastAsia="Calibri" w:hAnsi="Calibri" w:cs="Calibri"/>
                <w:b/>
                <w:bCs/>
                <w:sz w:val="22"/>
                <w:lang w:val="fr-FR"/>
              </w:rPr>
              <w:t>cadre d'accélération des initiatives régionales</w:t>
            </w:r>
            <w:r w:rsidRPr="00C83DA9">
              <w:rPr>
                <w:rFonts w:ascii="Calibri" w:eastAsia="Calibri" w:hAnsi="Calibri" w:cs="Calibri"/>
                <w:sz w:val="22"/>
                <w:lang w:val="fr-FR"/>
              </w:rPr>
              <w:t xml:space="preserve"> grâce à des financements du Ministère de l'industrie et des technologies de l'information de la Chine, prépare la mise en œuvre et l'intégration de ce cadre dans les nouvelles initiatives régionales qui seront adoptées à Bakou (République d'Azerbaïdjan) et s'emploie à accélérer l'obtention des effets découlant des stratégies, des feuilles de route ou des activités menées dans le cadre des cafés de l'innovation. Ces mesures sont en passe de créer des canaux systémiques pour la fourniture de services pour appuyer les États Membres de l'UIT.</w:t>
            </w:r>
          </w:p>
          <w:p w14:paraId="0C3A2078" w14:textId="14E328B8" w:rsidR="006773A3" w:rsidRPr="00C83DA9" w:rsidRDefault="006773A3" w:rsidP="006773A3">
            <w:pPr>
              <w:pStyle w:val="Tabletext"/>
              <w:spacing w:before="120"/>
              <w:rPr>
                <w:rFonts w:ascii="Calibri" w:eastAsia="Calibri" w:hAnsi="Calibri" w:cs="Calibri"/>
                <w:sz w:val="22"/>
                <w:lang w:val="fr-FR"/>
              </w:rPr>
            </w:pPr>
            <w:r w:rsidRPr="00C83DA9">
              <w:rPr>
                <w:rFonts w:ascii="Calibri" w:hAnsi="Calibri" w:cs="Calibri"/>
                <w:sz w:val="22"/>
                <w:lang w:val="fr-FR"/>
              </w:rPr>
              <w:t>Globalement, les écosystèmes d'innovation numérique ont évolué vers une mise en œuvre structurée, stimulée par les instruments de l'</w:t>
            </w:r>
            <w:r w:rsidRPr="00C83DA9">
              <w:rPr>
                <w:rFonts w:ascii="Calibri" w:hAnsi="Calibri" w:cs="Calibri"/>
                <w:b/>
                <w:bCs/>
                <w:sz w:val="22"/>
                <w:lang w:val="fr-FR"/>
              </w:rPr>
              <w:t>Alliance pour l'innovation et de l'entrepreneuriat au service du développement du numérique</w:t>
            </w:r>
            <w:r w:rsidRPr="00C83DA9">
              <w:rPr>
                <w:rFonts w:ascii="Calibri" w:hAnsi="Calibri" w:cs="Calibri"/>
                <w:sz w:val="22"/>
                <w:lang w:val="fr-FR"/>
              </w:rPr>
              <w:t>, les plates-formes de connaissances et l'assistance technique fournie au niveau des pays.</w:t>
            </w:r>
          </w:p>
          <w:p w14:paraId="6921384D" w14:textId="3635A897"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Pris ensemble, ces efforts soulignent plusieurs tendances essentielles: il est nécessaire de doter les pays de la capacité d'évoluer dans un environnement changeant; de trouver des espaces pour expérimenter les politiques et mener des initiatives; d'institutionnaliser la gouvernance de l'innovation; de tirer profit de méthodes et de connaissances mondiales pour renforcer l'innovation numérique menée par les acteurs locaux; d'encourager les start-up et les petites et moyennes entreprises (PME); et de donner aux parties prenantes les moyens de collaborer activement et de définir leurs écosystèmes numériques pour favoriser le développement socio</w:t>
            </w:r>
            <w:r w:rsidR="008F6501" w:rsidRPr="00C83DA9">
              <w:rPr>
                <w:rFonts w:ascii="Calibri" w:eastAsia="Calibri" w:hAnsi="Calibri" w:cs="Calibri"/>
                <w:sz w:val="22"/>
                <w:lang w:val="fr-FR"/>
              </w:rPr>
              <w:noBreakHyphen/>
            </w:r>
            <w:r w:rsidRPr="00C83DA9">
              <w:rPr>
                <w:rFonts w:ascii="Calibri" w:eastAsia="Calibri" w:hAnsi="Calibri" w:cs="Calibri"/>
                <w:sz w:val="22"/>
                <w:lang w:val="fr-FR"/>
              </w:rPr>
              <w:t>économique.</w:t>
            </w:r>
          </w:p>
          <w:p w14:paraId="6CF5B769" w14:textId="67DB3C1F" w:rsidR="006773A3" w:rsidRPr="00C83DA9" w:rsidRDefault="006773A3" w:rsidP="00DC1608">
            <w:pPr>
              <w:pStyle w:val="Tabletext"/>
              <w:spacing w:before="120" w:after="120"/>
              <w:rPr>
                <w:rFonts w:ascii="Calibri" w:eastAsia="Calibri" w:hAnsi="Calibri" w:cs="Calibri"/>
                <w:sz w:val="22"/>
                <w:lang w:val="fr-FR"/>
              </w:rPr>
            </w:pPr>
            <w:r w:rsidRPr="00C83DA9">
              <w:rPr>
                <w:rFonts w:ascii="Calibri" w:eastAsia="Calibri" w:hAnsi="Calibri" w:cs="Calibri"/>
                <w:sz w:val="22"/>
                <w:lang w:val="fr-FR"/>
              </w:rPr>
              <w:t>Le BDT, en tant que catalyseur d'écosystèmes d'innovation inclusifs, résilients et parés pour l'avenir, continue d'appuyer les États</w:t>
            </w:r>
            <w:r w:rsidR="00877206" w:rsidRPr="00C83DA9">
              <w:rPr>
                <w:rFonts w:ascii="Calibri" w:eastAsia="Calibri" w:hAnsi="Calibri" w:cs="Calibri"/>
                <w:sz w:val="22"/>
                <w:lang w:val="fr-FR"/>
              </w:rPr>
              <w:t> </w:t>
            </w:r>
            <w:r w:rsidRPr="00C83DA9">
              <w:rPr>
                <w:rFonts w:ascii="Calibri" w:eastAsia="Calibri" w:hAnsi="Calibri" w:cs="Calibri"/>
                <w:sz w:val="22"/>
                <w:lang w:val="fr-FR"/>
              </w:rPr>
              <w:t>Membres, en les dotant des outils et des connaissances nécessaires pour aligner leurs programmes nationaux en matière de numérique sur le développement durable et l'économie numérique en pleine évolution.</w:t>
            </w:r>
          </w:p>
        </w:tc>
        <w:tc>
          <w:tcPr>
            <w:tcW w:w="2693" w:type="dxa"/>
          </w:tcPr>
          <w:p w14:paraId="298A2B96" w14:textId="36A75EFA" w:rsidR="006773A3" w:rsidRPr="00C83DA9" w:rsidRDefault="006773A3" w:rsidP="006B27DC">
            <w:pPr>
              <w:pStyle w:val="Tabletext"/>
              <w:keepNext/>
              <w:spacing w:before="240"/>
              <w:rPr>
                <w:rFonts w:eastAsia="Times New Roman" w:cs="Times New Roman"/>
                <w:b/>
                <w:bCs/>
                <w:color w:val="0070C0"/>
                <w:kern w:val="0"/>
                <w:sz w:val="22"/>
                <w:lang w:val="fr-FR"/>
                <w14:ligatures w14:val="none"/>
              </w:rPr>
            </w:pPr>
            <w:r w:rsidRPr="00C83DA9">
              <w:rPr>
                <w:b/>
                <w:bCs/>
                <w:color w:val="0070C0"/>
                <w:sz w:val="22"/>
                <w:lang w:val="fr-FR"/>
              </w:rPr>
              <w:lastRenderedPageBreak/>
              <w:t xml:space="preserve">Profils d'innovation </w:t>
            </w:r>
            <w:r w:rsidRPr="00C83DA9">
              <w:rPr>
                <w:rFonts w:eastAsia="Times New Roman" w:cs="Times New Roman"/>
                <w:b/>
                <w:bCs/>
                <w:color w:val="0070C0"/>
                <w:kern w:val="0"/>
                <w:sz w:val="22"/>
                <w:lang w:val="fr-FR"/>
                <w14:ligatures w14:val="none"/>
              </w:rPr>
              <w:t>numérique</w:t>
            </w:r>
          </w:p>
          <w:p w14:paraId="34B6D775" w14:textId="43D39990" w:rsidR="006773A3" w:rsidRPr="00C83DA9" w:rsidRDefault="006773A3" w:rsidP="00421884">
            <w:pPr>
              <w:pStyle w:val="Tabletext"/>
              <w:rPr>
                <w:color w:val="1F497D" w:themeColor="text2"/>
                <w:sz w:val="22"/>
                <w:szCs w:val="24"/>
                <w:lang w:val="fr-FR"/>
              </w:rPr>
            </w:pPr>
            <w:r w:rsidRPr="00C83DA9">
              <w:rPr>
                <w:color w:val="1F497D" w:themeColor="text2"/>
                <w:sz w:val="22"/>
                <w:szCs w:val="24"/>
                <w:lang w:val="fr-FR"/>
              </w:rPr>
              <w:t>Élaboration de stratégies, politiques et feuilles de routes et de profils d'innovation numérique:</w:t>
            </w:r>
          </w:p>
          <w:p w14:paraId="657485A8" w14:textId="68F832CD" w:rsidR="006773A3" w:rsidRPr="00C83DA9" w:rsidRDefault="00162E80" w:rsidP="00A81F12">
            <w:pPr>
              <w:pStyle w:val="enumlev1"/>
              <w:tabs>
                <w:tab w:val="clear" w:pos="1134"/>
                <w:tab w:val="left" w:pos="356"/>
              </w:tabs>
              <w:spacing w:before="40" w:after="40"/>
              <w:ind w:left="386" w:hanging="386"/>
              <w:rPr>
                <w:rFonts w:ascii="Calibri" w:eastAsia="Calibri" w:hAnsi="Calibri" w:cs="Calibri"/>
                <w:color w:val="1F497D" w:themeColor="text2"/>
                <w:szCs w:val="24"/>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b/>
                <w:bCs/>
                <w:kern w:val="0"/>
                <w:sz w:val="22"/>
                <w:lang w:val="fr-FR"/>
                <w14:ligatures w14:val="none"/>
              </w:rPr>
              <w:t>Afrique</w:t>
            </w:r>
            <w:r w:rsidR="006773A3" w:rsidRPr="00C83DA9">
              <w:rPr>
                <w:rFonts w:eastAsia="Times New Roman" w:cs="Times New Roman"/>
                <w:color w:val="1F497D"/>
                <w:kern w:val="0"/>
                <w:sz w:val="22"/>
                <w:lang w:val="fr-FR"/>
                <w14:ligatures w14:val="none"/>
              </w:rPr>
              <w:t>: Mozambique, Zambie, Zimbabwe</w:t>
            </w:r>
            <w:r w:rsidR="00262321" w:rsidRPr="00C83DA9">
              <w:rPr>
                <w:rFonts w:eastAsia="Times New Roman" w:cs="Times New Roman"/>
                <w:color w:val="1F497D"/>
                <w:kern w:val="0"/>
                <w:sz w:val="22"/>
                <w:lang w:val="fr-FR"/>
                <w14:ligatures w14:val="none"/>
              </w:rPr>
              <w:t>.</w:t>
            </w:r>
          </w:p>
          <w:p w14:paraId="42387C49" w14:textId="766FFE49" w:rsidR="006773A3" w:rsidRPr="00C83DA9" w:rsidRDefault="00162E80" w:rsidP="00A81F12">
            <w:pPr>
              <w:pStyle w:val="enumlev1"/>
              <w:tabs>
                <w:tab w:val="clear" w:pos="1134"/>
                <w:tab w:val="left" w:pos="356"/>
              </w:tabs>
              <w:spacing w:before="40" w:after="40"/>
              <w:ind w:left="386" w:hanging="386"/>
              <w:rPr>
                <w:rFonts w:eastAsia="Times New Roman" w:cs="Times New Roman"/>
                <w:color w:val="1F497D"/>
                <w:kern w:val="0"/>
                <w:sz w:val="22"/>
                <w:lang w:val="fr-FR"/>
                <w14:ligatures w14:val="none"/>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b/>
                <w:bCs/>
                <w:kern w:val="0"/>
                <w:sz w:val="22"/>
                <w:lang w:val="fr-FR"/>
                <w14:ligatures w14:val="none"/>
              </w:rPr>
              <w:t>États arabes</w:t>
            </w:r>
            <w:r w:rsidR="006773A3" w:rsidRPr="00C83DA9">
              <w:rPr>
                <w:rFonts w:eastAsia="Times New Roman" w:cs="Times New Roman"/>
                <w:color w:val="1F497D"/>
                <w:kern w:val="0"/>
                <w:sz w:val="22"/>
                <w:lang w:val="fr-FR"/>
                <w14:ligatures w14:val="none"/>
              </w:rPr>
              <w:t xml:space="preserve">: Bahreïn, Jordan, Oman, </w:t>
            </w:r>
            <w:r w:rsidR="00262321" w:rsidRPr="00C83DA9">
              <w:rPr>
                <w:rFonts w:eastAsia="Times New Roman" w:cs="Times New Roman"/>
                <w:color w:val="1F497D"/>
                <w:kern w:val="0"/>
                <w:sz w:val="22"/>
                <w:lang w:val="fr-FR"/>
                <w14:ligatures w14:val="none"/>
              </w:rPr>
              <w:t>É</w:t>
            </w:r>
            <w:r w:rsidR="00262321" w:rsidRPr="00C83DA9">
              <w:rPr>
                <w:color w:val="1F497D"/>
                <w:sz w:val="22"/>
                <w:lang w:val="fr-FR"/>
              </w:rPr>
              <w:t xml:space="preserve">tat de </w:t>
            </w:r>
            <w:r w:rsidR="006773A3" w:rsidRPr="00C83DA9">
              <w:rPr>
                <w:rFonts w:eastAsia="Times New Roman" w:cs="Times New Roman"/>
                <w:color w:val="1F497D"/>
                <w:kern w:val="0"/>
                <w:sz w:val="22"/>
                <w:lang w:val="fr-FR"/>
                <w14:ligatures w14:val="none"/>
              </w:rPr>
              <w:t>Palestine, Qatar</w:t>
            </w:r>
            <w:r w:rsidR="00262321" w:rsidRPr="00C83DA9">
              <w:rPr>
                <w:rFonts w:eastAsia="Times New Roman" w:cs="Times New Roman"/>
                <w:color w:val="1F497D"/>
                <w:kern w:val="0"/>
                <w:sz w:val="22"/>
                <w:lang w:val="fr-FR"/>
                <w14:ligatures w14:val="none"/>
              </w:rPr>
              <w:t>.</w:t>
            </w:r>
          </w:p>
          <w:p w14:paraId="0C04D8D6" w14:textId="6B392E81" w:rsidR="006773A3" w:rsidRPr="00C83DA9" w:rsidRDefault="00162E80" w:rsidP="00A81F12">
            <w:pPr>
              <w:pStyle w:val="enumlev1"/>
              <w:tabs>
                <w:tab w:val="clear" w:pos="1134"/>
                <w:tab w:val="left" w:pos="356"/>
              </w:tabs>
              <w:spacing w:before="40" w:after="40"/>
              <w:ind w:left="386" w:hanging="386"/>
              <w:rPr>
                <w:rFonts w:eastAsia="Times New Roman" w:cs="Times New Roman"/>
                <w:color w:val="1F497D"/>
                <w:kern w:val="0"/>
                <w:sz w:val="22"/>
                <w:lang w:val="fr-FR"/>
                <w14:ligatures w14:val="none"/>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b/>
                <w:bCs/>
                <w:kern w:val="0"/>
                <w:sz w:val="22"/>
                <w:lang w:val="fr-FR"/>
                <w14:ligatures w14:val="none"/>
              </w:rPr>
              <w:t>Europe</w:t>
            </w:r>
            <w:r w:rsidR="006773A3" w:rsidRPr="00C83DA9">
              <w:rPr>
                <w:rFonts w:eastAsia="Times New Roman" w:cs="Times New Roman"/>
                <w:color w:val="1F497D"/>
                <w:kern w:val="0"/>
                <w:sz w:val="22"/>
                <w:lang w:val="fr-FR"/>
                <w14:ligatures w14:val="none"/>
              </w:rPr>
              <w:t>: Albanie, Géorgie, Macédoine du Nord, Serbie</w:t>
            </w:r>
            <w:r w:rsidR="00262321" w:rsidRPr="00C83DA9">
              <w:rPr>
                <w:rFonts w:eastAsia="Times New Roman" w:cs="Times New Roman"/>
                <w:color w:val="1F497D"/>
                <w:kern w:val="0"/>
                <w:sz w:val="22"/>
                <w:lang w:val="fr-FR"/>
                <w14:ligatures w14:val="none"/>
              </w:rPr>
              <w:t>.</w:t>
            </w:r>
          </w:p>
          <w:p w14:paraId="30FF34D4" w14:textId="0BB9EE4C" w:rsidR="006773A3" w:rsidRPr="00C83DA9" w:rsidRDefault="00162E80" w:rsidP="00A81F12">
            <w:pPr>
              <w:pStyle w:val="enumlev1"/>
              <w:tabs>
                <w:tab w:val="clear" w:pos="1134"/>
                <w:tab w:val="left" w:pos="356"/>
              </w:tabs>
              <w:spacing w:before="40" w:after="40"/>
              <w:ind w:left="386" w:hanging="386"/>
              <w:rPr>
                <w:rFonts w:eastAsia="Times New Roman" w:cs="Times New Roman"/>
                <w:color w:val="1F497D"/>
                <w:kern w:val="0"/>
                <w:sz w:val="22"/>
                <w:lang w:val="fr-FR"/>
                <w14:ligatures w14:val="none"/>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b/>
                <w:bCs/>
                <w:kern w:val="0"/>
                <w:sz w:val="22"/>
                <w:lang w:val="fr-FR"/>
                <w14:ligatures w14:val="none"/>
              </w:rPr>
              <w:t>Asie</w:t>
            </w:r>
            <w:r w:rsidR="006773A3" w:rsidRPr="00C83DA9">
              <w:rPr>
                <w:rFonts w:eastAsia="Times New Roman" w:cs="Times New Roman"/>
                <w:color w:val="1F497D"/>
                <w:kern w:val="0"/>
                <w:sz w:val="22"/>
                <w:lang w:val="fr-FR"/>
                <w14:ligatures w14:val="none"/>
              </w:rPr>
              <w:t>: Brunéi Darussalam</w:t>
            </w:r>
            <w:r w:rsidR="00262321" w:rsidRPr="00C83DA9">
              <w:rPr>
                <w:rFonts w:eastAsia="Times New Roman" w:cs="Times New Roman"/>
                <w:color w:val="1F497D"/>
                <w:kern w:val="0"/>
                <w:sz w:val="22"/>
                <w:lang w:val="fr-FR"/>
                <w14:ligatures w14:val="none"/>
              </w:rPr>
              <w:t>.</w:t>
            </w:r>
          </w:p>
          <w:p w14:paraId="4467A217" w14:textId="1AB74DB7" w:rsidR="006773A3" w:rsidRPr="00C83DA9" w:rsidRDefault="006773A3" w:rsidP="00EC0E1A">
            <w:pPr>
              <w:pStyle w:val="Tabletext"/>
              <w:keepNext/>
              <w:rPr>
                <w:b/>
                <w:bCs/>
                <w:color w:val="1F497D" w:themeColor="text2"/>
                <w:sz w:val="22"/>
                <w:szCs w:val="24"/>
                <w:lang w:val="fr-FR"/>
              </w:rPr>
            </w:pPr>
            <w:r w:rsidRPr="00C83DA9">
              <w:rPr>
                <w:b/>
                <w:bCs/>
                <w:color w:val="1F497D" w:themeColor="text2"/>
                <w:sz w:val="22"/>
                <w:szCs w:val="24"/>
                <w:lang w:val="fr-FR"/>
              </w:rPr>
              <w:t>PMA, PDSL ET PEID mobilisés ou aidés – Transformation numérique:</w:t>
            </w:r>
          </w:p>
          <w:p w14:paraId="56C216FC" w14:textId="417B35E6" w:rsidR="006773A3" w:rsidRPr="00C83DA9" w:rsidRDefault="00162E80" w:rsidP="00EC0E1A">
            <w:pPr>
              <w:pStyle w:val="enumlev1"/>
              <w:keepLines/>
              <w:tabs>
                <w:tab w:val="clear" w:pos="1134"/>
                <w:tab w:val="left" w:pos="356"/>
              </w:tabs>
              <w:spacing w:before="40" w:after="40"/>
              <w:ind w:left="386" w:hanging="386"/>
              <w:rPr>
                <w:rFonts w:eastAsia="Times New Roman" w:cs="Times New Roman"/>
                <w:color w:val="1F497D"/>
                <w:kern w:val="0"/>
                <w:sz w:val="22"/>
                <w:lang w:val="fr-FR"/>
                <w14:ligatures w14:val="none"/>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color w:val="1F497D"/>
                <w:kern w:val="0"/>
                <w:sz w:val="22"/>
                <w:lang w:val="fr-FR"/>
                <w14:ligatures w14:val="none"/>
              </w:rPr>
              <w:t>39 PMA, PDSL ET PEID ont bénéficié d'un appui.</w:t>
            </w:r>
          </w:p>
          <w:p w14:paraId="6EF89816" w14:textId="231C2C90" w:rsidR="006773A3" w:rsidRPr="00C83DA9" w:rsidRDefault="00162E80" w:rsidP="00A81F12">
            <w:pPr>
              <w:pStyle w:val="enumlev1"/>
              <w:tabs>
                <w:tab w:val="clear" w:pos="1134"/>
                <w:tab w:val="left" w:pos="356"/>
              </w:tabs>
              <w:spacing w:before="40" w:after="40"/>
              <w:ind w:left="386" w:hanging="386"/>
              <w:rPr>
                <w:rFonts w:eastAsia="Times New Roman" w:cs="Times New Roman"/>
                <w:color w:val="1F497D"/>
                <w:kern w:val="0"/>
                <w:sz w:val="22"/>
                <w:lang w:val="fr-FR"/>
                <w14:ligatures w14:val="none"/>
              </w:rPr>
            </w:pPr>
            <w:r w:rsidRPr="00C83DA9">
              <w:rPr>
                <w:rFonts w:eastAsia="Times New Roman" w:cs="Times New Roman"/>
                <w:color w:val="1F497D"/>
                <w:kern w:val="0"/>
                <w:sz w:val="22"/>
                <w:lang w:val="fr-FR"/>
                <w14:ligatures w14:val="none"/>
              </w:rPr>
              <w:lastRenderedPageBreak/>
              <w:t>•</w:t>
            </w:r>
            <w:r w:rsidRPr="00C83DA9">
              <w:rPr>
                <w:rFonts w:eastAsia="Times New Roman" w:cs="Times New Roman"/>
                <w:color w:val="1F497D"/>
                <w:kern w:val="0"/>
                <w:sz w:val="22"/>
                <w:lang w:val="fr-FR"/>
                <w14:ligatures w14:val="none"/>
              </w:rPr>
              <w:tab/>
            </w:r>
            <w:r w:rsidR="006773A3" w:rsidRPr="00C83DA9">
              <w:rPr>
                <w:rFonts w:eastAsia="Times New Roman" w:cs="Times New Roman"/>
                <w:color w:val="1F497D"/>
                <w:kern w:val="0"/>
                <w:sz w:val="22"/>
                <w:lang w:val="fr-FR"/>
                <w14:ligatures w14:val="none"/>
              </w:rPr>
              <w:t>17 ont bénéficié d'une assistance techniques.</w:t>
            </w:r>
          </w:p>
          <w:p w14:paraId="6B817190" w14:textId="789159BA" w:rsidR="006773A3" w:rsidRPr="00C83DA9" w:rsidRDefault="00162E80" w:rsidP="0085099B">
            <w:pPr>
              <w:pStyle w:val="enumlev1"/>
              <w:tabs>
                <w:tab w:val="clear" w:pos="1134"/>
                <w:tab w:val="left" w:pos="356"/>
              </w:tabs>
              <w:spacing w:before="40" w:after="40"/>
              <w:ind w:left="386" w:hanging="386"/>
              <w:rPr>
                <w:rFonts w:ascii="Calibri" w:eastAsia="Calibri" w:hAnsi="Calibri" w:cs="Calibri"/>
                <w:color w:val="1F497D" w:themeColor="text2"/>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color w:val="1F497D"/>
                <w:kern w:val="0"/>
                <w:sz w:val="22"/>
                <w:lang w:val="fr-FR"/>
                <w14:ligatures w14:val="none"/>
              </w:rPr>
              <w:t>Des cadres politiques et des supports de connaissance ont été élaborés dans 22</w:t>
            </w:r>
            <w:r w:rsidR="00DF47CA" w:rsidRPr="00C83DA9">
              <w:rPr>
                <w:rFonts w:eastAsia="Times New Roman" w:cs="Times New Roman"/>
                <w:color w:val="1F497D"/>
                <w:kern w:val="0"/>
                <w:sz w:val="22"/>
                <w:lang w:val="fr-FR"/>
                <w14:ligatures w14:val="none"/>
              </w:rPr>
              <w:t> </w:t>
            </w:r>
            <w:r w:rsidR="006773A3" w:rsidRPr="00C83DA9">
              <w:rPr>
                <w:rFonts w:eastAsia="Times New Roman" w:cs="Times New Roman"/>
                <w:color w:val="1F497D"/>
                <w:kern w:val="0"/>
                <w:sz w:val="22"/>
                <w:lang w:val="fr-FR"/>
                <w14:ligatures w14:val="none"/>
              </w:rPr>
              <w:t>pays.</w:t>
            </w:r>
          </w:p>
          <w:p w14:paraId="5FEE935A" w14:textId="12D37803" w:rsidR="006773A3" w:rsidRPr="00C83DA9" w:rsidRDefault="006773A3" w:rsidP="0085099B">
            <w:pPr>
              <w:pStyle w:val="Tabletext"/>
              <w:keepNext/>
              <w:spacing w:before="120"/>
              <w:rPr>
                <w:b/>
                <w:bCs/>
                <w:color w:val="0070C0"/>
                <w:sz w:val="22"/>
                <w:lang w:val="fr-FR"/>
              </w:rPr>
            </w:pPr>
            <w:r w:rsidRPr="00C83DA9">
              <w:rPr>
                <w:b/>
                <w:bCs/>
                <w:color w:val="0070C0"/>
                <w:sz w:val="22"/>
                <w:lang w:val="fr-FR"/>
              </w:rPr>
              <w:t>Forum mondial de l'innovation et manifestations dans le domaine du renforcement des capacités d'innovation:</w:t>
            </w:r>
          </w:p>
          <w:p w14:paraId="5E97CF37" w14:textId="2ECF8A4E" w:rsidR="006773A3" w:rsidRPr="00C83DA9" w:rsidRDefault="00162E80" w:rsidP="00A81F12">
            <w:pPr>
              <w:pStyle w:val="enumlev1"/>
              <w:tabs>
                <w:tab w:val="clear" w:pos="1134"/>
                <w:tab w:val="left" w:pos="356"/>
              </w:tabs>
              <w:spacing w:before="40" w:after="40"/>
              <w:ind w:left="386" w:hanging="386"/>
              <w:rPr>
                <w:rFonts w:eastAsia="Times New Roman" w:cs="Times New Roman"/>
                <w:color w:val="1F497D"/>
                <w:kern w:val="0"/>
                <w:sz w:val="22"/>
                <w:lang w:val="fr-FR"/>
                <w14:ligatures w14:val="none"/>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b/>
                <w:bCs/>
                <w:kern w:val="0"/>
                <w:sz w:val="22"/>
                <w:lang w:val="fr-FR"/>
                <w14:ligatures w14:val="none"/>
              </w:rPr>
              <w:t>Europe</w:t>
            </w:r>
            <w:r w:rsidR="006773A3" w:rsidRPr="00C83DA9">
              <w:rPr>
                <w:rFonts w:eastAsia="Times New Roman" w:cs="Times New Roman"/>
                <w:color w:val="1F497D"/>
                <w:kern w:val="0"/>
                <w:sz w:val="22"/>
                <w:lang w:val="fr-FR"/>
                <w14:ligatures w14:val="none"/>
              </w:rPr>
              <w:t>: Malte</w:t>
            </w:r>
            <w:r w:rsidR="00262321" w:rsidRPr="00C83DA9">
              <w:rPr>
                <w:rFonts w:eastAsia="Times New Roman" w:cs="Times New Roman"/>
                <w:color w:val="1F497D"/>
                <w:kern w:val="0"/>
                <w:sz w:val="22"/>
                <w:lang w:val="fr-FR"/>
                <w14:ligatures w14:val="none"/>
              </w:rPr>
              <w:t>.</w:t>
            </w:r>
          </w:p>
          <w:p w14:paraId="00F563ED" w14:textId="6AF98C54" w:rsidR="006773A3" w:rsidRPr="00C83DA9" w:rsidRDefault="00162E80" w:rsidP="00A81F12">
            <w:pPr>
              <w:pStyle w:val="enumlev1"/>
              <w:tabs>
                <w:tab w:val="clear" w:pos="1134"/>
                <w:tab w:val="left" w:pos="356"/>
              </w:tabs>
              <w:spacing w:before="40" w:after="40"/>
              <w:ind w:left="386" w:hanging="386"/>
              <w:rPr>
                <w:rFonts w:eastAsia="Times New Roman" w:cs="Times New Roman"/>
                <w:color w:val="1F497D"/>
                <w:kern w:val="0"/>
                <w:sz w:val="22"/>
                <w:lang w:val="fr-FR"/>
                <w14:ligatures w14:val="none"/>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b/>
                <w:bCs/>
                <w:kern w:val="0"/>
                <w:sz w:val="22"/>
                <w:lang w:val="fr-FR"/>
                <w14:ligatures w14:val="none"/>
              </w:rPr>
              <w:t>Asie-Pacifique</w:t>
            </w:r>
            <w:r w:rsidR="006773A3" w:rsidRPr="00C83DA9">
              <w:rPr>
                <w:rFonts w:eastAsia="Times New Roman" w:cs="Times New Roman"/>
                <w:color w:val="1F497D"/>
                <w:kern w:val="0"/>
                <w:sz w:val="22"/>
                <w:lang w:val="fr-FR"/>
                <w14:ligatures w14:val="none"/>
              </w:rPr>
              <w:t>: Fidji</w:t>
            </w:r>
            <w:r w:rsidR="00262321" w:rsidRPr="00C83DA9">
              <w:rPr>
                <w:rFonts w:eastAsia="Times New Roman" w:cs="Times New Roman"/>
                <w:color w:val="1F497D"/>
                <w:kern w:val="0"/>
                <w:sz w:val="22"/>
                <w:lang w:val="fr-FR"/>
                <w14:ligatures w14:val="none"/>
              </w:rPr>
              <w:t>.</w:t>
            </w:r>
          </w:p>
          <w:p w14:paraId="610720A3" w14:textId="028962FD" w:rsidR="006773A3" w:rsidRPr="00C83DA9" w:rsidRDefault="00162E80" w:rsidP="00A81F12">
            <w:pPr>
              <w:pStyle w:val="enumlev1"/>
              <w:tabs>
                <w:tab w:val="clear" w:pos="1134"/>
                <w:tab w:val="left" w:pos="356"/>
              </w:tabs>
              <w:spacing w:before="40" w:after="40"/>
              <w:ind w:left="386" w:hanging="386"/>
              <w:rPr>
                <w:rFonts w:ascii="Calibri" w:eastAsia="Calibri" w:hAnsi="Calibri" w:cs="Calibri"/>
                <w:color w:val="1F497D" w:themeColor="text2"/>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b/>
                <w:bCs/>
                <w:kern w:val="0"/>
                <w:sz w:val="22"/>
                <w:lang w:val="fr-FR"/>
                <w14:ligatures w14:val="none"/>
              </w:rPr>
              <w:t>États arabes</w:t>
            </w:r>
            <w:r w:rsidR="006773A3" w:rsidRPr="00C83DA9">
              <w:rPr>
                <w:rFonts w:eastAsia="Times New Roman" w:cs="Times New Roman"/>
                <w:color w:val="1F497D"/>
                <w:kern w:val="0"/>
                <w:sz w:val="22"/>
                <w:lang w:val="fr-FR"/>
                <w14:ligatures w14:val="none"/>
              </w:rPr>
              <w:t>: Émirats</w:t>
            </w:r>
            <w:r w:rsidRPr="00C83DA9">
              <w:rPr>
                <w:rFonts w:eastAsia="Times New Roman" w:cs="Times New Roman"/>
                <w:color w:val="1F497D"/>
                <w:kern w:val="0"/>
                <w:sz w:val="22"/>
                <w:lang w:val="fr-FR"/>
                <w14:ligatures w14:val="none"/>
              </w:rPr>
              <w:t> </w:t>
            </w:r>
            <w:r w:rsidR="006773A3" w:rsidRPr="00C83DA9">
              <w:rPr>
                <w:rFonts w:eastAsia="Times New Roman" w:cs="Times New Roman"/>
                <w:color w:val="1F497D"/>
                <w:kern w:val="0"/>
                <w:sz w:val="22"/>
                <w:lang w:val="fr-FR"/>
                <w14:ligatures w14:val="none"/>
              </w:rPr>
              <w:t>arabes unis</w:t>
            </w:r>
            <w:r w:rsidR="00262321" w:rsidRPr="00C83DA9">
              <w:rPr>
                <w:rFonts w:eastAsia="Times New Roman" w:cs="Times New Roman"/>
                <w:color w:val="1F497D"/>
                <w:kern w:val="0"/>
                <w:sz w:val="22"/>
                <w:lang w:val="fr-FR"/>
                <w14:ligatures w14:val="none"/>
              </w:rPr>
              <w:t>.</w:t>
            </w:r>
          </w:p>
          <w:p w14:paraId="515EC117" w14:textId="77777777" w:rsidR="006773A3" w:rsidRPr="00C83DA9" w:rsidRDefault="006773A3" w:rsidP="001D6175">
            <w:pPr>
              <w:pStyle w:val="Tabletext"/>
              <w:keepNext/>
              <w:spacing w:before="120"/>
              <w:rPr>
                <w:b/>
                <w:bCs/>
                <w:color w:val="0070C0"/>
                <w:sz w:val="22"/>
                <w:lang w:val="fr-FR"/>
              </w:rPr>
            </w:pPr>
            <w:r w:rsidRPr="00C83DA9">
              <w:rPr>
                <w:b/>
                <w:bCs/>
                <w:color w:val="0070C0"/>
                <w:sz w:val="22"/>
                <w:lang w:val="fr-FR"/>
              </w:rPr>
              <w:t>Programmes de l'Académie de l'UIT:</w:t>
            </w:r>
          </w:p>
          <w:p w14:paraId="3B2282F8" w14:textId="481A47F6" w:rsidR="006773A3" w:rsidRPr="00C83DA9" w:rsidRDefault="00162E80" w:rsidP="00262321">
            <w:pPr>
              <w:pStyle w:val="enumlev1"/>
              <w:tabs>
                <w:tab w:val="clear" w:pos="1134"/>
                <w:tab w:val="clear" w:pos="2608"/>
              </w:tabs>
              <w:spacing w:before="40" w:after="40"/>
              <w:ind w:left="351" w:right="-130" w:hanging="351"/>
              <w:rPr>
                <w:rFonts w:ascii="Calibri" w:eastAsia="Calibri" w:hAnsi="Calibri" w:cs="Calibri"/>
                <w:color w:val="1F497D" w:themeColor="text2"/>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b/>
                <w:bCs/>
                <w:kern w:val="0"/>
                <w:sz w:val="22"/>
                <w:lang w:val="fr-FR"/>
                <w14:ligatures w14:val="none"/>
              </w:rPr>
              <w:t>4 cours</w:t>
            </w:r>
            <w:r w:rsidR="006773A3" w:rsidRPr="00C83DA9">
              <w:rPr>
                <w:rFonts w:eastAsia="Times New Roman" w:cs="Times New Roman"/>
                <w:color w:val="1F497D"/>
                <w:kern w:val="0"/>
                <w:sz w:val="22"/>
                <w:lang w:val="fr-FR"/>
                <w14:ligatures w14:val="none"/>
              </w:rPr>
              <w:t>: Écosystème</w:t>
            </w:r>
            <w:r w:rsidR="00912362" w:rsidRPr="00C83DA9">
              <w:rPr>
                <w:rFonts w:eastAsia="Times New Roman" w:cs="Times New Roman"/>
                <w:color w:val="1F497D"/>
                <w:kern w:val="0"/>
                <w:sz w:val="22"/>
                <w:lang w:val="fr-FR"/>
                <w14:ligatures w14:val="none"/>
              </w:rPr>
              <w:t> </w:t>
            </w:r>
            <w:r w:rsidR="006773A3" w:rsidRPr="00C83DA9">
              <w:rPr>
                <w:rFonts w:eastAsia="Times New Roman" w:cs="Times New Roman"/>
                <w:color w:val="1F497D"/>
                <w:kern w:val="0"/>
                <w:sz w:val="22"/>
                <w:lang w:val="fr-FR"/>
                <w14:ligatures w14:val="none"/>
              </w:rPr>
              <w:t>101, Élaboration d'initiatives relatives à l'écosystème</w:t>
            </w:r>
            <w:r w:rsidRPr="00C83DA9">
              <w:rPr>
                <w:rFonts w:eastAsia="Times New Roman" w:cs="Times New Roman"/>
                <w:color w:val="1F497D"/>
                <w:kern w:val="0"/>
                <w:sz w:val="22"/>
                <w:lang w:val="fr-FR"/>
                <w14:ligatures w14:val="none"/>
              </w:rPr>
              <w:t> </w:t>
            </w:r>
            <w:r w:rsidR="006773A3" w:rsidRPr="00C83DA9">
              <w:rPr>
                <w:rFonts w:eastAsia="Times New Roman" w:cs="Times New Roman"/>
                <w:color w:val="1F497D"/>
                <w:kern w:val="0"/>
                <w:sz w:val="22"/>
                <w:lang w:val="fr-FR"/>
                <w14:ligatures w14:val="none"/>
              </w:rPr>
              <w:t>201, Prospective stratégique</w:t>
            </w:r>
            <w:r w:rsidR="00262321" w:rsidRPr="00C83DA9">
              <w:rPr>
                <w:rFonts w:eastAsia="Times New Roman" w:cs="Times New Roman"/>
                <w:color w:val="1F497D"/>
                <w:kern w:val="0"/>
                <w:sz w:val="22"/>
                <w:lang w:val="fr-FR"/>
                <w14:ligatures w14:val="none"/>
              </w:rPr>
              <w:t> </w:t>
            </w:r>
            <w:r w:rsidR="006773A3" w:rsidRPr="00C83DA9">
              <w:rPr>
                <w:rFonts w:eastAsia="Times New Roman" w:cs="Times New Roman"/>
                <w:color w:val="1F497D"/>
                <w:kern w:val="0"/>
                <w:sz w:val="22"/>
                <w:lang w:val="fr-FR"/>
                <w14:ligatures w14:val="none"/>
              </w:rPr>
              <w:t>101 et 201</w:t>
            </w:r>
            <w:r w:rsidR="00262321" w:rsidRPr="00C83DA9">
              <w:rPr>
                <w:rFonts w:eastAsia="Times New Roman" w:cs="Times New Roman"/>
                <w:color w:val="1F497D"/>
                <w:kern w:val="0"/>
                <w:sz w:val="22"/>
                <w:lang w:val="fr-FR"/>
                <w14:ligatures w14:val="none"/>
              </w:rPr>
              <w:t>.</w:t>
            </w:r>
          </w:p>
          <w:p w14:paraId="506F5985" w14:textId="6D92C783" w:rsidR="006773A3" w:rsidRPr="00C83DA9" w:rsidRDefault="006773A3" w:rsidP="001D6175">
            <w:pPr>
              <w:pStyle w:val="Tabletext"/>
              <w:keepNext/>
              <w:spacing w:before="120"/>
              <w:rPr>
                <w:rFonts w:cs="Times New Roman"/>
                <w:b/>
                <w:bCs/>
                <w:color w:val="0070C0"/>
                <w:sz w:val="22"/>
                <w:lang w:val="fr-FR"/>
              </w:rPr>
            </w:pPr>
            <w:r w:rsidRPr="00C83DA9">
              <w:rPr>
                <w:b/>
                <w:bCs/>
                <w:color w:val="0070C0"/>
                <w:sz w:val="22"/>
                <w:lang w:val="fr-FR"/>
              </w:rPr>
              <w:t>Centres d'accélération de l'UIT:</w:t>
            </w:r>
          </w:p>
          <w:p w14:paraId="5ACA1F54" w14:textId="06FCD9AE" w:rsidR="006773A3" w:rsidRPr="00C83DA9" w:rsidRDefault="00162E80" w:rsidP="00A81F12">
            <w:pPr>
              <w:pStyle w:val="enumlev1"/>
              <w:tabs>
                <w:tab w:val="clear" w:pos="1134"/>
                <w:tab w:val="left" w:pos="356"/>
              </w:tabs>
              <w:spacing w:before="40" w:after="40"/>
              <w:ind w:left="386" w:hanging="386"/>
              <w:rPr>
                <w:rFonts w:eastAsia="Times New Roman" w:cs="Times New Roman"/>
                <w:color w:val="1F497D"/>
                <w:kern w:val="0"/>
                <w:sz w:val="22"/>
                <w:lang w:val="fr-FR"/>
                <w14:ligatures w14:val="none"/>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color w:val="1F497D"/>
                <w:kern w:val="0"/>
                <w:sz w:val="22"/>
                <w:lang w:val="fr-FR"/>
                <w14:ligatures w14:val="none"/>
              </w:rPr>
              <w:t>Réseau de 17 Centres d'accélération de l'UIT dans le domaine du développement</w:t>
            </w:r>
            <w:r w:rsidR="00262321" w:rsidRPr="00C83DA9">
              <w:rPr>
                <w:rFonts w:eastAsia="Times New Roman" w:cs="Times New Roman"/>
                <w:color w:val="1F497D"/>
                <w:kern w:val="0"/>
                <w:sz w:val="22"/>
                <w:lang w:val="fr-FR"/>
                <w14:ligatures w14:val="none"/>
              </w:rPr>
              <w:t>.</w:t>
            </w:r>
          </w:p>
          <w:p w14:paraId="1720B575" w14:textId="2D37AD39" w:rsidR="00DF47CA" w:rsidRPr="00C83DA9" w:rsidRDefault="00162E80" w:rsidP="00A81F12">
            <w:pPr>
              <w:pStyle w:val="enumlev1"/>
              <w:tabs>
                <w:tab w:val="clear" w:pos="1134"/>
                <w:tab w:val="left" w:pos="356"/>
              </w:tabs>
              <w:spacing w:before="40" w:after="40"/>
              <w:ind w:left="386" w:hanging="386"/>
              <w:rPr>
                <w:rFonts w:eastAsia="Times New Roman" w:cs="Times New Roman"/>
                <w:color w:val="1F497D"/>
                <w:kern w:val="0"/>
                <w:sz w:val="22"/>
                <w:lang w:val="fr-FR"/>
                <w14:ligatures w14:val="none"/>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color w:val="1F497D"/>
                <w:kern w:val="0"/>
                <w:sz w:val="22"/>
                <w:lang w:val="fr-FR"/>
                <w14:ligatures w14:val="none"/>
              </w:rPr>
              <w:t>8 manuels sur l'innovation</w:t>
            </w:r>
            <w:r w:rsidR="00262321" w:rsidRPr="00C83DA9">
              <w:rPr>
                <w:rFonts w:eastAsia="Times New Roman" w:cs="Times New Roman"/>
                <w:color w:val="1F497D"/>
                <w:kern w:val="0"/>
                <w:sz w:val="22"/>
                <w:lang w:val="fr-FR"/>
                <w14:ligatures w14:val="none"/>
              </w:rPr>
              <w:t>.</w:t>
            </w:r>
          </w:p>
        </w:tc>
      </w:tr>
      <w:tr w:rsidR="006773A3" w:rsidRPr="00C83DA9" w14:paraId="04A7E754" w14:textId="77777777" w:rsidTr="001D6175">
        <w:trPr>
          <w:trHeight w:val="300"/>
        </w:trPr>
        <w:tc>
          <w:tcPr>
            <w:tcW w:w="12186" w:type="dxa"/>
            <w:gridSpan w:val="2"/>
            <w:vMerge/>
          </w:tcPr>
          <w:p w14:paraId="4A842343" w14:textId="77777777" w:rsidR="006773A3" w:rsidRPr="00C83DA9" w:rsidRDefault="006773A3" w:rsidP="00BA0616">
            <w:pPr>
              <w:rPr>
                <w:rFonts w:cstheme="minorHAnsi"/>
                <w:szCs w:val="24"/>
                <w:lang w:val="fr-FR"/>
              </w:rPr>
            </w:pPr>
          </w:p>
        </w:tc>
        <w:tc>
          <w:tcPr>
            <w:tcW w:w="2693" w:type="dxa"/>
            <w:tcBorders>
              <w:bottom w:val="dotted" w:sz="4" w:space="0" w:color="0070C0"/>
            </w:tcBorders>
          </w:tcPr>
          <w:p w14:paraId="4A499A0E" w14:textId="77777777" w:rsidR="006773A3" w:rsidRPr="00C83DA9" w:rsidRDefault="006773A3" w:rsidP="00BA0616">
            <w:pPr>
              <w:overflowPunct/>
              <w:autoSpaceDE/>
              <w:autoSpaceDN/>
              <w:adjustRightInd/>
              <w:spacing w:after="120"/>
              <w:textAlignment w:val="auto"/>
              <w:rPr>
                <w:rFonts w:cstheme="minorHAnsi"/>
                <w:sz w:val="22"/>
                <w:lang w:val="fr-FR"/>
              </w:rPr>
            </w:pPr>
          </w:p>
        </w:tc>
      </w:tr>
      <w:tr w:rsidR="006773A3" w:rsidRPr="00CA734F" w14:paraId="4D2EE2B8" w14:textId="77777777" w:rsidTr="00BA0616">
        <w:tc>
          <w:tcPr>
            <w:tcW w:w="14879" w:type="dxa"/>
            <w:gridSpan w:val="3"/>
            <w:shd w:val="clear" w:color="auto" w:fill="E5DFEC" w:themeFill="accent4" w:themeFillTint="33"/>
          </w:tcPr>
          <w:p w14:paraId="386225A2" w14:textId="6E29753C" w:rsidR="006773A3" w:rsidRPr="00C83DA9" w:rsidRDefault="006773A3" w:rsidP="009B2988">
            <w:pPr>
              <w:pStyle w:val="Headingb"/>
              <w:spacing w:before="40"/>
              <w:rPr>
                <w:rFonts w:eastAsia="Times New Roman"/>
                <w:color w:val="0070C0"/>
                <w:kern w:val="0"/>
                <w:szCs w:val="20"/>
                <w:lang w:val="fr-FR"/>
                <w14:ligatures w14:val="none"/>
              </w:rPr>
            </w:pPr>
            <w:bookmarkStart w:id="32" w:name="_Toc213307966"/>
            <w:r w:rsidRPr="00C83DA9">
              <w:rPr>
                <w:rFonts w:eastAsia="Times New Roman"/>
                <w:color w:val="0070C0"/>
                <w:kern w:val="0"/>
                <w:szCs w:val="20"/>
                <w:lang w:val="fr-FR"/>
                <w14:ligatures w14:val="none"/>
              </w:rPr>
              <w:lastRenderedPageBreak/>
              <w:t>Services et applications numériques</w:t>
            </w:r>
            <w:bookmarkEnd w:id="32"/>
          </w:p>
          <w:p w14:paraId="284A8075" w14:textId="22BB01D2" w:rsidR="006773A3" w:rsidRPr="00C83DA9" w:rsidRDefault="006773A3" w:rsidP="00877206">
            <w:pPr>
              <w:pStyle w:val="Tabletext"/>
              <w:rPr>
                <w:rFonts w:eastAsiaTheme="minorEastAsia"/>
                <w:i/>
                <w:iCs/>
                <w:color w:val="000000" w:themeColor="text1"/>
                <w:sz w:val="24"/>
                <w:szCs w:val="20"/>
                <w:lang w:val="fr-FR"/>
              </w:rPr>
            </w:pPr>
            <w:r w:rsidRPr="00C83DA9">
              <w:rPr>
                <w:rFonts w:ascii="Calibri" w:eastAsia="Calibri" w:hAnsi="Calibri" w:cs="Calibri"/>
                <w:b/>
                <w:bCs/>
                <w:i/>
                <w:iCs/>
                <w:color w:val="000000" w:themeColor="text1"/>
                <w:sz w:val="24"/>
                <w:szCs w:val="20"/>
                <w:lang w:val="fr-FR"/>
              </w:rPr>
              <w:t>Réalisation</w:t>
            </w:r>
            <w:r w:rsidRPr="00C83DA9">
              <w:rPr>
                <w:rFonts w:ascii="Calibri" w:eastAsia="Calibri" w:hAnsi="Calibri" w:cs="Calibri"/>
                <w:i/>
                <w:iCs/>
                <w:color w:val="000000" w:themeColor="text1"/>
                <w:sz w:val="24"/>
                <w:szCs w:val="20"/>
                <w:lang w:val="fr-FR"/>
              </w:rPr>
              <w:t xml:space="preserve">: </w:t>
            </w:r>
            <w:r w:rsidR="00877206" w:rsidRPr="00C83DA9">
              <w:rPr>
                <w:rFonts w:eastAsiaTheme="minorEastAsia" w:cstheme="minorHAnsi"/>
                <w:i/>
                <w:color w:val="000000" w:themeColor="text1"/>
                <w:sz w:val="24"/>
                <w:szCs w:val="20"/>
                <w:lang w:val="fr-FR"/>
              </w:rPr>
              <w:t>r</w:t>
            </w:r>
            <w:r w:rsidRPr="00C83DA9">
              <w:rPr>
                <w:rFonts w:eastAsiaTheme="minorEastAsia" w:cstheme="minorHAnsi"/>
                <w:i/>
                <w:color w:val="000000" w:themeColor="text1"/>
                <w:sz w:val="24"/>
                <w:szCs w:val="20"/>
                <w:lang w:val="fr-FR"/>
              </w:rPr>
              <w:t>enforcement</w:t>
            </w:r>
            <w:r w:rsidRPr="00C83DA9">
              <w:rPr>
                <w:rFonts w:ascii="Calibri" w:eastAsia="Calibri" w:hAnsi="Calibri" w:cs="Calibri"/>
                <w:i/>
                <w:iCs/>
                <w:color w:val="000000" w:themeColor="text1"/>
                <w:sz w:val="24"/>
                <w:szCs w:val="20"/>
                <w:lang w:val="fr-FR"/>
              </w:rPr>
              <w:t xml:space="preserve"> de la capacité des membres de l'UIT d'accélérer la transformation numérique et le développement économique et social durable en mettant à profit et en utilisant les télécommunications/TIC et les services nouveaux et émergents et renforcement des capacités humaines et institutionnelles des membres de l'UIT dans le domaine des télécommunications/TIC pour favoriser la transformation numérique.</w:t>
            </w:r>
          </w:p>
        </w:tc>
      </w:tr>
      <w:tr w:rsidR="006773A3" w:rsidRPr="00C83DA9" w14:paraId="4CF3DA65" w14:textId="77777777" w:rsidTr="001D6175">
        <w:tc>
          <w:tcPr>
            <w:tcW w:w="12186" w:type="dxa"/>
            <w:gridSpan w:val="2"/>
            <w:vMerge w:val="restart"/>
          </w:tcPr>
          <w:p w14:paraId="37F1F855" w14:textId="3CD9A814" w:rsidR="006773A3" w:rsidRPr="00C83DA9" w:rsidRDefault="006773A3" w:rsidP="00FA56EA">
            <w:pPr>
              <w:pStyle w:val="Tabletext"/>
              <w:spacing w:before="240"/>
              <w:rPr>
                <w:rFonts w:ascii="Calibri" w:eastAsia="Calibri" w:hAnsi="Calibri" w:cs="Calibri"/>
                <w:sz w:val="22"/>
                <w:lang w:val="fr-FR"/>
              </w:rPr>
            </w:pPr>
            <w:r w:rsidRPr="00C83DA9">
              <w:rPr>
                <w:rFonts w:ascii="Calibri" w:eastAsia="Calibri" w:hAnsi="Calibri" w:cs="Calibri"/>
                <w:sz w:val="22"/>
                <w:lang w:val="fr-FR"/>
              </w:rPr>
              <w:t xml:space="preserve">Entre 2023 et 2025, le BDT a intensifié l'appui apporté aux États Membres afin d'accélérer l'inclusion des services et applications numériques dans les objectifs nationaux de développement des TIC. Ce travail a montré que la transformation numérique nécessite des infrastructures, ainsi que des services et des applications qui connectent les pouvoirs publics, les citoyens et les communautés. Grâce à des cadres tels que l'initiative </w:t>
            </w:r>
            <w:hyperlink r:id="rId97" w:history="1">
              <w:r w:rsidRPr="00C83DA9">
                <w:rPr>
                  <w:rStyle w:val="Hyperlink"/>
                  <w:rFonts w:ascii="Calibri" w:eastAsia="Calibri" w:hAnsi="Calibri" w:cs="Calibri"/>
                  <w:sz w:val="22"/>
                  <w:lang w:val="fr-FR"/>
                </w:rPr>
                <w:t>GovStack</w:t>
              </w:r>
            </w:hyperlink>
            <w:r w:rsidRPr="00C83DA9">
              <w:rPr>
                <w:rFonts w:ascii="Calibri" w:eastAsia="Calibri" w:hAnsi="Calibri" w:cs="Calibri"/>
                <w:sz w:val="22"/>
                <w:lang w:val="fr-FR"/>
              </w:rPr>
              <w:t xml:space="preserve"> et l'initiative pour des villages intelligents et des îles intelligentes, à l'expansion des écosystèmes à code source ouvert et à des solutions de santé et d'agriculture numériques, le BDT a mis l'accent sur les services numériques en tant que catalyseurs indispensables d'une croissance inclusive, de la résilience sociale et des débouchés économiques. Le déploiement à grande échelle de ces initiatives a permis de faire en sorte qu'elles soient compatibles entre elles, inclusives et </w:t>
            </w:r>
            <w:r w:rsidRPr="00C83DA9">
              <w:rPr>
                <w:rFonts w:ascii="Calibri" w:eastAsia="Calibri" w:hAnsi="Calibri" w:cs="Calibri"/>
                <w:sz w:val="22"/>
                <w:lang w:val="fr-FR"/>
              </w:rPr>
              <w:lastRenderedPageBreak/>
              <w:t>modulables en fonction</w:t>
            </w:r>
            <w:r w:rsidR="00BC3D4B" w:rsidRPr="00C83DA9">
              <w:rPr>
                <w:rFonts w:ascii="Calibri" w:eastAsia="Calibri" w:hAnsi="Calibri" w:cs="Calibri"/>
                <w:sz w:val="22"/>
                <w:lang w:val="fr-FR"/>
              </w:rPr>
              <w:t xml:space="preserve"> </w:t>
            </w:r>
            <w:r w:rsidRPr="00C83DA9">
              <w:rPr>
                <w:rFonts w:ascii="Calibri" w:eastAsia="Calibri" w:hAnsi="Calibri" w:cs="Calibri"/>
                <w:sz w:val="22"/>
                <w:lang w:val="fr-FR"/>
              </w:rPr>
              <w:t>des différents contextes nationaux. Les travaux du BDT se sont caractérisés par une mobilisation régionale considérable, des projets pilotes menés au niveau des pays et des plates-formes de collaboration, autant de facteurs qui ont permis de transformer l'innovation en retombées mesurables pour les pays dans toutes les régions.</w:t>
            </w:r>
          </w:p>
          <w:p w14:paraId="59CB6F01" w14:textId="52F02F99"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L'ampleur pris par le programme GovStack, qui est devenu un cadre de transformation pour la mise en place de services d'administration publique numériques, a offert une base solide pour progresser au niveau mondial. Quinze spécifications de modules de services d'administration publique numériques (notamment </w:t>
            </w:r>
            <w:r w:rsidRPr="00C83DA9">
              <w:rPr>
                <w:rFonts w:ascii="Calibri" w:eastAsia="Calibri" w:hAnsi="Calibri" w:cs="Calibri"/>
                <w:b/>
                <w:bCs/>
                <w:sz w:val="22"/>
                <w:lang w:val="fr-FR"/>
              </w:rPr>
              <w:t>identité</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paiements</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échanges</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consentement</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registres</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signature électronique</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système d'information géographique</w:t>
            </w:r>
            <w:r w:rsidRPr="00C83DA9">
              <w:rPr>
                <w:rFonts w:ascii="Calibri" w:eastAsia="Calibri" w:hAnsi="Calibri" w:cs="Calibri"/>
                <w:sz w:val="22"/>
                <w:lang w:val="fr-FR"/>
              </w:rPr>
              <w:t xml:space="preserve"> et </w:t>
            </w:r>
            <w:r w:rsidRPr="00C83DA9">
              <w:rPr>
                <w:rFonts w:ascii="Calibri" w:eastAsia="Calibri" w:hAnsi="Calibri" w:cs="Calibri"/>
                <w:b/>
                <w:bCs/>
                <w:sz w:val="22"/>
                <w:lang w:val="fr-FR"/>
              </w:rPr>
              <w:t>marché en ligne</w:t>
            </w:r>
            <w:r w:rsidRPr="00C83DA9">
              <w:rPr>
                <w:rFonts w:ascii="Calibri" w:eastAsia="Calibri" w:hAnsi="Calibri" w:cs="Calibri"/>
                <w:sz w:val="22"/>
                <w:lang w:val="fr-FR"/>
              </w:rPr>
              <w:t>) ont été publiées, offrant aux États Membres une ressource ouverte réutilisable. Grâce à la publication d'</w:t>
            </w:r>
            <w:r w:rsidRPr="00C83DA9">
              <w:rPr>
                <w:rFonts w:ascii="Calibri" w:eastAsia="Calibri" w:hAnsi="Calibri" w:cs="Calibri"/>
                <w:b/>
                <w:bCs/>
                <w:sz w:val="22"/>
                <w:lang w:val="fr-FR"/>
              </w:rPr>
              <w:t>instructions pour la mise en place d'un environnement test</w:t>
            </w:r>
            <w:r w:rsidRPr="00C83DA9">
              <w:rPr>
                <w:rFonts w:ascii="Calibri" w:eastAsia="Calibri" w:hAnsi="Calibri" w:cs="Calibri"/>
                <w:sz w:val="22"/>
                <w:lang w:val="fr-FR"/>
              </w:rPr>
              <w:t xml:space="preserve">, les développeurs, architectes et concepteurs de services ont pu reproduire des solutions environnementales et de test, tandis que les </w:t>
            </w:r>
            <w:r w:rsidRPr="00C83DA9">
              <w:rPr>
                <w:rFonts w:ascii="Calibri" w:eastAsia="Calibri" w:hAnsi="Calibri" w:cs="Calibri"/>
                <w:b/>
                <w:bCs/>
                <w:sz w:val="22"/>
                <w:lang w:val="fr-FR"/>
              </w:rPr>
              <w:t>lignes directrices sur la passation de marchés publics pour des TIC durables</w:t>
            </w:r>
            <w:r w:rsidRPr="00C83DA9">
              <w:rPr>
                <w:rFonts w:ascii="Calibri" w:eastAsia="Calibri" w:hAnsi="Calibri" w:cs="Calibri"/>
                <w:sz w:val="22"/>
                <w:lang w:val="fr-FR"/>
              </w:rPr>
              <w:t xml:space="preserve"> et </w:t>
            </w:r>
            <w:r w:rsidRPr="00C83DA9">
              <w:rPr>
                <w:rFonts w:ascii="Calibri" w:eastAsia="Calibri" w:hAnsi="Calibri" w:cs="Calibri"/>
                <w:b/>
                <w:bCs/>
                <w:sz w:val="22"/>
                <w:lang w:val="fr-FR"/>
              </w:rPr>
              <w:t>sur les centres de données respectueux de l'environnement</w:t>
            </w:r>
            <w:r w:rsidRPr="00C83DA9">
              <w:rPr>
                <w:rFonts w:ascii="Calibri" w:eastAsia="Calibri" w:hAnsi="Calibri" w:cs="Calibri"/>
                <w:sz w:val="22"/>
                <w:lang w:val="fr-FR"/>
              </w:rPr>
              <w:t xml:space="preserve"> ont fait entrer des dimensions environnementales dans la conception des services d'administration publique numériques.</w:t>
            </w:r>
          </w:p>
          <w:p w14:paraId="61F0473D" w14:textId="60B208FD"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Pour renforcer l'inclusion GovStack a organisé </w:t>
            </w:r>
            <w:r w:rsidR="003F4994" w:rsidRPr="00C83DA9">
              <w:rPr>
                <w:rFonts w:ascii="Calibri" w:eastAsia="Calibri" w:hAnsi="Calibri" w:cs="Calibri"/>
                <w:sz w:val="22"/>
                <w:lang w:val="fr-FR"/>
              </w:rPr>
              <w:t>des défis</w:t>
            </w:r>
            <w:r w:rsidRPr="00C83DA9">
              <w:rPr>
                <w:rFonts w:ascii="Calibri" w:eastAsia="Calibri" w:hAnsi="Calibri" w:cs="Calibri"/>
                <w:sz w:val="22"/>
                <w:lang w:val="fr-FR"/>
              </w:rPr>
              <w:t xml:space="preserve"> "Women in Govtech ("Les femmes dans le secteur des technologies du service public") en 2024 et 2025. En outre, un environnement test pour les services publics numériques a été mis au point en vue de tester des services interopérables utilisant des composants logiciels réutilisables pour l'identité, les paiements, le consentement et les échanges d'informations.</w:t>
            </w:r>
          </w:p>
          <w:p w14:paraId="7B7CF7E4" w14:textId="1CA88B93"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L</w:t>
            </w:r>
            <w:r w:rsidRPr="00C83DA9">
              <w:rPr>
                <w:rFonts w:ascii="Calibri" w:eastAsia="Calibri" w:hAnsi="Calibri" w:cs="Calibri"/>
                <w:lang w:val="fr-FR"/>
              </w:rPr>
              <w:t xml:space="preserve">e </w:t>
            </w:r>
            <w:r w:rsidRPr="00C83DA9">
              <w:rPr>
                <w:rFonts w:ascii="Calibri" w:eastAsia="Calibri" w:hAnsi="Calibri" w:cs="Calibri"/>
                <w:sz w:val="22"/>
                <w:lang w:val="fr-FR"/>
              </w:rPr>
              <w:t xml:space="preserve">BDT a également progressé concernant des </w:t>
            </w:r>
            <w:r w:rsidRPr="00C83DA9">
              <w:rPr>
                <w:rFonts w:ascii="Calibri" w:eastAsia="Calibri" w:hAnsi="Calibri" w:cs="Calibri"/>
                <w:b/>
                <w:bCs/>
                <w:sz w:val="22"/>
                <w:lang w:val="fr-FR"/>
              </w:rPr>
              <w:t>écosystèmes à code source ouvert pour les services publics</w:t>
            </w:r>
            <w:r w:rsidRPr="00C83DA9">
              <w:rPr>
                <w:rFonts w:ascii="Calibri" w:eastAsia="Calibri" w:hAnsi="Calibri" w:cs="Calibri"/>
                <w:sz w:val="22"/>
                <w:lang w:val="fr-FR"/>
              </w:rPr>
              <w:t>. Le projet OSEE (Open</w:t>
            </w:r>
            <w:r w:rsidR="00DF47CA" w:rsidRPr="00C83DA9">
              <w:rPr>
                <w:rFonts w:ascii="Calibri" w:eastAsia="Calibri" w:hAnsi="Calibri" w:cs="Calibri"/>
                <w:sz w:val="22"/>
                <w:lang w:val="fr-FR"/>
              </w:rPr>
              <w:noBreakHyphen/>
            </w:r>
            <w:r w:rsidRPr="00C83DA9">
              <w:rPr>
                <w:rFonts w:ascii="Calibri" w:eastAsia="Calibri" w:hAnsi="Calibri" w:cs="Calibri"/>
                <w:sz w:val="22"/>
                <w:lang w:val="fr-FR"/>
              </w:rPr>
              <w:t>Source Ecosystem Enablement), élaboré conjointement avec le PNUD et financé par l'Union européenne, a permis de définir des cadres d'enseignement, de formation et d'appui destinés à aider les pouvoirs publics à adopter des technologies à code source ouvert. Cette initiative visait à réduire la dépendance vis-à-vis des solutions propriétaires et à offrir aux pays des options efficaces sur le plan des coûts pour adapter et étendre les services numériques, tout en évitant de dépendre d'un seul fournisseur. Des webinaires et des ateliers ont été organisés par le BDT sur la gouvernance des données, l'infrastructure en nuage et les applications émergentes telles que l'IA générative à code source ouvert, le renforcement des connaissances internationales et l'amélioration de l'écosystème mondial des logiciels à code source ouvert.</w:t>
            </w:r>
          </w:p>
          <w:p w14:paraId="78B8B8EE" w14:textId="4AB8BA98"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Dans le domaine des soins de santé, les applications numériques ont pris de l'importance avec une étude menée conjointement par l'Organisation mondiale de la santé (OMS) et l'UIT, qui a permis d'évaluer trois catégories d'interventions numériques et de démontrer le fort potentiel de ces technologies pour appuyer les système de soins de santé. Parce qu'il met en avant les aspects coûts-avantages, le rapport met en lumière comment les États Membres peuvent utiliser la technologie pour déployer à plus grande échelles les solutions en matière de soins de santé pour lutter contre les maladies non transmissibles.</w:t>
            </w:r>
          </w:p>
          <w:p w14:paraId="25BFA7C8" w14:textId="6C6B38B0"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Des progrès structurés ont également été accomplis dans le domaine de l'agriculture. L'un des résultats majeurs est la signature d'un accord portant sur le </w:t>
            </w:r>
            <w:r w:rsidRPr="00C83DA9">
              <w:rPr>
                <w:rFonts w:ascii="Calibri" w:eastAsia="Calibri" w:hAnsi="Calibri" w:cs="Calibri"/>
                <w:b/>
                <w:bCs/>
                <w:sz w:val="22"/>
                <w:lang w:val="fr-FR"/>
              </w:rPr>
              <w:t>projet MERIAN</w:t>
            </w:r>
            <w:r w:rsidRPr="00C83DA9">
              <w:rPr>
                <w:rFonts w:ascii="Calibri" w:eastAsia="Calibri" w:hAnsi="Calibri" w:cs="Calibri"/>
                <w:sz w:val="22"/>
                <w:lang w:val="fr-FR"/>
              </w:rPr>
              <w:t xml:space="preserve">, mené conjointement par l'UIT et l'Organisation des Nations Unies pour l'alimentation et l'agriculture (FAO) et financé par l'Union européenne, qui vise à améliorer la formation des professionnels de l'agriculture dans le domaine de l'éducation numérique, de la recherche et des services de vulgarisation. Les </w:t>
            </w:r>
            <w:hyperlink r:id="rId98" w:history="1">
              <w:r w:rsidRPr="00C83DA9">
                <w:rPr>
                  <w:rStyle w:val="Hyperlink"/>
                  <w:rFonts w:ascii="Calibri" w:eastAsia="Calibri" w:hAnsi="Calibri" w:cs="Calibri"/>
                  <w:sz w:val="22"/>
                  <w:lang w:val="fr-FR"/>
                </w:rPr>
                <w:t>principes définis par GovStack</w:t>
              </w:r>
            </w:hyperlink>
            <w:r w:rsidRPr="00C83DA9">
              <w:rPr>
                <w:rFonts w:ascii="Calibri" w:eastAsia="Calibri" w:hAnsi="Calibri" w:cs="Calibri"/>
                <w:sz w:val="22"/>
                <w:lang w:val="fr-FR"/>
              </w:rPr>
              <w:t xml:space="preserve"> ont servi de cadre pour élaborer des plates-formes web et des applications mobiles et intégrer ainsi l'infrastructure publique numérique dans les systèmes d'agriculture. Par ailleurs, dans le cadre du </w:t>
            </w:r>
            <w:hyperlink r:id="rId99" w:anchor="/fr" w:history="1">
              <w:r w:rsidRPr="00C83DA9">
                <w:rPr>
                  <w:rStyle w:val="Hyperlink"/>
                  <w:rFonts w:ascii="Calibri" w:eastAsia="Calibri" w:hAnsi="Calibri" w:cs="Calibri"/>
                  <w:sz w:val="22"/>
                  <w:lang w:val="fr-FR"/>
                </w:rPr>
                <w:t xml:space="preserve">programme d'appui à l'entrepreneuriat, à l'investissement et au commerce en </w:t>
              </w:r>
              <w:r w:rsidRPr="00C83DA9">
                <w:rPr>
                  <w:rStyle w:val="Hyperlink"/>
                  <w:rFonts w:ascii="Calibri" w:eastAsia="Calibri" w:hAnsi="Calibri" w:cs="Calibri"/>
                  <w:sz w:val="22"/>
                  <w:lang w:val="fr-FR"/>
                </w:rPr>
                <w:lastRenderedPageBreak/>
                <w:t>zone rurale (STREIT)</w:t>
              </w:r>
            </w:hyperlink>
            <w:r w:rsidRPr="00C83DA9">
              <w:rPr>
                <w:rFonts w:ascii="Calibri" w:eastAsia="Calibri" w:hAnsi="Calibri" w:cs="Calibri"/>
                <w:sz w:val="22"/>
                <w:lang w:val="fr-FR"/>
              </w:rPr>
              <w:t xml:space="preserve"> mené en </w:t>
            </w:r>
            <w:r w:rsidRPr="00C83DA9">
              <w:rPr>
                <w:rFonts w:ascii="Calibri" w:eastAsia="Calibri" w:hAnsi="Calibri" w:cs="Calibri"/>
                <w:b/>
                <w:bCs/>
                <w:sz w:val="22"/>
                <w:lang w:val="fr-FR"/>
              </w:rPr>
              <w:t>Papouasie-Nouvelle-Guinée</w:t>
            </w:r>
            <w:r w:rsidRPr="00C83DA9">
              <w:rPr>
                <w:rFonts w:ascii="Calibri" w:eastAsia="Calibri" w:hAnsi="Calibri" w:cs="Calibri"/>
                <w:sz w:val="22"/>
                <w:lang w:val="fr-FR"/>
              </w:rPr>
              <w:t xml:space="preserve"> et financé par l'Union européenne, le BDT a appuyé la création de quatre centres de ressources, où 542 agriculteurs ont suivi une formation dans les domaines des compétences numériques et du commerce électronique, avec à la clé une hausse de la productivité et un renforcement de l'apprentissage d'homologue à homologue. Ces centres de ressources sont devenus des pôles d'innovation où les agriculteurs échangent des bonnes pratiques, ont accès aux marchés en ligne et expérimentent des solutions en matière de services financiers numériques pour développer leur activité.</w:t>
            </w:r>
          </w:p>
          <w:p w14:paraId="0AE51942" w14:textId="1966D1BA"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D'autres outils ont été mis au point à l'appui de l'éducation. Un système amélioré de gestion de l'apprentissage a été conçu et transmis à l'Université de technologie de Papouasie-Nouvelle-Guinée, instaurant une continuité entre les instituts universitaires et les stratégies numériques nationales. Cette intégration des plates-formes d'enseignement numériques dans les stratégies nationales illustrent de quelle manière les services numériques pourraient accroître la résilience institutionnelle tout en servant d'incubateurs pour l'innovation.</w:t>
            </w:r>
          </w:p>
          <w:p w14:paraId="264C01B8" w14:textId="6DCA7654"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Prises ensemble, ces initiatives apportent la preuve que les biens publics numériques, tels que GovStack, les cadres pour les logiciels à code sources ouvertes, les données de santé numérique et les plates-formes pour l'agriculture sont non seulement des outils techniques mais aussi des catalyseurs pratiques rendant le progrès possible. Ils représentent des leviers stratégiques qui donnent aux pays les moyens de gérer la transformation de manière cohérence, interopérable et durable.</w:t>
            </w:r>
          </w:p>
          <w:p w14:paraId="4CEAAE09" w14:textId="77777777" w:rsidR="006773A3" w:rsidRPr="00C83DA9" w:rsidRDefault="006773A3" w:rsidP="00067D4B">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Les contributions du BDT à l'accélération de la transformation numérique ont été visibles dans l'ensemble des régions. En </w:t>
            </w:r>
            <w:r w:rsidRPr="00C83DA9">
              <w:rPr>
                <w:rFonts w:ascii="Calibri" w:eastAsia="Calibri" w:hAnsi="Calibri" w:cs="Calibri"/>
                <w:b/>
                <w:bCs/>
                <w:sz w:val="22"/>
                <w:lang w:val="fr-FR"/>
              </w:rPr>
              <w:t>Afrique</w:t>
            </w:r>
            <w:r w:rsidRPr="00C83DA9">
              <w:rPr>
                <w:rFonts w:ascii="Calibri" w:eastAsia="Calibri" w:hAnsi="Calibri" w:cs="Calibri"/>
                <w:sz w:val="22"/>
                <w:lang w:val="fr-FR"/>
              </w:rPr>
              <w:t xml:space="preserve">, des consultations stratégiques ont été menées avec l'appui de projets de la Banque mondiale en </w:t>
            </w:r>
            <w:r w:rsidRPr="00C83DA9">
              <w:rPr>
                <w:rFonts w:ascii="Calibri" w:eastAsia="Calibri" w:hAnsi="Calibri" w:cs="Calibri"/>
                <w:b/>
                <w:bCs/>
                <w:sz w:val="22"/>
                <w:lang w:val="fr-FR"/>
              </w:rPr>
              <w:t>Guinée-Bissau</w:t>
            </w:r>
            <w:r w:rsidRPr="00C83DA9">
              <w:rPr>
                <w:rFonts w:ascii="Calibri" w:eastAsia="Calibri" w:hAnsi="Calibri" w:cs="Calibri"/>
                <w:sz w:val="22"/>
                <w:lang w:val="fr-FR"/>
              </w:rPr>
              <w:t xml:space="preserve">, en </w:t>
            </w:r>
            <w:r w:rsidRPr="00C83DA9">
              <w:rPr>
                <w:rFonts w:ascii="Calibri" w:eastAsia="Calibri" w:hAnsi="Calibri" w:cs="Calibri"/>
                <w:b/>
                <w:bCs/>
                <w:sz w:val="22"/>
                <w:lang w:val="fr-FR"/>
              </w:rPr>
              <w:t>Gambie</w:t>
            </w:r>
            <w:r w:rsidRPr="00C83DA9">
              <w:rPr>
                <w:rFonts w:ascii="Calibri" w:eastAsia="Calibri" w:hAnsi="Calibri" w:cs="Calibri"/>
                <w:sz w:val="22"/>
                <w:lang w:val="fr-FR"/>
              </w:rPr>
              <w:t xml:space="preserve">, en </w:t>
            </w:r>
            <w:r w:rsidRPr="00C83DA9">
              <w:rPr>
                <w:rFonts w:ascii="Calibri" w:eastAsia="Calibri" w:hAnsi="Calibri" w:cs="Calibri"/>
                <w:b/>
                <w:bCs/>
                <w:sz w:val="22"/>
                <w:lang w:val="fr-FR"/>
              </w:rPr>
              <w:t>Guinée</w:t>
            </w:r>
            <w:r w:rsidRPr="00C83DA9">
              <w:rPr>
                <w:rFonts w:ascii="Calibri" w:eastAsia="Calibri" w:hAnsi="Calibri" w:cs="Calibri"/>
                <w:sz w:val="22"/>
                <w:lang w:val="fr-FR"/>
              </w:rPr>
              <w:t xml:space="preserve">, au </w:t>
            </w:r>
            <w:r w:rsidRPr="00C83DA9">
              <w:rPr>
                <w:rFonts w:ascii="Calibri" w:eastAsia="Calibri" w:hAnsi="Calibri" w:cs="Calibri"/>
                <w:b/>
                <w:bCs/>
                <w:sz w:val="22"/>
                <w:lang w:val="fr-FR"/>
              </w:rPr>
              <w:t>Nigéria</w:t>
            </w:r>
            <w:r w:rsidRPr="00C83DA9">
              <w:rPr>
                <w:rFonts w:ascii="Calibri" w:eastAsia="Calibri" w:hAnsi="Calibri" w:cs="Calibri"/>
                <w:sz w:val="22"/>
                <w:lang w:val="fr-FR"/>
              </w:rPr>
              <w:t xml:space="preserve"> et au </w:t>
            </w:r>
            <w:r w:rsidRPr="00C83DA9">
              <w:rPr>
                <w:rFonts w:ascii="Calibri" w:eastAsia="Calibri" w:hAnsi="Calibri" w:cs="Calibri"/>
                <w:b/>
                <w:bCs/>
                <w:sz w:val="22"/>
                <w:lang w:val="fr-FR"/>
              </w:rPr>
              <w:t>Sénégal</w:t>
            </w:r>
            <w:r w:rsidRPr="00C83DA9">
              <w:rPr>
                <w:rFonts w:ascii="Calibri" w:eastAsia="Calibri" w:hAnsi="Calibri" w:cs="Calibri"/>
                <w:sz w:val="22"/>
                <w:lang w:val="fr-FR"/>
              </w:rPr>
              <w:t>, rassemblant les pouvoirs publics en vue de s'aligner sur l'approche GovStack et l'architecture de référence de l'écosystème de l'administration publique. Les discussions ont porté sur des éléments essentiels tels que les cadres d'interopérabilité, la mise en œuvre d'architecture d'entreprise, les spécifications du modèle d'architecture "service bus" et un renforcement complet des capacités.</w:t>
            </w:r>
          </w:p>
          <w:p w14:paraId="022578A0" w14:textId="3E8C6DB1"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Au </w:t>
            </w:r>
            <w:r w:rsidRPr="00C83DA9">
              <w:rPr>
                <w:rFonts w:ascii="Calibri" w:eastAsia="Calibri" w:hAnsi="Calibri" w:cs="Calibri"/>
                <w:b/>
                <w:sz w:val="22"/>
                <w:lang w:val="fr-FR"/>
              </w:rPr>
              <w:t>Togo</w:t>
            </w:r>
            <w:r w:rsidRPr="00C83DA9">
              <w:rPr>
                <w:rFonts w:ascii="Calibri" w:eastAsia="Calibri" w:hAnsi="Calibri" w:cs="Calibri"/>
                <w:sz w:val="22"/>
                <w:lang w:val="fr-FR"/>
              </w:rPr>
              <w:t xml:space="preserve">, le BDT a appuyé la mise en œuvre d'une plate-forme d'identité numérique fondée sur les spécifications GovStack, permettant d'accroître l'efficacité de la fourniture des services, tandis qu'au </w:t>
            </w:r>
            <w:r w:rsidRPr="00C83DA9">
              <w:rPr>
                <w:rFonts w:ascii="Calibri" w:eastAsia="Calibri" w:hAnsi="Calibri" w:cs="Calibri"/>
                <w:b/>
                <w:bCs/>
                <w:sz w:val="22"/>
                <w:lang w:val="fr-FR"/>
              </w:rPr>
              <w:t>Kenya</w:t>
            </w:r>
            <w:r w:rsidRPr="00C83DA9">
              <w:rPr>
                <w:rFonts w:ascii="Calibri" w:eastAsia="Calibri" w:hAnsi="Calibri" w:cs="Calibri"/>
                <w:sz w:val="22"/>
                <w:lang w:val="fr-FR"/>
              </w:rPr>
              <w:t xml:space="preserve">, un système de gestion de cas a été lancé dans le cadre de l'Initiative pour la Corne de l'Afrique. Au </w:t>
            </w:r>
            <w:r w:rsidRPr="00C83DA9">
              <w:rPr>
                <w:rFonts w:ascii="Calibri" w:eastAsia="Calibri" w:hAnsi="Calibri" w:cs="Calibri"/>
                <w:b/>
                <w:bCs/>
                <w:sz w:val="22"/>
                <w:lang w:val="fr-FR"/>
              </w:rPr>
              <w:t>Rwanda</w:t>
            </w:r>
            <w:r w:rsidRPr="00C83DA9">
              <w:rPr>
                <w:rFonts w:ascii="Calibri" w:eastAsia="Calibri" w:hAnsi="Calibri" w:cs="Calibri"/>
                <w:sz w:val="22"/>
                <w:lang w:val="fr-FR"/>
              </w:rPr>
              <w:t xml:space="preserve">, plus de 70 participants venant de </w:t>
            </w:r>
            <w:r w:rsidRPr="00C83DA9">
              <w:rPr>
                <w:rFonts w:ascii="Calibri" w:eastAsia="Calibri" w:hAnsi="Calibri" w:cs="Calibri"/>
                <w:b/>
                <w:bCs/>
                <w:sz w:val="22"/>
                <w:lang w:val="fr-FR"/>
              </w:rPr>
              <w:t>Djibouti</w:t>
            </w:r>
            <w:r w:rsidRPr="00C83DA9">
              <w:rPr>
                <w:rFonts w:ascii="Calibri" w:eastAsia="Calibri" w:hAnsi="Calibri" w:cs="Calibri"/>
                <w:sz w:val="22"/>
                <w:lang w:val="fr-FR"/>
              </w:rPr>
              <w:t xml:space="preserve">, du </w:t>
            </w:r>
            <w:r w:rsidRPr="00C83DA9">
              <w:rPr>
                <w:rFonts w:ascii="Calibri" w:eastAsia="Calibri" w:hAnsi="Calibri" w:cs="Calibri"/>
                <w:b/>
                <w:bCs/>
                <w:sz w:val="22"/>
                <w:lang w:val="fr-FR"/>
              </w:rPr>
              <w:t>Kenya</w:t>
            </w:r>
            <w:r w:rsidRPr="00C83DA9">
              <w:rPr>
                <w:rFonts w:ascii="Calibri" w:eastAsia="Calibri" w:hAnsi="Calibri" w:cs="Calibri"/>
                <w:sz w:val="22"/>
                <w:lang w:val="fr-FR"/>
              </w:rPr>
              <w:t xml:space="preserve"> et de la </w:t>
            </w:r>
            <w:r w:rsidRPr="00C83DA9">
              <w:rPr>
                <w:rFonts w:ascii="Calibri" w:eastAsia="Calibri" w:hAnsi="Calibri" w:cs="Calibri"/>
                <w:b/>
                <w:bCs/>
                <w:sz w:val="22"/>
                <w:lang w:val="fr-FR"/>
              </w:rPr>
              <w:t>Somalie</w:t>
            </w:r>
            <w:r w:rsidRPr="00C83DA9">
              <w:rPr>
                <w:rFonts w:ascii="Calibri" w:eastAsia="Calibri" w:hAnsi="Calibri" w:cs="Calibri"/>
                <w:sz w:val="22"/>
                <w:lang w:val="fr-FR"/>
              </w:rPr>
              <w:t xml:space="preserve"> ont suivi des sessions de formation intensives, lors desquelles ils ont tiré parti de l'expérience du Rwanda en matière de transformation numérique. Au </w:t>
            </w:r>
            <w:r w:rsidRPr="00C83DA9">
              <w:rPr>
                <w:rFonts w:ascii="Calibri" w:eastAsia="Calibri" w:hAnsi="Calibri" w:cs="Calibri"/>
                <w:b/>
                <w:bCs/>
                <w:sz w:val="22"/>
                <w:lang w:val="fr-FR"/>
              </w:rPr>
              <w:t>Sénégal</w:t>
            </w:r>
            <w:r w:rsidRPr="00C83DA9">
              <w:rPr>
                <w:rFonts w:ascii="Calibri" w:eastAsia="Calibri" w:hAnsi="Calibri" w:cs="Calibri"/>
                <w:sz w:val="22"/>
                <w:lang w:val="fr-FR"/>
              </w:rPr>
              <w:t xml:space="preserve"> et au </w:t>
            </w:r>
            <w:r w:rsidRPr="00C83DA9">
              <w:rPr>
                <w:rFonts w:ascii="Calibri" w:eastAsia="Calibri" w:hAnsi="Calibri" w:cs="Calibri"/>
                <w:b/>
                <w:bCs/>
                <w:sz w:val="22"/>
                <w:lang w:val="fr-FR"/>
              </w:rPr>
              <w:t>Togo</w:t>
            </w:r>
            <w:r w:rsidRPr="00C83DA9">
              <w:rPr>
                <w:rFonts w:ascii="Calibri" w:eastAsia="Calibri" w:hAnsi="Calibri" w:cs="Calibri"/>
                <w:sz w:val="22"/>
                <w:lang w:val="fr-FR"/>
              </w:rPr>
              <w:t>, plus de 60 parties prenantes ont pris part à des ateliers de renforcement des capacité pour améliorer les approches en matière d'infrastructure publiques numériques.</w:t>
            </w:r>
          </w:p>
          <w:p w14:paraId="72914932" w14:textId="77777777"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L'Afrique a elle aussi apporté sa contribution aux écosystèmes des logiciels à code source ouvert. En 2025, le Kenya est devenu le premier pays pilote de l'initiative OSEE, avec la création d'un Bureau national des programmes à code source ouvert (OSPO), dont l'objectif est de renforcer les capacités nationales et de faire progresser la transformation numérique ouverte dans le cadre de son programme pour l'infrastructure publique numérique. Avec l'appui de l'UIT, l'OSPO crée des compétences techniques spécialisées, assure des formations de plusieurs niveaux et est en passe de faire du Kenya un pôle régional d'innovation ouverte et durable. Après cette première mise en œuvre, le PNUD travaille actuellement à l'élaboration du prochain projet pilote qui sera mené dans le cadre de l'initiative OSEE à Trinité-et-Tobago, intensifiant ainsi les efforts déployés à l'échelle mondiale pour doter les pays des moyens dont ils ont besoin grâce à des infrastructures publiques numériques inclusives et reposant sur des codes sources ouverts.</w:t>
            </w:r>
          </w:p>
          <w:p w14:paraId="2760D69F" w14:textId="1080B023"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lastRenderedPageBreak/>
              <w:t>Ces initiatives illustrent les progrès accomplis par l'Afrique en vue de transformer les cadres stratégiques en plates-formes opérationnelles, avec des pouvoirs publics qui adoptent des modules réutilisables et interopérables permettant de réduire les coûts de simplifier les systèmes et d'accélérer les progrès.</w:t>
            </w:r>
          </w:p>
          <w:p w14:paraId="770EDF75" w14:textId="6648C37E" w:rsidR="006773A3" w:rsidRPr="00C83DA9" w:rsidRDefault="006773A3" w:rsidP="00877206">
            <w:pPr>
              <w:pStyle w:val="Tabletext"/>
              <w:spacing w:before="120"/>
              <w:rPr>
                <w:rFonts w:eastAsia="Aptos"/>
                <w:color w:val="000000" w:themeColor="text1"/>
                <w:sz w:val="22"/>
                <w:lang w:val="fr-FR"/>
              </w:rPr>
            </w:pPr>
            <w:r w:rsidRPr="00C83DA9">
              <w:rPr>
                <w:rFonts w:eastAsia="Calibri"/>
                <w:sz w:val="22"/>
                <w:lang w:val="fr-FR"/>
              </w:rPr>
              <w:t xml:space="preserve">Dans la </w:t>
            </w:r>
            <w:r w:rsidRPr="00C83DA9">
              <w:rPr>
                <w:rFonts w:eastAsia="Calibri"/>
                <w:b/>
                <w:bCs/>
                <w:sz w:val="22"/>
                <w:lang w:val="fr-FR"/>
              </w:rPr>
              <w:t>région Asie-Pacifique</w:t>
            </w:r>
            <w:r w:rsidRPr="00C83DA9">
              <w:rPr>
                <w:rFonts w:eastAsia="Calibri"/>
                <w:sz w:val="22"/>
                <w:lang w:val="fr-FR"/>
              </w:rPr>
              <w:t xml:space="preserve">, le BDT a appuyé des initiatives dans les domaines de l'administration publique numérique, de l'éducation et de la transformation rurale. En </w:t>
            </w:r>
            <w:r w:rsidRPr="00C83DA9">
              <w:rPr>
                <w:rFonts w:eastAsia="Calibri"/>
                <w:b/>
                <w:bCs/>
                <w:sz w:val="22"/>
                <w:lang w:val="fr-FR"/>
              </w:rPr>
              <w:t>Papouasie-Nouvelle-Guinée</w:t>
            </w:r>
            <w:r w:rsidRPr="00C83DA9">
              <w:rPr>
                <w:rFonts w:eastAsia="Calibri"/>
                <w:sz w:val="22"/>
                <w:lang w:val="fr-FR"/>
              </w:rPr>
              <w:t xml:space="preserve">, dans le cadre du projet STREIT financé par l'Union européenne et mis en œuvre par le BDT en collaboration avec la FAO, l'Organisation internationale du travail (OIT), le PNUD et le Fonds d'équipement des Nations </w:t>
            </w:r>
            <w:r w:rsidRPr="00C83DA9">
              <w:rPr>
                <w:rFonts w:ascii="Calibri" w:eastAsia="Calibri" w:hAnsi="Calibri" w:cs="Calibri"/>
                <w:sz w:val="22"/>
                <w:lang w:val="fr-FR"/>
              </w:rPr>
              <w:t>Unies</w:t>
            </w:r>
            <w:r w:rsidRPr="00C83DA9">
              <w:rPr>
                <w:rFonts w:eastAsia="Calibri"/>
                <w:sz w:val="22"/>
                <w:lang w:val="fr-FR"/>
              </w:rPr>
              <w:t xml:space="preserve"> (FENU), les administrations des provinces du Sepik oriental et du Sepik occidental ont approuvé des stratégies nationales en matière de cyberagriculture </w:t>
            </w:r>
            <w:r w:rsidRPr="00C83DA9">
              <w:rPr>
                <w:rFonts w:ascii="Calibri" w:eastAsia="Calibri" w:hAnsi="Calibri" w:cs="Calibri"/>
                <w:sz w:val="22"/>
                <w:lang w:val="fr-FR"/>
              </w:rPr>
              <w:t>portant</w:t>
            </w:r>
            <w:r w:rsidRPr="00C83DA9">
              <w:rPr>
                <w:rFonts w:eastAsia="Calibri"/>
                <w:sz w:val="22"/>
                <w:lang w:val="fr-FR"/>
              </w:rPr>
              <w:t xml:space="preserve"> sur les chaînes de valeurs du cacao, de la vanille et de la pêche. Ces stratégies ont établi un lien direct entre les services TIC et la croissance économique des zones rurales, et des ateliers ont permis aux agriculteurs d'acquérir des compétences numériques et de se doter d'outils et d'applications également numériques pour accéder aux plates-formes de commerce en ligne utilisées par les agriculteurs pour exporter du cacao et de la vanille. L'UIT a élaboré et remis des systèmes de gestion informatiques destinés au Conseil national du cacao, à l'agriculture, à l'apprentissage et aux administrations des provinces.</w:t>
            </w:r>
          </w:p>
          <w:p w14:paraId="52F91980" w14:textId="22F893D1"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Conformément à la </w:t>
            </w:r>
            <w:hyperlink r:id="rId100" w:history="1">
              <w:r w:rsidRPr="00C83DA9">
                <w:rPr>
                  <w:sz w:val="22"/>
                  <w:szCs w:val="24"/>
                  <w:lang w:val="fr-FR"/>
                </w:rPr>
                <w:t xml:space="preserve">Résolution </w:t>
              </w:r>
              <w:r w:rsidRPr="00C83DA9">
                <w:rPr>
                  <w:rStyle w:val="Hyperlink"/>
                  <w:rFonts w:ascii="Calibri" w:eastAsia="Calibri" w:hAnsi="Calibri" w:cs="Calibri"/>
                  <w:sz w:val="22"/>
                  <w:lang w:val="fr-FR"/>
                </w:rPr>
                <w:t>85 (Rév. Kigali, 2022)</w:t>
              </w:r>
            </w:hyperlink>
            <w:r w:rsidRPr="00C83DA9">
              <w:rPr>
                <w:lang w:val="fr-FR"/>
              </w:rPr>
              <w:t xml:space="preserve"> </w:t>
            </w:r>
            <w:r w:rsidRPr="00C83DA9">
              <w:rPr>
                <w:sz w:val="22"/>
                <w:szCs w:val="24"/>
                <w:lang w:val="fr-FR"/>
              </w:rPr>
              <w:t>adoptée par la CMDT-22</w:t>
            </w:r>
            <w:r w:rsidRPr="00C83DA9">
              <w:rPr>
                <w:rFonts w:ascii="Calibri" w:eastAsia="Calibri" w:hAnsi="Calibri" w:cs="Calibri"/>
                <w:sz w:val="24"/>
                <w:szCs w:val="24"/>
                <w:lang w:val="fr-FR"/>
              </w:rPr>
              <w:t xml:space="preserve"> </w:t>
            </w:r>
            <w:r w:rsidRPr="00C83DA9">
              <w:rPr>
                <w:rFonts w:ascii="Calibri" w:eastAsia="Calibri" w:hAnsi="Calibri" w:cs="Calibri"/>
                <w:sz w:val="22"/>
                <w:lang w:val="fr-FR"/>
              </w:rPr>
              <w:t>intitulée "Faciliter l'avènement de l'Internet des objets ainsi que des villes et communautés intelligentes et durables pour le développement à l'échelle mondiale", plusieurs projets et activités ont été mis en œuvre. L'</w:t>
            </w:r>
            <w:r w:rsidR="00067D4B" w:rsidRPr="00C83DA9">
              <w:rPr>
                <w:rFonts w:ascii="Calibri" w:eastAsia="Calibri" w:hAnsi="Calibri" w:cs="Calibri"/>
                <w:sz w:val="22"/>
                <w:lang w:val="fr-FR"/>
              </w:rPr>
              <w:t>I</w:t>
            </w:r>
            <w:r w:rsidRPr="00C83DA9">
              <w:rPr>
                <w:rFonts w:ascii="Calibri" w:eastAsia="Calibri" w:hAnsi="Calibri" w:cs="Calibri"/>
                <w:sz w:val="22"/>
                <w:lang w:val="fr-FR"/>
              </w:rPr>
              <w:t>nitiative "</w:t>
            </w:r>
            <w:r w:rsidRPr="00C83DA9">
              <w:rPr>
                <w:rFonts w:ascii="Calibri" w:eastAsia="Calibri" w:hAnsi="Calibri" w:cs="Calibri"/>
                <w:b/>
                <w:bCs/>
                <w:sz w:val="22"/>
                <w:lang w:val="fr-FR"/>
              </w:rPr>
              <w:t>Villages intelligents et îles intelligentes</w:t>
            </w:r>
            <w:r w:rsidRPr="00C83DA9">
              <w:rPr>
                <w:rFonts w:ascii="Calibri" w:eastAsia="Calibri" w:hAnsi="Calibri" w:cs="Calibri"/>
                <w:sz w:val="22"/>
                <w:lang w:val="fr-FR"/>
              </w:rPr>
              <w:t xml:space="preserve">" a rapidement pris de l'ampleur dans le Pacifique et en Asie du Sud ces trois dernières années. En 2025, elle avait été déployée dans </w:t>
            </w:r>
            <w:r w:rsidRPr="00C83DA9">
              <w:rPr>
                <w:rFonts w:ascii="Calibri" w:eastAsia="Calibri" w:hAnsi="Calibri" w:cs="Calibri"/>
                <w:b/>
                <w:bCs/>
                <w:sz w:val="22"/>
                <w:lang w:val="fr-FR"/>
              </w:rPr>
              <w:t>11 États Membres</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(Fidji</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Kiribati</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Îles</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Marshall</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Micronésie</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Nauru</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Palaos</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Pakistan</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Papouasie-Nouvelle-Guinée</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Samoa</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Tonga</w:t>
            </w:r>
            <w:r w:rsidRPr="00C83DA9">
              <w:rPr>
                <w:rFonts w:ascii="Calibri" w:eastAsia="Calibri" w:hAnsi="Calibri" w:cs="Calibri"/>
                <w:sz w:val="22"/>
                <w:lang w:val="fr-FR"/>
              </w:rPr>
              <w:t xml:space="preserve"> et </w:t>
            </w:r>
            <w:r w:rsidRPr="00C83DA9">
              <w:rPr>
                <w:rFonts w:ascii="Calibri" w:eastAsia="Calibri" w:hAnsi="Calibri" w:cs="Calibri"/>
                <w:b/>
                <w:bCs/>
                <w:sz w:val="22"/>
                <w:lang w:val="fr-FR"/>
              </w:rPr>
              <w:t>Vanuatu)</w:t>
            </w:r>
            <w:r w:rsidRPr="00C83DA9">
              <w:rPr>
                <w:rFonts w:ascii="Calibri" w:eastAsia="Calibri" w:hAnsi="Calibri" w:cs="Calibri"/>
                <w:sz w:val="22"/>
                <w:lang w:val="fr-FR"/>
              </w:rPr>
              <w:t xml:space="preserve">. Chaque mise en œuvre a permis aux communautés mal desservies d'accéder à des services numériques. Au Pakistan, le projet ambitieux de </w:t>
            </w:r>
            <w:hyperlink r:id="rId101" w:history="1">
              <w:r w:rsidRPr="00C83DA9">
                <w:rPr>
                  <w:rStyle w:val="Hyperlink"/>
                  <w:rFonts w:ascii="Calibri" w:eastAsia="Calibri" w:hAnsi="Calibri" w:cs="Calibri"/>
                  <w:sz w:val="22"/>
                  <w:lang w:val="fr-FR"/>
                </w:rPr>
                <w:t>village intelligent de Gokina</w:t>
              </w:r>
            </w:hyperlink>
            <w:r w:rsidRPr="00C83DA9">
              <w:rPr>
                <w:rFonts w:ascii="Calibri" w:eastAsia="Calibri" w:hAnsi="Calibri" w:cs="Calibri"/>
                <w:sz w:val="22"/>
                <w:lang w:val="fr-FR"/>
              </w:rPr>
              <w:t xml:space="preserve"> lancé en 2023 a permis de fournir des services de télémédecine à plus de 5 000 patients, dont 84% de femmes, tandis que 100 jeunes filles ont pu accéder à un téléenseignement. Ce programme a été étendu aux villages de Sambriyal et Swabi, avec des formations permettant aux nouveaux participants d'acquérir des compétences numériques. À Sambriyal, plus de 200 (jeunes) membres d'une communauté ont suivi des formations pour acquérir des compétences numériques de niveau élémentaire, intermédiaire et avancé, tandis que plus d'une centaine de jeunes filles suivent actuellement des cours en lignes dans les écoles du village. À Swabi, plus</w:t>
            </w:r>
            <w:r w:rsidR="00FA56EA" w:rsidRPr="00C83DA9">
              <w:rPr>
                <w:rFonts w:ascii="Calibri" w:eastAsia="Calibri" w:hAnsi="Calibri" w:cs="Calibri"/>
                <w:sz w:val="22"/>
                <w:lang w:val="fr-FR"/>
              </w:rPr>
              <w:t> </w:t>
            </w:r>
            <w:r w:rsidRPr="00C83DA9">
              <w:rPr>
                <w:rFonts w:ascii="Calibri" w:eastAsia="Calibri" w:hAnsi="Calibri" w:cs="Calibri"/>
                <w:sz w:val="22"/>
                <w:lang w:val="fr-FR"/>
              </w:rPr>
              <w:t>de</w:t>
            </w:r>
            <w:r w:rsidR="00FA56EA" w:rsidRPr="00C83DA9">
              <w:rPr>
                <w:rFonts w:ascii="Calibri" w:eastAsia="Calibri" w:hAnsi="Calibri" w:cs="Calibri"/>
                <w:sz w:val="22"/>
                <w:lang w:val="fr-FR"/>
              </w:rPr>
              <w:t> </w:t>
            </w:r>
            <w:r w:rsidRPr="00C83DA9">
              <w:rPr>
                <w:rFonts w:ascii="Calibri" w:eastAsia="Calibri" w:hAnsi="Calibri" w:cs="Calibri"/>
                <w:sz w:val="22"/>
                <w:lang w:val="fr-FR"/>
              </w:rPr>
              <w:t>100 membres d'une communauté ont déjà bénéficié d'une formation dans les domaines thématiques du marketing numérique, de l'agriculture numérique et de l'inclusion financière numérique.</w:t>
            </w:r>
          </w:p>
          <w:p w14:paraId="699A93EC" w14:textId="48249DDA"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Au </w:t>
            </w:r>
            <w:r w:rsidRPr="00C83DA9">
              <w:rPr>
                <w:rFonts w:ascii="Calibri" w:eastAsia="Calibri" w:hAnsi="Calibri" w:cs="Calibri"/>
                <w:b/>
                <w:bCs/>
                <w:sz w:val="22"/>
                <w:lang w:val="fr-FR"/>
              </w:rPr>
              <w:t>Vanuatu</w:t>
            </w:r>
            <w:r w:rsidRPr="00C83DA9">
              <w:rPr>
                <w:rFonts w:ascii="Calibri" w:eastAsia="Calibri" w:hAnsi="Calibri" w:cs="Calibri"/>
                <w:sz w:val="22"/>
                <w:lang w:val="fr-FR"/>
              </w:rPr>
              <w:t xml:space="preserve">, des villages du sud de l'île de Malekula ont bénéficié de salles de classe numériques équipées de tablettes, de moyens de visioconférences et de systèmes de réseau, permettant de connecter les élèves et les enseignants avec Port Vila. L'initiative a en outre permis un accès à un éventail de services numérique et favorisé le commerce. À </w:t>
            </w:r>
            <w:r w:rsidRPr="00C83DA9">
              <w:rPr>
                <w:rFonts w:ascii="Calibri" w:eastAsia="Calibri" w:hAnsi="Calibri" w:cs="Calibri"/>
                <w:b/>
                <w:bCs/>
                <w:sz w:val="22"/>
                <w:lang w:val="fr-FR"/>
              </w:rPr>
              <w:t>Kiribati</w:t>
            </w:r>
            <w:r w:rsidRPr="00C83DA9">
              <w:rPr>
                <w:rFonts w:ascii="Calibri" w:eastAsia="Calibri" w:hAnsi="Calibri" w:cs="Calibri"/>
                <w:sz w:val="22"/>
                <w:lang w:val="fr-FR"/>
              </w:rPr>
              <w:t>, la couverture Wi-Fi sur l'île de Tamana a été étendue, permettant l'accès à des services de paiements numériques et de consultation en ligne dans plusieurs villages, dont 485</w:t>
            </w:r>
            <w:r w:rsidR="00067D4B" w:rsidRPr="00C83DA9">
              <w:rPr>
                <w:rFonts w:ascii="Calibri" w:eastAsia="Calibri" w:hAnsi="Calibri" w:cs="Calibri"/>
                <w:sz w:val="22"/>
                <w:lang w:val="fr-FR"/>
              </w:rPr>
              <w:t> </w:t>
            </w:r>
            <w:r w:rsidRPr="00C83DA9">
              <w:rPr>
                <w:rFonts w:ascii="Calibri" w:eastAsia="Calibri" w:hAnsi="Calibri" w:cs="Calibri"/>
                <w:sz w:val="22"/>
                <w:lang w:val="fr-FR"/>
              </w:rPr>
              <w:t>femmes, 19 personnes handicapées et 309 jeunes ont pu bénéficier directement.</w:t>
            </w:r>
          </w:p>
          <w:p w14:paraId="5F60DDC3" w14:textId="1E0891B8"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Dans la région Asie-Pacifique, plus de 1 300 personnes ont bénéficié d'un renforcement des capacités, l'objectif étant d'appliquer une approche faisant intervenir toutes les entités publiques grâce au programme GovStack. Le BDT a apporté un appui qui a pris la forme d'une assistance technique fournie au niveau national dans huit pays (</w:t>
            </w:r>
            <w:r w:rsidRPr="00C83DA9">
              <w:rPr>
                <w:rFonts w:ascii="Calibri" w:eastAsia="Calibri" w:hAnsi="Calibri" w:cs="Calibri"/>
                <w:b/>
                <w:bCs/>
                <w:sz w:val="22"/>
                <w:lang w:val="fr-FR"/>
              </w:rPr>
              <w:t>Bangladesh</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Cambodge</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Kiribati</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Lao (R.d.p.)</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lastRenderedPageBreak/>
              <w:t>Papouasie</w:t>
            </w:r>
            <w:r w:rsidR="00067D4B" w:rsidRPr="00C83DA9">
              <w:rPr>
                <w:rFonts w:ascii="Calibri" w:eastAsia="Calibri" w:hAnsi="Calibri" w:cs="Calibri"/>
                <w:b/>
                <w:bCs/>
                <w:sz w:val="22"/>
                <w:lang w:val="fr-FR"/>
              </w:rPr>
              <w:noBreakHyphen/>
            </w:r>
            <w:r w:rsidRPr="00C83DA9">
              <w:rPr>
                <w:rFonts w:ascii="Calibri" w:eastAsia="Calibri" w:hAnsi="Calibri" w:cs="Calibri"/>
                <w:b/>
                <w:bCs/>
                <w:sz w:val="22"/>
                <w:lang w:val="fr-FR"/>
              </w:rPr>
              <w:t>Nouvelle-Guinée</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Nauru</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Tonga</w:t>
            </w:r>
            <w:r w:rsidRPr="00C83DA9">
              <w:rPr>
                <w:rFonts w:ascii="Calibri" w:eastAsia="Calibri" w:hAnsi="Calibri" w:cs="Calibri"/>
                <w:sz w:val="22"/>
                <w:lang w:val="fr-FR"/>
              </w:rPr>
              <w:t xml:space="preserve"> et </w:t>
            </w:r>
            <w:r w:rsidRPr="00C83DA9">
              <w:rPr>
                <w:rFonts w:ascii="Calibri" w:eastAsia="Calibri" w:hAnsi="Calibri" w:cs="Calibri"/>
                <w:b/>
                <w:bCs/>
                <w:sz w:val="22"/>
                <w:lang w:val="fr-FR"/>
              </w:rPr>
              <w:t>Vanuatu</w:t>
            </w:r>
            <w:r w:rsidRPr="00C83DA9">
              <w:rPr>
                <w:rFonts w:ascii="Calibri" w:eastAsia="Calibri" w:hAnsi="Calibri" w:cs="Calibri"/>
                <w:sz w:val="22"/>
                <w:lang w:val="fr-FR"/>
              </w:rPr>
              <w:t xml:space="preserve">) complétée par des ateliers destinés à plusieurs pays. Cet appui a été fourni en collaboration avec le Ministère des infrastructures, des transports, du développement régional, des communications et des arts de l'Australie (DITRDCSA), le Fonds commun pour les ODD et l'Agence allemande de coopération internationale (GIZ). Une approche faisant intervenir toutes les entités publiques a également été adoptée dans le cadre de stratégies et de plans nationaux dans des pays tels que la </w:t>
            </w:r>
            <w:r w:rsidRPr="00C83DA9">
              <w:rPr>
                <w:rFonts w:ascii="Calibri" w:eastAsia="Calibri" w:hAnsi="Calibri" w:cs="Calibri"/>
                <w:b/>
                <w:bCs/>
                <w:sz w:val="22"/>
                <w:lang w:val="fr-FR"/>
              </w:rPr>
              <w:t>Papouasie-Nouvelle-Guinée</w:t>
            </w:r>
            <w:r w:rsidRPr="00C83DA9">
              <w:rPr>
                <w:rFonts w:ascii="Calibri" w:eastAsia="Calibri" w:hAnsi="Calibri" w:cs="Calibri"/>
                <w:sz w:val="22"/>
                <w:lang w:val="fr-FR"/>
              </w:rPr>
              <w:t xml:space="preserve"> et </w:t>
            </w:r>
            <w:r w:rsidRPr="00C83DA9">
              <w:rPr>
                <w:rFonts w:ascii="Calibri" w:eastAsia="Calibri" w:hAnsi="Calibri" w:cs="Calibri"/>
                <w:b/>
                <w:bCs/>
                <w:sz w:val="22"/>
                <w:lang w:val="fr-FR"/>
              </w:rPr>
              <w:t>Vanuatu</w:t>
            </w:r>
            <w:r w:rsidRPr="00C83DA9">
              <w:rPr>
                <w:rFonts w:ascii="Calibri" w:eastAsia="Calibri" w:hAnsi="Calibri" w:cs="Calibri"/>
                <w:sz w:val="22"/>
                <w:lang w:val="fr-FR"/>
              </w:rPr>
              <w:t>, et continue d'être une priorité pour les Membres. En outre, avec l'assistance technique du BDT, les ministres du numérique des pays de l'ASEAN ont adopté un cadre pour l'interopérabilité des services publiques numériques afin d'améliorer l'accès à ces services au sein des États Membres de l'ASEAN.</w:t>
            </w:r>
          </w:p>
          <w:p w14:paraId="059362DF" w14:textId="49CAF485"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Dans la </w:t>
            </w:r>
            <w:r w:rsidRPr="00C83DA9">
              <w:rPr>
                <w:rFonts w:ascii="Calibri" w:eastAsia="Calibri" w:hAnsi="Calibri" w:cs="Calibri"/>
                <w:b/>
                <w:bCs/>
                <w:sz w:val="22"/>
                <w:lang w:val="fr-FR"/>
              </w:rPr>
              <w:t>région Amériques</w:t>
            </w:r>
            <w:r w:rsidRPr="00C83DA9">
              <w:rPr>
                <w:rFonts w:ascii="Calibri" w:eastAsia="Calibri" w:hAnsi="Calibri" w:cs="Calibri"/>
                <w:sz w:val="22"/>
                <w:lang w:val="fr-FR"/>
              </w:rPr>
              <w:t xml:space="preserve">, le BDT a appuyé la transformation numérique en se concentrant en particulier sur l'inclusion grâce aux services publics et aux services financiers numériques. À </w:t>
            </w:r>
            <w:r w:rsidRPr="00C83DA9">
              <w:rPr>
                <w:rFonts w:ascii="Calibri" w:eastAsia="Calibri" w:hAnsi="Calibri" w:cs="Calibri"/>
                <w:b/>
                <w:bCs/>
                <w:sz w:val="22"/>
                <w:lang w:val="fr-FR"/>
              </w:rPr>
              <w:t>Antigua-et-Barbuda</w:t>
            </w:r>
            <w:r w:rsidRPr="00C83DA9">
              <w:rPr>
                <w:rFonts w:ascii="Calibri" w:eastAsia="Calibri" w:hAnsi="Calibri" w:cs="Calibri"/>
                <w:sz w:val="22"/>
                <w:lang w:val="fr-FR"/>
              </w:rPr>
              <w:t xml:space="preserve"> et à </w:t>
            </w:r>
            <w:r w:rsidRPr="00C83DA9">
              <w:rPr>
                <w:rFonts w:ascii="Calibri" w:eastAsia="Calibri" w:hAnsi="Calibri" w:cs="Calibri"/>
                <w:b/>
                <w:bCs/>
                <w:sz w:val="22"/>
                <w:lang w:val="fr-FR"/>
              </w:rPr>
              <w:t>Sainte-Lucie</w:t>
            </w:r>
            <w:r w:rsidRPr="00C83DA9">
              <w:rPr>
                <w:rFonts w:ascii="Calibri" w:eastAsia="Calibri" w:hAnsi="Calibri" w:cs="Calibri"/>
                <w:sz w:val="22"/>
                <w:lang w:val="fr-FR"/>
              </w:rPr>
              <w:t xml:space="preserve">, le BDT, dans le cadre d'un programme conjoint avec les Nations Unies, a aidé les gouvernement à adopter des mesures sur les plans de la réglementation, des politiques et de la cybersécurité destinées à améliorer les services financiers numériques. Plus de 65 parties prenantes ont pu bénéficier d'une formation sur la sécurité mobile, tandis que 15 experts ont été formés afin de pouvoir effectuer des audits indépendants concernant les applications et l'infrastructure de paiement numérique. En </w:t>
            </w:r>
            <w:r w:rsidRPr="00C83DA9">
              <w:rPr>
                <w:rFonts w:ascii="Calibri" w:eastAsia="Calibri" w:hAnsi="Calibri" w:cs="Calibri"/>
                <w:b/>
                <w:bCs/>
                <w:sz w:val="22"/>
                <w:lang w:val="fr-FR"/>
              </w:rPr>
              <w:t>El Salvador</w:t>
            </w:r>
            <w:r w:rsidRPr="00C83DA9">
              <w:rPr>
                <w:rFonts w:ascii="Calibri" w:eastAsia="Calibri" w:hAnsi="Calibri" w:cs="Calibri"/>
                <w:sz w:val="22"/>
                <w:lang w:val="fr-FR"/>
              </w:rPr>
              <w:t xml:space="preserve"> en 2024, le BDT a pris part à la mise en œuvre réussie de l'accès amélioré à des services de soins de qualité pour les personnes souffrant de maladies non transmissibles dans le cadre d'un projet en faveur de l'innovation numérique mené avec l'OMS/l'Organisation panaméricaine de la santé (OPS), le FNUAP et l'UNICEF.</w:t>
            </w:r>
          </w:p>
          <w:p w14:paraId="22FBB2D9" w14:textId="1DE78853"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Au niveau régional, 26 responsables d'organisme ont participé à une formation GovStack à l'occasion de la réunion annuelle du Réseau régional pour le développement de l'administration en ligne, ce qui a aidé à diffuser les bonnes pratiques dans les pays. Au</w:t>
            </w:r>
            <w:r w:rsidR="00FA56EA" w:rsidRPr="00C83DA9">
              <w:rPr>
                <w:rFonts w:ascii="Calibri" w:eastAsia="Calibri" w:hAnsi="Calibri" w:cs="Calibri"/>
                <w:sz w:val="22"/>
                <w:lang w:val="fr-FR"/>
              </w:rPr>
              <w:t> </w:t>
            </w:r>
            <w:r w:rsidRPr="00C83DA9">
              <w:rPr>
                <w:rFonts w:ascii="Calibri" w:eastAsia="Calibri" w:hAnsi="Calibri" w:cs="Calibri"/>
                <w:b/>
                <w:bCs/>
                <w:sz w:val="22"/>
                <w:lang w:val="fr-FR"/>
              </w:rPr>
              <w:t>Belize</w:t>
            </w:r>
            <w:r w:rsidRPr="00C83DA9">
              <w:rPr>
                <w:rFonts w:ascii="Calibri" w:eastAsia="Calibri" w:hAnsi="Calibri" w:cs="Calibri"/>
                <w:sz w:val="22"/>
                <w:lang w:val="fr-FR"/>
              </w:rPr>
              <w:t xml:space="preserve">, en </w:t>
            </w:r>
            <w:r w:rsidRPr="00C83DA9">
              <w:rPr>
                <w:rFonts w:ascii="Calibri" w:eastAsia="Calibri" w:hAnsi="Calibri" w:cs="Calibri"/>
                <w:b/>
                <w:bCs/>
                <w:sz w:val="22"/>
                <w:lang w:val="fr-FR"/>
              </w:rPr>
              <w:t>Colombie</w:t>
            </w:r>
            <w:r w:rsidRPr="00C83DA9">
              <w:rPr>
                <w:rFonts w:ascii="Calibri" w:eastAsia="Calibri" w:hAnsi="Calibri" w:cs="Calibri"/>
                <w:sz w:val="22"/>
                <w:lang w:val="fr-FR"/>
              </w:rPr>
              <w:t xml:space="preserve">, au </w:t>
            </w:r>
            <w:r w:rsidRPr="00C83DA9">
              <w:rPr>
                <w:rFonts w:ascii="Calibri" w:eastAsia="Calibri" w:hAnsi="Calibri" w:cs="Calibri"/>
                <w:b/>
                <w:bCs/>
                <w:sz w:val="22"/>
                <w:lang w:val="fr-FR"/>
              </w:rPr>
              <w:t>Costa Rica</w:t>
            </w:r>
            <w:r w:rsidRPr="00C83DA9">
              <w:rPr>
                <w:rFonts w:ascii="Calibri" w:eastAsia="Calibri" w:hAnsi="Calibri" w:cs="Calibri"/>
                <w:sz w:val="22"/>
                <w:lang w:val="fr-FR"/>
              </w:rPr>
              <w:t xml:space="preserve">, en </w:t>
            </w:r>
            <w:r w:rsidRPr="00C83DA9">
              <w:rPr>
                <w:rFonts w:ascii="Calibri" w:eastAsia="Calibri" w:hAnsi="Calibri" w:cs="Calibri"/>
                <w:b/>
                <w:bCs/>
                <w:sz w:val="22"/>
                <w:lang w:val="fr-FR"/>
              </w:rPr>
              <w:t>République dominicaine</w:t>
            </w:r>
            <w:r w:rsidRPr="00C83DA9">
              <w:rPr>
                <w:rFonts w:ascii="Calibri" w:eastAsia="Calibri" w:hAnsi="Calibri" w:cs="Calibri"/>
                <w:sz w:val="22"/>
                <w:lang w:val="fr-FR"/>
              </w:rPr>
              <w:t xml:space="preserve"> et au </w:t>
            </w:r>
            <w:r w:rsidRPr="00C83DA9">
              <w:rPr>
                <w:rFonts w:ascii="Calibri" w:eastAsia="Calibri" w:hAnsi="Calibri" w:cs="Calibri"/>
                <w:b/>
                <w:bCs/>
                <w:sz w:val="22"/>
                <w:lang w:val="fr-FR"/>
              </w:rPr>
              <w:t>Guatemala</w:t>
            </w:r>
            <w:r w:rsidRPr="00C83DA9">
              <w:rPr>
                <w:rFonts w:ascii="Calibri" w:eastAsia="Calibri" w:hAnsi="Calibri" w:cs="Calibri"/>
                <w:sz w:val="22"/>
                <w:lang w:val="fr-FR"/>
              </w:rPr>
              <w:t>, des possibilités d'adoption d'approches en modules ont été passées en revue, des projets ayant montré de quelle manière les services publics numériques pouvaient renforcer simultanément l'inclusion financière et la fourniture de services publics.</w:t>
            </w:r>
          </w:p>
          <w:p w14:paraId="4DB5C1A2" w14:textId="17D86AD2"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Dans la </w:t>
            </w:r>
            <w:r w:rsidRPr="00C83DA9">
              <w:rPr>
                <w:rFonts w:ascii="Calibri" w:eastAsia="Calibri" w:hAnsi="Calibri" w:cs="Calibri"/>
                <w:b/>
                <w:bCs/>
                <w:sz w:val="22"/>
                <w:lang w:val="fr-FR"/>
              </w:rPr>
              <w:t>région des États arabes</w:t>
            </w:r>
            <w:r w:rsidRPr="00C83DA9">
              <w:rPr>
                <w:rFonts w:ascii="Calibri" w:eastAsia="Calibri" w:hAnsi="Calibri" w:cs="Calibri"/>
                <w:sz w:val="22"/>
                <w:lang w:val="fr-FR"/>
              </w:rPr>
              <w:t xml:space="preserve">, le BDT a progressé dans la mise en œuvre de projets pilotes et organisé des manifestations de haut niveau. À </w:t>
            </w:r>
            <w:r w:rsidRPr="00C83DA9">
              <w:rPr>
                <w:rFonts w:ascii="Calibri" w:eastAsia="Calibri" w:hAnsi="Calibri" w:cs="Calibri"/>
                <w:b/>
                <w:bCs/>
                <w:sz w:val="22"/>
                <w:lang w:val="fr-FR"/>
              </w:rPr>
              <w:t>Djibouti</w:t>
            </w:r>
            <w:r w:rsidRPr="00C83DA9">
              <w:rPr>
                <w:rFonts w:ascii="Calibri" w:eastAsia="Calibri" w:hAnsi="Calibri" w:cs="Calibri"/>
                <w:sz w:val="22"/>
                <w:lang w:val="fr-FR"/>
              </w:rPr>
              <w:t xml:space="preserve">, en </w:t>
            </w:r>
            <w:r w:rsidRPr="00C83DA9">
              <w:rPr>
                <w:rFonts w:ascii="Calibri" w:eastAsia="Calibri" w:hAnsi="Calibri" w:cs="Calibri"/>
                <w:b/>
                <w:bCs/>
                <w:sz w:val="22"/>
                <w:lang w:val="fr-FR"/>
              </w:rPr>
              <w:t>Mauritanie</w:t>
            </w:r>
            <w:r w:rsidRPr="00C83DA9">
              <w:rPr>
                <w:rFonts w:ascii="Calibri" w:eastAsia="Calibri" w:hAnsi="Calibri" w:cs="Calibri"/>
                <w:sz w:val="22"/>
                <w:lang w:val="fr-FR"/>
              </w:rPr>
              <w:t xml:space="preserve"> et en </w:t>
            </w:r>
            <w:r w:rsidRPr="00C83DA9">
              <w:rPr>
                <w:rFonts w:ascii="Calibri" w:eastAsia="Calibri" w:hAnsi="Calibri" w:cs="Calibri"/>
                <w:b/>
                <w:bCs/>
                <w:sz w:val="22"/>
                <w:lang w:val="fr-FR"/>
              </w:rPr>
              <w:t>Somalie</w:t>
            </w:r>
            <w:r w:rsidRPr="00C83DA9">
              <w:rPr>
                <w:rFonts w:ascii="Calibri" w:eastAsia="Calibri" w:hAnsi="Calibri" w:cs="Calibri"/>
                <w:sz w:val="22"/>
                <w:lang w:val="fr-FR"/>
              </w:rPr>
              <w:t xml:space="preserve">, choisis comme pays de référence, le BDT a appuyé la mise en œuvre de GovStack, avec des cas d'utilisation de services électroniques dont eCabinet et eConstruction Permits, un portail pour les dossiers scolaires et un portail de services. En </w:t>
            </w:r>
            <w:r w:rsidRPr="00C83DA9">
              <w:rPr>
                <w:rFonts w:ascii="Calibri" w:eastAsia="Calibri" w:hAnsi="Calibri" w:cs="Calibri"/>
                <w:b/>
                <w:bCs/>
                <w:sz w:val="22"/>
                <w:lang w:val="fr-FR"/>
              </w:rPr>
              <w:t>Égypte</w:t>
            </w:r>
            <w:r w:rsidRPr="00C83DA9">
              <w:rPr>
                <w:rFonts w:ascii="Calibri" w:eastAsia="Calibri" w:hAnsi="Calibri" w:cs="Calibri"/>
                <w:sz w:val="22"/>
                <w:lang w:val="fr-FR"/>
              </w:rPr>
              <w:t xml:space="preserve">, la collaboration avec l'Autorité nationale de régulation des télécommunications a abouti à l'élaboration d'un cadre d'évaluation des villes et des communautés intelligentes et durables. Ce travail a été appuyé par des activités de renforcement des capacités dont 250 parties prenantes ont bénéficié, portant sur les spécifications techniques GovStack et les interfaces de programmation d'application (API). Au niveau régional, le Sommet mondial sur l'infrastructure publique numérique, organisé au Caire en 2024 avec l'appui du BDT, a rassemblé des représentants de plus de cent pays, faisant de la </w:t>
            </w:r>
            <w:r w:rsidRPr="00C83DA9">
              <w:rPr>
                <w:rFonts w:ascii="Calibri" w:eastAsia="Calibri" w:hAnsi="Calibri" w:cs="Calibri"/>
                <w:b/>
                <w:bCs/>
                <w:sz w:val="22"/>
                <w:lang w:val="fr-FR"/>
              </w:rPr>
              <w:t>région des États</w:t>
            </w:r>
            <w:r w:rsidR="00FA56EA" w:rsidRPr="00C83DA9">
              <w:rPr>
                <w:rFonts w:ascii="Calibri" w:eastAsia="Calibri" w:hAnsi="Calibri" w:cs="Calibri"/>
                <w:b/>
                <w:bCs/>
                <w:sz w:val="22"/>
                <w:lang w:val="fr-FR"/>
              </w:rPr>
              <w:t> </w:t>
            </w:r>
            <w:r w:rsidRPr="00C83DA9">
              <w:rPr>
                <w:rFonts w:ascii="Calibri" w:eastAsia="Calibri" w:hAnsi="Calibri" w:cs="Calibri"/>
                <w:b/>
                <w:bCs/>
                <w:sz w:val="22"/>
                <w:lang w:val="fr-FR"/>
              </w:rPr>
              <w:t>arabes</w:t>
            </w:r>
            <w:r w:rsidRPr="00C83DA9">
              <w:rPr>
                <w:rFonts w:ascii="Calibri" w:eastAsia="Calibri" w:hAnsi="Calibri" w:cs="Calibri"/>
                <w:sz w:val="22"/>
                <w:lang w:val="fr-FR"/>
              </w:rPr>
              <w:t xml:space="preserve"> un pôle central du dialogue mondial sur l'infrastructure publique numérique. La région a également accueilli un forum sur le thème "La 5G et au-delà" afin d'aligner les technologies émergentes sur les priorités nationales dans le domaine des villes intelligentes. En </w:t>
            </w:r>
            <w:r w:rsidRPr="00C83DA9">
              <w:rPr>
                <w:rFonts w:ascii="Calibri" w:eastAsia="Calibri" w:hAnsi="Calibri" w:cs="Calibri"/>
                <w:b/>
                <w:bCs/>
                <w:sz w:val="22"/>
                <w:lang w:val="fr-FR"/>
              </w:rPr>
              <w:t>Jordanie</w:t>
            </w:r>
            <w:r w:rsidRPr="00C83DA9">
              <w:rPr>
                <w:rFonts w:ascii="Calibri" w:eastAsia="Calibri" w:hAnsi="Calibri" w:cs="Calibri"/>
                <w:sz w:val="22"/>
                <w:lang w:val="fr-FR"/>
              </w:rPr>
              <w:t>, une étude d'évaluation des technologies immersives a permis de faire le lien entre les points forts de l'écosystème et les débouchés et abouti à la formulation de recommandations pour favoriser la création d'emplois et l'innovation. De</w:t>
            </w:r>
            <w:r w:rsidR="00FA56EA" w:rsidRPr="00C83DA9">
              <w:rPr>
                <w:rFonts w:ascii="Calibri" w:eastAsia="Calibri" w:hAnsi="Calibri" w:cs="Calibri"/>
                <w:sz w:val="22"/>
                <w:lang w:val="fr-FR"/>
              </w:rPr>
              <w:t> </w:t>
            </w:r>
            <w:r w:rsidRPr="00C83DA9">
              <w:rPr>
                <w:rFonts w:ascii="Calibri" w:eastAsia="Calibri" w:hAnsi="Calibri" w:cs="Calibri"/>
                <w:sz w:val="22"/>
                <w:lang w:val="fr-FR"/>
              </w:rPr>
              <w:t>plus, une assistance technique a débuté en vue d'élaborer, avec les pays, des stratégies nationales relatives aux technologies immersives alignées sur l'évaluation réalisée.</w:t>
            </w:r>
          </w:p>
          <w:p w14:paraId="2F3062F8" w14:textId="14AF82DD"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lastRenderedPageBreak/>
              <w:t xml:space="preserve">Dans la </w:t>
            </w:r>
            <w:r w:rsidRPr="00C83DA9">
              <w:rPr>
                <w:rFonts w:ascii="Calibri" w:eastAsia="Calibri" w:hAnsi="Calibri" w:cs="Calibri"/>
                <w:b/>
                <w:bCs/>
                <w:sz w:val="22"/>
                <w:lang w:val="fr-FR"/>
              </w:rPr>
              <w:t>région</w:t>
            </w:r>
            <w:r w:rsidRPr="00C83DA9">
              <w:rPr>
                <w:rFonts w:ascii="Calibri" w:eastAsia="Calibri" w:hAnsi="Calibri" w:cs="Calibri"/>
                <w:sz w:val="22"/>
                <w:lang w:val="fr-FR"/>
              </w:rPr>
              <w:t xml:space="preserve"> </w:t>
            </w:r>
            <w:r w:rsidRPr="00C83DA9">
              <w:rPr>
                <w:rFonts w:ascii="Calibri" w:eastAsia="Calibri" w:hAnsi="Calibri" w:cs="Calibri"/>
                <w:b/>
                <w:sz w:val="22"/>
                <w:lang w:val="fr-FR"/>
              </w:rPr>
              <w:t>Europe</w:t>
            </w:r>
            <w:r w:rsidRPr="00C83DA9">
              <w:rPr>
                <w:rFonts w:ascii="Calibri" w:eastAsia="Calibri" w:hAnsi="Calibri" w:cs="Calibri"/>
                <w:sz w:val="22"/>
                <w:lang w:val="fr-FR"/>
              </w:rPr>
              <w:t xml:space="preserve">, le BDT a insisté sur la conception centrée sur l'humain, l'alignement pour les pays en phase de préadhésion et la mise en œuvre locale. La </w:t>
            </w:r>
            <w:r w:rsidRPr="00C83DA9">
              <w:rPr>
                <w:rFonts w:ascii="Calibri" w:eastAsia="Calibri" w:hAnsi="Calibri" w:cs="Calibri"/>
                <w:b/>
                <w:bCs/>
                <w:sz w:val="22"/>
                <w:lang w:val="fr-FR"/>
              </w:rPr>
              <w:t>Macédoine du Nord</w:t>
            </w:r>
            <w:r w:rsidRPr="00C83DA9">
              <w:rPr>
                <w:rFonts w:ascii="Calibri" w:eastAsia="Calibri" w:hAnsi="Calibri" w:cs="Calibri"/>
                <w:sz w:val="22"/>
                <w:lang w:val="fr-FR"/>
              </w:rPr>
              <w:t xml:space="preserve"> et la </w:t>
            </w:r>
            <w:r w:rsidRPr="00C83DA9">
              <w:rPr>
                <w:rFonts w:ascii="Calibri" w:eastAsia="Calibri" w:hAnsi="Calibri" w:cs="Calibri"/>
                <w:b/>
                <w:bCs/>
                <w:sz w:val="22"/>
                <w:lang w:val="fr-FR"/>
              </w:rPr>
              <w:t>Moldova</w:t>
            </w:r>
            <w:r w:rsidRPr="00C83DA9">
              <w:rPr>
                <w:rFonts w:ascii="Calibri" w:eastAsia="Calibri" w:hAnsi="Calibri" w:cs="Calibri"/>
                <w:sz w:val="22"/>
                <w:lang w:val="fr-FR"/>
              </w:rPr>
              <w:t>, appuyées par le BDT, ont établi la version finale de leurs stratégies nationales de transformation numérique respectives, alignant ainsi leurs cadres sur des objectifs de développement plus larges. L'</w:t>
            </w:r>
            <w:r w:rsidRPr="00C83DA9">
              <w:rPr>
                <w:rFonts w:ascii="Calibri" w:eastAsia="Calibri" w:hAnsi="Calibri" w:cs="Calibri"/>
                <w:b/>
                <w:bCs/>
                <w:sz w:val="22"/>
                <w:lang w:val="fr-FR"/>
              </w:rPr>
              <w:t>Albanie</w:t>
            </w:r>
            <w:r w:rsidRPr="00C83DA9">
              <w:rPr>
                <w:rFonts w:ascii="Calibri" w:eastAsia="Calibri" w:hAnsi="Calibri" w:cs="Calibri"/>
                <w:sz w:val="22"/>
                <w:lang w:val="fr-FR"/>
              </w:rPr>
              <w:t xml:space="preserve">, le </w:t>
            </w:r>
            <w:r w:rsidRPr="00C83DA9">
              <w:rPr>
                <w:rFonts w:ascii="Calibri" w:eastAsia="Calibri" w:hAnsi="Calibri" w:cs="Calibri"/>
                <w:b/>
                <w:bCs/>
                <w:sz w:val="22"/>
                <w:lang w:val="fr-FR"/>
              </w:rPr>
              <w:t>Monténégro</w:t>
            </w:r>
            <w:r w:rsidRPr="00C83DA9">
              <w:rPr>
                <w:rFonts w:ascii="Calibri" w:eastAsia="Calibri" w:hAnsi="Calibri" w:cs="Calibri"/>
                <w:sz w:val="22"/>
                <w:lang w:val="fr-FR"/>
              </w:rPr>
              <w:t xml:space="preserve"> et la </w:t>
            </w:r>
            <w:r w:rsidRPr="00C83DA9">
              <w:rPr>
                <w:rFonts w:ascii="Calibri" w:eastAsia="Calibri" w:hAnsi="Calibri" w:cs="Calibri"/>
                <w:b/>
                <w:bCs/>
                <w:sz w:val="22"/>
                <w:lang w:val="fr-FR"/>
              </w:rPr>
              <w:t>Serbie</w:t>
            </w:r>
            <w:r w:rsidRPr="00C83DA9">
              <w:rPr>
                <w:rFonts w:ascii="Calibri" w:eastAsia="Calibri" w:hAnsi="Calibri" w:cs="Calibri"/>
                <w:sz w:val="22"/>
                <w:lang w:val="fr-FR"/>
              </w:rPr>
              <w:t xml:space="preserve"> ont lancé des projets au moyen de l'enveloppe du Fonds commun pour les ODD dédiée aux projets numériques. L'</w:t>
            </w:r>
            <w:r w:rsidRPr="00C83DA9">
              <w:rPr>
                <w:rFonts w:ascii="Calibri" w:eastAsia="Calibri" w:hAnsi="Calibri" w:cs="Calibri"/>
                <w:b/>
                <w:bCs/>
                <w:sz w:val="22"/>
                <w:lang w:val="fr-FR"/>
              </w:rPr>
              <w:t>Albanie</w:t>
            </w:r>
            <w:r w:rsidRPr="00C83DA9">
              <w:rPr>
                <w:rFonts w:ascii="Calibri" w:eastAsia="Calibri" w:hAnsi="Calibri" w:cs="Calibri"/>
                <w:sz w:val="22"/>
                <w:lang w:val="fr-FR"/>
              </w:rPr>
              <w:t xml:space="preserve"> s'est concentrée sur l'agriculture numérique et la transformation rurale, tandis que le </w:t>
            </w:r>
            <w:r w:rsidRPr="00C83DA9">
              <w:rPr>
                <w:rFonts w:ascii="Calibri" w:eastAsia="Calibri" w:hAnsi="Calibri" w:cs="Calibri"/>
                <w:b/>
                <w:bCs/>
                <w:sz w:val="22"/>
                <w:lang w:val="fr-FR"/>
              </w:rPr>
              <w:t>Monténégro</w:t>
            </w:r>
            <w:r w:rsidRPr="00C83DA9">
              <w:rPr>
                <w:rFonts w:ascii="Calibri" w:eastAsia="Calibri" w:hAnsi="Calibri" w:cs="Calibri"/>
                <w:sz w:val="22"/>
                <w:lang w:val="fr-FR"/>
              </w:rPr>
              <w:t xml:space="preserve"> a apporté un appui dans les domaines des villes intelligentes et de la cybergouvernance locale, et que la </w:t>
            </w:r>
            <w:r w:rsidRPr="00C83DA9">
              <w:rPr>
                <w:rFonts w:ascii="Calibri" w:eastAsia="Calibri" w:hAnsi="Calibri" w:cs="Calibri"/>
                <w:b/>
                <w:bCs/>
                <w:sz w:val="22"/>
                <w:lang w:val="fr-FR"/>
              </w:rPr>
              <w:t>Serbie</w:t>
            </w:r>
            <w:r w:rsidRPr="00C83DA9">
              <w:rPr>
                <w:rFonts w:ascii="Calibri" w:eastAsia="Calibri" w:hAnsi="Calibri" w:cs="Calibri"/>
                <w:sz w:val="22"/>
                <w:lang w:val="fr-FR"/>
              </w:rPr>
              <w:t xml:space="preserve"> a créé un Centre de conception des services numériques afin de mettre au point des services centrés sur l'utilisateur.</w:t>
            </w:r>
            <w:r w:rsidRPr="00C83DA9">
              <w:rPr>
                <w:lang w:val="fr-FR"/>
              </w:rPr>
              <w:t xml:space="preserve"> </w:t>
            </w:r>
            <w:r w:rsidRPr="00C83DA9">
              <w:rPr>
                <w:rFonts w:ascii="Calibri" w:eastAsia="Calibri" w:hAnsi="Calibri" w:cs="Calibri"/>
                <w:sz w:val="22"/>
                <w:lang w:val="fr-FR"/>
              </w:rPr>
              <w:t>L'initiative Pleins feux sur la transformation numérique centrée sur l'humain a permis de consigner par écrit l'expérience acquise dans dix pays d'Europe, grâce à l'analyse des enseignements tirés en matière de services de santé, d'éducation et d'administration publique. Parallèlement, la série d'ateliers "</w:t>
            </w:r>
            <w:hyperlink r:id="rId102" w:history="1">
              <w:r w:rsidRPr="00C83DA9">
                <w:rPr>
                  <w:rStyle w:val="Hyperlink"/>
                  <w:rFonts w:ascii="Calibri" w:eastAsia="Calibri" w:hAnsi="Calibri" w:cs="Calibri"/>
                  <w:sz w:val="22"/>
                  <w:lang w:val="fr-FR"/>
                </w:rPr>
                <w:t>Repenser les services publics</w:t>
              </w:r>
            </w:hyperlink>
            <w:r w:rsidRPr="00C83DA9">
              <w:rPr>
                <w:rFonts w:ascii="Calibri" w:eastAsia="Calibri" w:hAnsi="Calibri" w:cs="Calibri"/>
                <w:sz w:val="22"/>
                <w:lang w:val="fr-FR"/>
              </w:rPr>
              <w:t>" a permis de nouer un dialogue fondé sur la collaboration entre onze États Membres. En</w:t>
            </w:r>
            <w:r w:rsidR="00FA56EA" w:rsidRPr="00C83DA9">
              <w:rPr>
                <w:rFonts w:ascii="Calibri" w:eastAsia="Calibri" w:hAnsi="Calibri" w:cs="Calibri"/>
                <w:sz w:val="22"/>
                <w:lang w:val="fr-FR"/>
              </w:rPr>
              <w:t> </w:t>
            </w:r>
            <w:r w:rsidRPr="00C83DA9">
              <w:rPr>
                <w:rFonts w:ascii="Calibri" w:eastAsia="Calibri" w:hAnsi="Calibri" w:cs="Calibri"/>
                <w:b/>
                <w:bCs/>
                <w:sz w:val="22"/>
                <w:lang w:val="fr-FR"/>
              </w:rPr>
              <w:t>Ukraine</w:t>
            </w:r>
            <w:r w:rsidRPr="00C83DA9">
              <w:rPr>
                <w:rFonts w:ascii="Calibri" w:eastAsia="Calibri" w:hAnsi="Calibri" w:cs="Calibri"/>
                <w:sz w:val="22"/>
                <w:lang w:val="fr-FR"/>
              </w:rPr>
              <w:t>, le BDT a appuyé les travaux de rétablissement menés au niveau national en remettant en état des stations de radiodiffusion et en modernisant l'infrastructure 4G/5G, faisant ainsi le trait d'union entre reconstruction et développement du numérique à long terme.</w:t>
            </w:r>
          </w:p>
          <w:p w14:paraId="4C866719" w14:textId="30F1BCBB"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Dans la </w:t>
            </w:r>
            <w:r w:rsidRPr="00C83DA9">
              <w:rPr>
                <w:rFonts w:ascii="Calibri" w:eastAsia="Calibri" w:hAnsi="Calibri" w:cs="Calibri"/>
                <w:b/>
                <w:bCs/>
                <w:sz w:val="22"/>
                <w:lang w:val="fr-FR"/>
              </w:rPr>
              <w:t>région de la CEI</w:t>
            </w:r>
            <w:r w:rsidRPr="00C83DA9">
              <w:rPr>
                <w:rFonts w:ascii="Calibri" w:eastAsia="Calibri" w:hAnsi="Calibri" w:cs="Calibri"/>
                <w:sz w:val="22"/>
                <w:lang w:val="fr-FR"/>
              </w:rPr>
              <w:t xml:space="preserve">, le BDT a renforcé la coopération régionale en matière de services publics numériques et de villes intelligentes. Le </w:t>
            </w:r>
            <w:hyperlink r:id="rId103" w:history="1">
              <w:r w:rsidRPr="00C83DA9">
                <w:rPr>
                  <w:rStyle w:val="Hyperlink"/>
                  <w:rFonts w:ascii="Calibri" w:eastAsia="Calibri" w:hAnsi="Calibri" w:cs="Calibri"/>
                  <w:sz w:val="22"/>
                  <w:lang w:val="fr-FR"/>
                </w:rPr>
                <w:t>Forum régional sur les villes intelligentes et durables</w:t>
              </w:r>
            </w:hyperlink>
            <w:r w:rsidRPr="00C83DA9">
              <w:rPr>
                <w:rFonts w:ascii="Calibri" w:eastAsia="Calibri" w:hAnsi="Calibri" w:cs="Calibri"/>
                <w:sz w:val="22"/>
                <w:lang w:val="fr-FR"/>
              </w:rPr>
              <w:t xml:space="preserve"> a rassemblé des représentants de gouvernements, d'institutions des Nations Unies et de collectivités locales afin de mettre en commun des solutions. </w:t>
            </w:r>
          </w:p>
          <w:p w14:paraId="1147B02A" w14:textId="7B70C991"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Au </w:t>
            </w:r>
            <w:r w:rsidRPr="00C83DA9">
              <w:rPr>
                <w:rFonts w:ascii="Calibri" w:eastAsia="Calibri" w:hAnsi="Calibri" w:cs="Calibri"/>
                <w:b/>
                <w:bCs/>
                <w:sz w:val="22"/>
                <w:lang w:val="fr-FR"/>
              </w:rPr>
              <w:t>Bélarus</w:t>
            </w:r>
            <w:r w:rsidRPr="00C83DA9">
              <w:rPr>
                <w:rFonts w:ascii="Calibri" w:eastAsia="Calibri" w:hAnsi="Calibri" w:cs="Calibri"/>
                <w:sz w:val="22"/>
                <w:lang w:val="fr-FR"/>
              </w:rPr>
              <w:t xml:space="preserve">, plus de 340 responsables municipaux ont suivi une formation sur les solutions pour les villes intelligentes et durables et la maîtrise des outils numériques, en vue de faire en sorte que les administrations locales puissent concevoir et fournir des services. En coopération avec le </w:t>
            </w:r>
            <w:r w:rsidRPr="00C83DA9">
              <w:rPr>
                <w:rFonts w:ascii="Calibri" w:eastAsia="Calibri" w:hAnsi="Calibri" w:cs="Calibri"/>
                <w:b/>
                <w:bCs/>
                <w:sz w:val="22"/>
                <w:lang w:val="fr-FR"/>
              </w:rPr>
              <w:t>Kazakhstan</w:t>
            </w:r>
            <w:r w:rsidRPr="00C83DA9">
              <w:rPr>
                <w:rFonts w:ascii="Calibri" w:eastAsia="Calibri" w:hAnsi="Calibri" w:cs="Calibri"/>
                <w:sz w:val="22"/>
                <w:lang w:val="fr-FR"/>
              </w:rPr>
              <w:t>, un projet régional d'une durée de deux ans portant sur la coopération en matière de services publics numériques et s'inscrivant dans le cadre de l'Initiative 3 pour la CEI a été lancé avec l'appui de la Banque eurasienne de développement.</w:t>
            </w:r>
          </w:p>
          <w:p w14:paraId="13ED9217" w14:textId="5EE61A35" w:rsidR="006773A3" w:rsidRPr="00C83DA9" w:rsidRDefault="006773A3" w:rsidP="00DC1608">
            <w:pPr>
              <w:pStyle w:val="Tabletext"/>
              <w:spacing w:before="120" w:after="120"/>
              <w:rPr>
                <w:rFonts w:ascii="Calibri" w:eastAsia="Calibri" w:hAnsi="Calibri" w:cs="Calibri"/>
                <w:sz w:val="22"/>
                <w:lang w:val="fr-FR"/>
              </w:rPr>
            </w:pPr>
            <w:r w:rsidRPr="00C83DA9">
              <w:rPr>
                <w:rFonts w:ascii="Calibri" w:eastAsia="Calibri" w:hAnsi="Calibri" w:cs="Calibri"/>
                <w:sz w:val="22"/>
                <w:lang w:val="fr-FR"/>
              </w:rPr>
              <w:t xml:space="preserve">En </w:t>
            </w:r>
            <w:r w:rsidRPr="00C83DA9">
              <w:rPr>
                <w:rFonts w:ascii="Calibri" w:eastAsia="Calibri" w:hAnsi="Calibri" w:cs="Calibri"/>
                <w:b/>
                <w:bCs/>
                <w:sz w:val="22"/>
                <w:lang w:val="fr-FR"/>
              </w:rPr>
              <w:t>Arménie</w:t>
            </w:r>
            <w:r w:rsidRPr="00C83DA9">
              <w:rPr>
                <w:rFonts w:ascii="Calibri" w:eastAsia="Calibri" w:hAnsi="Calibri" w:cs="Calibri"/>
                <w:sz w:val="22"/>
                <w:lang w:val="fr-FR"/>
              </w:rPr>
              <w:t xml:space="preserve">, au </w:t>
            </w:r>
            <w:r w:rsidRPr="00C83DA9">
              <w:rPr>
                <w:rFonts w:ascii="Calibri" w:eastAsia="Calibri" w:hAnsi="Calibri" w:cs="Calibri"/>
                <w:b/>
                <w:bCs/>
                <w:sz w:val="22"/>
                <w:lang w:val="fr-FR"/>
              </w:rPr>
              <w:t>Kirghizistan</w:t>
            </w:r>
            <w:r w:rsidRPr="00C83DA9">
              <w:rPr>
                <w:rFonts w:ascii="Calibri" w:eastAsia="Calibri" w:hAnsi="Calibri" w:cs="Calibri"/>
                <w:sz w:val="22"/>
                <w:lang w:val="fr-FR"/>
              </w:rPr>
              <w:t xml:space="preserve"> et au </w:t>
            </w:r>
            <w:r w:rsidRPr="00C83DA9">
              <w:rPr>
                <w:rFonts w:ascii="Calibri" w:eastAsia="Calibri" w:hAnsi="Calibri" w:cs="Calibri"/>
                <w:b/>
                <w:bCs/>
                <w:sz w:val="22"/>
                <w:lang w:val="fr-FR"/>
              </w:rPr>
              <w:t>Turkménistan</w:t>
            </w:r>
            <w:r w:rsidRPr="00C83DA9">
              <w:rPr>
                <w:rFonts w:ascii="Calibri" w:eastAsia="Calibri" w:hAnsi="Calibri" w:cs="Calibri"/>
                <w:sz w:val="22"/>
                <w:lang w:val="fr-FR"/>
              </w:rPr>
              <w:t>, le BDT a œuvré à des projets faisant le lien entre GovStack et l'action menée au niveau national pour passer au tout numérique. Des réunions thématiques en ligne et des forums régionaux ont facilité l'échange des enseignements tirés, permettant ainsi aux pays de coordonner leurs efforts et d'adapter des solutions pratiques en fonction des contextes locaux.</w:t>
            </w:r>
          </w:p>
        </w:tc>
        <w:tc>
          <w:tcPr>
            <w:tcW w:w="2693" w:type="dxa"/>
            <w:tcBorders>
              <w:bottom w:val="dotted" w:sz="4" w:space="0" w:color="0070C0"/>
            </w:tcBorders>
          </w:tcPr>
          <w:p w14:paraId="1C0A29D7" w14:textId="539BB493" w:rsidR="006773A3" w:rsidRPr="00C83DA9" w:rsidRDefault="006773A3" w:rsidP="00877206">
            <w:pPr>
              <w:overflowPunct/>
              <w:autoSpaceDE/>
              <w:autoSpaceDN/>
              <w:adjustRightInd/>
              <w:spacing w:after="120"/>
              <w:textAlignment w:val="auto"/>
              <w:rPr>
                <w:rFonts w:cstheme="minorHAnsi"/>
                <w:b/>
                <w:bCs/>
                <w:color w:val="0070C0"/>
                <w:sz w:val="22"/>
                <w:lang w:val="fr-FR"/>
              </w:rPr>
            </w:pPr>
            <w:r w:rsidRPr="00C83DA9">
              <w:rPr>
                <w:rFonts w:cstheme="minorHAnsi"/>
                <w:b/>
                <w:color w:val="0070C0"/>
                <w:sz w:val="22"/>
                <w:lang w:val="fr-FR"/>
              </w:rPr>
              <w:lastRenderedPageBreak/>
              <w:t>Points à retenir</w:t>
            </w:r>
          </w:p>
        </w:tc>
      </w:tr>
      <w:tr w:rsidR="006773A3" w:rsidRPr="00CA734F" w14:paraId="741E31CD" w14:textId="77777777" w:rsidTr="001D6175">
        <w:tc>
          <w:tcPr>
            <w:tcW w:w="12186" w:type="dxa"/>
            <w:gridSpan w:val="2"/>
            <w:vMerge/>
          </w:tcPr>
          <w:p w14:paraId="420E44DC" w14:textId="77777777" w:rsidR="006773A3" w:rsidRPr="00C83DA9" w:rsidRDefault="006773A3" w:rsidP="00877206">
            <w:pPr>
              <w:rPr>
                <w:rFonts w:cstheme="minorHAnsi"/>
                <w:sz w:val="22"/>
                <w:lang w:val="fr-FR"/>
              </w:rPr>
            </w:pPr>
          </w:p>
        </w:tc>
        <w:tc>
          <w:tcPr>
            <w:tcW w:w="2693" w:type="dxa"/>
            <w:tcBorders>
              <w:bottom w:val="dotted" w:sz="4" w:space="0" w:color="0070C0"/>
            </w:tcBorders>
          </w:tcPr>
          <w:p w14:paraId="3874828A" w14:textId="77777777" w:rsidR="006773A3" w:rsidRPr="00C83DA9" w:rsidRDefault="006773A3" w:rsidP="001D6175">
            <w:pPr>
              <w:pStyle w:val="Tabletext"/>
              <w:keepNext/>
              <w:rPr>
                <w:rFonts w:eastAsia="Times New Roman"/>
                <w:b/>
                <w:bCs/>
                <w:color w:val="0070C0"/>
                <w:sz w:val="22"/>
                <w:lang w:val="fr-FR"/>
              </w:rPr>
            </w:pPr>
            <w:r w:rsidRPr="00C83DA9">
              <w:rPr>
                <w:rFonts w:eastAsia="Times New Roman" w:cs="Times New Roman"/>
                <w:b/>
                <w:bCs/>
                <w:color w:val="0070C0"/>
                <w:kern w:val="0"/>
                <w:sz w:val="22"/>
                <w:lang w:val="fr-FR"/>
                <w14:ligatures w14:val="none"/>
              </w:rPr>
              <w:t>GovStack</w:t>
            </w:r>
            <w:r w:rsidRPr="00C83DA9">
              <w:rPr>
                <w:rFonts w:eastAsia="Times New Roman"/>
                <w:b/>
                <w:bCs/>
                <w:color w:val="0070C0"/>
                <w:sz w:val="22"/>
                <w:lang w:val="fr-FR"/>
              </w:rPr>
              <w:t xml:space="preserve">: </w:t>
            </w:r>
          </w:p>
          <w:p w14:paraId="68C0C112" w14:textId="2724632E" w:rsidR="006773A3" w:rsidRPr="00C83DA9" w:rsidRDefault="00877206" w:rsidP="00A81F12">
            <w:pPr>
              <w:pStyle w:val="enumlev1"/>
              <w:tabs>
                <w:tab w:val="clear" w:pos="1134"/>
                <w:tab w:val="left" w:pos="356"/>
              </w:tabs>
              <w:spacing w:before="40" w:after="40"/>
              <w:ind w:left="386" w:hanging="386"/>
              <w:rPr>
                <w:rFonts w:eastAsia="Times New Roman"/>
                <w:color w:val="1F497D"/>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olor w:val="1F497D"/>
                <w:sz w:val="22"/>
                <w:lang w:val="fr-FR"/>
              </w:rPr>
              <w:t>15 spécifications de modules de services d'administration publique numériques.</w:t>
            </w:r>
          </w:p>
          <w:p w14:paraId="45BBC0AE" w14:textId="39FDA9C9" w:rsidR="006773A3" w:rsidRPr="00C83DA9" w:rsidRDefault="00877206" w:rsidP="001D6175">
            <w:pPr>
              <w:pStyle w:val="enumlev1"/>
              <w:keepLines/>
              <w:tabs>
                <w:tab w:val="clear" w:pos="1134"/>
                <w:tab w:val="left" w:pos="356"/>
              </w:tabs>
              <w:spacing w:before="40" w:after="40"/>
              <w:ind w:left="386" w:hanging="386"/>
              <w:rPr>
                <w:rFonts w:eastAsia="Times New Roman"/>
                <w:color w:val="1F497D"/>
                <w:sz w:val="22"/>
                <w:lang w:val="fr-FR"/>
              </w:rPr>
            </w:pPr>
            <w:r w:rsidRPr="00C83DA9">
              <w:rPr>
                <w:rFonts w:eastAsia="Times New Roman" w:cs="Times New Roman"/>
                <w:color w:val="1F497D"/>
                <w:kern w:val="0"/>
                <w:sz w:val="22"/>
                <w:lang w:val="fr-FR"/>
                <w14:ligatures w14:val="none"/>
              </w:rPr>
              <w:lastRenderedPageBreak/>
              <w:t>•</w:t>
            </w:r>
            <w:r w:rsidRPr="00C83DA9">
              <w:rPr>
                <w:rFonts w:eastAsia="Times New Roman" w:cs="Times New Roman"/>
                <w:color w:val="1F497D"/>
                <w:kern w:val="0"/>
                <w:sz w:val="22"/>
                <w:lang w:val="fr-FR"/>
                <w14:ligatures w14:val="none"/>
              </w:rPr>
              <w:tab/>
            </w:r>
            <w:r w:rsidR="006773A3" w:rsidRPr="00C83DA9">
              <w:rPr>
                <w:rFonts w:eastAsia="Times New Roman"/>
                <w:color w:val="1F497D"/>
                <w:sz w:val="22"/>
                <w:lang w:val="fr-FR"/>
              </w:rPr>
              <w:t>Instructions pour la mise en place d'un environnement de test et ligne directrices pour des TIC respectueuses de l'environnement.</w:t>
            </w:r>
          </w:p>
          <w:p w14:paraId="4EDBB7B0" w14:textId="32D9FE81" w:rsidR="006773A3" w:rsidRPr="00C83DA9" w:rsidRDefault="00877206" w:rsidP="00A81F12">
            <w:pPr>
              <w:pStyle w:val="enumlev1"/>
              <w:tabs>
                <w:tab w:val="clear" w:pos="1134"/>
                <w:tab w:val="left" w:pos="356"/>
              </w:tabs>
              <w:spacing w:before="40" w:after="40"/>
              <w:ind w:left="386" w:hanging="386"/>
              <w:rPr>
                <w:rFonts w:eastAsiaTheme="minorEastAsia"/>
                <w:color w:val="1F497D" w:themeColor="text2"/>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olor w:val="1F497D"/>
                <w:sz w:val="22"/>
                <w:lang w:val="fr-FR"/>
              </w:rPr>
              <w:t>Défi "Women in Govtech": formation de 139 femmes de</w:t>
            </w:r>
            <w:r w:rsidR="006773A3" w:rsidRPr="00C83DA9">
              <w:rPr>
                <w:rFonts w:eastAsiaTheme="minorEastAsia"/>
                <w:color w:val="1F497D" w:themeColor="text2"/>
                <w:sz w:val="22"/>
                <w:lang w:val="fr-FR"/>
              </w:rPr>
              <w:t xml:space="preserve"> 59</w:t>
            </w:r>
            <w:r w:rsidR="00DF47CA" w:rsidRPr="00C83DA9">
              <w:rPr>
                <w:rFonts w:eastAsiaTheme="minorEastAsia"/>
                <w:color w:val="1F497D" w:themeColor="text2"/>
                <w:sz w:val="22"/>
                <w:lang w:val="fr-FR"/>
              </w:rPr>
              <w:t> </w:t>
            </w:r>
            <w:r w:rsidR="006773A3" w:rsidRPr="00C83DA9">
              <w:rPr>
                <w:rFonts w:eastAsiaTheme="minorEastAsia"/>
                <w:color w:val="1F497D" w:themeColor="text2"/>
                <w:sz w:val="22"/>
                <w:lang w:val="fr-FR"/>
              </w:rPr>
              <w:t>pays.</w:t>
            </w:r>
          </w:p>
          <w:p w14:paraId="77D3C18D" w14:textId="77777777" w:rsidR="006773A3" w:rsidRPr="00C83DA9" w:rsidRDefault="006773A3" w:rsidP="001D6175">
            <w:pPr>
              <w:pStyle w:val="Tabletext"/>
              <w:keepNext/>
              <w:spacing w:before="120"/>
              <w:rPr>
                <w:rFonts w:eastAsia="Times New Roman" w:cs="Times New Roman"/>
                <w:b/>
                <w:bCs/>
                <w:color w:val="0070C0"/>
                <w:sz w:val="22"/>
                <w:lang w:val="fr-FR"/>
              </w:rPr>
            </w:pPr>
            <w:r w:rsidRPr="00C83DA9">
              <w:rPr>
                <w:rFonts w:eastAsia="Times New Roman" w:cs="Times New Roman"/>
                <w:b/>
                <w:bCs/>
                <w:color w:val="0070C0"/>
                <w:sz w:val="22"/>
                <w:lang w:val="fr-FR"/>
              </w:rPr>
              <w:t xml:space="preserve">Initiative pour des villages </w:t>
            </w:r>
            <w:r w:rsidRPr="00C83DA9">
              <w:rPr>
                <w:rFonts w:eastAsia="Times New Roman" w:cs="Times New Roman"/>
                <w:b/>
                <w:bCs/>
                <w:color w:val="0070C0"/>
                <w:kern w:val="0"/>
                <w:sz w:val="22"/>
                <w:lang w:val="fr-FR"/>
                <w14:ligatures w14:val="none"/>
              </w:rPr>
              <w:t>intelligentes</w:t>
            </w:r>
            <w:r w:rsidRPr="00C83DA9">
              <w:rPr>
                <w:rFonts w:eastAsia="Times New Roman" w:cs="Times New Roman"/>
                <w:b/>
                <w:bCs/>
                <w:color w:val="0070C0"/>
                <w:sz w:val="22"/>
                <w:lang w:val="fr-FR"/>
              </w:rPr>
              <w:t xml:space="preserve"> et des îles intelligentes:</w:t>
            </w:r>
          </w:p>
          <w:p w14:paraId="11B541A6" w14:textId="0473B329" w:rsidR="006773A3" w:rsidRPr="00C83DA9" w:rsidRDefault="00877206" w:rsidP="00A81F12">
            <w:pPr>
              <w:pStyle w:val="enumlev1"/>
              <w:tabs>
                <w:tab w:val="clear" w:pos="1134"/>
                <w:tab w:val="left" w:pos="356"/>
              </w:tabs>
              <w:spacing w:before="40" w:after="40"/>
              <w:ind w:left="386" w:hanging="386"/>
              <w:rPr>
                <w:rFonts w:eastAsia="Times New Roman"/>
                <w:color w:val="1F497D"/>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olor w:val="1F497D"/>
                <w:sz w:val="22"/>
                <w:lang w:val="fr-FR"/>
              </w:rPr>
              <w:t>Déploiement dans 13</w:t>
            </w:r>
            <w:r w:rsidR="00DF47CA" w:rsidRPr="00C83DA9">
              <w:rPr>
                <w:rFonts w:eastAsia="Times New Roman"/>
                <w:color w:val="1F497D"/>
                <w:sz w:val="22"/>
                <w:lang w:val="fr-FR"/>
              </w:rPr>
              <w:t> </w:t>
            </w:r>
            <w:r w:rsidR="006773A3" w:rsidRPr="00C83DA9">
              <w:rPr>
                <w:rFonts w:eastAsia="Times New Roman"/>
                <w:color w:val="1F497D"/>
                <w:sz w:val="22"/>
                <w:lang w:val="fr-FR"/>
              </w:rPr>
              <w:t>pays.</w:t>
            </w:r>
          </w:p>
          <w:p w14:paraId="71A447DB" w14:textId="6761BF85" w:rsidR="006773A3" w:rsidRPr="00C83DA9" w:rsidRDefault="00877206" w:rsidP="00A81F12">
            <w:pPr>
              <w:pStyle w:val="enumlev1"/>
              <w:tabs>
                <w:tab w:val="clear" w:pos="1134"/>
                <w:tab w:val="left" w:pos="356"/>
              </w:tabs>
              <w:spacing w:before="40" w:after="40"/>
              <w:ind w:left="386" w:hanging="386"/>
              <w:rPr>
                <w:rFonts w:eastAsia="Times New Roman" w:cs="Times New Roman"/>
                <w:color w:val="1F497D"/>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olor w:val="1F497D"/>
                <w:sz w:val="22"/>
                <w:lang w:val="fr-FR"/>
              </w:rPr>
              <w:t>Élargissement de l'accès aux services</w:t>
            </w:r>
            <w:r w:rsidR="006773A3" w:rsidRPr="00C83DA9">
              <w:rPr>
                <w:rFonts w:eastAsia="Times New Roman" w:cs="Times New Roman"/>
                <w:color w:val="1F497D"/>
                <w:sz w:val="22"/>
                <w:lang w:val="fr-FR"/>
              </w:rPr>
              <w:t xml:space="preserve"> numériques pour les communautés mal desservies.</w:t>
            </w:r>
          </w:p>
          <w:p w14:paraId="41B1E861" w14:textId="42E07876" w:rsidR="006773A3" w:rsidRPr="00CA734F" w:rsidRDefault="006773A3" w:rsidP="001D6175">
            <w:pPr>
              <w:pStyle w:val="Tabletext"/>
              <w:keepNext/>
              <w:spacing w:before="120"/>
              <w:rPr>
                <w:rFonts w:eastAsia="Times New Roman" w:cs="Times New Roman"/>
                <w:b/>
                <w:bCs/>
                <w:color w:val="0070C0"/>
                <w:sz w:val="22"/>
                <w:lang w:val="en-US"/>
              </w:rPr>
            </w:pPr>
            <w:proofErr w:type="spellStart"/>
            <w:r w:rsidRPr="00CA734F">
              <w:rPr>
                <w:rFonts w:eastAsia="Times New Roman"/>
                <w:b/>
                <w:bCs/>
                <w:color w:val="0070C0"/>
                <w:sz w:val="22"/>
                <w:lang w:val="en-US"/>
              </w:rPr>
              <w:t>Projet</w:t>
            </w:r>
            <w:proofErr w:type="spellEnd"/>
            <w:r w:rsidRPr="00CA734F">
              <w:rPr>
                <w:rFonts w:eastAsia="Times New Roman"/>
                <w:b/>
                <w:bCs/>
                <w:color w:val="0070C0"/>
                <w:sz w:val="22"/>
                <w:lang w:val="en-US"/>
              </w:rPr>
              <w:t xml:space="preserve"> </w:t>
            </w:r>
            <w:r w:rsidRPr="00CA734F">
              <w:rPr>
                <w:rFonts w:eastAsia="Times New Roman" w:cs="Times New Roman"/>
                <w:b/>
                <w:bCs/>
                <w:color w:val="0070C0"/>
                <w:kern w:val="0"/>
                <w:sz w:val="22"/>
                <w:lang w:val="en-US"/>
                <w14:ligatures w14:val="none"/>
              </w:rPr>
              <w:t>OSSE</w:t>
            </w:r>
            <w:r w:rsidRPr="00CA734F">
              <w:rPr>
                <w:rFonts w:eastAsia="Times New Roman"/>
                <w:b/>
                <w:bCs/>
                <w:color w:val="0070C0"/>
                <w:sz w:val="22"/>
                <w:lang w:val="en-US"/>
              </w:rPr>
              <w:t xml:space="preserve"> (Open</w:t>
            </w:r>
            <w:r w:rsidR="00DF47CA" w:rsidRPr="00CA734F">
              <w:rPr>
                <w:rFonts w:eastAsia="Times New Roman"/>
                <w:b/>
                <w:bCs/>
                <w:color w:val="0070C0"/>
                <w:sz w:val="22"/>
                <w:lang w:val="en-US"/>
              </w:rPr>
              <w:noBreakHyphen/>
            </w:r>
            <w:r w:rsidRPr="00CA734F">
              <w:rPr>
                <w:rFonts w:eastAsia="Times New Roman"/>
                <w:b/>
                <w:bCs/>
                <w:color w:val="0070C0"/>
                <w:sz w:val="22"/>
                <w:lang w:val="en-US"/>
              </w:rPr>
              <w:t>Source Ecosystem Enablement):</w:t>
            </w:r>
          </w:p>
          <w:p w14:paraId="612CADB3" w14:textId="2BFD2CE1" w:rsidR="006773A3" w:rsidRPr="00C83DA9" w:rsidRDefault="00877206" w:rsidP="00877206">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color w:val="1F497D"/>
                <w:kern w:val="0"/>
                <w:sz w:val="22"/>
                <w:lang w:val="fr-FR"/>
                <w14:ligatures w14:val="none"/>
              </w:rPr>
              <w:t>Webinaires et ateliers sur la gouvernance des données, l'infrastructure en</w:t>
            </w:r>
            <w:r w:rsidR="006773A3" w:rsidRPr="00C83DA9">
              <w:rPr>
                <w:rFonts w:eastAsiaTheme="minorEastAsia"/>
                <w:color w:val="1F497D" w:themeColor="text2"/>
                <w:spacing w:val="-2"/>
                <w:sz w:val="22"/>
                <w:lang w:val="fr-FR"/>
              </w:rPr>
              <w:t xml:space="preserve"> nuage et l'IA générative.</w:t>
            </w:r>
          </w:p>
          <w:p w14:paraId="0A108B6A" w14:textId="2AAF8C3B" w:rsidR="006773A3" w:rsidRPr="00C83DA9" w:rsidRDefault="00877206" w:rsidP="00DF47CA">
            <w:pPr>
              <w:pStyle w:val="enumlev1"/>
              <w:widowControl w:val="0"/>
              <w:tabs>
                <w:tab w:val="clear" w:pos="1134"/>
              </w:tabs>
              <w:spacing w:before="40" w:after="40"/>
              <w:ind w:left="386" w:right="-102" w:hanging="386"/>
              <w:rPr>
                <w:rFonts w:eastAsia="Times New Roman" w:cs="Times New Roman"/>
                <w:color w:val="1F497D"/>
                <w:kern w:val="0"/>
                <w:sz w:val="22"/>
                <w:lang w:val="fr-FR"/>
                <w14:ligatures w14:val="none"/>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color w:val="1F497D"/>
                <w:kern w:val="0"/>
                <w:sz w:val="22"/>
                <w:lang w:val="fr-FR"/>
                <w14:ligatures w14:val="none"/>
              </w:rPr>
              <w:t>Cadres de formation et d'enseignement pour l'adoption de technologies à code source ouvert.</w:t>
            </w:r>
          </w:p>
          <w:p w14:paraId="069F2A17" w14:textId="77777777" w:rsidR="006773A3" w:rsidRPr="00C83DA9" w:rsidRDefault="006773A3" w:rsidP="001D6175">
            <w:pPr>
              <w:pStyle w:val="Tabletext"/>
              <w:keepNext/>
              <w:spacing w:before="120"/>
              <w:rPr>
                <w:rFonts w:eastAsia="Times New Roman"/>
                <w:b/>
                <w:bCs/>
                <w:color w:val="0070C0"/>
                <w:sz w:val="22"/>
                <w:lang w:val="fr-FR"/>
              </w:rPr>
            </w:pPr>
            <w:r w:rsidRPr="00C83DA9">
              <w:rPr>
                <w:rFonts w:eastAsia="Times New Roman"/>
                <w:b/>
                <w:bCs/>
                <w:color w:val="0070C0"/>
                <w:sz w:val="22"/>
                <w:lang w:val="fr-FR"/>
              </w:rPr>
              <w:lastRenderedPageBreak/>
              <w:t>Commission d'études 2 de l'UIT-D, Question 1/2:</w:t>
            </w:r>
          </w:p>
          <w:p w14:paraId="231E77F1" w14:textId="4BFD2259" w:rsidR="006773A3" w:rsidRPr="00C83DA9" w:rsidRDefault="00877206" w:rsidP="00A81F12">
            <w:pPr>
              <w:pStyle w:val="enumlev1"/>
              <w:tabs>
                <w:tab w:val="clear" w:pos="1134"/>
                <w:tab w:val="left" w:pos="356"/>
              </w:tabs>
              <w:spacing w:before="40" w:after="40"/>
              <w:ind w:left="386" w:hanging="386"/>
              <w:rPr>
                <w:rFonts w:eastAsia="Times New Roman"/>
                <w:color w:val="1F497D"/>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olor w:val="1F497D"/>
                <w:sz w:val="22"/>
                <w:lang w:val="fr-FR"/>
              </w:rPr>
              <w:t>4 réunions</w:t>
            </w:r>
            <w:r w:rsidR="00262321" w:rsidRPr="00C83DA9">
              <w:rPr>
                <w:rFonts w:eastAsia="Times New Roman"/>
                <w:color w:val="1F497D"/>
                <w:sz w:val="22"/>
                <w:lang w:val="fr-FR"/>
              </w:rPr>
              <w:t>.</w:t>
            </w:r>
          </w:p>
          <w:p w14:paraId="62EC2C3E" w14:textId="491B847A" w:rsidR="006773A3" w:rsidRPr="00C83DA9" w:rsidRDefault="00877206" w:rsidP="00A81F12">
            <w:pPr>
              <w:pStyle w:val="enumlev1"/>
              <w:tabs>
                <w:tab w:val="clear" w:pos="1134"/>
                <w:tab w:val="left" w:pos="356"/>
              </w:tabs>
              <w:spacing w:before="40" w:after="40"/>
              <w:ind w:left="386" w:hanging="386"/>
              <w:rPr>
                <w:rFonts w:eastAsia="Times New Roman"/>
                <w:color w:val="1F497D"/>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olor w:val="1F497D"/>
                <w:sz w:val="22"/>
                <w:lang w:val="fr-FR"/>
              </w:rPr>
              <w:t>63 contributions</w:t>
            </w:r>
            <w:r w:rsidR="00262321" w:rsidRPr="00C83DA9">
              <w:rPr>
                <w:rFonts w:eastAsia="Times New Roman"/>
                <w:color w:val="1F497D"/>
                <w:sz w:val="22"/>
                <w:lang w:val="fr-FR"/>
              </w:rPr>
              <w:t>.</w:t>
            </w:r>
          </w:p>
          <w:p w14:paraId="196A429B" w14:textId="3FB6157C" w:rsidR="006773A3" w:rsidRPr="00C83DA9" w:rsidRDefault="00877206" w:rsidP="00A81F12">
            <w:pPr>
              <w:pStyle w:val="enumlev1"/>
              <w:tabs>
                <w:tab w:val="clear" w:pos="1134"/>
                <w:tab w:val="left" w:pos="356"/>
              </w:tabs>
              <w:spacing w:before="40" w:after="40"/>
              <w:ind w:left="386" w:hanging="386"/>
              <w:rPr>
                <w:rFonts w:eastAsia="Times New Roman"/>
                <w:color w:val="1F497D"/>
                <w:sz w:val="22"/>
                <w:lang w:val="fr-FR"/>
              </w:rPr>
            </w:pPr>
            <w:r w:rsidRPr="00C83DA9">
              <w:rPr>
                <w:rFonts w:eastAsia="Times New Roman"/>
                <w:color w:val="1F497D"/>
                <w:sz w:val="22"/>
                <w:lang w:val="fr-FR"/>
              </w:rPr>
              <w:t>•</w:t>
            </w:r>
            <w:r w:rsidRPr="00C83DA9">
              <w:rPr>
                <w:rFonts w:eastAsia="Times New Roman" w:cs="Times New Roman"/>
                <w:kern w:val="0"/>
                <w:sz w:val="22"/>
                <w:lang w:val="fr-FR"/>
                <w14:ligatures w14:val="none"/>
              </w:rPr>
              <w:tab/>
            </w:r>
            <w:r w:rsidR="006773A3" w:rsidRPr="00C83DA9">
              <w:rPr>
                <w:rFonts w:eastAsia="Times New Roman"/>
                <w:color w:val="1F497D"/>
                <w:sz w:val="22"/>
                <w:lang w:val="fr-FR"/>
              </w:rPr>
              <w:t xml:space="preserve">2 </w:t>
            </w:r>
            <w:hyperlink r:id="rId104" w:anchor="/fr" w:history="1">
              <w:r w:rsidR="006773A3" w:rsidRPr="00C83DA9">
                <w:rPr>
                  <w:rStyle w:val="Hyperlink"/>
                  <w:sz w:val="22"/>
                  <w:szCs w:val="20"/>
                  <w:lang w:val="fr-FR"/>
                </w:rPr>
                <w:t>ateliers</w:t>
              </w:r>
            </w:hyperlink>
            <w:r w:rsidR="006773A3" w:rsidRPr="00C83DA9">
              <w:rPr>
                <w:rFonts w:eastAsiaTheme="minorEastAsia"/>
                <w:sz w:val="22"/>
                <w:lang w:val="fr-FR"/>
              </w:rPr>
              <w:t xml:space="preserve"> </w:t>
            </w:r>
            <w:r w:rsidR="006773A3" w:rsidRPr="00C83DA9">
              <w:rPr>
                <w:rFonts w:eastAsia="Times New Roman" w:cs="Times New Roman"/>
                <w:color w:val="1F497D"/>
                <w:kern w:val="0"/>
                <w:sz w:val="22"/>
                <w:lang w:val="fr-FR"/>
                <w14:ligatures w14:val="none"/>
              </w:rPr>
              <w:t>et un</w:t>
            </w:r>
            <w:r w:rsidR="006773A3" w:rsidRPr="00C83DA9">
              <w:rPr>
                <w:rFonts w:eastAsiaTheme="minorEastAsia"/>
                <w:sz w:val="22"/>
                <w:lang w:val="fr-FR"/>
              </w:rPr>
              <w:t xml:space="preserve"> </w:t>
            </w:r>
            <w:hyperlink r:id="rId105" w:history="1">
              <w:r w:rsidR="006773A3" w:rsidRPr="00C83DA9">
                <w:rPr>
                  <w:rStyle w:val="Hyperlink"/>
                  <w:sz w:val="22"/>
                  <w:szCs w:val="20"/>
                  <w:lang w:val="fr-FR"/>
                </w:rPr>
                <w:t>rapport final</w:t>
              </w:r>
            </w:hyperlink>
            <w:r w:rsidR="006773A3" w:rsidRPr="00C83DA9">
              <w:rPr>
                <w:rFonts w:eastAsiaTheme="minorEastAsia"/>
                <w:sz w:val="22"/>
                <w:lang w:val="fr-FR"/>
              </w:rPr>
              <w:t xml:space="preserve"> </w:t>
            </w:r>
            <w:r w:rsidR="006773A3" w:rsidRPr="00C83DA9">
              <w:rPr>
                <w:rFonts w:eastAsia="Times New Roman"/>
                <w:color w:val="1F497D"/>
                <w:sz w:val="22"/>
                <w:lang w:val="fr-FR"/>
              </w:rPr>
              <w:t>élaboré</w:t>
            </w:r>
            <w:r w:rsidR="00262321" w:rsidRPr="00C83DA9">
              <w:rPr>
                <w:rFonts w:eastAsiaTheme="minorEastAsia"/>
                <w:sz w:val="22"/>
                <w:lang w:val="fr-FR"/>
              </w:rPr>
              <w:t>.</w:t>
            </w:r>
          </w:p>
          <w:p w14:paraId="7622A6EC" w14:textId="77777777" w:rsidR="006773A3" w:rsidRPr="00C83DA9" w:rsidRDefault="006773A3" w:rsidP="001D6175">
            <w:pPr>
              <w:pStyle w:val="Tabletext"/>
              <w:keepNext/>
              <w:spacing w:before="120"/>
              <w:rPr>
                <w:rFonts w:eastAsia="Times New Roman"/>
                <w:b/>
                <w:bCs/>
                <w:color w:val="0070C0"/>
                <w:sz w:val="22"/>
                <w:lang w:val="fr-FR"/>
              </w:rPr>
            </w:pPr>
            <w:r w:rsidRPr="00C83DA9">
              <w:rPr>
                <w:rFonts w:eastAsia="Times New Roman"/>
                <w:b/>
                <w:bCs/>
                <w:color w:val="0070C0"/>
                <w:sz w:val="22"/>
                <w:lang w:val="fr-FR"/>
              </w:rPr>
              <w:t>Commission d'études 2 de l'UIT-D, Question 2/1:</w:t>
            </w:r>
          </w:p>
          <w:p w14:paraId="2A6AB215" w14:textId="476315BB" w:rsidR="006773A3" w:rsidRPr="00C83DA9" w:rsidRDefault="00877206" w:rsidP="00877206">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heme="minorEastAsia"/>
                <w:color w:val="1F497D" w:themeColor="text2"/>
                <w:sz w:val="22"/>
                <w:lang w:val="fr-FR"/>
              </w:rPr>
              <w:t>4 réunions</w:t>
            </w:r>
            <w:r w:rsidR="00262321" w:rsidRPr="00C83DA9">
              <w:rPr>
                <w:rFonts w:eastAsiaTheme="minorEastAsia"/>
                <w:color w:val="1F497D" w:themeColor="text2"/>
                <w:sz w:val="22"/>
                <w:lang w:val="fr-FR"/>
              </w:rPr>
              <w:t>.</w:t>
            </w:r>
          </w:p>
          <w:p w14:paraId="5A3E9D54" w14:textId="3F457F0D" w:rsidR="006773A3" w:rsidRPr="00C83DA9" w:rsidRDefault="00877206" w:rsidP="00877206">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heme="minorEastAsia"/>
                <w:color w:val="1F497D" w:themeColor="text2"/>
                <w:sz w:val="22"/>
                <w:lang w:val="fr-FR"/>
              </w:rPr>
              <w:t>98 contributions</w:t>
            </w:r>
            <w:r w:rsidR="00262321" w:rsidRPr="00C83DA9">
              <w:rPr>
                <w:rFonts w:eastAsiaTheme="minorEastAsia"/>
                <w:color w:val="1F497D" w:themeColor="text2"/>
                <w:sz w:val="22"/>
                <w:lang w:val="fr-FR"/>
              </w:rPr>
              <w:t>.</w:t>
            </w:r>
          </w:p>
          <w:p w14:paraId="2F268738" w14:textId="6827E093" w:rsidR="006773A3" w:rsidRPr="00C83DA9" w:rsidRDefault="00877206" w:rsidP="00877206">
            <w:pPr>
              <w:pStyle w:val="enumlev1"/>
              <w:tabs>
                <w:tab w:val="clear" w:pos="1134"/>
              </w:tabs>
              <w:spacing w:before="40" w:after="40"/>
              <w:ind w:left="386" w:right="-102" w:hanging="386"/>
              <w:rPr>
                <w:rFonts w:eastAsiaTheme="minorEastAsia"/>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r>
            <w:r w:rsidR="006773A3" w:rsidRPr="00C83DA9">
              <w:rPr>
                <w:rFonts w:eastAsiaTheme="minorEastAsia"/>
                <w:color w:val="1F497D" w:themeColor="text2"/>
                <w:sz w:val="22"/>
                <w:lang w:val="fr-FR"/>
              </w:rPr>
              <w:t>2</w:t>
            </w:r>
            <w:r w:rsidR="006773A3" w:rsidRPr="00C83DA9">
              <w:rPr>
                <w:rFonts w:eastAsiaTheme="minorEastAsia"/>
                <w:sz w:val="22"/>
                <w:lang w:val="fr-FR"/>
              </w:rPr>
              <w:t xml:space="preserve"> </w:t>
            </w:r>
            <w:hyperlink r:id="rId106" w:anchor="/fr" w:history="1">
              <w:r w:rsidR="006773A3" w:rsidRPr="00C83DA9">
                <w:rPr>
                  <w:rStyle w:val="Hyperlink"/>
                  <w:sz w:val="22"/>
                  <w:lang w:val="fr-FR"/>
                </w:rPr>
                <w:t>ateliers</w:t>
              </w:r>
            </w:hyperlink>
            <w:r w:rsidR="006773A3" w:rsidRPr="00C83DA9">
              <w:rPr>
                <w:rFonts w:eastAsiaTheme="minorEastAsia"/>
                <w:sz w:val="22"/>
                <w:lang w:val="fr-FR"/>
              </w:rPr>
              <w:t xml:space="preserve"> </w:t>
            </w:r>
            <w:r w:rsidR="006773A3" w:rsidRPr="00C83DA9">
              <w:rPr>
                <w:rFonts w:eastAsiaTheme="minorEastAsia"/>
                <w:color w:val="1F497D" w:themeColor="text2"/>
                <w:sz w:val="22"/>
                <w:lang w:val="fr-FR"/>
              </w:rPr>
              <w:t>et un</w:t>
            </w:r>
            <w:r w:rsidR="006773A3" w:rsidRPr="00C83DA9">
              <w:rPr>
                <w:rFonts w:eastAsiaTheme="minorEastAsia"/>
                <w:sz w:val="22"/>
                <w:lang w:val="fr-FR"/>
              </w:rPr>
              <w:t xml:space="preserve"> </w:t>
            </w:r>
            <w:hyperlink r:id="rId107" w:history="1">
              <w:r w:rsidR="006773A3" w:rsidRPr="00C83DA9">
                <w:rPr>
                  <w:rStyle w:val="Hyperlink"/>
                  <w:sz w:val="22"/>
                  <w:lang w:val="fr-FR"/>
                </w:rPr>
                <w:t>rapport final</w:t>
              </w:r>
            </w:hyperlink>
            <w:r w:rsidR="006773A3" w:rsidRPr="00C83DA9">
              <w:rPr>
                <w:rFonts w:eastAsiaTheme="minorEastAsia"/>
                <w:sz w:val="22"/>
                <w:lang w:val="fr-FR"/>
              </w:rPr>
              <w:t xml:space="preserve"> </w:t>
            </w:r>
            <w:r w:rsidR="006773A3" w:rsidRPr="00C83DA9">
              <w:rPr>
                <w:rFonts w:eastAsiaTheme="minorEastAsia"/>
                <w:color w:val="1F497D" w:themeColor="text2"/>
                <w:sz w:val="22"/>
                <w:lang w:val="fr-FR"/>
              </w:rPr>
              <w:t>élaboré</w:t>
            </w:r>
            <w:r w:rsidR="00262321" w:rsidRPr="00C83DA9">
              <w:rPr>
                <w:rFonts w:eastAsiaTheme="minorEastAsia"/>
                <w:color w:val="1F497D" w:themeColor="text2"/>
                <w:sz w:val="22"/>
                <w:lang w:val="fr-FR"/>
              </w:rPr>
              <w:t>.</w:t>
            </w:r>
          </w:p>
        </w:tc>
      </w:tr>
      <w:tr w:rsidR="006773A3" w:rsidRPr="00C83DA9" w14:paraId="44B261FF" w14:textId="77777777" w:rsidTr="00C24D0D">
        <w:trPr>
          <w:trHeight w:val="463"/>
        </w:trPr>
        <w:tc>
          <w:tcPr>
            <w:tcW w:w="3256" w:type="dxa"/>
            <w:shd w:val="clear" w:color="auto" w:fill="FFFFFF" w:themeFill="background1"/>
          </w:tcPr>
          <w:p w14:paraId="45698A19" w14:textId="77777777" w:rsidR="006773A3" w:rsidRPr="00C83DA9" w:rsidRDefault="006773A3" w:rsidP="00877206">
            <w:pPr>
              <w:pStyle w:val="Tabletext"/>
              <w:rPr>
                <w:rFonts w:cs="Times New Roman"/>
                <w:b/>
                <w:bCs/>
                <w:sz w:val="22"/>
                <w:lang w:val="fr-FR"/>
              </w:rPr>
            </w:pPr>
            <w:r w:rsidRPr="00C83DA9">
              <w:rPr>
                <w:rFonts w:cs="Times New Roman"/>
                <w:b/>
                <w:bCs/>
                <w:sz w:val="22"/>
                <w:lang w:val="fr-FR"/>
              </w:rPr>
              <w:lastRenderedPageBreak/>
              <w:t xml:space="preserve">Contribution à </w:t>
            </w:r>
            <w:r w:rsidRPr="00C83DA9">
              <w:rPr>
                <w:rFonts w:eastAsia="Times New Roman" w:cs="Times New Roman"/>
                <w:b/>
                <w:bCs/>
                <w:kern w:val="0"/>
                <w:sz w:val="22"/>
                <w:lang w:val="fr-FR"/>
                <w14:ligatures w14:val="none"/>
              </w:rPr>
              <w:t>la</w:t>
            </w:r>
            <w:r w:rsidRPr="00C83DA9">
              <w:rPr>
                <w:rFonts w:cs="Times New Roman"/>
                <w:b/>
                <w:bCs/>
                <w:sz w:val="22"/>
                <w:lang w:val="fr-FR"/>
              </w:rPr>
              <w:t xml:space="preserve"> réalisation des cibles des ODD</w:t>
            </w:r>
          </w:p>
        </w:tc>
        <w:tc>
          <w:tcPr>
            <w:tcW w:w="11623" w:type="dxa"/>
            <w:gridSpan w:val="2"/>
            <w:shd w:val="clear" w:color="auto" w:fill="FFFFFF" w:themeFill="background1"/>
          </w:tcPr>
          <w:p w14:paraId="7CE3A809" w14:textId="77777777" w:rsidR="006773A3" w:rsidRPr="00C83DA9" w:rsidRDefault="006773A3" w:rsidP="00877206">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ODD 1, 3, 4, 5, 8, 9, 10, 11, 16, 17</w:t>
            </w:r>
          </w:p>
        </w:tc>
      </w:tr>
      <w:tr w:rsidR="006773A3" w:rsidRPr="00C83DA9" w14:paraId="002DB02B" w14:textId="77777777" w:rsidTr="00C24D0D">
        <w:tc>
          <w:tcPr>
            <w:tcW w:w="3256" w:type="dxa"/>
          </w:tcPr>
          <w:p w14:paraId="0A664FE1" w14:textId="77777777" w:rsidR="006773A3" w:rsidRPr="00C83DA9" w:rsidRDefault="006773A3" w:rsidP="00877206">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 xml:space="preserve">Grandes orientations du SMSI </w:t>
            </w:r>
          </w:p>
        </w:tc>
        <w:tc>
          <w:tcPr>
            <w:tcW w:w="11623" w:type="dxa"/>
            <w:gridSpan w:val="2"/>
          </w:tcPr>
          <w:p w14:paraId="12130EDB" w14:textId="77777777" w:rsidR="006773A3" w:rsidRPr="00C83DA9" w:rsidRDefault="006773A3" w:rsidP="00877206">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C1, C2, C3, C4, C5, C6, C7, C11</w:t>
            </w:r>
          </w:p>
        </w:tc>
      </w:tr>
      <w:tr w:rsidR="006773A3" w:rsidRPr="00C83DA9" w14:paraId="4EABB26B" w14:textId="77777777" w:rsidTr="00C24D0D">
        <w:tc>
          <w:tcPr>
            <w:tcW w:w="3256" w:type="dxa"/>
          </w:tcPr>
          <w:p w14:paraId="73CC1578" w14:textId="77777777" w:rsidR="006773A3" w:rsidRPr="00C83DA9" w:rsidRDefault="006773A3" w:rsidP="00877206">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Résolutions</w:t>
            </w:r>
          </w:p>
        </w:tc>
        <w:tc>
          <w:tcPr>
            <w:tcW w:w="11623" w:type="dxa"/>
            <w:gridSpan w:val="2"/>
          </w:tcPr>
          <w:p w14:paraId="7760911B" w14:textId="57C72328" w:rsidR="006773A3" w:rsidRPr="00C83DA9" w:rsidRDefault="006773A3" w:rsidP="00877206">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205</w:t>
            </w:r>
            <w:r w:rsidR="00FA56EA" w:rsidRPr="00C83DA9">
              <w:rPr>
                <w:rFonts w:eastAsia="Times New Roman" w:cs="Times New Roman"/>
                <w:kern w:val="0"/>
                <w:sz w:val="22"/>
                <w:lang w:val="fr-FR"/>
                <w14:ligatures w14:val="none"/>
              </w:rPr>
              <w:t xml:space="preserve"> de la</w:t>
            </w:r>
            <w:r w:rsidRPr="00C83DA9">
              <w:rPr>
                <w:rFonts w:eastAsia="Times New Roman" w:cs="Times New Roman"/>
                <w:kern w:val="0"/>
                <w:sz w:val="22"/>
                <w:lang w:val="fr-FR"/>
                <w14:ligatures w14:val="none"/>
              </w:rPr>
              <w:t xml:space="preserve"> PP; 16, 30, 37, 85, 89, 90 de la CMDT </w:t>
            </w:r>
          </w:p>
        </w:tc>
      </w:tr>
      <w:tr w:rsidR="006773A3" w:rsidRPr="00CA734F" w14:paraId="759608B4" w14:textId="77777777" w:rsidTr="00C24D0D">
        <w:tc>
          <w:tcPr>
            <w:tcW w:w="3256" w:type="dxa"/>
          </w:tcPr>
          <w:p w14:paraId="2BE88538" w14:textId="77777777" w:rsidR="006773A3" w:rsidRPr="00C83DA9" w:rsidRDefault="006773A3" w:rsidP="00877206">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Questions confiées aux commissions d'études de l'UIT-D</w:t>
            </w:r>
          </w:p>
        </w:tc>
        <w:tc>
          <w:tcPr>
            <w:tcW w:w="11623" w:type="dxa"/>
            <w:gridSpan w:val="2"/>
          </w:tcPr>
          <w:p w14:paraId="124B80BA" w14:textId="74B23829" w:rsidR="006773A3" w:rsidRPr="00C83DA9" w:rsidRDefault="006773A3" w:rsidP="00877206">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Question 1/2 (Communautés intelligentes) et Question 2/2 (Technologies de base) confiées à la Commission d</w:t>
            </w:r>
            <w:r w:rsidR="00FD6FAE" w:rsidRPr="00C83DA9">
              <w:rPr>
                <w:rFonts w:eastAsia="Times New Roman" w:cs="Times New Roman"/>
                <w:kern w:val="0"/>
                <w:sz w:val="22"/>
                <w:lang w:val="fr-FR"/>
                <w14:ligatures w14:val="none"/>
              </w:rPr>
              <w:t>'</w:t>
            </w:r>
            <w:r w:rsidRPr="00C83DA9">
              <w:rPr>
                <w:rFonts w:eastAsia="Times New Roman" w:cs="Times New Roman"/>
                <w:kern w:val="0"/>
                <w:sz w:val="22"/>
                <w:lang w:val="fr-FR"/>
                <w14:ligatures w14:val="none"/>
              </w:rPr>
              <w:t>études 2 concernant la transformation numérique.</w:t>
            </w:r>
          </w:p>
        </w:tc>
      </w:tr>
    </w:tbl>
    <w:p w14:paraId="730F9E7E" w14:textId="77777777" w:rsidR="00067D4B" w:rsidRPr="00C83DA9" w:rsidRDefault="00067D4B">
      <w:pPr>
        <w:tabs>
          <w:tab w:val="clear" w:pos="1134"/>
          <w:tab w:val="clear" w:pos="1871"/>
          <w:tab w:val="clear" w:pos="2268"/>
        </w:tabs>
        <w:overflowPunct/>
        <w:autoSpaceDE/>
        <w:autoSpaceDN/>
        <w:adjustRightInd/>
        <w:spacing w:before="0"/>
        <w:textAlignment w:val="auto"/>
        <w:rPr>
          <w:lang w:val="fr-FR"/>
        </w:rPr>
      </w:pPr>
      <w:r w:rsidRPr="00C83DA9">
        <w:rPr>
          <w:lang w:val="fr-FR"/>
        </w:rPr>
        <w:br w:type="page"/>
      </w:r>
    </w:p>
    <w:tbl>
      <w:tblPr>
        <w:tblStyle w:val="TableGrid4"/>
        <w:tblpPr w:leftFromText="180" w:rightFromText="180" w:vertAnchor="page" w:horzAnchor="margin" w:tblpY="1410"/>
        <w:tblW w:w="1487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4673"/>
        <w:gridCol w:w="7640"/>
        <w:gridCol w:w="2566"/>
      </w:tblGrid>
      <w:tr w:rsidR="007709A0" w:rsidRPr="00CA734F" w14:paraId="37ED06A0" w14:textId="77777777" w:rsidTr="00A90F81">
        <w:trPr>
          <w:trHeight w:val="300"/>
        </w:trPr>
        <w:tc>
          <w:tcPr>
            <w:tcW w:w="14879" w:type="dxa"/>
            <w:gridSpan w:val="3"/>
            <w:tcBorders>
              <w:bottom w:val="dotted" w:sz="4" w:space="0" w:color="0070C0"/>
            </w:tcBorders>
            <w:shd w:val="clear" w:color="auto" w:fill="2F5496"/>
          </w:tcPr>
          <w:p w14:paraId="193FAAD3" w14:textId="46DF68FB" w:rsidR="00AC69A2" w:rsidRPr="00C83DA9" w:rsidRDefault="00AC69A2" w:rsidP="009B2988">
            <w:pPr>
              <w:pStyle w:val="Headingb"/>
              <w:spacing w:before="40"/>
              <w:jc w:val="center"/>
              <w:rPr>
                <w:rFonts w:eastAsia="Times New Roman"/>
                <w:color w:val="FFFFFF" w:themeColor="background1"/>
                <w:kern w:val="0"/>
                <w:szCs w:val="20"/>
                <w:lang w:val="fr-FR"/>
                <w14:ligatures w14:val="none"/>
              </w:rPr>
            </w:pPr>
            <w:bookmarkStart w:id="33" w:name="_Toc211258922"/>
            <w:bookmarkStart w:id="34" w:name="_Toc213307967"/>
            <w:r w:rsidRPr="00C83DA9">
              <w:rPr>
                <w:rFonts w:eastAsia="Times New Roman"/>
                <w:color w:val="FFFFFF" w:themeColor="background1"/>
                <w:kern w:val="0"/>
                <w:szCs w:val="20"/>
                <w:lang w:val="fr-FR"/>
                <w14:ligatures w14:val="none"/>
              </w:rPr>
              <w:lastRenderedPageBreak/>
              <w:t>Priorité 3 de l'UIT-D: Environnement politique et réglementaire propice</w:t>
            </w:r>
            <w:bookmarkEnd w:id="33"/>
            <w:bookmarkEnd w:id="34"/>
          </w:p>
          <w:p w14:paraId="3A8914BA" w14:textId="77777777" w:rsidR="00AC69A2" w:rsidRPr="00C83DA9" w:rsidRDefault="00AC69A2" w:rsidP="007709A0">
            <w:pPr>
              <w:pStyle w:val="Tablehead"/>
              <w:rPr>
                <w:i/>
                <w:iCs/>
                <w:color w:val="FFFFFF" w:themeColor="background1"/>
                <w:sz w:val="24"/>
                <w:szCs w:val="20"/>
                <w:lang w:val="fr-FR"/>
              </w:rPr>
            </w:pPr>
            <w:r w:rsidRPr="00C83DA9">
              <w:rPr>
                <w:rFonts w:eastAsia="Times New Roman"/>
                <w:i/>
                <w:iCs/>
                <w:color w:val="FFFFFF" w:themeColor="background1"/>
                <w:kern w:val="0"/>
                <w:sz w:val="24"/>
                <w:szCs w:val="20"/>
                <w:lang w:val="fr-FR"/>
                <w14:ligatures w14:val="none"/>
              </w:rPr>
              <w:t>Promouvoir la mise en place d'un environnement politique et réglementaire favorable au développement durable des télécommunications/TIC</w:t>
            </w:r>
          </w:p>
        </w:tc>
      </w:tr>
      <w:tr w:rsidR="00AC69A2" w:rsidRPr="00CA734F" w14:paraId="72FDBF97" w14:textId="77777777" w:rsidTr="00A90F81">
        <w:trPr>
          <w:trHeight w:val="300"/>
        </w:trPr>
        <w:tc>
          <w:tcPr>
            <w:tcW w:w="14879" w:type="dxa"/>
            <w:gridSpan w:val="3"/>
            <w:tcBorders>
              <w:bottom w:val="dotted" w:sz="4" w:space="0" w:color="0070C0"/>
            </w:tcBorders>
            <w:shd w:val="clear" w:color="auto" w:fill="E5DFEC" w:themeFill="accent4" w:themeFillTint="33"/>
          </w:tcPr>
          <w:p w14:paraId="1B2406E9" w14:textId="2818112B" w:rsidR="00AC69A2" w:rsidRPr="00C83DA9" w:rsidRDefault="00AC69A2" w:rsidP="009B2988">
            <w:pPr>
              <w:pStyle w:val="Headingb"/>
              <w:spacing w:before="40"/>
              <w:rPr>
                <w:rFonts w:eastAsia="Times New Roman"/>
                <w:color w:val="0070C0"/>
                <w:kern w:val="0"/>
                <w:szCs w:val="20"/>
                <w:lang w:val="fr-FR"/>
                <w14:ligatures w14:val="none"/>
              </w:rPr>
            </w:pPr>
            <w:bookmarkStart w:id="35" w:name="_Toc211258923"/>
            <w:bookmarkStart w:id="36" w:name="_Toc213307968"/>
            <w:r w:rsidRPr="00C83DA9">
              <w:rPr>
                <w:rFonts w:eastAsia="Times New Roman"/>
                <w:color w:val="0070C0"/>
                <w:kern w:val="0"/>
                <w:szCs w:val="20"/>
                <w:lang w:val="fr-FR"/>
                <w14:ligatures w14:val="none"/>
              </w:rPr>
              <w:t>Renforcement des capacités</w:t>
            </w:r>
            <w:bookmarkEnd w:id="35"/>
            <w:bookmarkEnd w:id="36"/>
          </w:p>
          <w:p w14:paraId="5029E9DE" w14:textId="77777777" w:rsidR="00AC69A2" w:rsidRPr="00C83DA9" w:rsidRDefault="00AC69A2" w:rsidP="007709A0">
            <w:pPr>
              <w:pStyle w:val="Tabletext"/>
              <w:rPr>
                <w:rFonts w:cstheme="minorHAnsi"/>
                <w:b/>
                <w:bCs/>
                <w:i/>
                <w:iCs/>
                <w:color w:val="FFFFFF"/>
                <w:sz w:val="24"/>
                <w:szCs w:val="20"/>
                <w:lang w:val="fr-FR"/>
              </w:rPr>
            </w:pPr>
            <w:r w:rsidRPr="00C83DA9">
              <w:rPr>
                <w:rFonts w:eastAsiaTheme="minorEastAsia" w:cstheme="minorHAnsi"/>
                <w:b/>
                <w:bCs/>
                <w:i/>
                <w:color w:val="000000" w:themeColor="text1"/>
                <w:sz w:val="24"/>
                <w:szCs w:val="20"/>
                <w:lang w:val="fr-FR"/>
              </w:rPr>
              <w:t>Réalisation</w:t>
            </w:r>
            <w:r w:rsidRPr="00C83DA9">
              <w:rPr>
                <w:rFonts w:eastAsiaTheme="minorEastAsia" w:cstheme="minorHAnsi"/>
                <w:i/>
                <w:color w:val="000000" w:themeColor="text1"/>
                <w:sz w:val="24"/>
                <w:szCs w:val="20"/>
                <w:lang w:val="fr-FR"/>
              </w:rPr>
              <w:t>: renforcement des capacités humaines et institutionnelles des membres de l'UIT, dans le domaine des télécommunications/TIC, à exploiter pleinement le potentiel de l'économie et de la société numériques.</w:t>
            </w:r>
          </w:p>
        </w:tc>
      </w:tr>
      <w:tr w:rsidR="00AC69A2" w:rsidRPr="00C83DA9" w14:paraId="5D5BD0DA" w14:textId="77777777" w:rsidTr="00A90F81">
        <w:trPr>
          <w:trHeight w:val="373"/>
        </w:trPr>
        <w:tc>
          <w:tcPr>
            <w:tcW w:w="14879" w:type="dxa"/>
            <w:gridSpan w:val="3"/>
            <w:shd w:val="clear" w:color="auto" w:fill="FFFFFF" w:themeFill="background1"/>
          </w:tcPr>
          <w:p w14:paraId="0BABEACF" w14:textId="77777777" w:rsidR="00AC69A2" w:rsidRPr="00C83DA9" w:rsidRDefault="00AC69A2" w:rsidP="007709A0">
            <w:pPr>
              <w:pStyle w:val="Tabletext"/>
              <w:jc w:val="center"/>
              <w:rPr>
                <w:b/>
                <w:bCs/>
                <w:color w:val="0070C0"/>
                <w:sz w:val="24"/>
                <w:szCs w:val="20"/>
                <w:lang w:val="fr-FR"/>
              </w:rPr>
            </w:pPr>
            <w:r w:rsidRPr="00C83DA9">
              <w:rPr>
                <w:rFonts w:eastAsia="Times New Roman"/>
                <w:b/>
                <w:bCs/>
                <w:color w:val="0070C0"/>
                <w:kern w:val="0"/>
                <w:sz w:val="24"/>
                <w:szCs w:val="20"/>
                <w:lang w:val="fr-FR"/>
                <w14:ligatures w14:val="none"/>
              </w:rPr>
              <w:t>Produits</w:t>
            </w:r>
          </w:p>
        </w:tc>
      </w:tr>
      <w:tr w:rsidR="00AC69A2" w:rsidRPr="00CA734F" w14:paraId="49599043" w14:textId="77777777" w:rsidTr="00AC69A2">
        <w:trPr>
          <w:trHeight w:val="839"/>
        </w:trPr>
        <w:tc>
          <w:tcPr>
            <w:tcW w:w="12313" w:type="dxa"/>
            <w:gridSpan w:val="2"/>
            <w:tcBorders>
              <w:top w:val="dotted" w:sz="4" w:space="0" w:color="0070C0"/>
              <w:left w:val="dotted" w:sz="4" w:space="0" w:color="0070C0"/>
              <w:bottom w:val="dotted" w:sz="4" w:space="0" w:color="0070C0"/>
              <w:right w:val="dotted" w:sz="4" w:space="0" w:color="0070C0"/>
            </w:tcBorders>
          </w:tcPr>
          <w:p w14:paraId="26682A3E" w14:textId="77777777" w:rsidR="00AC69A2" w:rsidRPr="00C83DA9" w:rsidRDefault="00AC69A2" w:rsidP="00DC1608">
            <w:pPr>
              <w:pStyle w:val="Tabletext"/>
              <w:spacing w:before="120"/>
              <w:rPr>
                <w:sz w:val="22"/>
                <w:lang w:val="fr-FR"/>
              </w:rPr>
            </w:pPr>
            <w:r w:rsidRPr="00C83DA9">
              <w:rPr>
                <w:sz w:val="22"/>
                <w:lang w:val="fr-FR"/>
              </w:rPr>
              <w:t xml:space="preserve">La période 2023-2025 a été marquée par des efforts visant à redéfinir le renforcement des capacités comme pierre angulaire de la transformation numérique. Le BDT a continué d'offrir des programmes de formation de grande qualité dans l'ensemble de son réseau mondial. Des activités ont été mises en œuvre </w:t>
            </w:r>
            <w:r w:rsidRPr="00C83DA9">
              <w:rPr>
                <w:rFonts w:ascii="Calibri" w:hAnsi="Calibri" w:cs="Calibri"/>
                <w:sz w:val="22"/>
                <w:lang w:val="fr-FR"/>
              </w:rPr>
              <w:t>dans</w:t>
            </w:r>
            <w:r w:rsidRPr="00C83DA9">
              <w:rPr>
                <w:sz w:val="22"/>
                <w:lang w:val="fr-FR"/>
              </w:rPr>
              <w:t xml:space="preserve"> le cadre de l'Académie de l'UIT, des Centres de formation de l'Académie de l'UIT (ATC) et de l'initiative des Centres de transformation numérique (DTC), ce qui a donné lieu à des retombées significatives pour les gouvernements, les régulateurs, les institutions et les citoyens du monde entier. L'accent mis sur les groupes mal desservis, notamment les femmes, les jeunes et les communautés marginalisées, a permis que tous et toutes bénéficient équitablement des avantages découlant de la maîtrise des outils numériques et d'une formation technique avancée. Au cours de cette période, il a été reconnu que la transformation numérique ne peut pas atteindre son plein potentiel sans assurer à la base le renforcement des capacités humaines.</w:t>
            </w:r>
          </w:p>
          <w:p w14:paraId="05294759" w14:textId="69556D0A" w:rsidR="00AC69A2" w:rsidRPr="00C83DA9" w:rsidRDefault="00AC69A2" w:rsidP="00DC1608">
            <w:pPr>
              <w:pStyle w:val="Tabletext"/>
              <w:spacing w:before="120" w:after="600"/>
              <w:rPr>
                <w:rFonts w:ascii="Calibri" w:hAnsi="Calibri" w:cs="Calibri"/>
                <w:sz w:val="22"/>
                <w:lang w:val="fr-FR"/>
              </w:rPr>
            </w:pPr>
            <w:r w:rsidRPr="00C83DA9">
              <w:rPr>
                <w:sz w:val="22"/>
                <w:lang w:val="fr-FR"/>
              </w:rPr>
              <w:t xml:space="preserve">Parmi les avancées institutionnelles majeures, on peut citer le lancement du </w:t>
            </w:r>
            <w:hyperlink r:id="rId108" w:anchor="/fr" w:history="1">
              <w:r w:rsidRPr="00C83DA9">
                <w:rPr>
                  <w:color w:val="0000FF"/>
                  <w:sz w:val="22"/>
                  <w:u w:val="single"/>
                  <w:lang w:val="fr-FR"/>
                </w:rPr>
                <w:t>programme des Centres de formation de l'Académie (ATC)</w:t>
              </w:r>
            </w:hyperlink>
            <w:r w:rsidRPr="00C83DA9">
              <w:rPr>
                <w:sz w:val="22"/>
                <w:lang w:val="fr-FR"/>
              </w:rPr>
              <w:t xml:space="preserve"> en 2023, à la suite des résultats de la CMDT-22, au cours de laquelle les membres de l'UIT ont adopté la Résolution 73 révisée. Remplaçant les anciens centres d'excellence de l'UIT, les centres ATC sont des organismes reconnus au niveau international qui proposent une formation de qualité à des professionnels de niveaux intermédiaire et supérieur, l'accent étant mis en particulier sur les besoins des pays en développement. Les institutions </w:t>
            </w:r>
            <w:r w:rsidRPr="00C83DA9">
              <w:rPr>
                <w:rFonts w:ascii="Calibri" w:hAnsi="Calibri" w:cs="Calibri"/>
                <w:sz w:val="22"/>
                <w:lang w:val="fr-FR"/>
              </w:rPr>
              <w:t>participant</w:t>
            </w:r>
            <w:r w:rsidRPr="00C83DA9">
              <w:rPr>
                <w:sz w:val="22"/>
                <w:lang w:val="fr-FR"/>
              </w:rPr>
              <w:t xml:space="preserve"> au programme restent les principaux partenaires de l'UIT en matière de renforcement des capacités et dispensent près de 40% de l'ensemble des cours sur la plate-forme de l'Académie de l'UIT. Le réseau a regroupé les compétences spécialisées mondiales au sein de 14</w:t>
            </w:r>
            <w:r w:rsidR="00FA56EA" w:rsidRPr="00C83DA9">
              <w:rPr>
                <w:sz w:val="22"/>
                <w:lang w:val="fr-FR"/>
              </w:rPr>
              <w:t xml:space="preserve"> </w:t>
            </w:r>
            <w:r w:rsidRPr="00C83DA9">
              <w:rPr>
                <w:sz w:val="22"/>
                <w:lang w:val="fr-FR"/>
              </w:rPr>
              <w:t>institutions accréditées, sélectionnées pour leur capacité à dispenser une formation avancée dans des domaines tels que la gestion du spectre, l'inclusion numérique, la cybersécurité et les politiques et réglementations. Entre le lancement du programme en janvier</w:t>
            </w:r>
            <w:r w:rsidR="00FA56EA" w:rsidRPr="00C83DA9">
              <w:rPr>
                <w:sz w:val="22"/>
                <w:lang w:val="fr-FR"/>
              </w:rPr>
              <w:t xml:space="preserve"> </w:t>
            </w:r>
            <w:r w:rsidRPr="00C83DA9">
              <w:rPr>
                <w:sz w:val="22"/>
                <w:lang w:val="fr-FR"/>
              </w:rPr>
              <w:t>2023 et le mois d'août</w:t>
            </w:r>
            <w:r w:rsidR="00FA56EA" w:rsidRPr="00C83DA9">
              <w:rPr>
                <w:sz w:val="22"/>
                <w:lang w:val="fr-FR"/>
              </w:rPr>
              <w:t xml:space="preserve"> </w:t>
            </w:r>
            <w:r w:rsidRPr="00C83DA9">
              <w:rPr>
                <w:sz w:val="22"/>
                <w:lang w:val="fr-FR"/>
              </w:rPr>
              <w:t>2025, 146</w:t>
            </w:r>
            <w:r w:rsidR="00FA56EA" w:rsidRPr="00C83DA9">
              <w:rPr>
                <w:sz w:val="22"/>
                <w:lang w:val="fr-FR"/>
              </w:rPr>
              <w:t xml:space="preserve"> </w:t>
            </w:r>
            <w:r w:rsidRPr="00C83DA9">
              <w:rPr>
                <w:sz w:val="22"/>
                <w:lang w:val="fr-FR"/>
              </w:rPr>
              <w:t>cours ont été organisés par les</w:t>
            </w:r>
            <w:r w:rsidR="00F25C88" w:rsidRPr="00C83DA9">
              <w:rPr>
                <w:sz w:val="22"/>
                <w:lang w:val="fr-FR"/>
              </w:rPr>
              <w:t> </w:t>
            </w:r>
            <w:r w:rsidRPr="00C83DA9">
              <w:rPr>
                <w:sz w:val="22"/>
                <w:lang w:val="fr-FR"/>
              </w:rPr>
              <w:t>14</w:t>
            </w:r>
            <w:r w:rsidR="00DC1608" w:rsidRPr="00C83DA9">
              <w:rPr>
                <w:sz w:val="22"/>
                <w:lang w:val="fr-FR"/>
              </w:rPr>
              <w:t> </w:t>
            </w:r>
            <w:r w:rsidRPr="00C83DA9">
              <w:rPr>
                <w:sz w:val="22"/>
                <w:lang w:val="fr-FR"/>
              </w:rPr>
              <w:t>centres ATC et 3 500 participants ont reçu des certificats de formation. La majorité des participants aux cours travaillent dans des entités du secteur public (ministères, autorités de régulation) et des organismes de télécommunication; viennent ensuite les établissements universitaires, le secteur privé et d'autres organisations. Les participants sont issus d'États Membres et proviennent à</w:t>
            </w:r>
            <w:r w:rsidR="00F25C88" w:rsidRPr="00C83DA9">
              <w:rPr>
                <w:sz w:val="22"/>
                <w:lang w:val="fr-FR"/>
              </w:rPr>
              <w:t> </w:t>
            </w:r>
            <w:r w:rsidRPr="00C83DA9">
              <w:rPr>
                <w:sz w:val="22"/>
                <w:lang w:val="fr-FR"/>
              </w:rPr>
              <w:t>81% de pays en développement. Des réunions annuelles de coordination ont permis d'harmoniser les normes, grâce à quoi les centres ATC ont pu jouer un rôle de centres d'échange de connaissances et d'assurance qualité, en plus de leur rôle initial de prestataires de formation.</w:t>
            </w:r>
            <w:hyperlink r:id="rId109"/>
          </w:p>
          <w:p w14:paraId="1BA2C500" w14:textId="77777777" w:rsidR="00AC69A2" w:rsidRPr="00C83DA9" w:rsidRDefault="00AC69A2" w:rsidP="00DC1608">
            <w:pPr>
              <w:pStyle w:val="Tabletext"/>
              <w:spacing w:before="120"/>
              <w:rPr>
                <w:rFonts w:ascii="Calibri" w:hAnsi="Calibri" w:cs="Calibri"/>
                <w:sz w:val="22"/>
                <w:lang w:val="fr-FR"/>
              </w:rPr>
            </w:pPr>
            <w:r w:rsidRPr="00C83DA9">
              <w:rPr>
                <w:sz w:val="22"/>
                <w:lang w:val="fr-FR"/>
              </w:rPr>
              <w:lastRenderedPageBreak/>
              <w:t xml:space="preserve">Un autre jalon a été l'expansion de la plate-forme de l'Académie de l'UIT, qui est devenue la principale passerelle pour le développement des compétences numériques dans le monde. Fin août 2025, le nombre d'utilisateurs avait presque doublé et dépassait les </w:t>
            </w:r>
            <w:r w:rsidRPr="00C83DA9">
              <w:rPr>
                <w:b/>
                <w:bCs/>
                <w:sz w:val="22"/>
                <w:lang w:val="fr-FR"/>
              </w:rPr>
              <w:t>75 000</w:t>
            </w:r>
            <w:r w:rsidRPr="00C83DA9">
              <w:rPr>
                <w:sz w:val="22"/>
                <w:lang w:val="fr-FR"/>
              </w:rPr>
              <w:t xml:space="preserve"> personnes, dont la grande majorité (environ 80%) provient de pays en développement. La proportion de femmes parmi les nouveaux utilisateurs est passée à 40%, soit près du double du niveau enregistré en 2019.</w:t>
            </w:r>
          </w:p>
          <w:p w14:paraId="4E6C5629" w14:textId="77777777" w:rsidR="00AC69A2" w:rsidRPr="00C83DA9" w:rsidRDefault="00AC69A2" w:rsidP="00DC1608">
            <w:pPr>
              <w:pStyle w:val="Tabletext"/>
              <w:spacing w:before="120"/>
              <w:rPr>
                <w:rFonts w:ascii="Calibri" w:hAnsi="Calibri" w:cs="Calibri"/>
                <w:sz w:val="22"/>
                <w:lang w:val="fr-FR"/>
              </w:rPr>
            </w:pPr>
            <w:r w:rsidRPr="00C83DA9">
              <w:rPr>
                <w:sz w:val="22"/>
                <w:lang w:val="fr-FR"/>
              </w:rPr>
              <w:t>Plus de 400 cours ont été dispensés depuis 2023, dont 70% en ligne (ce qui a facilité la participation à grande échelle et l'accessibilité) et le reste en présentiel, ce qui a permis les échanges entre participants. Les taux d'achèvement ont constamment dépassé les niveaux de référence du secteur, passant de 68% à 90% pour les cours en présentiel et de 28% à 45% pour les cours en ligne entre l'année 2023 et l'année 2025. Ces progrès sont le fruit des efforts soutenus qui ont été déployés pour améliorer la qualité des cours et le dialogue avec les apprenants. Au total, plus de 15 000 certifications ont été délivrées afin de reconnaître les réalisations des participants et de leur fournir des titres de compétences pour faciliter leur évolution professionnelle.</w:t>
            </w:r>
          </w:p>
          <w:p w14:paraId="2D322F79" w14:textId="77777777" w:rsidR="00AC69A2" w:rsidRPr="00C83DA9" w:rsidRDefault="00AC69A2" w:rsidP="00DC1608">
            <w:pPr>
              <w:pStyle w:val="Tabletext"/>
              <w:spacing w:before="120"/>
              <w:rPr>
                <w:rFonts w:ascii="Calibri" w:hAnsi="Calibri" w:cs="Calibri"/>
                <w:sz w:val="22"/>
                <w:lang w:val="fr-FR"/>
              </w:rPr>
            </w:pPr>
            <w:r w:rsidRPr="00C83DA9">
              <w:rPr>
                <w:sz w:val="22"/>
                <w:lang w:val="fr-FR"/>
              </w:rPr>
              <w:t xml:space="preserve">Le catalogue des cours a été diversifié pour tenir compte des domaines émergents tels que l'intelligence artificielle, les technologies quantiques et la gouvernance des données, tout en continuant de proposer des programmes phares sur la gestion du spectre, la réglementation et les politiques numériques. Les niveaux de satisfaction des apprenants sont demeurés constamment élevés, 98% des participants ayant évalué positivement leurs cours, ce qui confirme la pertinence et l'accessibilité de la plate-forme de l'Académie de l'UIT. Les évaluations post-formation réalisées depuis 2024 conformément au nouveau cadre d'évaluation complet mis en place montrent une amélioration notable des compétences des participants, qui déclarent un niveau de compétence plus élevé après avoir terminé le cours, ainsi qu'un fort taux d'application des connaissances acquises lors de la formation dans leur emploi actuel. Ces résultats se sont traduits par des changements concrets: les anciens élèves ont, par exemple, </w:t>
            </w:r>
            <w:r w:rsidRPr="00C83DA9">
              <w:rPr>
                <w:b/>
                <w:bCs/>
                <w:sz w:val="22"/>
                <w:lang w:val="fr-FR"/>
              </w:rPr>
              <w:t>renforcé les systèmes nationaux de surveillance de la cybersécurité, aligné les processus internes sur les nouvelles lois relatives à la protection des données, contribué à l'élaboration de réglementations sur les déchets d'équipements électriques et électroniques et élaboré des stratégies sur le large bande pour les zones mal desservies</w:t>
            </w:r>
            <w:r w:rsidRPr="00C83DA9">
              <w:rPr>
                <w:sz w:val="22"/>
                <w:lang w:val="fr-FR"/>
              </w:rPr>
              <w:t>. En outre, nombre d'entre eux accompagnent des collègues en tant que mentors, organisent des ateliers internes ou révisent les cadres institutionnels, multipliant ainsi les retombées positives bien au-delà de l'apprenant individuel.</w:t>
            </w:r>
          </w:p>
          <w:p w14:paraId="795400DB" w14:textId="77777777" w:rsidR="00AC69A2" w:rsidRPr="00C83DA9" w:rsidRDefault="00AC69A2" w:rsidP="00DC1608">
            <w:pPr>
              <w:pStyle w:val="Tabletext"/>
              <w:spacing w:before="120"/>
              <w:rPr>
                <w:rFonts w:cstheme="minorBidi"/>
                <w:sz w:val="22"/>
                <w:lang w:val="fr-FR"/>
              </w:rPr>
            </w:pPr>
            <w:r w:rsidRPr="00C83DA9">
              <w:rPr>
                <w:sz w:val="22"/>
                <w:lang w:val="fr-FR"/>
              </w:rPr>
              <w:t xml:space="preserve">Grâce à un financement accordé au titre de l'Initiative "Global Gateway" de l'Union européenne sur une période de quatre ans, l'UIT, en collaboration avec le PNUD, a commencé à mettre en œuvre le projet </w:t>
            </w:r>
            <w:r w:rsidRPr="00C83DA9">
              <w:rPr>
                <w:sz w:val="22"/>
                <w:u w:val="single"/>
                <w:lang w:val="fr-FR"/>
              </w:rPr>
              <w:t>"</w:t>
            </w:r>
            <w:hyperlink r:id="rId110" w:anchor="/fr" w:history="1">
              <w:r w:rsidRPr="00C83DA9">
                <w:rPr>
                  <w:color w:val="0000FF"/>
                  <w:sz w:val="22"/>
                  <w:u w:val="single"/>
                  <w:lang w:val="fr-FR"/>
                </w:rPr>
                <w:t>Renforcement des capacités pour la transformation numérique</w:t>
              </w:r>
            </w:hyperlink>
            <w:r w:rsidRPr="00C83DA9">
              <w:rPr>
                <w:sz w:val="22"/>
                <w:u w:val="single"/>
                <w:lang w:val="fr-FR"/>
              </w:rPr>
              <w:t>"</w:t>
            </w:r>
            <w:r w:rsidRPr="00C83DA9">
              <w:rPr>
                <w:sz w:val="22"/>
                <w:lang w:val="fr-FR"/>
              </w:rPr>
              <w:t xml:space="preserve"> fin 2023. Ce projet appuie la mise en place d'une formation à l'intention des décideurs et des responsables gouvernementaux du monde entier par l'intermédiaire de la plate-forme de l'Académie de l'UIT et vise à former au moins 5 000 participants sur 18 sujets fondamentaux liés aux technologies numériques. Les cours de formation sont dispensés par le BDT, en partenariat avec les centres ATC et d'autres partenaires des Nations Unies tels que l'Organisation des Nations Unies pour l'éducation, la science et la culture (UNESCO), l'Organisation internationale du travail (OIT) et le Haut-Commissariat des Nations Unies aux droits de l'homme (HCDH). Depuis le début du projet, 51 cours ont été dispensés en présentiel et en ligne, et près de 3 000 participants de 115 pays, essentiellement des pays en développement, ont été formés. Tous les cours portent sur les 18 sujets définis par le projet et le nombre total d'inscrits dépasse 7 702.</w:t>
            </w:r>
            <w:hyperlink r:id="rId111"/>
          </w:p>
          <w:p w14:paraId="26B1D1D6" w14:textId="77777777" w:rsidR="00AC69A2" w:rsidRPr="00C83DA9" w:rsidRDefault="00AC69A2" w:rsidP="00912362">
            <w:pPr>
              <w:pStyle w:val="Tabletext"/>
              <w:keepLines/>
              <w:spacing w:before="120"/>
              <w:rPr>
                <w:rFonts w:cstheme="minorBidi"/>
                <w:sz w:val="22"/>
                <w:lang w:val="fr-FR"/>
              </w:rPr>
            </w:pPr>
            <w:r w:rsidRPr="00C83DA9">
              <w:rPr>
                <w:sz w:val="22"/>
                <w:lang w:val="fr-FR"/>
              </w:rPr>
              <w:t xml:space="preserve">Dans le cadre du projet "Renforcer les capacités pour accélérer la connectivité des écoles" et en collaboration avec l'Initiative Giga lancée en 2024, le BDT soutient les efforts des États Membres en faveur de la connectivité des écoles en proposant des cours de formation sur mesure, dispensés par l'intermédiaire de l'Académie de l'UIT. Les cours couvrent l'ensemble du processus visant à </w:t>
            </w:r>
            <w:r w:rsidRPr="00C83DA9">
              <w:rPr>
                <w:sz w:val="22"/>
                <w:lang w:val="fr-FR"/>
              </w:rPr>
              <w:lastRenderedPageBreak/>
              <w:t>connecter les écoles, des premières phases et de la planification à la cartographie et à la modélisation des infrastructures, en passant par le financement et les achats, la mise en œuvre technique et le suivi de la connectivité, et reposent sur les compétences de l'UIT en matière de connectivité offerte par les TIC et d'instauration d'environnements propices.</w:t>
            </w:r>
          </w:p>
          <w:p w14:paraId="0ECBD763" w14:textId="2959678A" w:rsidR="00AC69A2" w:rsidRPr="00C83DA9" w:rsidRDefault="00AC69A2" w:rsidP="00DC1608">
            <w:pPr>
              <w:pStyle w:val="Tabletext"/>
              <w:spacing w:before="120"/>
              <w:rPr>
                <w:rFonts w:ascii="Calibri" w:hAnsi="Calibri" w:cs="Calibri"/>
                <w:sz w:val="22"/>
                <w:lang w:val="fr-FR"/>
              </w:rPr>
            </w:pPr>
            <w:r w:rsidRPr="00C83DA9">
              <w:rPr>
                <w:sz w:val="22"/>
                <w:lang w:val="fr-FR"/>
              </w:rPr>
              <w:t xml:space="preserve">Au niveau communautaire, l'initiative des </w:t>
            </w:r>
            <w:hyperlink r:id="rId112" w:anchor="/fr" w:history="1">
              <w:r w:rsidRPr="00C83DA9">
                <w:rPr>
                  <w:color w:val="0000FF"/>
                  <w:sz w:val="22"/>
                  <w:u w:val="single"/>
                  <w:lang w:val="fr-FR"/>
                </w:rPr>
                <w:t>Centres de transformation numérique (DTC)</w:t>
              </w:r>
            </w:hyperlink>
            <w:r w:rsidRPr="00C83DA9">
              <w:rPr>
                <w:sz w:val="22"/>
                <w:lang w:val="fr-FR"/>
              </w:rPr>
              <w:t xml:space="preserve"> est apparue comme le vecteur phare de l'accroissement des compétences numériques. Cette initiative s'appuie sur un réseau mondial d'institutions nationales, les centres DTC, qui ont pour mission de mettre en œuvre des programmes de renforcement des compétences numériques au niveau national. À la mi</w:t>
            </w:r>
            <w:r w:rsidR="00DC1608" w:rsidRPr="00C83DA9">
              <w:rPr>
                <w:sz w:val="22"/>
                <w:lang w:val="fr-FR"/>
              </w:rPr>
              <w:noBreakHyphen/>
            </w:r>
            <w:r w:rsidRPr="00C83DA9">
              <w:rPr>
                <w:sz w:val="22"/>
                <w:lang w:val="fr-FR"/>
              </w:rPr>
              <w:t xml:space="preserve">2025, le réseau des centres DTC s'était étendu à </w:t>
            </w:r>
            <w:r w:rsidRPr="00C83DA9">
              <w:rPr>
                <w:b/>
                <w:bCs/>
                <w:sz w:val="22"/>
                <w:lang w:val="fr-FR"/>
              </w:rPr>
              <w:t>14 pays</w:t>
            </w:r>
            <w:r w:rsidRPr="00C83DA9">
              <w:rPr>
                <w:sz w:val="22"/>
                <w:lang w:val="fr-FR"/>
              </w:rPr>
              <w:t xml:space="preserve"> (Côte d'Ivoire, République démocratique du Congo, République dominicaine, Ghana, Indonésie, Maroc, Pakistan, Papouasie-Nouvelle-Guinée, Philippines, Rwanda, Sénégal, Sierra Leone, Ouganda et Zambie) et avait formé plus d'</w:t>
            </w:r>
            <w:r w:rsidRPr="00C83DA9">
              <w:rPr>
                <w:b/>
                <w:bCs/>
                <w:sz w:val="22"/>
                <w:lang w:val="fr-FR"/>
              </w:rPr>
              <w:t>un demi-million de personnes</w:t>
            </w:r>
            <w:r w:rsidRPr="00C83DA9">
              <w:rPr>
                <w:sz w:val="22"/>
                <w:lang w:val="fr-FR"/>
              </w:rPr>
              <w:t xml:space="preserve">, dont </w:t>
            </w:r>
            <w:r w:rsidRPr="00C83DA9">
              <w:rPr>
                <w:b/>
                <w:bCs/>
                <w:sz w:val="22"/>
                <w:lang w:val="fr-FR"/>
              </w:rPr>
              <w:t>plus de 50% de femmes</w:t>
            </w:r>
            <w:r w:rsidRPr="00C83DA9">
              <w:rPr>
                <w:sz w:val="22"/>
                <w:lang w:val="fr-FR"/>
              </w:rPr>
              <w:t>. Afin de renforcer le réseau mondial des centres DTC, les coordonnateurs de ces centres sont réunis chaque année à l'occasion d'un atelier au cours duquel ils examinent la mise en œuvre de l'initiative, passent en revue les réalisations et progrès accomplis et recherchent de nouvelles idées en vue de soutenir les centres DTC et d'élargir leur champ d'action. Entre 2023 et 2025, l'atelier annuel a été accueilli par un centre différent chaque année: les Philippines en 2023, l'Indonésie en 2024 et la République dominicaine en 2025. Récemment, un outil d'évaluation des effets des formations a été testé à titre pilote et mis à la disposition de tous les centres DTC, afin de procéder à des études d'impact à faible coût de leurs activités de formation. Grâce à des contenus adaptés, les centres DTC du Ghana, du Pakistan, du Sénégal, de la Sierra Leone et de l'Ouganda ont offert aux apprenants malvoyants une formation de qualité aux compétences numériques. Les programmes de formation des formateurs sont un élément clé pour favoriser la durabilité de l'initiative et faciliter son appropriation locale. En intégrant le renforcement des capacités directement au sein des institutions locales, l'initiative des centres DTC a démontré comment des partenariats mondiaux peuvent produire des résultats tangibles et concrets au niveau local.</w:t>
            </w:r>
            <w:hyperlink r:id="rId113" w:history="1"/>
          </w:p>
          <w:p w14:paraId="3D129FDF" w14:textId="289089A0" w:rsidR="00AC69A2" w:rsidRPr="00C83DA9" w:rsidRDefault="00AC69A2" w:rsidP="00DC1608">
            <w:pPr>
              <w:pStyle w:val="Tabletext"/>
              <w:spacing w:before="120" w:after="240"/>
              <w:rPr>
                <w:rFonts w:ascii="Calibri" w:hAnsi="Calibri" w:cs="Calibri"/>
                <w:sz w:val="22"/>
                <w:lang w:val="fr-FR"/>
              </w:rPr>
            </w:pPr>
            <w:r w:rsidRPr="00C83DA9">
              <w:rPr>
                <w:sz w:val="22"/>
                <w:lang w:val="fr-FR"/>
              </w:rPr>
              <w:t xml:space="preserve">Le Gouvernement norvégien et l'UIT ont appuyé l'initiative des centres DTC dans le cadre de deux projets, à savoir la </w:t>
            </w:r>
            <w:r w:rsidR="00F57442" w:rsidRPr="00C83DA9">
              <w:rPr>
                <w:sz w:val="22"/>
                <w:lang w:val="fr-FR"/>
              </w:rPr>
              <w:t>P</w:t>
            </w:r>
            <w:r w:rsidRPr="00C83DA9">
              <w:rPr>
                <w:sz w:val="22"/>
                <w:lang w:val="fr-FR"/>
              </w:rPr>
              <w:t>hase 1 (2021</w:t>
            </w:r>
            <w:r w:rsidR="00DC1608" w:rsidRPr="00C83DA9">
              <w:rPr>
                <w:sz w:val="22"/>
                <w:lang w:val="fr-FR"/>
              </w:rPr>
              <w:noBreakHyphen/>
            </w:r>
            <w:r w:rsidRPr="00C83DA9">
              <w:rPr>
                <w:sz w:val="22"/>
                <w:lang w:val="fr-FR"/>
              </w:rPr>
              <w:t xml:space="preserve">2023) et la </w:t>
            </w:r>
            <w:r w:rsidR="00F57442" w:rsidRPr="00C83DA9">
              <w:rPr>
                <w:sz w:val="22"/>
                <w:lang w:val="fr-FR"/>
              </w:rPr>
              <w:t>P</w:t>
            </w:r>
            <w:r w:rsidRPr="00C83DA9">
              <w:rPr>
                <w:sz w:val="22"/>
                <w:lang w:val="fr-FR"/>
              </w:rPr>
              <w:t xml:space="preserve">hase 2 (2024-2025) du projet intitulé "Renforcer les compétences numériques grâce aux centres de transformation numérique". La </w:t>
            </w:r>
            <w:r w:rsidR="00F57442" w:rsidRPr="00C83DA9">
              <w:rPr>
                <w:sz w:val="22"/>
                <w:lang w:val="fr-FR"/>
              </w:rPr>
              <w:t>P</w:t>
            </w:r>
            <w:r w:rsidRPr="00C83DA9">
              <w:rPr>
                <w:sz w:val="22"/>
                <w:lang w:val="fr-FR"/>
              </w:rPr>
              <w:t xml:space="preserve">hase 1 du projet a considérablement fait progresser les activités des centres DTC, en particulier au </w:t>
            </w:r>
            <w:r w:rsidRPr="00C83DA9">
              <w:rPr>
                <w:b/>
                <w:bCs/>
                <w:sz w:val="22"/>
                <w:lang w:val="fr-FR"/>
              </w:rPr>
              <w:t>Ghana</w:t>
            </w:r>
            <w:r w:rsidRPr="00C83DA9">
              <w:rPr>
                <w:sz w:val="22"/>
                <w:lang w:val="fr-FR"/>
              </w:rPr>
              <w:t xml:space="preserve">. Dans ce pays, le centre a dépassé presque tous les objectifs du projet et a touché les communautés mal desservies dans les 16 régions. On notera surtout la formation de 22 000 personnes, dont 68% de femmes. Une étude d'impact réalisée au </w:t>
            </w:r>
            <w:r w:rsidRPr="00C83DA9">
              <w:rPr>
                <w:b/>
                <w:bCs/>
                <w:sz w:val="22"/>
                <w:lang w:val="fr-FR"/>
              </w:rPr>
              <w:t>Ghana</w:t>
            </w:r>
            <w:r w:rsidRPr="00C83DA9">
              <w:rPr>
                <w:sz w:val="22"/>
                <w:lang w:val="fr-FR"/>
              </w:rPr>
              <w:t xml:space="preserve"> a révélé que 82% des bénéficiaires ont signalé une amélioration de leur bien-être et de leurs moyens de subsistance, avec des résultats supplémentaires tels que la réduction des disparités régionales, un intérêt accru pour les matières scientifiques, la technologie, l'ingénierie et les mathématiques (STEM) chez les jeunes, en particulier les jeunes filles, et un renforcement des capacités locales de formation aux TIC. Outre le Ghana, les centres DTC de neuf pays ont reçu un appui sous la forme de programmes de formation des formateurs et de la fourniture de compétences numériques dans les zones mal desservies, tandis que l'UIT a animé des cours de formation de niveau supérieur sur les plates-formes Cisco et HP LIFE. La phase 2 était axée sur le renforcement de l'initiative des centres DTC grâce à la formation continue, au renforcement des capacités et à l'essai d'une méthode d'étude d'impact pilote. Elle a également consisté à équiper les centres TIC de l'</w:t>
            </w:r>
            <w:r w:rsidRPr="00C83DA9">
              <w:rPr>
                <w:b/>
                <w:bCs/>
                <w:sz w:val="22"/>
                <w:lang w:val="fr-FR"/>
              </w:rPr>
              <w:t>Ouganda</w:t>
            </w:r>
            <w:r w:rsidRPr="00C83DA9">
              <w:rPr>
                <w:sz w:val="22"/>
                <w:lang w:val="fr-FR"/>
              </w:rPr>
              <w:t xml:space="preserve"> et de la </w:t>
            </w:r>
            <w:r w:rsidRPr="00C83DA9">
              <w:rPr>
                <w:b/>
                <w:bCs/>
                <w:sz w:val="22"/>
                <w:lang w:val="fr-FR"/>
              </w:rPr>
              <w:t>Zambie</w:t>
            </w:r>
            <w:r w:rsidRPr="00C83DA9">
              <w:rPr>
                <w:sz w:val="22"/>
                <w:lang w:val="fr-FR"/>
              </w:rPr>
              <w:t xml:space="preserve"> de nouvelles technologies, dont l'installation est prévue d'ici la fin de l'année</w:t>
            </w:r>
            <w:r w:rsidR="00DC1608" w:rsidRPr="00C83DA9">
              <w:rPr>
                <w:sz w:val="22"/>
                <w:lang w:val="fr-FR"/>
              </w:rPr>
              <w:t> </w:t>
            </w:r>
            <w:r w:rsidRPr="00C83DA9">
              <w:rPr>
                <w:sz w:val="22"/>
                <w:lang w:val="fr-FR"/>
              </w:rPr>
              <w:t>2025.</w:t>
            </w:r>
          </w:p>
          <w:p w14:paraId="0E8BFC9D" w14:textId="77777777" w:rsidR="00AC69A2" w:rsidRPr="00C83DA9" w:rsidRDefault="00AC69A2" w:rsidP="00DC1608">
            <w:pPr>
              <w:pStyle w:val="Tabletext"/>
              <w:spacing w:before="120"/>
              <w:rPr>
                <w:rFonts w:ascii="Calibri" w:hAnsi="Calibri" w:cs="Calibri"/>
                <w:sz w:val="22"/>
                <w:lang w:val="fr-FR"/>
              </w:rPr>
            </w:pPr>
            <w:r w:rsidRPr="00C83DA9">
              <w:rPr>
                <w:sz w:val="22"/>
                <w:lang w:val="fr-FR"/>
              </w:rPr>
              <w:lastRenderedPageBreak/>
              <w:t>Pour appuyer la planification des politiques nationales, le BDT a publié l'</w:t>
            </w:r>
            <w:hyperlink r:id="rId114" w:history="1">
              <w:r w:rsidRPr="00C83DA9">
                <w:rPr>
                  <w:color w:val="0000FF"/>
                  <w:sz w:val="22"/>
                  <w:u w:val="single"/>
                  <w:lang w:val="fr-FR"/>
                </w:rPr>
                <w:t>édition de 2024 du Kit pratique sur les compétences numériques</w:t>
              </w:r>
            </w:hyperlink>
            <w:r w:rsidRPr="00C83DA9">
              <w:rPr>
                <w:sz w:val="22"/>
                <w:lang w:val="fr-FR"/>
              </w:rPr>
              <w:t xml:space="preserve">, qui contient la version actualisée du cadre pour l'élaboration de stratégies nationales. Ce kit pratique propose un guide complet, étape par étape, qui aide les membres de l'UIT à définir des stratégies et des politiques nationales efficaces en matière d'acquisition de compétences numériques et s'appuie pour cela sur des évaluations, des feuilles de route et des études de cas dans divers endroits du monde. Des pays comme le </w:t>
            </w:r>
            <w:r w:rsidRPr="00C83DA9">
              <w:rPr>
                <w:b/>
                <w:bCs/>
                <w:sz w:val="22"/>
                <w:lang w:val="fr-FR"/>
              </w:rPr>
              <w:t>Kenya</w:t>
            </w:r>
            <w:r w:rsidRPr="00C83DA9">
              <w:rPr>
                <w:sz w:val="22"/>
                <w:lang w:val="fr-FR"/>
              </w:rPr>
              <w:t xml:space="preserve">, la </w:t>
            </w:r>
            <w:r w:rsidRPr="00C83DA9">
              <w:rPr>
                <w:b/>
                <w:bCs/>
                <w:sz w:val="22"/>
                <w:lang w:val="fr-FR"/>
              </w:rPr>
              <w:t>République du Soudan du Sud</w:t>
            </w:r>
            <w:r w:rsidRPr="00C83DA9">
              <w:rPr>
                <w:sz w:val="22"/>
                <w:lang w:val="fr-FR"/>
              </w:rPr>
              <w:t xml:space="preserve"> et l'</w:t>
            </w:r>
            <w:r w:rsidRPr="00C83DA9">
              <w:rPr>
                <w:b/>
                <w:bCs/>
                <w:sz w:val="22"/>
                <w:lang w:val="fr-FR"/>
              </w:rPr>
              <w:t>Ouganda</w:t>
            </w:r>
            <w:r w:rsidRPr="00C83DA9">
              <w:rPr>
                <w:sz w:val="22"/>
                <w:lang w:val="fr-FR"/>
              </w:rPr>
              <w:t xml:space="preserve"> ont utilisé le kit pratique pour concevoir ou affiner des stratégies nationales, tandis que d'autres l'ont adopté pour comparer les progrès accomplis et coordonner l'aide des donateurs. Le kit pratique fournit des orientations méthodologiques ainsi qu'un vocabulaire commun permettant aux gouvernements et aux partenaires d'harmoniser leurs efforts.</w:t>
            </w:r>
            <w:hyperlink r:id="rId115"/>
          </w:p>
          <w:p w14:paraId="23F69D71" w14:textId="0470BAD3" w:rsidR="00AC69A2" w:rsidRPr="00C83DA9" w:rsidRDefault="00AC69A2" w:rsidP="00DC1608">
            <w:pPr>
              <w:pStyle w:val="Tabletext"/>
              <w:spacing w:before="120"/>
              <w:rPr>
                <w:rFonts w:cstheme="minorBidi"/>
                <w:sz w:val="22"/>
                <w:lang w:val="fr-FR"/>
              </w:rPr>
            </w:pPr>
            <w:r w:rsidRPr="00C83DA9">
              <w:rPr>
                <w:sz w:val="22"/>
                <w:lang w:val="fr-FR"/>
              </w:rPr>
              <w:t>L'</w:t>
            </w:r>
            <w:hyperlink r:id="rId116" w:history="1">
              <w:r w:rsidRPr="00C83DA9">
                <w:rPr>
                  <w:color w:val="0000FF"/>
                  <w:sz w:val="22"/>
                  <w:u w:val="single"/>
                  <w:lang w:val="fr-FR"/>
                </w:rPr>
                <w:t>édition de 2024 du Forum de l'UIT sur les compétences numériques</w:t>
              </w:r>
            </w:hyperlink>
            <w:r w:rsidRPr="00C83DA9">
              <w:rPr>
                <w:sz w:val="22"/>
                <w:lang w:val="fr-FR"/>
              </w:rPr>
              <w:t xml:space="preserve"> s'est tenue à Manama (</w:t>
            </w:r>
            <w:r w:rsidRPr="00C83DA9">
              <w:rPr>
                <w:b/>
                <w:bCs/>
                <w:sz w:val="22"/>
                <w:lang w:val="fr-FR"/>
              </w:rPr>
              <w:t>Bahreïn</w:t>
            </w:r>
            <w:r w:rsidRPr="00C83DA9">
              <w:rPr>
                <w:sz w:val="22"/>
                <w:lang w:val="fr-FR"/>
              </w:rPr>
              <w:t>) du 17 au 19 septembre 2024. Elle a été organisée par l'UIT à l'aimable invitation de l'Autorité de régulation des télécommunications (TRA) de Bahreïn. Placé sous le thème "Renforcement des compétences au service de la transformation numérique", le Forum a rassemblé plus de 700 participants de 66 pays, issus d'organisations publiques ou privées, d'universités et d'instituts de recherche, ainsi que d'autres organisations régionales et internationales. Le</w:t>
            </w:r>
            <w:r w:rsidR="00DC1608" w:rsidRPr="00C83DA9">
              <w:rPr>
                <w:sz w:val="22"/>
                <w:lang w:val="fr-FR"/>
              </w:rPr>
              <w:t xml:space="preserve"> </w:t>
            </w:r>
            <w:r w:rsidRPr="00C83DA9">
              <w:rPr>
                <w:sz w:val="22"/>
                <w:lang w:val="fr-FR"/>
              </w:rPr>
              <w:t>Forum a été précédé, le 16 septembre 2024, de la réunion annuelle des centres de formation de l'Académie de l'UIT. Le Forum a permis d'examiner les besoins les plus urgents auxquels il faut répondre pour permettre l'acquisition de compétences numériques universelles et la réduction de l'écart mondial quant à ces compétences.</w:t>
            </w:r>
            <w:hyperlink r:id="rId117" w:history="1"/>
          </w:p>
          <w:p w14:paraId="4702B471" w14:textId="77777777" w:rsidR="00AC69A2" w:rsidRPr="00C83DA9" w:rsidRDefault="00AC69A2" w:rsidP="00BA2B42">
            <w:pPr>
              <w:pStyle w:val="Tabletext"/>
              <w:spacing w:before="120"/>
              <w:ind w:right="-56"/>
              <w:rPr>
                <w:rFonts w:cstheme="minorHAnsi"/>
                <w:spacing w:val="-2"/>
                <w:sz w:val="22"/>
                <w:lang w:val="fr-FR"/>
              </w:rPr>
            </w:pPr>
            <w:r w:rsidRPr="00C83DA9">
              <w:rPr>
                <w:rFonts w:cstheme="minorHAnsi"/>
                <w:spacing w:val="-2"/>
                <w:sz w:val="22"/>
                <w:lang w:val="fr-FR"/>
              </w:rPr>
              <w:t xml:space="preserve">L'UIT continue de mener la </w:t>
            </w:r>
            <w:hyperlink r:id="rId118" w:anchor="/fr" w:history="1">
              <w:r w:rsidRPr="00C83DA9">
                <w:rPr>
                  <w:rFonts w:cstheme="minorHAnsi"/>
                  <w:color w:val="0000FF"/>
                  <w:spacing w:val="-2"/>
                  <w:sz w:val="22"/>
                  <w:u w:val="single"/>
                  <w:lang w:val="fr-FR"/>
                </w:rPr>
                <w:t>campagne sur les compétences numériques</w:t>
              </w:r>
            </w:hyperlink>
            <w:r w:rsidRPr="00C83DA9">
              <w:rPr>
                <w:rFonts w:cstheme="minorHAnsi"/>
                <w:spacing w:val="-2"/>
                <w:sz w:val="22"/>
                <w:lang w:val="fr-FR"/>
              </w:rPr>
              <w:t xml:space="preserve"> en partenariat avec l'OIT. Cette campagne, amorcée en 2016 comme l'une des priorités thématiques s'inscrivant dans le cadre de l'initiative mondiale pour l'emploi décent des jeunes lancée par l'OIT, vise à doter les jeunes femmes et les jeunes hommes des compétences nécessaires pour les emplois d'aujourd'hui et de demain dans le secteur du numérique. En 2021, l'objectif initial de former 5 millions de jeunes a été revu à la hausse et fixé à 25 millions d'ici la fin de l'année 2030. En mars 2025, la campagne avait bénéficié d'engagements en vue de former plus de 23 millions de jeunes aux compétences numériques d'ici à 2030. Les 19 partenaires qui ont pris des engagements dans ce sens sont issus de divers secteurs: pouvoirs publics, banques de développement, organisations non gouvernementales (ONG), institutions du système des Nations Unies et secteur privé.</w:t>
            </w:r>
            <w:hyperlink r:id="rId119"/>
          </w:p>
          <w:p w14:paraId="4DD13C53" w14:textId="77777777" w:rsidR="00AC69A2" w:rsidRPr="00C83DA9" w:rsidRDefault="00AC69A2" w:rsidP="00DC1608">
            <w:pPr>
              <w:pStyle w:val="Tabletext"/>
              <w:spacing w:before="120"/>
              <w:rPr>
                <w:rFonts w:ascii="Calibri" w:hAnsi="Calibri" w:cs="Calibri"/>
                <w:sz w:val="22"/>
                <w:lang w:val="fr-FR"/>
              </w:rPr>
            </w:pPr>
            <w:r w:rsidRPr="00C83DA9">
              <w:rPr>
                <w:sz w:val="22"/>
                <w:lang w:val="fr-FR"/>
              </w:rPr>
              <w:t xml:space="preserve">Ces initiatives illustrent comment les alliances pourraient étendre la portée de l'UIT au-delà des publics traditionnels, en créant un mouvement commun </w:t>
            </w:r>
            <w:r w:rsidRPr="00C83DA9">
              <w:rPr>
                <w:rFonts w:cstheme="minorHAnsi"/>
                <w:sz w:val="22"/>
                <w:lang w:val="fr-FR"/>
              </w:rPr>
              <w:t>visant</w:t>
            </w:r>
            <w:r w:rsidRPr="00C83DA9">
              <w:rPr>
                <w:sz w:val="22"/>
                <w:lang w:val="fr-FR"/>
              </w:rPr>
              <w:t xml:space="preserve"> à combler les lacunes mondiales en matière de compétences numériques.</w:t>
            </w:r>
          </w:p>
          <w:p w14:paraId="43728BD8" w14:textId="77777777" w:rsidR="003F4994" w:rsidRPr="00C83DA9" w:rsidRDefault="00AC69A2" w:rsidP="00BA2B42">
            <w:pPr>
              <w:pStyle w:val="Tabletext"/>
              <w:widowControl w:val="0"/>
              <w:spacing w:before="120"/>
              <w:ind w:right="-84"/>
              <w:rPr>
                <w:sz w:val="22"/>
                <w:lang w:val="fr-FR"/>
              </w:rPr>
            </w:pPr>
            <w:r w:rsidRPr="00C83DA9">
              <w:rPr>
                <w:sz w:val="22"/>
                <w:lang w:val="fr-FR"/>
              </w:rPr>
              <w:t xml:space="preserve">Les progrès réalisés au niveau régional reflètent diverses priorités, mais convergent vers la reconnaissance du fait que les capacités sont essentielles à la transformation numérique. En </w:t>
            </w:r>
            <w:r w:rsidRPr="00C83DA9">
              <w:rPr>
                <w:b/>
                <w:bCs/>
                <w:sz w:val="22"/>
                <w:lang w:val="fr-FR"/>
              </w:rPr>
              <w:t>Afrique</w:t>
            </w:r>
            <w:r w:rsidRPr="00C83DA9">
              <w:rPr>
                <w:sz w:val="22"/>
                <w:lang w:val="fr-FR"/>
              </w:rPr>
              <w:t xml:space="preserve">, les progrès ont été marqués à la fois par un renforcement institutionnel et la sensibilisation des communautés. Au </w:t>
            </w:r>
            <w:r w:rsidRPr="00C83DA9">
              <w:rPr>
                <w:b/>
                <w:bCs/>
                <w:sz w:val="22"/>
                <w:lang w:val="fr-FR"/>
              </w:rPr>
              <w:t>Ghana</w:t>
            </w:r>
            <w:r w:rsidRPr="00C83DA9">
              <w:rPr>
                <w:sz w:val="22"/>
                <w:lang w:val="fr-FR"/>
              </w:rPr>
              <w:t xml:space="preserve"> et en </w:t>
            </w:r>
            <w:r w:rsidRPr="00C83DA9">
              <w:rPr>
                <w:b/>
                <w:bCs/>
                <w:sz w:val="22"/>
                <w:lang w:val="fr-FR"/>
              </w:rPr>
              <w:t>Zambie</w:t>
            </w:r>
            <w:r w:rsidRPr="00C83DA9">
              <w:rPr>
                <w:sz w:val="22"/>
                <w:lang w:val="fr-FR"/>
              </w:rPr>
              <w:t xml:space="preserve">, les réseaux des centres DTC ont été élargis avec le soutien de Cisco et ont ainsi pu former de nouvelles cohortes de formateurs pour assurer la durabilité locale. En </w:t>
            </w:r>
            <w:r w:rsidRPr="00C83DA9">
              <w:rPr>
                <w:b/>
                <w:bCs/>
                <w:sz w:val="22"/>
                <w:lang w:val="fr-FR"/>
              </w:rPr>
              <w:t>Côte d'Ivoire</w:t>
            </w:r>
            <w:r w:rsidRPr="00C83DA9">
              <w:rPr>
                <w:sz w:val="22"/>
                <w:lang w:val="fr-FR"/>
              </w:rPr>
              <w:t xml:space="preserve">, au </w:t>
            </w:r>
            <w:r w:rsidRPr="00C83DA9">
              <w:rPr>
                <w:b/>
                <w:bCs/>
                <w:sz w:val="22"/>
                <w:lang w:val="fr-FR"/>
              </w:rPr>
              <w:t xml:space="preserve">Sénégal </w:t>
            </w:r>
            <w:r w:rsidRPr="00C83DA9">
              <w:rPr>
                <w:sz w:val="22"/>
                <w:lang w:val="fr-FR"/>
              </w:rPr>
              <w:t xml:space="preserve">et en </w:t>
            </w:r>
            <w:r w:rsidRPr="00C83DA9">
              <w:rPr>
                <w:b/>
                <w:bCs/>
                <w:sz w:val="22"/>
                <w:lang w:val="fr-FR"/>
              </w:rPr>
              <w:t>Sierra Leone</w:t>
            </w:r>
            <w:r w:rsidRPr="00C83DA9">
              <w:rPr>
                <w:sz w:val="22"/>
                <w:lang w:val="fr-FR"/>
              </w:rPr>
              <w:t xml:space="preserve">, le BDT a appuyé le lancement de centres nationaux, tandis qu'au </w:t>
            </w:r>
            <w:r w:rsidRPr="00C83DA9">
              <w:rPr>
                <w:b/>
                <w:bCs/>
                <w:sz w:val="22"/>
                <w:lang w:val="fr-FR"/>
              </w:rPr>
              <w:t>Malawi</w:t>
            </w:r>
            <w:r w:rsidRPr="00C83DA9">
              <w:rPr>
                <w:sz w:val="22"/>
                <w:lang w:val="fr-FR"/>
              </w:rPr>
              <w:t xml:space="preserve">, le personnel judiciaire a participé à une formation sur le droit du cyberespace et les preuves numériques. Au </w:t>
            </w:r>
            <w:r w:rsidRPr="00C83DA9">
              <w:rPr>
                <w:b/>
                <w:bCs/>
                <w:sz w:val="22"/>
                <w:lang w:val="fr-FR"/>
              </w:rPr>
              <w:t>Mozambique</w:t>
            </w:r>
            <w:r w:rsidRPr="00C83DA9">
              <w:rPr>
                <w:sz w:val="22"/>
                <w:lang w:val="fr-FR"/>
              </w:rPr>
              <w:t xml:space="preserve">, au </w:t>
            </w:r>
            <w:r w:rsidRPr="00C83DA9">
              <w:rPr>
                <w:b/>
                <w:bCs/>
                <w:sz w:val="22"/>
                <w:lang w:val="fr-FR"/>
              </w:rPr>
              <w:t>Soudan du Sud</w:t>
            </w:r>
            <w:r w:rsidRPr="00C83DA9">
              <w:rPr>
                <w:sz w:val="22"/>
                <w:lang w:val="fr-FR"/>
              </w:rPr>
              <w:t xml:space="preserve"> et en </w:t>
            </w:r>
            <w:r w:rsidRPr="00C83DA9">
              <w:rPr>
                <w:b/>
                <w:bCs/>
                <w:sz w:val="22"/>
                <w:lang w:val="fr-FR"/>
              </w:rPr>
              <w:t>Ouganda</w:t>
            </w:r>
            <w:r w:rsidRPr="00C83DA9">
              <w:rPr>
                <w:sz w:val="22"/>
                <w:lang w:val="fr-FR"/>
              </w:rPr>
              <w:t>, un appui a été fourni pour la mise en œuvre du kit pratique sur les compétences numériques afin de mener des évaluations nationales; les données récoltées ont servi à orienter l'investissement dans les compétences numériques et à élaborer des stratégies.</w:t>
            </w:r>
          </w:p>
          <w:p w14:paraId="6F041DDB" w14:textId="229215BB" w:rsidR="00AC69A2" w:rsidRPr="00C83DA9" w:rsidRDefault="00FF7918" w:rsidP="00FF7918">
            <w:pPr>
              <w:pStyle w:val="Tabletext"/>
              <w:keepLines/>
              <w:spacing w:before="120"/>
              <w:ind w:right="-85"/>
              <w:rPr>
                <w:rFonts w:ascii="Calibri" w:hAnsi="Calibri" w:cs="Calibri"/>
                <w:sz w:val="22"/>
                <w:lang w:val="fr-FR"/>
              </w:rPr>
            </w:pPr>
            <w:r w:rsidRPr="00C83DA9">
              <w:rPr>
                <w:sz w:val="22"/>
                <w:lang w:val="fr-FR"/>
              </w:rPr>
              <w:lastRenderedPageBreak/>
              <w:t>E</w:t>
            </w:r>
            <w:r w:rsidR="003F4994" w:rsidRPr="00C83DA9">
              <w:rPr>
                <w:sz w:val="22"/>
                <w:lang w:val="fr-FR"/>
              </w:rPr>
              <w:t>n Afrique, dans le cadre du</w:t>
            </w:r>
            <w:r w:rsidR="00AC69A2" w:rsidRPr="00C83DA9">
              <w:rPr>
                <w:sz w:val="22"/>
                <w:lang w:val="fr-FR"/>
              </w:rPr>
              <w:t xml:space="preserve"> projet PRIDA, </w:t>
            </w:r>
            <w:r w:rsidR="003F4994" w:rsidRPr="00C83DA9">
              <w:rPr>
                <w:sz w:val="22"/>
                <w:lang w:val="fr-FR"/>
              </w:rPr>
              <w:t xml:space="preserve">une initiative </w:t>
            </w:r>
            <w:r w:rsidR="00B07862" w:rsidRPr="00C83DA9">
              <w:rPr>
                <w:sz w:val="22"/>
                <w:lang w:val="fr-FR"/>
              </w:rPr>
              <w:t>conjointe</w:t>
            </w:r>
            <w:r w:rsidR="003F4994" w:rsidRPr="00C83DA9">
              <w:rPr>
                <w:sz w:val="22"/>
                <w:lang w:val="fr-FR"/>
              </w:rPr>
              <w:t xml:space="preserve"> de</w:t>
            </w:r>
            <w:r w:rsidR="00AC69A2" w:rsidRPr="00C83DA9">
              <w:rPr>
                <w:sz w:val="22"/>
                <w:lang w:val="fr-FR"/>
              </w:rPr>
              <w:t xml:space="preserve"> l'Union africaine</w:t>
            </w:r>
            <w:r w:rsidR="003F4994" w:rsidRPr="00C83DA9">
              <w:rPr>
                <w:sz w:val="22"/>
                <w:lang w:val="fr-FR"/>
              </w:rPr>
              <w:t>, de</w:t>
            </w:r>
            <w:r w:rsidR="00AC69A2" w:rsidRPr="00C83DA9">
              <w:rPr>
                <w:sz w:val="22"/>
                <w:lang w:val="fr-FR"/>
              </w:rPr>
              <w:t xml:space="preserve"> l'Union européenne</w:t>
            </w:r>
            <w:r w:rsidR="003F4994" w:rsidRPr="00C83DA9">
              <w:rPr>
                <w:sz w:val="22"/>
                <w:lang w:val="fr-FR"/>
              </w:rPr>
              <w:t xml:space="preserve"> et de l'UIT</w:t>
            </w:r>
            <w:r w:rsidR="00AC69A2" w:rsidRPr="00C83DA9">
              <w:rPr>
                <w:sz w:val="22"/>
                <w:lang w:val="fr-FR"/>
              </w:rPr>
              <w:t xml:space="preserve">, </w:t>
            </w:r>
            <w:r w:rsidR="003F4994" w:rsidRPr="00C83DA9">
              <w:rPr>
                <w:sz w:val="22"/>
                <w:lang w:val="fr-FR"/>
              </w:rPr>
              <w:t>le BDT a dispensé</w:t>
            </w:r>
            <w:r w:rsidR="00AC69A2" w:rsidRPr="00C83DA9">
              <w:rPr>
                <w:sz w:val="22"/>
                <w:lang w:val="fr-FR"/>
              </w:rPr>
              <w:t xml:space="preserve"> une formation spécialisée dans les domaines de la gestion du spectre et de la réglementation de l'Internet des objets à plus de </w:t>
            </w:r>
            <w:r w:rsidR="00AC69A2" w:rsidRPr="00C83DA9">
              <w:rPr>
                <w:b/>
                <w:bCs/>
                <w:sz w:val="22"/>
                <w:lang w:val="fr-FR"/>
              </w:rPr>
              <w:t>40 pays africains</w:t>
            </w:r>
            <w:r w:rsidR="00AC69A2" w:rsidRPr="00C83DA9">
              <w:rPr>
                <w:sz w:val="22"/>
                <w:lang w:val="fr-FR"/>
              </w:rPr>
              <w:t>, renforçant ainsi la capacité technique des États Membres à faire progresser la transformation numérique.</w:t>
            </w:r>
          </w:p>
          <w:p w14:paraId="0BFA555F" w14:textId="77777777" w:rsidR="00AC69A2" w:rsidRPr="00C83DA9" w:rsidRDefault="00AC69A2" w:rsidP="00DC1608">
            <w:pPr>
              <w:pStyle w:val="Tabletext"/>
              <w:widowControl w:val="0"/>
              <w:spacing w:before="120"/>
              <w:rPr>
                <w:rFonts w:ascii="Calibri" w:hAnsi="Calibri" w:cs="Calibri"/>
                <w:spacing w:val="-2"/>
                <w:sz w:val="22"/>
                <w:lang w:val="fr-FR"/>
              </w:rPr>
            </w:pPr>
            <w:r w:rsidRPr="00C83DA9">
              <w:rPr>
                <w:spacing w:val="-2"/>
                <w:sz w:val="22"/>
                <w:lang w:val="fr-FR"/>
              </w:rPr>
              <w:t xml:space="preserve">La région </w:t>
            </w:r>
            <w:r w:rsidRPr="00C83DA9">
              <w:rPr>
                <w:b/>
                <w:bCs/>
                <w:spacing w:val="-2"/>
                <w:sz w:val="22"/>
                <w:lang w:val="fr-FR"/>
              </w:rPr>
              <w:t>Asie-Pacifique</w:t>
            </w:r>
            <w:r w:rsidRPr="00C83DA9">
              <w:rPr>
                <w:spacing w:val="-2"/>
                <w:sz w:val="22"/>
                <w:lang w:val="fr-FR"/>
              </w:rPr>
              <w:t xml:space="preserve"> a accru le renforcement des capacités grâce à une combinaison de programmes communautaires et de formation technique. En </w:t>
            </w:r>
            <w:r w:rsidRPr="00C83DA9">
              <w:rPr>
                <w:b/>
                <w:bCs/>
                <w:spacing w:val="-2"/>
                <w:sz w:val="22"/>
                <w:lang w:val="fr-FR"/>
              </w:rPr>
              <w:t>Indonésie</w:t>
            </w:r>
            <w:r w:rsidRPr="00C83DA9">
              <w:rPr>
                <w:spacing w:val="-2"/>
                <w:sz w:val="22"/>
                <w:lang w:val="fr-FR"/>
              </w:rPr>
              <w:t xml:space="preserve">, en </w:t>
            </w:r>
            <w:r w:rsidRPr="00C83DA9">
              <w:rPr>
                <w:b/>
                <w:bCs/>
                <w:spacing w:val="-2"/>
                <w:sz w:val="22"/>
                <w:lang w:val="fr-FR"/>
              </w:rPr>
              <w:t>Papouasie-Nouvelle-Guinée</w:t>
            </w:r>
            <w:r w:rsidRPr="00C83DA9">
              <w:rPr>
                <w:spacing w:val="-2"/>
                <w:sz w:val="22"/>
                <w:lang w:val="fr-FR"/>
              </w:rPr>
              <w:t xml:space="preserve"> et aux </w:t>
            </w:r>
            <w:r w:rsidRPr="00C83DA9">
              <w:rPr>
                <w:b/>
                <w:bCs/>
                <w:spacing w:val="-2"/>
                <w:sz w:val="22"/>
                <w:lang w:val="fr-FR"/>
              </w:rPr>
              <w:t>Philippines</w:t>
            </w:r>
            <w:r w:rsidRPr="00C83DA9">
              <w:rPr>
                <w:spacing w:val="-2"/>
                <w:sz w:val="22"/>
                <w:lang w:val="fr-FR"/>
              </w:rPr>
              <w:t xml:space="preserve">, le BDT a organisé des cours de formation des formateurs qui ont permis à plus de 150 instructeurs de dispenser des cours de formation aux outils numériques au niveau communautaire. Dans le cadre d'un partenariat entre la </w:t>
            </w:r>
            <w:r w:rsidRPr="00C83DA9">
              <w:rPr>
                <w:b/>
                <w:bCs/>
                <w:spacing w:val="-2"/>
                <w:sz w:val="22"/>
                <w:lang w:val="fr-FR"/>
              </w:rPr>
              <w:t>Commission nationale de la radiodiffusion et des télécommunications de Thaïlande (NBTC)</w:t>
            </w:r>
            <w:r w:rsidRPr="00C83DA9">
              <w:rPr>
                <w:spacing w:val="-2"/>
                <w:sz w:val="22"/>
                <w:lang w:val="fr-FR"/>
              </w:rPr>
              <w:t xml:space="preserve"> et l'</w:t>
            </w:r>
            <w:r w:rsidRPr="00C83DA9">
              <w:rPr>
                <w:b/>
                <w:bCs/>
                <w:spacing w:val="-2"/>
                <w:sz w:val="22"/>
                <w:lang w:val="fr-FR"/>
              </w:rPr>
              <w:t>UIT</w:t>
            </w:r>
            <w:r w:rsidRPr="00C83DA9">
              <w:rPr>
                <w:spacing w:val="-2"/>
                <w:sz w:val="22"/>
                <w:lang w:val="fr-FR"/>
              </w:rPr>
              <w:t xml:space="preserve">, le BDT a dispensé des </w:t>
            </w:r>
            <w:r w:rsidRPr="00C83DA9">
              <w:rPr>
                <w:sz w:val="22"/>
                <w:lang w:val="fr-FR"/>
              </w:rPr>
              <w:t>formations</w:t>
            </w:r>
            <w:r w:rsidRPr="00C83DA9">
              <w:rPr>
                <w:spacing w:val="-2"/>
                <w:sz w:val="22"/>
                <w:lang w:val="fr-FR"/>
              </w:rPr>
              <w:t xml:space="preserve"> spécialisées sur la chaîne de blocs, l'intelligence artificielle et la 5G et intégré les principes de GovStack dans le renforcement des capacités nationales. En </w:t>
            </w:r>
            <w:r w:rsidRPr="00C83DA9">
              <w:rPr>
                <w:b/>
                <w:bCs/>
                <w:spacing w:val="-2"/>
                <w:sz w:val="22"/>
                <w:lang w:val="fr-FR"/>
              </w:rPr>
              <w:t>Papouasie-Nouvelle-Guinée</w:t>
            </w:r>
            <w:r w:rsidRPr="00C83DA9">
              <w:rPr>
                <w:spacing w:val="-2"/>
                <w:sz w:val="22"/>
                <w:lang w:val="fr-FR"/>
              </w:rPr>
              <w:t xml:space="preserve">, les efforts de renforcement des capacités ont été liés aux moyens de subsistance: ainsi, dans le cadre du </w:t>
            </w:r>
            <w:r w:rsidRPr="00C83DA9">
              <w:rPr>
                <w:b/>
                <w:bCs/>
                <w:spacing w:val="-2"/>
                <w:sz w:val="22"/>
                <w:lang w:val="fr-FR"/>
              </w:rPr>
              <w:t>projet STREIT</w:t>
            </w:r>
            <w:r w:rsidRPr="00C83DA9">
              <w:rPr>
                <w:spacing w:val="-2"/>
                <w:sz w:val="22"/>
                <w:lang w:val="fr-FR"/>
              </w:rPr>
              <w:t xml:space="preserve"> mené par l'</w:t>
            </w:r>
            <w:r w:rsidRPr="00C83DA9">
              <w:rPr>
                <w:b/>
                <w:bCs/>
                <w:spacing w:val="-2"/>
                <w:sz w:val="22"/>
                <w:lang w:val="fr-FR"/>
              </w:rPr>
              <w:t>UE</w:t>
            </w:r>
            <w:r w:rsidRPr="00C83DA9">
              <w:rPr>
                <w:spacing w:val="-2"/>
                <w:sz w:val="22"/>
                <w:lang w:val="fr-FR"/>
              </w:rPr>
              <w:t xml:space="preserve">, la formation aux compétences numériques a renforcé les chaînes de valeur agricoles, permettant aux agriculteurs d'améliorer leur accès au marché. Une évaluation unique en son genre des compétences numériques des travailleurs migrants en </w:t>
            </w:r>
            <w:r w:rsidRPr="00C83DA9">
              <w:rPr>
                <w:b/>
                <w:bCs/>
                <w:spacing w:val="-2"/>
                <w:sz w:val="22"/>
                <w:lang w:val="fr-FR"/>
              </w:rPr>
              <w:t>Thaïlande</w:t>
            </w:r>
            <w:r w:rsidRPr="00C83DA9">
              <w:rPr>
                <w:spacing w:val="-2"/>
                <w:sz w:val="22"/>
                <w:lang w:val="fr-FR"/>
              </w:rPr>
              <w:t>, menée avec l'Organisation internationale pour les migrations (OIM), a montré comment la formation aux TIC pouvait favoriser la mobilité de la main-d'œuvre et l'intégration économique.</w:t>
            </w:r>
          </w:p>
          <w:p w14:paraId="1DA9C5E7" w14:textId="77777777" w:rsidR="00AC69A2" w:rsidRPr="00C83DA9" w:rsidRDefault="00AC69A2" w:rsidP="00DC1608">
            <w:pPr>
              <w:pStyle w:val="Tabletext"/>
              <w:widowControl w:val="0"/>
              <w:spacing w:before="120"/>
              <w:ind w:right="-84"/>
              <w:rPr>
                <w:rFonts w:ascii="Calibri" w:hAnsi="Calibri" w:cs="Calibri"/>
                <w:sz w:val="22"/>
                <w:lang w:val="fr-FR"/>
              </w:rPr>
            </w:pPr>
            <w:r w:rsidRPr="00C83DA9">
              <w:rPr>
                <w:sz w:val="22"/>
                <w:lang w:val="fr-FR"/>
              </w:rPr>
              <w:t xml:space="preserve">Dans la région </w:t>
            </w:r>
            <w:r w:rsidRPr="00C83DA9">
              <w:rPr>
                <w:b/>
                <w:bCs/>
                <w:sz w:val="22"/>
                <w:lang w:val="fr-FR"/>
              </w:rPr>
              <w:t>Amériques</w:t>
            </w:r>
            <w:r w:rsidRPr="00C83DA9">
              <w:rPr>
                <w:sz w:val="22"/>
                <w:lang w:val="fr-FR"/>
              </w:rPr>
              <w:t>, l'</w:t>
            </w:r>
            <w:hyperlink r:id="rId120" w:history="1">
              <w:r w:rsidRPr="00C83DA9">
                <w:rPr>
                  <w:b/>
                  <w:bCs/>
                  <w:color w:val="0000FF"/>
                  <w:sz w:val="22"/>
                  <w:u w:val="single"/>
                  <w:lang w:val="fr-FR"/>
                </w:rPr>
                <w:t>Initiative KIT pour la transformation numérique</w:t>
              </w:r>
            </w:hyperlink>
            <w:r w:rsidRPr="00C83DA9">
              <w:rPr>
                <w:sz w:val="22"/>
                <w:lang w:val="fr-FR"/>
              </w:rPr>
              <w:t xml:space="preserve"> a permis de dispenser aux femmes et aux jeunes entrepreneurs de la </w:t>
            </w:r>
            <w:r w:rsidRPr="00C83DA9">
              <w:rPr>
                <w:b/>
                <w:bCs/>
                <w:sz w:val="22"/>
                <w:lang w:val="fr-FR"/>
              </w:rPr>
              <w:t xml:space="preserve">République dominicaine, </w:t>
            </w:r>
            <w:r w:rsidRPr="00C83DA9">
              <w:rPr>
                <w:sz w:val="22"/>
                <w:lang w:val="fr-FR"/>
              </w:rPr>
              <w:t>d'</w:t>
            </w:r>
            <w:r w:rsidRPr="00C83DA9">
              <w:rPr>
                <w:b/>
                <w:bCs/>
                <w:sz w:val="22"/>
                <w:lang w:val="fr-FR"/>
              </w:rPr>
              <w:t xml:space="preserve">El Salvador, </w:t>
            </w:r>
            <w:r w:rsidRPr="00C83DA9">
              <w:rPr>
                <w:sz w:val="22"/>
                <w:lang w:val="fr-FR"/>
              </w:rPr>
              <w:t>du</w:t>
            </w:r>
            <w:r w:rsidRPr="00C83DA9">
              <w:rPr>
                <w:b/>
                <w:bCs/>
                <w:sz w:val="22"/>
                <w:lang w:val="fr-FR"/>
              </w:rPr>
              <w:t xml:space="preserve"> Guatemala </w:t>
            </w:r>
            <w:r w:rsidRPr="00C83DA9">
              <w:rPr>
                <w:sz w:val="22"/>
                <w:lang w:val="fr-FR"/>
              </w:rPr>
              <w:t>et du</w:t>
            </w:r>
            <w:r w:rsidRPr="00C83DA9">
              <w:rPr>
                <w:b/>
                <w:bCs/>
                <w:sz w:val="22"/>
                <w:lang w:val="fr-FR"/>
              </w:rPr>
              <w:t xml:space="preserve"> Panama</w:t>
            </w:r>
            <w:r w:rsidRPr="00C83DA9">
              <w:rPr>
                <w:sz w:val="22"/>
                <w:lang w:val="fr-FR"/>
              </w:rPr>
              <w:t xml:space="preserve"> une formation ciblée sur les outils numériques à usage professionnel. Un deuxième cycle a étendu le programme à </w:t>
            </w:r>
            <w:r w:rsidRPr="00C83DA9">
              <w:rPr>
                <w:b/>
                <w:bCs/>
                <w:sz w:val="22"/>
                <w:lang w:val="fr-FR"/>
              </w:rPr>
              <w:t>Cuba</w:t>
            </w:r>
            <w:r w:rsidRPr="00C83DA9">
              <w:rPr>
                <w:sz w:val="22"/>
                <w:lang w:val="fr-FR"/>
              </w:rPr>
              <w:t xml:space="preserve">, au </w:t>
            </w:r>
            <w:r w:rsidRPr="00C83DA9">
              <w:rPr>
                <w:b/>
                <w:bCs/>
                <w:sz w:val="22"/>
                <w:lang w:val="fr-FR"/>
              </w:rPr>
              <w:t>Honduras</w:t>
            </w:r>
            <w:r w:rsidRPr="00C83DA9">
              <w:rPr>
                <w:sz w:val="22"/>
                <w:lang w:val="fr-FR"/>
              </w:rPr>
              <w:t xml:space="preserve">, au </w:t>
            </w:r>
            <w:r w:rsidRPr="00C83DA9">
              <w:rPr>
                <w:b/>
                <w:bCs/>
                <w:sz w:val="22"/>
                <w:lang w:val="fr-FR"/>
              </w:rPr>
              <w:t>Paraguay</w:t>
            </w:r>
            <w:r w:rsidRPr="00C83DA9">
              <w:rPr>
                <w:sz w:val="22"/>
                <w:lang w:val="fr-FR"/>
              </w:rPr>
              <w:t xml:space="preserve"> et à l'</w:t>
            </w:r>
            <w:r w:rsidRPr="00C83DA9">
              <w:rPr>
                <w:b/>
                <w:bCs/>
                <w:sz w:val="22"/>
                <w:lang w:val="fr-FR"/>
              </w:rPr>
              <w:t>Uruguay</w:t>
            </w:r>
            <w:r w:rsidRPr="00C83DA9">
              <w:rPr>
                <w:sz w:val="22"/>
                <w:lang w:val="fr-FR"/>
              </w:rPr>
              <w:t>, touchant plus de 200 entreprises. Lors de la manifestation "</w:t>
            </w:r>
            <w:r w:rsidRPr="00C83DA9">
              <w:rPr>
                <w:b/>
                <w:bCs/>
                <w:sz w:val="22"/>
                <w:lang w:val="fr-FR"/>
              </w:rPr>
              <w:t>Amériques accessibles</w:t>
            </w:r>
            <w:r w:rsidRPr="00C83DA9">
              <w:rPr>
                <w:sz w:val="22"/>
                <w:lang w:val="fr-FR"/>
              </w:rPr>
              <w:t xml:space="preserve">", accueillie à Cuba en 2023 et au Mexique en 2024, des cadres ont bénéficié de formations sur l'accessibilité des TIC, y compris la conception de projets ciblant les communautés autochtones et rurales. Plaçant la maîtrise des outils numériques au cœur de sa stratégie de transformation, </w:t>
            </w:r>
            <w:r w:rsidRPr="00C83DA9">
              <w:rPr>
                <w:b/>
                <w:bCs/>
                <w:sz w:val="22"/>
                <w:lang w:val="fr-FR"/>
              </w:rPr>
              <w:t>Trinité-et-Tobago</w:t>
            </w:r>
            <w:r w:rsidRPr="00C83DA9">
              <w:rPr>
                <w:sz w:val="22"/>
                <w:lang w:val="fr-FR"/>
              </w:rPr>
              <w:t xml:space="preserve"> a lancé une initiative nationale visant à former 10 000 citoyens d'ici à 2025. Le BDT fournit un appui pour optimiser les financements innovants à </w:t>
            </w:r>
            <w:r w:rsidRPr="00C83DA9">
              <w:rPr>
                <w:b/>
                <w:bCs/>
                <w:sz w:val="22"/>
                <w:lang w:val="fr-FR"/>
              </w:rPr>
              <w:t>Antigua-et-Barbuda</w:t>
            </w:r>
            <w:r w:rsidRPr="00C83DA9">
              <w:rPr>
                <w:sz w:val="22"/>
                <w:lang w:val="fr-FR"/>
              </w:rPr>
              <w:t xml:space="preserve"> et accompagne </w:t>
            </w:r>
            <w:r w:rsidRPr="00C83DA9">
              <w:rPr>
                <w:b/>
                <w:bCs/>
                <w:sz w:val="22"/>
                <w:lang w:val="fr-FR"/>
              </w:rPr>
              <w:t>Sainte-Lucie</w:t>
            </w:r>
            <w:r w:rsidRPr="00C83DA9">
              <w:rPr>
                <w:sz w:val="22"/>
                <w:lang w:val="fr-FR"/>
              </w:rPr>
              <w:t xml:space="preserve"> dans le renforcement de la résilience et l'accélération de la réalisation des ODD. Ce projet renforcera les politiques, les réglementations et la législation nationales afin de soutenir la généralisation du numérique dans l'économie. L'UIT aide l'Union des télécommunications des Caraïbes (CTU) et, par extension, la Communauté des Caraïbes (CARICOM) à améliorer l'harmonisation de la réglementation des TIC, ce qui est essentiel pour réussir à créer l'espace unique pour les TIC de la CARICOM.</w:t>
            </w:r>
            <w:hyperlink r:id="rId121"/>
          </w:p>
          <w:p w14:paraId="1519DEBA" w14:textId="576128AC" w:rsidR="00AC69A2" w:rsidRPr="00C83DA9" w:rsidRDefault="00AC69A2" w:rsidP="00DC1608">
            <w:pPr>
              <w:pStyle w:val="Tabletext"/>
              <w:widowControl w:val="0"/>
              <w:spacing w:before="120"/>
              <w:ind w:right="-84"/>
              <w:rPr>
                <w:sz w:val="22"/>
                <w:lang w:val="fr-FR"/>
              </w:rPr>
            </w:pPr>
            <w:r w:rsidRPr="00C83DA9">
              <w:rPr>
                <w:sz w:val="22"/>
                <w:lang w:val="fr-FR"/>
              </w:rPr>
              <w:t xml:space="preserve">Dans la </w:t>
            </w:r>
            <w:r w:rsidRPr="00C83DA9">
              <w:rPr>
                <w:b/>
                <w:bCs/>
                <w:sz w:val="22"/>
                <w:lang w:val="fr-FR"/>
              </w:rPr>
              <w:t>région des États arabes</w:t>
            </w:r>
            <w:r w:rsidRPr="00C83DA9">
              <w:rPr>
                <w:sz w:val="22"/>
                <w:lang w:val="fr-FR"/>
              </w:rPr>
              <w:t>, le BDT a appuyé l'intégration du renforcement des capacités dans les programmes nationaux. En</w:t>
            </w:r>
            <w:r w:rsidR="00285C05" w:rsidRPr="00C83DA9">
              <w:rPr>
                <w:sz w:val="22"/>
                <w:lang w:val="fr-FR"/>
              </w:rPr>
              <w:t> </w:t>
            </w:r>
            <w:r w:rsidRPr="00C83DA9">
              <w:rPr>
                <w:b/>
                <w:bCs/>
                <w:sz w:val="22"/>
                <w:lang w:val="fr-FR"/>
              </w:rPr>
              <w:t>Jordanie</w:t>
            </w:r>
            <w:r w:rsidRPr="00C83DA9">
              <w:rPr>
                <w:sz w:val="22"/>
                <w:lang w:val="fr-FR"/>
              </w:rPr>
              <w:t xml:space="preserve">, les cours de l'Académie de l'UIT sur la gestion du spectre et la qualité de service ont permis d'élargir le vivier de formateurs nationaux. En </w:t>
            </w:r>
            <w:r w:rsidRPr="00C83DA9">
              <w:rPr>
                <w:b/>
                <w:bCs/>
                <w:sz w:val="22"/>
                <w:lang w:val="fr-FR"/>
              </w:rPr>
              <w:t>Tunisie</w:t>
            </w:r>
            <w:r w:rsidRPr="00C83DA9">
              <w:rPr>
                <w:sz w:val="22"/>
                <w:lang w:val="fr-FR"/>
              </w:rPr>
              <w:t xml:space="preserve">, plus de 200 fonctionnaires ont été formés dans le cadre d'un programme conjoint avec l'Agence GIZ, afin d'aligner renforcement des capacités et réforme du secteur public, tandis qu'aux </w:t>
            </w:r>
            <w:r w:rsidRPr="00C83DA9">
              <w:rPr>
                <w:b/>
                <w:bCs/>
                <w:sz w:val="22"/>
                <w:lang w:val="fr-FR"/>
              </w:rPr>
              <w:t>Comores</w:t>
            </w:r>
            <w:r w:rsidRPr="00C83DA9">
              <w:rPr>
                <w:sz w:val="22"/>
                <w:lang w:val="fr-FR"/>
              </w:rPr>
              <w:t>, une formation spécialisée sur la détermination de la valeur économique du spectre a été dispensée. Ces initiatives illustrent comment le renforcement des capacités contribue à faire progresser des programmes nationaux de plus vaste portée, allant de la modernisation de la réglementation à la création d'emplois.</w:t>
            </w:r>
          </w:p>
          <w:p w14:paraId="1C8234B4" w14:textId="77777777" w:rsidR="00AC69A2" w:rsidRPr="00C83DA9" w:rsidRDefault="00AC69A2" w:rsidP="00DC1608">
            <w:pPr>
              <w:pStyle w:val="Tabletext"/>
              <w:widowControl w:val="0"/>
              <w:spacing w:before="120"/>
              <w:ind w:right="-84"/>
              <w:rPr>
                <w:rFonts w:ascii="Calibri" w:hAnsi="Calibri" w:cs="Calibri"/>
                <w:sz w:val="22"/>
                <w:lang w:val="fr-FR"/>
              </w:rPr>
            </w:pPr>
            <w:r w:rsidRPr="00C83DA9">
              <w:rPr>
                <w:sz w:val="22"/>
                <w:lang w:val="fr-FR"/>
              </w:rPr>
              <w:t xml:space="preserve">Dans la région </w:t>
            </w:r>
            <w:r w:rsidRPr="00C83DA9">
              <w:rPr>
                <w:b/>
                <w:bCs/>
                <w:sz w:val="22"/>
                <w:lang w:val="fr-FR"/>
              </w:rPr>
              <w:t>Europe</w:t>
            </w:r>
            <w:r w:rsidRPr="00C83DA9">
              <w:rPr>
                <w:sz w:val="22"/>
                <w:lang w:val="fr-FR"/>
              </w:rPr>
              <w:t xml:space="preserve">, en </w:t>
            </w:r>
            <w:r w:rsidRPr="00C83DA9">
              <w:rPr>
                <w:b/>
                <w:bCs/>
                <w:sz w:val="22"/>
                <w:lang w:val="fr-FR"/>
              </w:rPr>
              <w:t>Albanie</w:t>
            </w:r>
            <w:r w:rsidRPr="00C83DA9">
              <w:rPr>
                <w:sz w:val="22"/>
                <w:lang w:val="fr-FR"/>
              </w:rPr>
              <w:t xml:space="preserve">, le BDT a apporté son appui à l'évaluation des compétences numériques des personnes âgées, tandis qu'à </w:t>
            </w:r>
            <w:r w:rsidRPr="00C83DA9">
              <w:rPr>
                <w:b/>
                <w:bCs/>
                <w:sz w:val="22"/>
                <w:lang w:val="fr-FR"/>
              </w:rPr>
              <w:t>Moldova</w:t>
            </w:r>
            <w:r w:rsidRPr="00C83DA9">
              <w:rPr>
                <w:sz w:val="22"/>
                <w:lang w:val="fr-FR"/>
              </w:rPr>
              <w:t xml:space="preserve">, en partenariat avec l'OIT, une évaluation des compétences numériques a été menée auprès d'adultes âgés de 45 ans et plus dans les zones rurales. Au </w:t>
            </w:r>
            <w:r w:rsidRPr="00C83DA9">
              <w:rPr>
                <w:b/>
                <w:bCs/>
                <w:sz w:val="22"/>
                <w:lang w:val="fr-FR"/>
              </w:rPr>
              <w:t>Monténégro</w:t>
            </w:r>
            <w:r w:rsidRPr="00C83DA9">
              <w:rPr>
                <w:sz w:val="22"/>
                <w:lang w:val="fr-FR"/>
              </w:rPr>
              <w:t xml:space="preserve">, lors de la Conférence régionale sur la réglementation de 2025, le BDT a dispensé une formation sur l'intégration de l'accessibilité et de la réglementation numérique dans le dialogue politique. Un </w:t>
            </w:r>
            <w:hyperlink r:id="rId122" w:history="1">
              <w:r w:rsidRPr="00C83DA9">
                <w:rPr>
                  <w:b/>
                  <w:bCs/>
                  <w:color w:val="0000FF"/>
                  <w:sz w:val="22"/>
                  <w:u w:val="single"/>
                  <w:lang w:val="fr-FR"/>
                </w:rPr>
                <w:t xml:space="preserve">recueil régional des </w:t>
              </w:r>
              <w:r w:rsidRPr="00C83DA9">
                <w:rPr>
                  <w:b/>
                  <w:bCs/>
                  <w:color w:val="0000FF"/>
                  <w:sz w:val="22"/>
                  <w:u w:val="single"/>
                  <w:lang w:val="fr-FR"/>
                </w:rPr>
                <w:lastRenderedPageBreak/>
                <w:t>initiatives en matière de compétences numériques</w:t>
              </w:r>
            </w:hyperlink>
            <w:r w:rsidRPr="00C83DA9">
              <w:rPr>
                <w:sz w:val="22"/>
                <w:lang w:val="fr-FR"/>
              </w:rPr>
              <w:t>, élaboré par le Groupe des Nations Unies sur la transformation numérique, a recensé les bonnes pratiques en Europe et en Asie centrale, offrant ainsi une base de connaissances permettant de reproduire ces initiatives et de réformer les pratiques.</w:t>
            </w:r>
            <w:hyperlink r:id="rId123"/>
          </w:p>
          <w:p w14:paraId="4A2C9A88" w14:textId="77777777" w:rsidR="00AC69A2" w:rsidRPr="00C83DA9" w:rsidRDefault="00AC69A2" w:rsidP="00DC1608">
            <w:pPr>
              <w:pStyle w:val="Tabletext"/>
              <w:widowControl w:val="0"/>
              <w:spacing w:before="120"/>
              <w:ind w:right="-84"/>
              <w:rPr>
                <w:sz w:val="22"/>
                <w:lang w:val="fr-FR"/>
              </w:rPr>
            </w:pPr>
            <w:r w:rsidRPr="00C83DA9">
              <w:rPr>
                <w:sz w:val="22"/>
                <w:lang w:val="fr-FR"/>
              </w:rPr>
              <w:t xml:space="preserve">Dans la région de la </w:t>
            </w:r>
            <w:r w:rsidRPr="00C83DA9">
              <w:rPr>
                <w:b/>
                <w:bCs/>
                <w:sz w:val="22"/>
                <w:lang w:val="fr-FR"/>
              </w:rPr>
              <w:t>CEI</w:t>
            </w:r>
            <w:r w:rsidRPr="00C83DA9">
              <w:rPr>
                <w:sz w:val="22"/>
                <w:lang w:val="fr-FR"/>
              </w:rPr>
              <w:t xml:space="preserve">, le renforcement des capacités a mis l'accent sur le renforcement des compétences spécialisées au niveau national et au niveau des autorités locales. En </w:t>
            </w:r>
            <w:r w:rsidRPr="00C83DA9">
              <w:rPr>
                <w:b/>
                <w:bCs/>
                <w:sz w:val="22"/>
                <w:lang w:val="fr-FR"/>
              </w:rPr>
              <w:t xml:space="preserve">Arménie </w:t>
            </w:r>
            <w:r w:rsidRPr="00C83DA9">
              <w:rPr>
                <w:sz w:val="22"/>
                <w:lang w:val="fr-FR"/>
              </w:rPr>
              <w:t xml:space="preserve">et au </w:t>
            </w:r>
            <w:r w:rsidRPr="00C83DA9">
              <w:rPr>
                <w:b/>
                <w:bCs/>
                <w:sz w:val="22"/>
                <w:lang w:val="fr-FR"/>
              </w:rPr>
              <w:t>Kirghizistan</w:t>
            </w:r>
            <w:r w:rsidRPr="00C83DA9">
              <w:rPr>
                <w:sz w:val="22"/>
                <w:lang w:val="fr-FR"/>
              </w:rPr>
              <w:t xml:space="preserve">, le BDT a organisé des ateliers sur la gouvernance des données, l'évaluation de la qualité de service et la gestion de projets numériques, afin de doter les décideurs et les régulateurs de compétences pratiques. Au </w:t>
            </w:r>
            <w:r w:rsidRPr="00C83DA9">
              <w:rPr>
                <w:b/>
                <w:bCs/>
                <w:sz w:val="22"/>
                <w:lang w:val="fr-FR"/>
              </w:rPr>
              <w:t>Bélarus</w:t>
            </w:r>
            <w:r w:rsidRPr="00C83DA9">
              <w:rPr>
                <w:sz w:val="22"/>
                <w:lang w:val="fr-FR"/>
              </w:rPr>
              <w:t xml:space="preserve">, une formation a permis à des fonctionnaires locaux d'acquérir des compétences en vue d'intégrer le renforcement des capacités TIC dans les services municipaux. Au </w:t>
            </w:r>
            <w:r w:rsidRPr="00C83DA9">
              <w:rPr>
                <w:b/>
                <w:bCs/>
                <w:sz w:val="22"/>
                <w:lang w:val="fr-FR"/>
              </w:rPr>
              <w:t>Kirghizistan</w:t>
            </w:r>
            <w:r w:rsidRPr="00C83DA9">
              <w:rPr>
                <w:sz w:val="22"/>
                <w:lang w:val="fr-FR"/>
              </w:rPr>
              <w:t>, de nouveaux modèles de formation à visée accélératrice ont été mis à l'essai afin de mettre en relation les systèmes d'innovation locaux et les compétences mondiales. Ces initiatives ont permis de s'assurer que le renforcement des capacités répondait à la fois aux besoins de gouvernance centrale et de mise en œuvre locale, ce qui a conduit à consolider les écosystèmes institutionnels. Divers niveaux de formation ont permis à la région de progresser afin que la transformation numérique soit soutenue par des professionnels qualifiés à tous les étages de l'administration publique.</w:t>
            </w:r>
          </w:p>
          <w:p w14:paraId="2C3135A4" w14:textId="77777777" w:rsidR="00AC69A2" w:rsidRPr="00C83DA9" w:rsidRDefault="00AC69A2" w:rsidP="00BA2B42">
            <w:pPr>
              <w:pStyle w:val="Tabletext"/>
              <w:widowControl w:val="0"/>
              <w:spacing w:before="80" w:after="120"/>
              <w:ind w:right="-84"/>
              <w:rPr>
                <w:rFonts w:ascii="Calibri" w:hAnsi="Calibri" w:cs="Calibri"/>
                <w:b/>
                <w:bCs/>
                <w:sz w:val="22"/>
                <w:lang w:val="fr-FR"/>
              </w:rPr>
            </w:pPr>
            <w:r w:rsidRPr="00C83DA9">
              <w:rPr>
                <w:sz w:val="22"/>
                <w:lang w:val="fr-FR"/>
              </w:rPr>
              <w:t>L'enseignement déterminant de cette période est que le renforcement des capacités est devenu le catalyseur le plus important de la transformation numérique. Les progrès futurs dépendront de la rapidité avec laquelle les systèmes de formation s'adapteront aux technologies de pointe telles que l'intelligence artificielle et l'informatique quantique, de l'efficacité avec laquelle ils offriront des possibilités aux groupes marginalisés et de la cohérence avec laquelle les gouvernements équilibreront les investissements dans les infrastructures et les investissements dans les capacités humaines. Relever ces défis nécessitera de savoir anticiper et de disposer de financements et de partenariats solides.</w:t>
            </w:r>
          </w:p>
        </w:tc>
        <w:tc>
          <w:tcPr>
            <w:tcW w:w="2566" w:type="dxa"/>
            <w:tcBorders>
              <w:top w:val="dotted" w:sz="4" w:space="0" w:color="0070C0"/>
              <w:left w:val="dotted" w:sz="4" w:space="0" w:color="0070C0"/>
              <w:bottom w:val="dotted" w:sz="4" w:space="0" w:color="0070C0"/>
              <w:right w:val="dotted" w:sz="4" w:space="0" w:color="0070C0"/>
            </w:tcBorders>
          </w:tcPr>
          <w:p w14:paraId="76E38D12" w14:textId="77777777" w:rsidR="00AC69A2" w:rsidRPr="00C83DA9" w:rsidRDefault="00AC69A2" w:rsidP="000D5DBA">
            <w:pPr>
              <w:pStyle w:val="Tabletext"/>
              <w:spacing w:before="80" w:after="80"/>
              <w:jc w:val="center"/>
              <w:rPr>
                <w:rFonts w:eastAsia="Times New Roman"/>
                <w:b/>
                <w:bCs/>
                <w:color w:val="0070C0"/>
                <w:kern w:val="0"/>
                <w:sz w:val="24"/>
                <w:szCs w:val="24"/>
                <w:lang w:val="fr-FR"/>
                <w14:ligatures w14:val="none"/>
              </w:rPr>
            </w:pPr>
            <w:r w:rsidRPr="00C83DA9">
              <w:rPr>
                <w:rFonts w:eastAsia="Times New Roman"/>
                <w:b/>
                <w:bCs/>
                <w:color w:val="0070C0"/>
                <w:kern w:val="0"/>
                <w:sz w:val="24"/>
                <w:szCs w:val="24"/>
                <w:lang w:val="fr-FR"/>
                <w14:ligatures w14:val="none"/>
              </w:rPr>
              <w:lastRenderedPageBreak/>
              <w:t>Points à retenir</w:t>
            </w:r>
          </w:p>
          <w:p w14:paraId="12A7EA19" w14:textId="4D36F392" w:rsidR="00AC69A2" w:rsidRPr="00C83DA9" w:rsidRDefault="00AC69A2" w:rsidP="000D5DBA">
            <w:pPr>
              <w:pStyle w:val="Tabletext"/>
              <w:rPr>
                <w:color w:val="1F497D" w:themeColor="text2"/>
                <w:sz w:val="22"/>
                <w:lang w:val="fr-FR"/>
              </w:rPr>
            </w:pPr>
            <w:r w:rsidRPr="00C83DA9">
              <w:rPr>
                <w:rFonts w:eastAsia="Times New Roman"/>
                <w:b/>
                <w:bCs/>
                <w:color w:val="0070C0"/>
                <w:kern w:val="0"/>
                <w:sz w:val="22"/>
                <w:lang w:val="fr-FR"/>
                <w14:ligatures w14:val="none"/>
              </w:rPr>
              <w:t>Académie de l'UIT:</w:t>
            </w:r>
            <w:r w:rsidRPr="00C83DA9">
              <w:rPr>
                <w:color w:val="1F497D" w:themeColor="text2"/>
                <w:sz w:val="22"/>
                <w:lang w:val="fr-FR"/>
              </w:rPr>
              <w:t xml:space="preserve"> </w:t>
            </w:r>
            <w:r w:rsidRPr="00C83DA9">
              <w:rPr>
                <w:rFonts w:eastAsiaTheme="minorHAnsi" w:cstheme="minorBidi"/>
                <w:color w:val="1F497D" w:themeColor="text2"/>
                <w:sz w:val="22"/>
                <w:szCs w:val="24"/>
                <w:lang w:val="fr-FR"/>
              </w:rPr>
              <w:t>plus de 75 000 utilisateurs, dont 80% issus de pays en développement et 40% de femmes</w:t>
            </w:r>
            <w:r w:rsidR="00FA56EA" w:rsidRPr="00C83DA9">
              <w:rPr>
                <w:rFonts w:eastAsiaTheme="minorHAnsi" w:cstheme="minorBidi"/>
                <w:color w:val="1F497D" w:themeColor="text2"/>
                <w:sz w:val="22"/>
                <w:szCs w:val="24"/>
                <w:lang w:val="fr-FR"/>
              </w:rPr>
              <w:t>;</w:t>
            </w:r>
            <w:r w:rsidRPr="00C83DA9">
              <w:rPr>
                <w:rFonts w:eastAsiaTheme="minorHAnsi" w:cstheme="minorBidi"/>
                <w:color w:val="1F497D" w:themeColor="text2"/>
                <w:sz w:val="22"/>
                <w:szCs w:val="24"/>
                <w:lang w:val="fr-FR"/>
              </w:rPr>
              <w:t xml:space="preserve"> </w:t>
            </w:r>
            <w:r w:rsidR="00FA56EA" w:rsidRPr="00C83DA9">
              <w:rPr>
                <w:rFonts w:eastAsiaTheme="minorHAnsi" w:cstheme="minorBidi"/>
                <w:color w:val="1F497D" w:themeColor="text2"/>
                <w:sz w:val="22"/>
                <w:szCs w:val="24"/>
                <w:lang w:val="fr-FR"/>
              </w:rPr>
              <w:t>p</w:t>
            </w:r>
            <w:r w:rsidRPr="00C83DA9">
              <w:rPr>
                <w:rFonts w:eastAsiaTheme="minorHAnsi" w:cstheme="minorBidi"/>
                <w:color w:val="1F497D" w:themeColor="text2"/>
                <w:sz w:val="22"/>
                <w:szCs w:val="24"/>
                <w:lang w:val="fr-FR"/>
              </w:rPr>
              <w:t>lus de 400 cours et plus de 15 000 certificats délivrés</w:t>
            </w:r>
            <w:r w:rsidRPr="00C83DA9">
              <w:rPr>
                <w:color w:val="1F497D" w:themeColor="text2"/>
                <w:sz w:val="22"/>
                <w:lang w:val="fr-FR"/>
              </w:rPr>
              <w:t>.</w:t>
            </w:r>
          </w:p>
          <w:p w14:paraId="4ECC6C9D" w14:textId="16D69D75" w:rsidR="00AC69A2" w:rsidRPr="00C83DA9" w:rsidRDefault="00AC69A2" w:rsidP="00C31666">
            <w:pPr>
              <w:pStyle w:val="Tabletext"/>
              <w:rPr>
                <w:rFonts w:eastAsiaTheme="minorHAnsi" w:cstheme="minorBidi"/>
                <w:color w:val="1F497D" w:themeColor="text2"/>
                <w:sz w:val="22"/>
                <w:szCs w:val="24"/>
                <w:lang w:val="fr-FR"/>
              </w:rPr>
            </w:pPr>
            <w:r w:rsidRPr="00C83DA9">
              <w:rPr>
                <w:rFonts w:eastAsia="Times New Roman"/>
                <w:b/>
                <w:bCs/>
                <w:color w:val="0070C0"/>
                <w:kern w:val="0"/>
                <w:sz w:val="22"/>
                <w:lang w:val="fr-FR"/>
                <w14:ligatures w14:val="none"/>
              </w:rPr>
              <w:t>Centres ATC:</w:t>
            </w:r>
            <w:r w:rsidRPr="00C83DA9">
              <w:rPr>
                <w:color w:val="1F497D" w:themeColor="text2"/>
                <w:lang w:val="fr-FR"/>
              </w:rPr>
              <w:t xml:space="preserve"> 14</w:t>
            </w:r>
            <w:r w:rsidR="00677E06" w:rsidRPr="00C83DA9">
              <w:rPr>
                <w:color w:val="1F497D" w:themeColor="text2"/>
                <w:lang w:val="fr-FR"/>
              </w:rPr>
              <w:t> </w:t>
            </w:r>
            <w:r w:rsidRPr="00C83DA9">
              <w:rPr>
                <w:rFonts w:eastAsiaTheme="minorHAnsi" w:cstheme="minorBidi"/>
                <w:color w:val="1F497D" w:themeColor="text2"/>
                <w:sz w:val="22"/>
                <w:szCs w:val="24"/>
                <w:lang w:val="fr-FR"/>
              </w:rPr>
              <w:t>institutions participantes, 146 cours, 3 500 personnes certifiées.</w:t>
            </w:r>
          </w:p>
          <w:p w14:paraId="136FB155" w14:textId="3B1AE1BC" w:rsidR="00AC69A2" w:rsidRPr="00C83DA9" w:rsidRDefault="00AC69A2" w:rsidP="00C31666">
            <w:pPr>
              <w:pStyle w:val="Tabletext"/>
              <w:rPr>
                <w:rFonts w:eastAsiaTheme="minorHAnsi" w:cstheme="minorBidi"/>
                <w:color w:val="1F497D" w:themeColor="text2"/>
                <w:sz w:val="22"/>
                <w:szCs w:val="24"/>
                <w:lang w:val="fr-FR"/>
              </w:rPr>
            </w:pPr>
            <w:r w:rsidRPr="00C83DA9">
              <w:rPr>
                <w:rFonts w:eastAsia="Times New Roman"/>
                <w:b/>
                <w:bCs/>
                <w:color w:val="0070C0"/>
                <w:kern w:val="0"/>
                <w:sz w:val="22"/>
                <w:lang w:val="fr-FR"/>
                <w14:ligatures w14:val="none"/>
              </w:rPr>
              <w:t>Centres DTC:</w:t>
            </w:r>
            <w:r w:rsidRPr="00C83DA9">
              <w:rPr>
                <w:color w:val="1F497D" w:themeColor="text2"/>
                <w:lang w:val="fr-FR"/>
              </w:rPr>
              <w:t xml:space="preserve"> </w:t>
            </w:r>
            <w:r w:rsidRPr="00C83DA9">
              <w:rPr>
                <w:rFonts w:eastAsiaTheme="minorHAnsi" w:cstheme="minorBidi"/>
                <w:color w:val="1F497D" w:themeColor="text2"/>
                <w:sz w:val="22"/>
                <w:szCs w:val="24"/>
                <w:lang w:val="fr-FR"/>
              </w:rPr>
              <w:t>14 centres, un demi-million de personnes formées (dont</w:t>
            </w:r>
            <w:r w:rsidR="00DC1608" w:rsidRPr="00C83DA9">
              <w:rPr>
                <w:rFonts w:eastAsiaTheme="minorHAnsi" w:cstheme="minorBidi"/>
                <w:color w:val="1F497D" w:themeColor="text2"/>
                <w:sz w:val="22"/>
                <w:szCs w:val="24"/>
                <w:lang w:val="fr-FR"/>
              </w:rPr>
              <w:t> </w:t>
            </w:r>
            <w:r w:rsidRPr="00C83DA9">
              <w:rPr>
                <w:rFonts w:eastAsiaTheme="minorHAnsi" w:cstheme="minorBidi"/>
                <w:color w:val="1F497D" w:themeColor="text2"/>
                <w:sz w:val="22"/>
                <w:szCs w:val="24"/>
                <w:lang w:val="fr-FR"/>
              </w:rPr>
              <w:t>53% de femmes).</w:t>
            </w:r>
          </w:p>
          <w:p w14:paraId="3EF2CBBE" w14:textId="77777777" w:rsidR="00AC69A2" w:rsidRPr="00C83DA9" w:rsidRDefault="00AC69A2" w:rsidP="006B27DC">
            <w:pPr>
              <w:pStyle w:val="Tabletext"/>
              <w:keepNext/>
              <w:spacing w:before="240"/>
              <w:rPr>
                <w:rFonts w:eastAsia="Times New Roman"/>
                <w:b/>
                <w:bCs/>
                <w:color w:val="0070C0"/>
                <w:kern w:val="0"/>
                <w:sz w:val="22"/>
                <w:lang w:val="fr-FR"/>
              </w:rPr>
            </w:pPr>
            <w:r w:rsidRPr="00C83DA9">
              <w:rPr>
                <w:rFonts w:eastAsia="Times New Roman"/>
                <w:b/>
                <w:bCs/>
                <w:color w:val="0070C0"/>
                <w:kern w:val="0"/>
                <w:sz w:val="22"/>
                <w:lang w:val="fr-FR"/>
              </w:rPr>
              <w:t>Personnes ayant bénéficié du développement des compétences numériques:</w:t>
            </w:r>
          </w:p>
          <w:p w14:paraId="037F04E7" w14:textId="77777777" w:rsidR="00AC69A2" w:rsidRPr="00C83DA9" w:rsidRDefault="00AC69A2"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Pr="00C83DA9">
              <w:rPr>
                <w:rFonts w:eastAsiaTheme="minorEastAsia"/>
                <w:color w:val="1F497D" w:themeColor="text2"/>
                <w:sz w:val="22"/>
                <w:lang w:val="fr-FR"/>
              </w:rPr>
              <w:t>professionnels</w:t>
            </w:r>
            <w:r w:rsidRPr="00C83DA9">
              <w:rPr>
                <w:color w:val="1F497D" w:themeColor="text2"/>
                <w:sz w:val="22"/>
                <w:lang w:val="fr-FR"/>
              </w:rPr>
              <w:t xml:space="preserve"> des TIC;</w:t>
            </w:r>
          </w:p>
          <w:p w14:paraId="3AEBD355" w14:textId="77777777"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color w:val="1F497D" w:themeColor="text2"/>
                <w:sz w:val="22"/>
                <w:lang w:val="fr-FR"/>
              </w:rPr>
              <w:lastRenderedPageBreak/>
              <w:t>•</w:t>
            </w:r>
            <w:r w:rsidRPr="00C83DA9">
              <w:rPr>
                <w:color w:val="1F497D" w:themeColor="text2"/>
                <w:sz w:val="22"/>
                <w:lang w:val="fr-FR"/>
              </w:rPr>
              <w:tab/>
            </w:r>
            <w:r w:rsidRPr="00C83DA9">
              <w:rPr>
                <w:rFonts w:eastAsiaTheme="minorEastAsia"/>
                <w:color w:val="1F497D" w:themeColor="text2"/>
                <w:sz w:val="22"/>
                <w:lang w:val="fr-FR"/>
              </w:rPr>
              <w:t>peuples autochtones et communautés isolées;</w:t>
            </w:r>
          </w:p>
          <w:p w14:paraId="04172D50" w14:textId="77777777"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femmes et jeunes filles;</w:t>
            </w:r>
          </w:p>
          <w:p w14:paraId="083209D7" w14:textId="77777777"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jeunes;</w:t>
            </w:r>
          </w:p>
          <w:p w14:paraId="02B0444B" w14:textId="77777777"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personnes handicapées;</w:t>
            </w:r>
          </w:p>
          <w:p w14:paraId="3F3893CA" w14:textId="77777777" w:rsidR="00AC69A2" w:rsidRPr="00C83DA9" w:rsidRDefault="00AC69A2" w:rsidP="00202BFA">
            <w:pPr>
              <w:pStyle w:val="enumlev1"/>
              <w:tabs>
                <w:tab w:val="clear" w:pos="1134"/>
              </w:tabs>
              <w:spacing w:before="40" w:after="40"/>
              <w:ind w:left="386" w:right="-102" w:hanging="386"/>
              <w:rPr>
                <w:rFonts w:ascii="Calibri" w:hAnsi="Calibri" w:cs="Calibri"/>
                <w:b/>
                <w:bCs/>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petits entrepreneurs</w:t>
            </w:r>
            <w:r w:rsidRPr="00C83DA9">
              <w:rPr>
                <w:color w:val="1F497D" w:themeColor="text2"/>
                <w:sz w:val="22"/>
                <w:lang w:val="fr-FR"/>
              </w:rPr>
              <w:t>.</w:t>
            </w:r>
          </w:p>
          <w:p w14:paraId="788A7C1B" w14:textId="77777777" w:rsidR="00AC69A2" w:rsidRPr="00C83DA9" w:rsidRDefault="00AC69A2" w:rsidP="006B27DC">
            <w:pPr>
              <w:pStyle w:val="Tabletext"/>
              <w:keepNext/>
              <w:spacing w:before="240"/>
              <w:rPr>
                <w:rFonts w:eastAsia="Times New Roman"/>
                <w:b/>
                <w:bCs/>
                <w:color w:val="0070C0"/>
                <w:kern w:val="0"/>
                <w:sz w:val="22"/>
                <w:lang w:val="fr-FR"/>
              </w:rPr>
            </w:pPr>
            <w:r w:rsidRPr="00C83DA9">
              <w:rPr>
                <w:rFonts w:eastAsia="Times New Roman"/>
                <w:b/>
                <w:bCs/>
                <w:color w:val="0070C0"/>
                <w:kern w:val="0"/>
                <w:sz w:val="22"/>
                <w:lang w:val="fr-FR"/>
              </w:rPr>
              <w:t>PMA, PDSL et PEID mobilisés ou aidés:</w:t>
            </w:r>
          </w:p>
          <w:p w14:paraId="73C812D7" w14:textId="24C25203" w:rsidR="00AC69A2" w:rsidRPr="00C83DA9" w:rsidRDefault="003F4994" w:rsidP="00A81F12">
            <w:pPr>
              <w:pStyle w:val="Tabletext"/>
              <w:rPr>
                <w:color w:val="1F497D" w:themeColor="text2"/>
                <w:sz w:val="22"/>
                <w:szCs w:val="24"/>
                <w:lang w:val="fr-FR"/>
              </w:rPr>
            </w:pPr>
            <w:r w:rsidRPr="00C83DA9">
              <w:rPr>
                <w:color w:val="1F497D" w:themeColor="text2"/>
                <w:sz w:val="22"/>
                <w:szCs w:val="24"/>
                <w:lang w:val="fr-FR"/>
              </w:rPr>
              <w:t xml:space="preserve">63 </w:t>
            </w:r>
            <w:r w:rsidR="00AC69A2" w:rsidRPr="00C83DA9">
              <w:rPr>
                <w:color w:val="1F497D" w:themeColor="text2"/>
                <w:sz w:val="22"/>
                <w:szCs w:val="24"/>
                <w:lang w:val="fr-FR"/>
              </w:rPr>
              <w:t>PMA, PDSL et PEID ont bénéficié d'un appui:</w:t>
            </w:r>
          </w:p>
          <w:p w14:paraId="5D87A5D5" w14:textId="4DD11428"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color w:val="1F497D" w:themeColor="text2"/>
                <w:sz w:val="22"/>
                <w:lang w:val="fr-FR"/>
              </w:rPr>
              <w:t>•</w:t>
            </w:r>
            <w:r w:rsidRPr="00C83DA9">
              <w:rPr>
                <w:color w:val="1F497D" w:themeColor="text2"/>
                <w:sz w:val="22"/>
                <w:lang w:val="fr-FR"/>
              </w:rPr>
              <w:tab/>
            </w:r>
            <w:r w:rsidR="003F4994" w:rsidRPr="00C83DA9">
              <w:rPr>
                <w:color w:val="1F497D" w:themeColor="text2"/>
                <w:sz w:val="22"/>
                <w:lang w:val="fr-FR"/>
              </w:rPr>
              <w:t xml:space="preserve">48 </w:t>
            </w:r>
            <w:r w:rsidRPr="00C83DA9">
              <w:rPr>
                <w:rFonts w:eastAsiaTheme="minorEastAsia"/>
                <w:color w:val="1F497D" w:themeColor="text2"/>
                <w:sz w:val="22"/>
                <w:lang w:val="fr-FR"/>
              </w:rPr>
              <w:t>pays ont bénéficié d'une assistance technique</w:t>
            </w:r>
            <w:r w:rsidR="00262321" w:rsidRPr="00C83DA9">
              <w:rPr>
                <w:rFonts w:eastAsiaTheme="minorEastAsia"/>
                <w:color w:val="1F497D" w:themeColor="text2"/>
                <w:sz w:val="22"/>
                <w:lang w:val="fr-FR"/>
              </w:rPr>
              <w:t>.</w:t>
            </w:r>
          </w:p>
          <w:p w14:paraId="37F1D397" w14:textId="68FF1EEA"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r>
            <w:r w:rsidR="00262321" w:rsidRPr="00C83DA9">
              <w:rPr>
                <w:rFonts w:eastAsiaTheme="minorEastAsia"/>
                <w:color w:val="1F497D" w:themeColor="text2"/>
                <w:sz w:val="22"/>
                <w:lang w:val="fr-FR"/>
              </w:rPr>
              <w:t>D</w:t>
            </w:r>
            <w:r w:rsidRPr="00C83DA9">
              <w:rPr>
                <w:rFonts w:eastAsiaTheme="minorEastAsia"/>
                <w:color w:val="1F497D" w:themeColor="text2"/>
                <w:sz w:val="22"/>
                <w:lang w:val="fr-FR"/>
              </w:rPr>
              <w:t xml:space="preserve">es cadres politiques et des supports de connaissance ont été élaborés dans </w:t>
            </w:r>
            <w:r w:rsidR="003F4994" w:rsidRPr="00C83DA9">
              <w:rPr>
                <w:rFonts w:eastAsiaTheme="minorEastAsia"/>
                <w:color w:val="1F497D" w:themeColor="text2"/>
                <w:sz w:val="22"/>
                <w:lang w:val="fr-FR"/>
              </w:rPr>
              <w:t>31 </w:t>
            </w:r>
            <w:r w:rsidRPr="00C83DA9">
              <w:rPr>
                <w:rFonts w:eastAsiaTheme="minorEastAsia"/>
                <w:color w:val="1F497D" w:themeColor="text2"/>
                <w:sz w:val="22"/>
                <w:lang w:val="fr-FR"/>
              </w:rPr>
              <w:t>pays</w:t>
            </w:r>
            <w:r w:rsidR="00262321" w:rsidRPr="00C83DA9">
              <w:rPr>
                <w:rFonts w:eastAsiaTheme="minorEastAsia"/>
                <w:color w:val="1F497D" w:themeColor="text2"/>
                <w:sz w:val="22"/>
                <w:lang w:val="fr-FR"/>
              </w:rPr>
              <w:t>.</w:t>
            </w:r>
          </w:p>
          <w:p w14:paraId="534F2152" w14:textId="77777777"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2 projets sont en cours.</w:t>
            </w:r>
          </w:p>
          <w:p w14:paraId="1DBE1BFC" w14:textId="515B2220" w:rsidR="00AC69A2" w:rsidRPr="00C83DA9" w:rsidRDefault="00AC69A2" w:rsidP="006B27DC">
            <w:pPr>
              <w:pStyle w:val="Tabletext"/>
              <w:keepNext/>
              <w:spacing w:before="240"/>
              <w:rPr>
                <w:rFonts w:eastAsia="Times New Roman"/>
                <w:b/>
                <w:bCs/>
                <w:color w:val="0070C0"/>
                <w:kern w:val="0"/>
                <w:sz w:val="22"/>
                <w:lang w:val="fr-FR"/>
              </w:rPr>
            </w:pPr>
            <w:r w:rsidRPr="00C83DA9">
              <w:rPr>
                <w:rFonts w:eastAsia="Times New Roman"/>
                <w:b/>
                <w:bCs/>
                <w:color w:val="0070C0"/>
                <w:kern w:val="0"/>
                <w:sz w:val="22"/>
                <w:lang w:val="fr-FR"/>
              </w:rPr>
              <w:t>CE 2 de l'UIT-D, Question</w:t>
            </w:r>
            <w:r w:rsidR="00BA2B42" w:rsidRPr="00C83DA9">
              <w:rPr>
                <w:rFonts w:eastAsia="Times New Roman"/>
                <w:b/>
                <w:bCs/>
                <w:color w:val="0070C0"/>
                <w:kern w:val="0"/>
                <w:sz w:val="22"/>
                <w:lang w:val="fr-FR"/>
              </w:rPr>
              <w:t> </w:t>
            </w:r>
            <w:r w:rsidRPr="00C83DA9">
              <w:rPr>
                <w:rFonts w:eastAsia="Times New Roman"/>
                <w:b/>
                <w:bCs/>
                <w:color w:val="0070C0"/>
                <w:kern w:val="0"/>
                <w:sz w:val="22"/>
                <w:lang w:val="fr-FR"/>
              </w:rPr>
              <w:t>5:</w:t>
            </w:r>
          </w:p>
          <w:p w14:paraId="21445A2E" w14:textId="7E7A3ACD"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color w:val="1F497D" w:themeColor="text2"/>
                <w:sz w:val="22"/>
                <w:lang w:val="fr-FR"/>
              </w:rPr>
              <w:t>•</w:t>
            </w:r>
            <w:r w:rsidRPr="00C83DA9">
              <w:rPr>
                <w:color w:val="1F497D" w:themeColor="text2"/>
                <w:sz w:val="22"/>
                <w:lang w:val="fr-FR"/>
              </w:rPr>
              <w:tab/>
              <w:t xml:space="preserve">4 </w:t>
            </w:r>
            <w:r w:rsidRPr="00C83DA9">
              <w:rPr>
                <w:rFonts w:eastAsiaTheme="minorEastAsia"/>
                <w:color w:val="1F497D" w:themeColor="text2"/>
                <w:sz w:val="22"/>
                <w:lang w:val="fr-FR"/>
              </w:rPr>
              <w:t>réunions</w:t>
            </w:r>
            <w:r w:rsidR="00262321" w:rsidRPr="00C83DA9">
              <w:rPr>
                <w:rFonts w:eastAsiaTheme="minorEastAsia"/>
                <w:color w:val="1F497D" w:themeColor="text2"/>
                <w:sz w:val="22"/>
                <w:lang w:val="fr-FR"/>
              </w:rPr>
              <w:t>.</w:t>
            </w:r>
          </w:p>
          <w:p w14:paraId="56446310" w14:textId="46A99176" w:rsidR="00AC69A2" w:rsidRPr="00C83DA9" w:rsidRDefault="00AC69A2" w:rsidP="00202BFA">
            <w:pPr>
              <w:pStyle w:val="enumlev1"/>
              <w:tabs>
                <w:tab w:val="clear" w:pos="1134"/>
              </w:tabs>
              <w:spacing w:before="40" w:after="40"/>
              <w:ind w:left="386" w:right="-102" w:hanging="386"/>
              <w:rPr>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100 contributions</w:t>
            </w:r>
            <w:r w:rsidR="00262321" w:rsidRPr="00C83DA9">
              <w:rPr>
                <w:color w:val="1F497D" w:themeColor="text2"/>
                <w:sz w:val="22"/>
                <w:lang w:val="fr-FR"/>
              </w:rPr>
              <w:t>.</w:t>
            </w:r>
          </w:p>
          <w:p w14:paraId="18993A2D" w14:textId="1124DADE" w:rsidR="00AC69A2" w:rsidRPr="00C83DA9" w:rsidRDefault="00AC69A2"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 xml:space="preserve">2 </w:t>
            </w:r>
            <w:hyperlink r:id="rId124" w:anchor="/fr" w:history="1">
              <w:r w:rsidRPr="00C83DA9">
                <w:rPr>
                  <w:rStyle w:val="Hyperlink"/>
                  <w:sz w:val="22"/>
                  <w:lang w:val="fr-FR"/>
                </w:rPr>
                <w:t>ateliers</w:t>
              </w:r>
            </w:hyperlink>
            <w:r w:rsidRPr="00C83DA9">
              <w:rPr>
                <w:color w:val="1F497D" w:themeColor="text2"/>
                <w:sz w:val="22"/>
                <w:lang w:val="fr-FR"/>
              </w:rPr>
              <w:t xml:space="preserve"> et élaboration </w:t>
            </w:r>
            <w:r w:rsidRPr="00C83DA9">
              <w:rPr>
                <w:rFonts w:eastAsiaTheme="minorEastAsia"/>
                <w:color w:val="1F497D" w:themeColor="text2"/>
                <w:sz w:val="22"/>
                <w:lang w:val="fr-FR"/>
              </w:rPr>
              <w:t>d'un</w:t>
            </w:r>
            <w:r w:rsidRPr="00C83DA9">
              <w:rPr>
                <w:color w:val="1F497D" w:themeColor="text2"/>
                <w:sz w:val="22"/>
                <w:lang w:val="fr-FR"/>
              </w:rPr>
              <w:t xml:space="preserve"> </w:t>
            </w:r>
            <w:hyperlink r:id="rId125" w:history="1">
              <w:r w:rsidRPr="00C83DA9">
                <w:rPr>
                  <w:rStyle w:val="Hyperlink"/>
                  <w:sz w:val="22"/>
                  <w:lang w:val="fr-FR"/>
                </w:rPr>
                <w:t>rapport final</w:t>
              </w:r>
            </w:hyperlink>
            <w:r w:rsidRPr="00C83DA9">
              <w:rPr>
                <w:color w:val="1F497D" w:themeColor="text2"/>
                <w:sz w:val="22"/>
                <w:lang w:val="fr-FR"/>
              </w:rPr>
              <w:t>.</w:t>
            </w:r>
            <w:hyperlink r:id="rId126" w:history="1"/>
            <w:hyperlink r:id="rId127" w:history="1"/>
          </w:p>
        </w:tc>
      </w:tr>
      <w:tr w:rsidR="00AC69A2" w:rsidRPr="00CA734F" w14:paraId="624EA861" w14:textId="77777777" w:rsidTr="00A90F81">
        <w:trPr>
          <w:trHeight w:val="839"/>
        </w:trPr>
        <w:tc>
          <w:tcPr>
            <w:tcW w:w="14879"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0C0031DC" w14:textId="4CE989BD" w:rsidR="00AC69A2" w:rsidRPr="00C83DA9" w:rsidRDefault="00AC69A2" w:rsidP="009B2988">
            <w:pPr>
              <w:pStyle w:val="Headingb"/>
              <w:spacing w:before="40"/>
              <w:rPr>
                <w:rFonts w:eastAsia="Times New Roman"/>
                <w:color w:val="0070C0"/>
                <w:kern w:val="0"/>
                <w:szCs w:val="20"/>
                <w:lang w:val="fr-FR"/>
                <w14:ligatures w14:val="none"/>
              </w:rPr>
            </w:pPr>
            <w:bookmarkStart w:id="37" w:name="_Toc213307969"/>
            <w:r w:rsidRPr="00C83DA9">
              <w:rPr>
                <w:rFonts w:eastAsia="Times New Roman"/>
                <w:color w:val="0070C0"/>
                <w:kern w:val="0"/>
                <w:szCs w:val="20"/>
                <w:lang w:val="fr-FR"/>
                <w14:ligatures w14:val="none"/>
              </w:rPr>
              <w:lastRenderedPageBreak/>
              <w:t>Politique et réglementation</w:t>
            </w:r>
            <w:bookmarkEnd w:id="37"/>
          </w:p>
          <w:p w14:paraId="7E857E63" w14:textId="77777777" w:rsidR="00AC69A2" w:rsidRPr="00C83DA9" w:rsidRDefault="00AC69A2" w:rsidP="00FF7918">
            <w:pPr>
              <w:pStyle w:val="Tabletext"/>
              <w:rPr>
                <w:b/>
                <w:bCs/>
                <w:i/>
                <w:iCs/>
                <w:color w:val="0070C0"/>
                <w:sz w:val="24"/>
                <w:szCs w:val="20"/>
                <w:lang w:val="fr-FR"/>
              </w:rPr>
            </w:pPr>
            <w:r w:rsidRPr="00C83DA9">
              <w:rPr>
                <w:rFonts w:eastAsiaTheme="minorEastAsia" w:cstheme="minorHAnsi"/>
                <w:b/>
                <w:bCs/>
                <w:i/>
                <w:color w:val="000000" w:themeColor="text1"/>
                <w:sz w:val="24"/>
                <w:szCs w:val="20"/>
                <w:lang w:val="fr-FR"/>
              </w:rPr>
              <w:t>Résultat</w:t>
            </w:r>
            <w:r w:rsidRPr="00C83DA9">
              <w:rPr>
                <w:rFonts w:eastAsiaTheme="minorEastAsia" w:cstheme="minorHAnsi"/>
                <w:i/>
                <w:color w:val="000000" w:themeColor="text1"/>
                <w:sz w:val="24"/>
                <w:szCs w:val="20"/>
                <w:lang w:val="fr-FR"/>
              </w:rPr>
              <w:t>: renforcement de la capacité des États Membres à améliorer leurs cadres politiques, juridiques et réglementaires en matière de télécommunication/TIC propices au développement durable et à la transformation numérique.</w:t>
            </w:r>
          </w:p>
        </w:tc>
      </w:tr>
      <w:tr w:rsidR="00AC69A2" w:rsidRPr="00C83DA9" w14:paraId="07D28AF8" w14:textId="77777777" w:rsidTr="00AC69A2">
        <w:trPr>
          <w:trHeight w:val="839"/>
        </w:trPr>
        <w:tc>
          <w:tcPr>
            <w:tcW w:w="12313" w:type="dxa"/>
            <w:gridSpan w:val="2"/>
            <w:tcBorders>
              <w:top w:val="dotted" w:sz="4" w:space="0" w:color="0070C0"/>
              <w:left w:val="dotted" w:sz="4" w:space="0" w:color="0070C0"/>
              <w:bottom w:val="dotted" w:sz="4" w:space="0" w:color="0070C0"/>
              <w:right w:val="dotted" w:sz="4" w:space="0" w:color="0070C0"/>
            </w:tcBorders>
          </w:tcPr>
          <w:p w14:paraId="7E9E7A5C" w14:textId="04F78D1E" w:rsidR="00AC69A2" w:rsidRPr="00C83DA9" w:rsidRDefault="00AC69A2" w:rsidP="00BA2B42">
            <w:pPr>
              <w:pStyle w:val="Tabletext"/>
              <w:widowControl w:val="0"/>
              <w:spacing w:before="80"/>
              <w:ind w:right="-84"/>
              <w:rPr>
                <w:sz w:val="22"/>
                <w:lang w:val="fr-FR"/>
              </w:rPr>
            </w:pPr>
            <w:r w:rsidRPr="00C83DA9">
              <w:rPr>
                <w:sz w:val="22"/>
                <w:lang w:val="fr-FR"/>
              </w:rPr>
              <w:t>Pour renforcer la capacité des États Membres de moderniser leurs cadres politiques, juridiques et réglementaires en matière de TIC, le BDT a continué de prêter assistance à la mise en place de conditions propres à encourager une transformation numérique inclusive, sûre et résiliente au cours de la période allant de 2023 et 2025. Les activités du BDT – conseils de politique générale, produits didactiques, développement des capacités et assistance technique – ont aidé les membres à tirer parti des politiques et de la réglementation comme catalyseur fondamental d'une connectivité universelle et efficace et facteurs contribuant à la réalisation des priorités nationales et des</w:t>
            </w:r>
            <w:r w:rsidR="00285C05" w:rsidRPr="00C83DA9">
              <w:rPr>
                <w:sz w:val="22"/>
                <w:lang w:val="fr-FR"/>
              </w:rPr>
              <w:t> </w:t>
            </w:r>
            <w:r w:rsidRPr="00C83DA9">
              <w:rPr>
                <w:sz w:val="22"/>
                <w:lang w:val="fr-FR"/>
              </w:rPr>
              <w:t>ODD.</w:t>
            </w:r>
          </w:p>
          <w:p w14:paraId="20C9158F" w14:textId="77777777" w:rsidR="00AC69A2" w:rsidRPr="00C83DA9" w:rsidRDefault="00AC69A2" w:rsidP="00BA2B42">
            <w:pPr>
              <w:pStyle w:val="Tabletext"/>
              <w:widowControl w:val="0"/>
              <w:spacing w:before="80"/>
              <w:ind w:right="-84"/>
              <w:rPr>
                <w:sz w:val="22"/>
                <w:lang w:val="fr-FR"/>
              </w:rPr>
            </w:pPr>
            <w:r w:rsidRPr="00C83DA9">
              <w:rPr>
                <w:sz w:val="22"/>
                <w:lang w:val="fr-FR"/>
              </w:rPr>
              <w:t>Par ses activités allant des rapports analytiques de référence aux feuilles de route pour la réglementation nationale en passant par les stratégies nationales du numérique, le BDT a continué de mettre à la disposition des décideurs nationaux les données et les outils nécessaires pour appréhender la complexité croissante des marchés et des écosystèmes dans le domaine des TIC et du numérique. Son action coordonnée a aussi permis de faire en sorte que l'aide fournie aux pays tienne compte de dimensions essentielles comme l'accessibilité financière, l'inclusion, la concurrence et l'investissement selon une approche mobilisant l'ensemble des pouvoirs publics pour mettre en application des stratégies numériques globales.</w:t>
            </w:r>
          </w:p>
          <w:p w14:paraId="5D4CC56C" w14:textId="16721641" w:rsidR="00AC69A2" w:rsidRPr="00C83DA9" w:rsidRDefault="00AC69A2" w:rsidP="00A8555F">
            <w:pPr>
              <w:pStyle w:val="Tabletext"/>
              <w:keepLines/>
              <w:spacing w:before="120"/>
              <w:ind w:right="-85"/>
              <w:rPr>
                <w:sz w:val="22"/>
                <w:lang w:val="fr-FR"/>
              </w:rPr>
            </w:pPr>
            <w:r w:rsidRPr="00C83DA9">
              <w:rPr>
                <w:sz w:val="22"/>
                <w:lang w:val="fr-FR"/>
              </w:rPr>
              <w:lastRenderedPageBreak/>
              <w:t xml:space="preserve">Le BDT a aussi poursuivi son action visant à promouvoir au niveau mondial le rôle de la réglementation pour une transformation numérique durable, dans le cadre de manifestations phares de haut niveau, conformément à la Résolution </w:t>
            </w:r>
            <w:hyperlink r:id="rId128" w:history="1">
              <w:r w:rsidRPr="00C83DA9">
                <w:rPr>
                  <w:color w:val="0000FF"/>
                  <w:sz w:val="22"/>
                  <w:u w:val="single"/>
                  <w:lang w:val="fr-FR"/>
                </w:rPr>
                <w:t>48 (Rév. Kigali, 2022)</w:t>
              </w:r>
            </w:hyperlink>
            <w:r w:rsidRPr="00C83DA9">
              <w:rPr>
                <w:sz w:val="22"/>
                <w:lang w:val="fr-FR"/>
              </w:rPr>
              <w:t xml:space="preserve"> de la</w:t>
            </w:r>
            <w:r w:rsidR="00BA2B42" w:rsidRPr="00C83DA9">
              <w:rPr>
                <w:sz w:val="22"/>
                <w:lang w:val="fr-FR"/>
              </w:rPr>
              <w:t> </w:t>
            </w:r>
            <w:r w:rsidRPr="00C83DA9">
              <w:rPr>
                <w:sz w:val="22"/>
                <w:lang w:val="fr-FR"/>
              </w:rPr>
              <w:t xml:space="preserve">CMDT-22 sur le </w:t>
            </w:r>
            <w:r w:rsidRPr="00C83DA9">
              <w:rPr>
                <w:i/>
                <w:iCs/>
                <w:sz w:val="22"/>
                <w:lang w:val="fr-FR"/>
              </w:rPr>
              <w:t>Renforcement de la coopération entre régulateurs de télécommunications</w:t>
            </w:r>
            <w:r w:rsidRPr="00C83DA9">
              <w:rPr>
                <w:sz w:val="22"/>
                <w:lang w:val="fr-FR"/>
              </w:rPr>
              <w:t xml:space="preserve">. Organisé en Égypte, le </w:t>
            </w:r>
            <w:hyperlink r:id="rId129" w:history="1">
              <w:r w:rsidRPr="00C83DA9">
                <w:rPr>
                  <w:color w:val="0000FF"/>
                  <w:sz w:val="22"/>
                  <w:u w:val="single"/>
                  <w:lang w:val="fr-FR"/>
                </w:rPr>
                <w:t>Colloque mondial des régulateurs de 2023 (GSR-23)</w:t>
              </w:r>
            </w:hyperlink>
            <w:r w:rsidRPr="00C83DA9">
              <w:rPr>
                <w:sz w:val="22"/>
                <w:lang w:val="fr-FR"/>
              </w:rPr>
              <w:t xml:space="preserve"> a réuni plus de 750 participants originaires de plus de 100 pays, parmi lesquels des ministres, des</w:t>
            </w:r>
            <w:r w:rsidR="00A8555F" w:rsidRPr="00C83DA9">
              <w:rPr>
                <w:sz w:val="22"/>
                <w:lang w:val="fr-FR"/>
              </w:rPr>
              <w:t xml:space="preserve"> </w:t>
            </w:r>
            <w:r w:rsidRPr="00C83DA9">
              <w:rPr>
                <w:sz w:val="22"/>
                <w:lang w:val="fr-FR"/>
              </w:rPr>
              <w:t>responsables d'autorités chargées de la réglementation et des dirigeants d'entreprises. Le GSR-23 a adopté des lignes directrices relatives aux meilleures pratiques qui ont été publiées sous le titre "</w:t>
            </w:r>
            <w:hyperlink r:id="rId130" w:history="1">
              <w:r w:rsidRPr="00C83DA9">
                <w:rPr>
                  <w:rStyle w:val="Hyperlink"/>
                  <w:sz w:val="22"/>
                  <w:lang w:val="fr-FR"/>
                </w:rPr>
                <w:t>Mesures d'incitation réglementaires et économiques pour un avenir numérique durable et inclusif</w:t>
              </w:r>
            </w:hyperlink>
            <w:r w:rsidRPr="00C83DA9">
              <w:rPr>
                <w:sz w:val="22"/>
                <w:lang w:val="fr-FR"/>
              </w:rPr>
              <w:t>".</w:t>
            </w:r>
          </w:p>
          <w:p w14:paraId="653E9C18" w14:textId="503A795E" w:rsidR="00AC69A2" w:rsidRPr="00C83DA9" w:rsidRDefault="00AC69A2" w:rsidP="00DC1608">
            <w:pPr>
              <w:pStyle w:val="Tabletext"/>
              <w:widowControl w:val="0"/>
              <w:spacing w:before="120"/>
              <w:ind w:right="-84"/>
              <w:rPr>
                <w:sz w:val="22"/>
                <w:lang w:val="fr-FR"/>
              </w:rPr>
            </w:pPr>
            <w:r w:rsidRPr="00C83DA9">
              <w:rPr>
                <w:sz w:val="22"/>
                <w:lang w:val="fr-FR"/>
              </w:rPr>
              <w:t xml:space="preserve">Au </w:t>
            </w:r>
            <w:hyperlink r:id="rId131" w:anchor="/fr" w:history="1">
              <w:r w:rsidRPr="00C83DA9">
                <w:rPr>
                  <w:rStyle w:val="Hyperlink"/>
                  <w:sz w:val="22"/>
                  <w:szCs w:val="24"/>
                  <w:lang w:val="fr-FR"/>
                </w:rPr>
                <w:t>GSR-24</w:t>
              </w:r>
            </w:hyperlink>
            <w:r w:rsidRPr="00C83DA9">
              <w:rPr>
                <w:sz w:val="22"/>
                <w:lang w:val="fr-FR"/>
              </w:rPr>
              <w:t xml:space="preserve">, tenu en </w:t>
            </w:r>
            <w:r w:rsidRPr="00C83DA9">
              <w:rPr>
                <w:b/>
                <w:bCs/>
                <w:sz w:val="22"/>
                <w:lang w:val="fr-FR"/>
              </w:rPr>
              <w:t>Ouganda</w:t>
            </w:r>
            <w:r w:rsidRPr="00C83DA9">
              <w:rPr>
                <w:sz w:val="22"/>
                <w:lang w:val="fr-FR"/>
              </w:rPr>
              <w:t xml:space="preserve">, des régulateurs et des décideurs venus de plus de 70 pays ont pris part à un débat mondial sur le thème "Réglementer pour produire des effets". Le GSR-24 a adopté des </w:t>
            </w:r>
            <w:hyperlink r:id="rId132" w:history="1">
              <w:r w:rsidRPr="00C83DA9">
                <w:rPr>
                  <w:color w:val="0000FF"/>
                  <w:sz w:val="22"/>
                  <w:u w:val="single"/>
                  <w:lang w:val="fr-FR"/>
                </w:rPr>
                <w:t>lignes directrices relatives aux meilleures pratiques qui ont été publiées sous le titre "Fixer le cap pour des technologies porteuses de transformations positives"</w:t>
              </w:r>
            </w:hyperlink>
            <w:r w:rsidRPr="00C83DA9">
              <w:rPr>
                <w:sz w:val="22"/>
                <w:lang w:val="fr-FR"/>
              </w:rPr>
              <w:t xml:space="preserve">. Cette manifestation a produit un ensemble de lignes directrices sur les bonnes pratiques devant fixer le cap pour des technologies porteuses de transformations positives. Le </w:t>
            </w:r>
            <w:hyperlink r:id="rId133" w:anchor="/fr" w:history="1">
              <w:r w:rsidRPr="00C83DA9">
                <w:rPr>
                  <w:rStyle w:val="Hyperlink"/>
                  <w:sz w:val="22"/>
                  <w:lang w:val="fr-FR"/>
                </w:rPr>
                <w:t>GSR-25</w:t>
              </w:r>
            </w:hyperlink>
            <w:r w:rsidRPr="00C83DA9">
              <w:rPr>
                <w:sz w:val="22"/>
                <w:lang w:val="fr-FR"/>
              </w:rPr>
              <w:t>, organisé par l'</w:t>
            </w:r>
            <w:r w:rsidRPr="00C83DA9">
              <w:rPr>
                <w:b/>
                <w:bCs/>
                <w:sz w:val="22"/>
                <w:lang w:val="fr-FR"/>
              </w:rPr>
              <w:t>Arabie saoudite</w:t>
            </w:r>
            <w:r w:rsidRPr="00C83DA9">
              <w:rPr>
                <w:sz w:val="22"/>
                <w:lang w:val="fr-FR"/>
              </w:rPr>
              <w:t xml:space="preserve">, a attiré un nombre record de 1 200 participants, parmi lesquels des ministres, des responsables d'autorités chargées de la réglementation, des dirigeants d'entreprises et des universitaires, pour débattre de la réglementation au service d'un développement numérique durable selon huit axes principaux: collaborer, connecter, faire confiance, protéger, inclure, autonomiser, pérenniser et innover. Les </w:t>
            </w:r>
            <w:hyperlink r:id="rId134" w:anchor="p=1" w:history="1">
              <w:r w:rsidRPr="00C83DA9">
                <w:rPr>
                  <w:color w:val="0000FF"/>
                  <w:sz w:val="22"/>
                  <w:u w:val="single"/>
                  <w:lang w:val="fr-FR"/>
                </w:rPr>
                <w:t>lignes directrices relatives aux meilleures pratiques adoptées par le GSR-25, intitulées "Autonomiser les régulateurs en tant que maîtres d'œuvre de l'écosystème numérique"</w:t>
              </w:r>
            </w:hyperlink>
            <w:r w:rsidRPr="00C83DA9">
              <w:rPr>
                <w:sz w:val="22"/>
                <w:lang w:val="fr-FR"/>
              </w:rPr>
              <w:t>, offrent un ensemble d'orientations pour aider les régulateurs à exercer leur responsabilité réglementaire avec pragmatisme et clairvoyance pour permettre un avenir numérique qui ne laisse personne de côté.</w:t>
            </w:r>
          </w:p>
          <w:p w14:paraId="2DF73915" w14:textId="491BDB57" w:rsidR="00AC69A2" w:rsidRPr="00C83DA9" w:rsidRDefault="00AC69A2" w:rsidP="00DC1608">
            <w:pPr>
              <w:pStyle w:val="Tabletext"/>
              <w:widowControl w:val="0"/>
              <w:spacing w:before="120"/>
              <w:ind w:right="-84"/>
              <w:rPr>
                <w:sz w:val="22"/>
                <w:lang w:val="fr-FR"/>
              </w:rPr>
            </w:pPr>
            <w:r w:rsidRPr="00C83DA9">
              <w:rPr>
                <w:sz w:val="22"/>
                <w:lang w:val="fr-FR"/>
              </w:rPr>
              <w:t xml:space="preserve">Pour renforcer la coordination régionale et mondiale dans le domaine de la réglementation, le BDT a lancé le </w:t>
            </w:r>
            <w:hyperlink r:id="rId135" w:anchor="/fr" w:history="1">
              <w:r w:rsidRPr="00C83DA9">
                <w:rPr>
                  <w:color w:val="0000FF"/>
                  <w:sz w:val="22"/>
                  <w:u w:val="single"/>
                  <w:lang w:val="fr-FR"/>
                </w:rPr>
                <w:t>Réseau de régulation du numérique</w:t>
              </w:r>
            </w:hyperlink>
            <w:r w:rsidRPr="00C83DA9">
              <w:rPr>
                <w:sz w:val="22"/>
                <w:lang w:val="fr-FR"/>
              </w:rPr>
              <w:t xml:space="preserve"> (DRN) en 2023 afin d'accélérer et de pérenniser la transformation numérique. Cette initiative promeut une conception commune et intersectorielle des politiques, de la réglementation et de la gouvernance du numérique, en collaborant directement avec les associations régionales de régulateurs et leurs membres aux échelons régional et mondial. En 2025, les associations régionales de régulateurs et le Réseau de régulation du numérique ont tenu leur réunion annuelle lors du GSR-25, le 1er septembre, à Riyad. Douze</w:t>
            </w:r>
            <w:r w:rsidR="0066229E" w:rsidRPr="00C83DA9">
              <w:rPr>
                <w:sz w:val="22"/>
                <w:lang w:val="fr-FR"/>
              </w:rPr>
              <w:t> </w:t>
            </w:r>
            <w:r w:rsidRPr="00C83DA9">
              <w:rPr>
                <w:sz w:val="22"/>
                <w:lang w:val="fr-FR"/>
              </w:rPr>
              <w:t>associations régionales de régulateurs y étaient présentes. Cette réunion de haut niveau a permis aux associations régionales de régulateurs et à leurs membres d'échanger des données d'expérience et des informations pratiques. Les principaux thèmes suivants ont été abordés: accès universel au large bande, concurrence, cybersécurité, outils et stratégies réglementaires propres à encourager l'innovation et traitement régional de questions transnationales comme l'intelligence artificielle, les communications par satellite et la protection des données.</w:t>
            </w:r>
          </w:p>
          <w:p w14:paraId="0055B7D8" w14:textId="595B95B3" w:rsidR="00AC69A2" w:rsidRPr="00C83DA9" w:rsidRDefault="00AC69A2" w:rsidP="00DC1608">
            <w:pPr>
              <w:pStyle w:val="Tabletext"/>
              <w:widowControl w:val="0"/>
              <w:spacing w:before="120"/>
              <w:ind w:right="-84"/>
              <w:rPr>
                <w:sz w:val="22"/>
                <w:lang w:val="fr-FR"/>
              </w:rPr>
            </w:pPr>
            <w:r w:rsidRPr="00C83DA9">
              <w:rPr>
                <w:sz w:val="22"/>
                <w:lang w:val="fr-FR"/>
              </w:rPr>
              <w:t>Le Colloque de l'UIT sur les politiques générales et l'économie (IPEC) pour les Amériques est une manifestation régionale annuelle organisée par l'UIT et ses partenaires régionaux pour évoquer des sujets relatifs aux politiques générales et à l'économie des télécommunications et des TIC dans la région Amériques. Les récents colloques témoignent de l'évolution de l'IPEC: l'</w:t>
            </w:r>
            <w:r w:rsidRPr="00C83DA9">
              <w:rPr>
                <w:b/>
                <w:bCs/>
                <w:sz w:val="22"/>
                <w:lang w:val="fr-FR"/>
              </w:rPr>
              <w:t>IPEC-23</w:t>
            </w:r>
            <w:r w:rsidRPr="00C83DA9">
              <w:rPr>
                <w:sz w:val="22"/>
                <w:lang w:val="fr-FR"/>
              </w:rPr>
              <w:t>, tenu à San</w:t>
            </w:r>
            <w:r w:rsidR="00A8555F" w:rsidRPr="00C83DA9">
              <w:rPr>
                <w:sz w:val="22"/>
                <w:lang w:val="fr-FR"/>
              </w:rPr>
              <w:t> </w:t>
            </w:r>
            <w:r w:rsidRPr="00C83DA9">
              <w:rPr>
                <w:sz w:val="22"/>
                <w:lang w:val="fr-FR"/>
              </w:rPr>
              <w:t>José (Costa Rica), a été marqué par une réunion du Dialogue économique régional (RED-AMS), un cours magistral sur les réseaux 5G et une réunion du Groupe régional de la Commission d'études 3. L'</w:t>
            </w:r>
            <w:r w:rsidRPr="00C83DA9">
              <w:rPr>
                <w:b/>
                <w:bCs/>
                <w:sz w:val="22"/>
                <w:lang w:val="fr-FR"/>
              </w:rPr>
              <w:t>IPEC-24</w:t>
            </w:r>
            <w:r w:rsidRPr="00C83DA9">
              <w:rPr>
                <w:sz w:val="22"/>
                <w:lang w:val="fr-FR"/>
              </w:rPr>
              <w:t>, tenu à Lima (Pérou), a abordé en particulier la gestion du spectre, les nouvelles technologies, la fracture numérique et le programme du Dialogue économique régional de l'UIT-D.</w:t>
            </w:r>
          </w:p>
          <w:p w14:paraId="737A8B71" w14:textId="77777777" w:rsidR="00AC69A2" w:rsidRPr="00C83DA9" w:rsidRDefault="00AC69A2" w:rsidP="00A8555F">
            <w:pPr>
              <w:pStyle w:val="Tabletext"/>
              <w:keepLines/>
              <w:spacing w:before="120"/>
              <w:ind w:right="-85"/>
              <w:rPr>
                <w:sz w:val="22"/>
                <w:lang w:val="fr-FR"/>
              </w:rPr>
            </w:pPr>
            <w:r w:rsidRPr="00C83DA9">
              <w:rPr>
                <w:sz w:val="22"/>
                <w:lang w:val="fr-FR"/>
              </w:rPr>
              <w:lastRenderedPageBreak/>
              <w:t xml:space="preserve">La </w:t>
            </w:r>
            <w:hyperlink r:id="rId136" w:history="1">
              <w:r w:rsidRPr="00C83DA9">
                <w:rPr>
                  <w:color w:val="0000FF"/>
                  <w:sz w:val="22"/>
                  <w:u w:val="single"/>
                  <w:lang w:val="fr-FR"/>
                </w:rPr>
                <w:t>plate-forme UIT/Banque mondiale sur la réglementation du numérique</w:t>
              </w:r>
            </w:hyperlink>
            <w:r w:rsidRPr="00C83DA9">
              <w:rPr>
                <w:sz w:val="22"/>
                <w:lang w:val="fr-FR"/>
              </w:rPr>
              <w:t xml:space="preserve"> présente des orientations concrètes ainsi que des bonnes pratiques à l'intention des décideurs et des régulateurs du monde entier sur les questions actuelles de politique générale et de réglementation. Les derniers ajouts à la plate-forme sont notamment un guide des cadres de collaboration sur l'IA; un outil intitulé "Gouvernance des données: outil d'orientation à l'intention des régulateurs"; un guide sur la tenue efficace des consultations publiques; des articles sur la gouvernance collaborative, l'élaboration de politiques à partir de données objectives, le suivi des questions de durabilité et l'intégration des facteurs environnementaux, sociaux et de gouvernance dans l'élaboration des politiques et la réglementation du secteur des TIC; et une vue d'ensemble des systèmes 6G (IMT-2030) et des services de connexion directe aux dispositifs par satellite; ainsi que des mises à jour des modules "Accès pour tous" et "Gestion du spectre".</w:t>
            </w:r>
          </w:p>
          <w:p w14:paraId="3F44742D" w14:textId="1B39DBD4" w:rsidR="00AC69A2" w:rsidRPr="00C83DA9" w:rsidRDefault="00AC69A2" w:rsidP="00DC1608">
            <w:pPr>
              <w:pStyle w:val="Tabletext"/>
              <w:widowControl w:val="0"/>
              <w:spacing w:before="120"/>
              <w:ind w:right="-84"/>
              <w:rPr>
                <w:sz w:val="22"/>
                <w:lang w:val="fr-FR"/>
              </w:rPr>
            </w:pPr>
            <w:r w:rsidRPr="00C83DA9">
              <w:rPr>
                <w:sz w:val="22"/>
                <w:lang w:val="fr-FR"/>
              </w:rPr>
              <w:t xml:space="preserve">Par ailleurs, le </w:t>
            </w:r>
            <w:hyperlink r:id="rId137" w:history="1">
              <w:r w:rsidRPr="00C83DA9">
                <w:rPr>
                  <w:color w:val="0000FF"/>
                  <w:sz w:val="22"/>
                  <w:u w:val="single"/>
                  <w:lang w:val="fr-FR"/>
                </w:rPr>
                <w:t>Kit pratique pour l'efficacité du financement du service universel</w:t>
              </w:r>
            </w:hyperlink>
            <w:r w:rsidRPr="00C83DA9">
              <w:rPr>
                <w:sz w:val="22"/>
                <w:lang w:val="fr-FR"/>
              </w:rPr>
              <w:t>, a été lancé en février 2023, avec l'appui du Projet d'accès numérique financé par le Ministère des affaires étrangères, du Commonwealth et du développement du Royaume-Uni. Cet outil offre un guide pratique aux pays qui réfléchissent à des modèles économiques efficaces aux niveaux local, municipal et national. Pour en optimiser l'utilité, une formation en autonomie a été proposée en ligne par l'Académie de l'UIT, et des formations en présentiel ont été dispensées aux acteurs nationaux de l'</w:t>
            </w:r>
            <w:r w:rsidRPr="00C83DA9">
              <w:rPr>
                <w:b/>
                <w:bCs/>
                <w:sz w:val="22"/>
                <w:lang w:val="fr-FR"/>
              </w:rPr>
              <w:t>Indonésie</w:t>
            </w:r>
            <w:r w:rsidRPr="00C83DA9">
              <w:rPr>
                <w:sz w:val="22"/>
                <w:lang w:val="fr-FR"/>
              </w:rPr>
              <w:t xml:space="preserve">, du </w:t>
            </w:r>
            <w:r w:rsidRPr="00C83DA9">
              <w:rPr>
                <w:b/>
                <w:bCs/>
                <w:sz w:val="22"/>
                <w:lang w:val="fr-FR"/>
              </w:rPr>
              <w:t>Kenya</w:t>
            </w:r>
            <w:r w:rsidRPr="00C83DA9">
              <w:rPr>
                <w:sz w:val="22"/>
                <w:lang w:val="fr-FR"/>
              </w:rPr>
              <w:t xml:space="preserve">, du </w:t>
            </w:r>
            <w:r w:rsidRPr="00C83DA9">
              <w:rPr>
                <w:b/>
                <w:bCs/>
                <w:sz w:val="22"/>
                <w:lang w:val="fr-FR"/>
              </w:rPr>
              <w:t>Nigéria</w:t>
            </w:r>
            <w:r w:rsidRPr="00C83DA9">
              <w:rPr>
                <w:sz w:val="22"/>
                <w:lang w:val="fr-FR"/>
              </w:rPr>
              <w:t xml:space="preserve"> et de l</w:t>
            </w:r>
            <w:r w:rsidR="00CA734F">
              <w:rPr>
                <w:sz w:val="22"/>
                <w:lang w:val="fr-FR"/>
              </w:rPr>
              <w:t xml:space="preserve">a </w:t>
            </w:r>
            <w:r w:rsidR="00CA734F" w:rsidRPr="00CA734F">
              <w:rPr>
                <w:b/>
                <w:bCs/>
                <w:sz w:val="22"/>
                <w:lang w:val="fr-FR"/>
              </w:rPr>
              <w:t>République s</w:t>
            </w:r>
            <w:r w:rsidR="00CA734F">
              <w:rPr>
                <w:b/>
                <w:bCs/>
                <w:sz w:val="22"/>
                <w:lang w:val="fr-FR"/>
              </w:rPr>
              <w:t>udafricaine</w:t>
            </w:r>
            <w:r w:rsidRPr="00C83DA9">
              <w:rPr>
                <w:sz w:val="22"/>
                <w:lang w:val="fr-FR"/>
              </w:rPr>
              <w:t>, ce qui a permis aux régulateurs d'accéder à des informations utiles et à des bonnes pratiques. En outre, une formation en présentiel fondée sur le Kit pratique a été dispensée aux décideurs de l'ASEAN concernant la réglementation de la transformation numérique en 2025.</w:t>
            </w:r>
          </w:p>
          <w:p w14:paraId="4029A974" w14:textId="77777777" w:rsidR="00AC69A2" w:rsidRPr="00C83DA9" w:rsidRDefault="00AC69A2" w:rsidP="00DC1608">
            <w:pPr>
              <w:pStyle w:val="Tabletext"/>
              <w:widowControl w:val="0"/>
              <w:spacing w:before="120"/>
              <w:ind w:right="-84"/>
              <w:rPr>
                <w:sz w:val="22"/>
                <w:lang w:val="fr-FR"/>
              </w:rPr>
            </w:pPr>
            <w:r w:rsidRPr="00C83DA9">
              <w:rPr>
                <w:sz w:val="22"/>
                <w:lang w:val="fr-FR"/>
              </w:rPr>
              <w:t xml:space="preserve">Une série de formations dispensées par l'intermédiaire de l'Académie de l'UIT sur la réglementation du numérique a permis aux participants d'approfondir leur compréhension et leur connaissance de certains aspects des politiques générales et de la réglementation dans le contexte du numérique. Au cours de cette période, les thèmes de formation ont concerné principalement les stratégies de transformation numérique, la gouvernance réglementaire, la prise de décisions reposant sur des données factuelles et l'expérimentation réglementaire. Divers autres cours ont été dispensés sur des sujets liés à la réglementation, en ligne, par l'intermédiaire de l'Académie de l'UIT, comme en présentiel, en les adaptant au contexte régional compte tenu des priorités concrètes. Dans la </w:t>
            </w:r>
            <w:r w:rsidRPr="00C83DA9">
              <w:rPr>
                <w:b/>
                <w:bCs/>
                <w:sz w:val="22"/>
                <w:lang w:val="fr-FR"/>
              </w:rPr>
              <w:t>région Asie-Pacifique</w:t>
            </w:r>
            <w:r w:rsidRPr="00C83DA9">
              <w:rPr>
                <w:sz w:val="22"/>
                <w:lang w:val="fr-FR"/>
              </w:rPr>
              <w:t xml:space="preserve">, le programme a mis l'accent sur les flux de données internationaux et le commerce numérique; en </w:t>
            </w:r>
            <w:r w:rsidRPr="00C83DA9">
              <w:rPr>
                <w:b/>
                <w:bCs/>
                <w:sz w:val="22"/>
                <w:lang w:val="fr-FR"/>
              </w:rPr>
              <w:t>Afrique</w:t>
            </w:r>
            <w:r w:rsidRPr="00C83DA9">
              <w:rPr>
                <w:sz w:val="22"/>
                <w:lang w:val="fr-FR"/>
              </w:rPr>
              <w:t xml:space="preserve">, il a porté essentiellement sur la réglementation du numérique, la réglementation des satellites, la gouvernance des données et la gestion du spectre; et dans la </w:t>
            </w:r>
            <w:r w:rsidRPr="00C83DA9">
              <w:rPr>
                <w:b/>
                <w:bCs/>
                <w:sz w:val="22"/>
                <w:lang w:val="fr-FR"/>
              </w:rPr>
              <w:t>région de la CEI</w:t>
            </w:r>
            <w:r w:rsidRPr="00C83DA9">
              <w:rPr>
                <w:sz w:val="22"/>
                <w:lang w:val="fr-FR"/>
              </w:rPr>
              <w:t>, la formation a concerné les obligations de service universel et la connectivité rurale.</w:t>
            </w:r>
          </w:p>
          <w:p w14:paraId="1956AF72" w14:textId="77777777" w:rsidR="00AC69A2" w:rsidRPr="00C83DA9" w:rsidRDefault="00AC69A2" w:rsidP="00DC1608">
            <w:pPr>
              <w:pStyle w:val="Tabletext"/>
              <w:widowControl w:val="0"/>
              <w:spacing w:before="120"/>
              <w:ind w:right="-84"/>
              <w:rPr>
                <w:sz w:val="22"/>
                <w:lang w:val="fr-FR"/>
              </w:rPr>
            </w:pPr>
            <w:r w:rsidRPr="00C83DA9">
              <w:rPr>
                <w:sz w:val="22"/>
                <w:lang w:val="fr-FR"/>
              </w:rPr>
              <w:t xml:space="preserve">Les indicateurs de l'UIT sur les politiques et la réglementation ont continué d'être utilisés pour suivre les tendances mondiales et régionales à partir des données de 194 pays. En 2023, l'UIT a adopté un cadre unifié de référence pour évaluer l'état de préparation à la transformation numérique des cadres juridiques, des cadres de politique générale et des cadres de gouvernance nationaux. Le </w:t>
            </w:r>
            <w:hyperlink r:id="rId138" w:history="1">
              <w:r w:rsidRPr="00C83DA9">
                <w:rPr>
                  <w:color w:val="0000FF"/>
                  <w:sz w:val="22"/>
                  <w:u w:val="single"/>
                  <w:lang w:val="fr-FR"/>
                </w:rPr>
                <w:t>Cadre unifié de référence</w:t>
              </w:r>
            </w:hyperlink>
            <w:r w:rsidRPr="00C83DA9">
              <w:rPr>
                <w:sz w:val="22"/>
                <w:lang w:val="fr-FR"/>
              </w:rPr>
              <w:t>, l'</w:t>
            </w:r>
            <w:hyperlink r:id="rId139" w:history="1">
              <w:r w:rsidRPr="00C83DA9">
                <w:rPr>
                  <w:color w:val="0000FF"/>
                  <w:sz w:val="22"/>
                  <w:u w:val="single"/>
                  <w:lang w:val="fr-FR"/>
                </w:rPr>
                <w:t>Outil de suivi réglementaire des TIC</w:t>
              </w:r>
            </w:hyperlink>
            <w:r w:rsidRPr="00C83DA9">
              <w:rPr>
                <w:sz w:val="22"/>
                <w:lang w:val="fr-FR"/>
              </w:rPr>
              <w:t xml:space="preserve"> et le </w:t>
            </w:r>
            <w:hyperlink r:id="rId140" w:history="1">
              <w:r w:rsidRPr="00C83DA9">
                <w:rPr>
                  <w:color w:val="0000FF"/>
                  <w:sz w:val="22"/>
                  <w:u w:val="single"/>
                  <w:lang w:val="fr-FR"/>
                </w:rPr>
                <w:t>Cadre de référence pour la réglementation de cinquième génération (G5)</w:t>
              </w:r>
            </w:hyperlink>
            <w:r w:rsidRPr="00C83DA9">
              <w:rPr>
                <w:sz w:val="22"/>
                <w:lang w:val="fr-FR"/>
              </w:rPr>
              <w:t xml:space="preserve"> sont hébergés sur la </w:t>
            </w:r>
            <w:hyperlink r:id="rId141" w:history="1">
              <w:r w:rsidRPr="00C83DA9">
                <w:rPr>
                  <w:color w:val="0000FF"/>
                  <w:sz w:val="22"/>
                  <w:u w:val="single"/>
                  <w:lang w:val="fr-FR"/>
                </w:rPr>
                <w:t>plate</w:t>
              </w:r>
              <w:r w:rsidRPr="00C83DA9">
                <w:rPr>
                  <w:color w:val="0000FF"/>
                  <w:sz w:val="22"/>
                  <w:u w:val="single"/>
                  <w:lang w:val="fr-FR"/>
                </w:rPr>
                <w:noBreakHyphen/>
                <w:t>forme G5 Accelerator</w:t>
              </w:r>
            </w:hyperlink>
            <w:r w:rsidRPr="00C83DA9">
              <w:rPr>
                <w:sz w:val="22"/>
                <w:lang w:val="fr-FR"/>
              </w:rPr>
              <w:t>, qui contient des profils par pays de la maturité de la réglementation des TIC et de la gouvernance numérique ainsi que des analyses interactives et des cartes thématiques. Les éditions 2024 de l'Outil de suivi réglementaire des TIC et 2025 du Cadre de référence pour la réglementation de cinquième génération ont mis en évidence les tendances mondiales et régionales qui déterminent l'environnement des TIC et plus généralement du numérique. L'ensemble de ces outils offre un schéma pratique pour mener les réformes, en facilitant une prise des décisions reposant sur des données factuelles et permettant une évaluation globale des capacités de transformation numérique des pays et de leur état de préparation à cet égard.</w:t>
            </w:r>
          </w:p>
          <w:p w14:paraId="2D9555E6" w14:textId="3C5F10B4" w:rsidR="00AC69A2" w:rsidRPr="00C83DA9" w:rsidRDefault="00AC69A2" w:rsidP="00A8555F">
            <w:pPr>
              <w:pStyle w:val="Tabletext"/>
              <w:keepLines/>
              <w:spacing w:before="120"/>
              <w:ind w:right="-85"/>
              <w:rPr>
                <w:sz w:val="22"/>
                <w:lang w:val="fr-FR"/>
              </w:rPr>
            </w:pPr>
            <w:r w:rsidRPr="00C83DA9">
              <w:rPr>
                <w:sz w:val="22"/>
                <w:lang w:val="fr-FR"/>
              </w:rPr>
              <w:lastRenderedPageBreak/>
              <w:t xml:space="preserve">Lancé en 2023, le </w:t>
            </w:r>
            <w:r w:rsidR="0066229E" w:rsidRPr="00C83DA9">
              <w:rPr>
                <w:sz w:val="22"/>
                <w:lang w:val="fr-FR"/>
              </w:rPr>
              <w:t>r</w:t>
            </w:r>
            <w:r w:rsidRPr="00C83DA9">
              <w:rPr>
                <w:sz w:val="22"/>
                <w:lang w:val="fr-FR"/>
              </w:rPr>
              <w:t xml:space="preserve">apport </w:t>
            </w:r>
            <w:hyperlink r:id="rId142" w:anchor="/fr" w:history="1">
              <w:r w:rsidRPr="00C83DA9">
                <w:rPr>
                  <w:rStyle w:val="Hyperlink"/>
                  <w:b/>
                  <w:bCs/>
                  <w:sz w:val="22"/>
                  <w:lang w:val="fr-FR"/>
                </w:rPr>
                <w:t>Global Digital Regulatory Outlook 2023</w:t>
              </w:r>
            </w:hyperlink>
            <w:r w:rsidRPr="00C83DA9">
              <w:rPr>
                <w:sz w:val="22"/>
                <w:lang w:val="fr-FR"/>
              </w:rPr>
              <w:t xml:space="preserve"> (Perspectives d'évolution de la réglementation du numérique dans le monde en 2023) a permis une évaluation complète des tendances réglementaires dans le monde, par l'analyse comparative de plus</w:t>
            </w:r>
            <w:r w:rsidR="00C76335" w:rsidRPr="00C83DA9">
              <w:rPr>
                <w:sz w:val="22"/>
                <w:lang w:val="fr-FR"/>
              </w:rPr>
              <w:t> </w:t>
            </w:r>
            <w:r w:rsidRPr="00C83DA9">
              <w:rPr>
                <w:sz w:val="22"/>
                <w:lang w:val="fr-FR"/>
              </w:rPr>
              <w:t>de</w:t>
            </w:r>
            <w:r w:rsidR="00C76335" w:rsidRPr="00C83DA9">
              <w:rPr>
                <w:sz w:val="22"/>
                <w:lang w:val="fr-FR"/>
              </w:rPr>
              <w:t> </w:t>
            </w:r>
            <w:r w:rsidRPr="00C83DA9">
              <w:rPr>
                <w:sz w:val="22"/>
                <w:lang w:val="fr-FR"/>
              </w:rPr>
              <w:t>190 pays et la présentation de données sur la maturité des marchés, les modèles de politique générale et les conditions permettant la croissance des marchés du numérique. Le rapport a confirmé que les pays ayant adopté un cadre de gouvernance collaborative ont obtenu un développement plus rapide du large bande et des services plus abordables. En décrivant les stratégies réglementaires régionales, l'analyse a donné un point de référence aux États Membres pour s'aligner sur les meilleures pratiques internationales et a souligné le rôle de la souplesse réglementaire pour accélérer la transformation numérique.</w:t>
            </w:r>
          </w:p>
          <w:p w14:paraId="550D15D8" w14:textId="24FC32ED" w:rsidR="00AC69A2" w:rsidRPr="00C83DA9" w:rsidRDefault="00AC69A2" w:rsidP="00DC1608">
            <w:pPr>
              <w:pStyle w:val="Tabletext"/>
              <w:widowControl w:val="0"/>
              <w:spacing w:before="120"/>
              <w:ind w:right="-84"/>
              <w:rPr>
                <w:sz w:val="22"/>
                <w:lang w:val="fr-FR"/>
              </w:rPr>
            </w:pPr>
            <w:r w:rsidRPr="00C83DA9">
              <w:rPr>
                <w:sz w:val="22"/>
                <w:lang w:val="fr-FR"/>
              </w:rPr>
              <w:t xml:space="preserve">La </w:t>
            </w:r>
            <w:hyperlink r:id="rId143" w:anchor="/fr" w:history="1">
              <w:r w:rsidRPr="00C83DA9">
                <w:rPr>
                  <w:b/>
                  <w:bCs/>
                  <w:color w:val="0000FF"/>
                  <w:sz w:val="22"/>
                  <w:u w:val="single"/>
                  <w:lang w:val="fr-FR"/>
                </w:rPr>
                <w:t>série d'analyses collaboratives sur la réglementation nationale en matière de numérique</w:t>
              </w:r>
            </w:hyperlink>
            <w:r w:rsidRPr="00C83DA9">
              <w:rPr>
                <w:sz w:val="22"/>
                <w:lang w:val="fr-FR"/>
              </w:rPr>
              <w:t xml:space="preserve"> propose des évaluations ciblées des cadres, des politiques et des pratiques de réglementation et de gouvernance dans les secteurs des TIC et du numérique. Ces analyses ont été menées en collaboration avec des autorités publiques, des acteurs nationaux et des spécialistes reconnus, en s'appuyant sur les outils reposant sur des données factuelles de l'UIT et ses critères de référence en matière de réglementation. Depuis 2023, le BDT a publié de telles analyses pour le </w:t>
            </w:r>
            <w:r w:rsidRPr="00C83DA9">
              <w:rPr>
                <w:b/>
                <w:bCs/>
                <w:sz w:val="22"/>
                <w:lang w:val="fr-FR"/>
              </w:rPr>
              <w:t>Brésil</w:t>
            </w:r>
            <w:r w:rsidRPr="00C83DA9">
              <w:rPr>
                <w:sz w:val="22"/>
                <w:lang w:val="fr-FR"/>
              </w:rPr>
              <w:t xml:space="preserve">, la </w:t>
            </w:r>
            <w:r w:rsidRPr="00C83DA9">
              <w:rPr>
                <w:b/>
                <w:bCs/>
                <w:sz w:val="22"/>
                <w:lang w:val="fr-FR"/>
              </w:rPr>
              <w:t>Colombie</w:t>
            </w:r>
            <w:r w:rsidRPr="00C83DA9">
              <w:rPr>
                <w:sz w:val="22"/>
                <w:lang w:val="fr-FR"/>
              </w:rPr>
              <w:t>, l'</w:t>
            </w:r>
            <w:r w:rsidRPr="00C83DA9">
              <w:rPr>
                <w:b/>
                <w:bCs/>
                <w:sz w:val="22"/>
                <w:lang w:val="fr-FR"/>
              </w:rPr>
              <w:t>Égypte</w:t>
            </w:r>
            <w:r w:rsidRPr="00C83DA9">
              <w:rPr>
                <w:sz w:val="22"/>
                <w:lang w:val="fr-FR"/>
              </w:rPr>
              <w:t xml:space="preserve">, le </w:t>
            </w:r>
            <w:r w:rsidRPr="00C83DA9">
              <w:rPr>
                <w:b/>
                <w:bCs/>
                <w:sz w:val="22"/>
                <w:lang w:val="fr-FR"/>
              </w:rPr>
              <w:t>Kenya</w:t>
            </w:r>
            <w:r w:rsidRPr="00C83DA9">
              <w:rPr>
                <w:sz w:val="22"/>
                <w:lang w:val="fr-FR"/>
              </w:rPr>
              <w:t xml:space="preserve">, le </w:t>
            </w:r>
            <w:r w:rsidRPr="00C83DA9">
              <w:rPr>
                <w:b/>
                <w:bCs/>
                <w:sz w:val="22"/>
                <w:lang w:val="fr-FR"/>
              </w:rPr>
              <w:t>Nigéria</w:t>
            </w:r>
            <w:r w:rsidRPr="00C83DA9">
              <w:rPr>
                <w:sz w:val="22"/>
                <w:lang w:val="fr-FR"/>
              </w:rPr>
              <w:t xml:space="preserve">, </w:t>
            </w:r>
            <w:r w:rsidRPr="00C83DA9">
              <w:rPr>
                <w:b/>
                <w:bCs/>
                <w:sz w:val="22"/>
                <w:lang w:val="fr-FR"/>
              </w:rPr>
              <w:t>Oman</w:t>
            </w:r>
            <w:r w:rsidRPr="00C83DA9">
              <w:rPr>
                <w:sz w:val="22"/>
                <w:lang w:val="fr-FR"/>
              </w:rPr>
              <w:t xml:space="preserve"> et </w:t>
            </w:r>
            <w:r w:rsidR="00CA734F">
              <w:rPr>
                <w:sz w:val="22"/>
                <w:lang w:val="fr-FR"/>
              </w:rPr>
              <w:t xml:space="preserve">la </w:t>
            </w:r>
            <w:r w:rsidR="00CA734F" w:rsidRPr="00CA734F">
              <w:rPr>
                <w:b/>
                <w:bCs/>
                <w:sz w:val="22"/>
                <w:lang w:val="fr-FR"/>
              </w:rPr>
              <w:t>République sudafricaine</w:t>
            </w:r>
            <w:r w:rsidRPr="00C83DA9">
              <w:rPr>
                <w:sz w:val="22"/>
                <w:lang w:val="fr-FR"/>
              </w:rPr>
              <w:t xml:space="preserve"> et les travaux relatifs au Qatar touchent à leur fin.</w:t>
            </w:r>
          </w:p>
          <w:p w14:paraId="720BEFA2" w14:textId="77777777" w:rsidR="00AC69A2" w:rsidRPr="00C83DA9" w:rsidRDefault="00AC69A2" w:rsidP="00DC1608">
            <w:pPr>
              <w:pStyle w:val="Tabletext"/>
              <w:widowControl w:val="0"/>
              <w:spacing w:before="120"/>
              <w:ind w:right="-84"/>
              <w:rPr>
                <w:sz w:val="22"/>
                <w:lang w:val="fr-FR"/>
              </w:rPr>
            </w:pPr>
            <w:r w:rsidRPr="00C83DA9">
              <w:rPr>
                <w:sz w:val="22"/>
                <w:lang w:val="fr-FR"/>
              </w:rPr>
              <w:t>En s'inspirant de la série existante d'études économétriques de l'UIT, le BDT a publié le rapport intitulé Incidence de la transformation numérique sur l'économie – Modélisation économétrique. Cette étude décrit les retombées des TIC pour l'innovation, la productivité et l'inclusion numérique. Bien que sa croissance ait ralenti, le secteur des TIC continue de jouer un rôle moteur dans la transformation économique, et les progrès actuels de la connectivité devraient affermir son influence à long terme.</w:t>
            </w:r>
          </w:p>
          <w:p w14:paraId="4EF516D5" w14:textId="7B961E80" w:rsidR="00AC69A2" w:rsidRPr="00C83DA9" w:rsidRDefault="00AC69A2" w:rsidP="00DC1608">
            <w:pPr>
              <w:pStyle w:val="Tabletext"/>
              <w:widowControl w:val="0"/>
              <w:spacing w:before="120"/>
              <w:ind w:right="-84"/>
              <w:rPr>
                <w:sz w:val="22"/>
                <w:lang w:val="fr-FR"/>
              </w:rPr>
            </w:pPr>
            <w:r w:rsidRPr="00C83DA9">
              <w:rPr>
                <w:sz w:val="22"/>
                <w:lang w:val="fr-FR"/>
              </w:rPr>
              <w:t xml:space="preserve">Une autre étude phare, </w:t>
            </w:r>
            <w:hyperlink r:id="rId144" w:anchor="/fr" w:history="1">
              <w:r w:rsidRPr="00C83DA9">
                <w:rPr>
                  <w:rStyle w:val="Hyperlink"/>
                  <w:b/>
                  <w:bCs/>
                  <w:sz w:val="22"/>
                  <w:szCs w:val="24"/>
                  <w:lang w:val="fr-FR"/>
                </w:rPr>
                <w:t>Vue d'ensemble de la taxation des services numériques</w:t>
              </w:r>
              <w:r w:rsidR="00432538" w:rsidRPr="00C83DA9">
                <w:rPr>
                  <w:rStyle w:val="Hyperlink"/>
                  <w:b/>
                  <w:bCs/>
                  <w:sz w:val="22"/>
                  <w:szCs w:val="24"/>
                  <w:lang w:val="fr-FR"/>
                </w:rPr>
                <w:t xml:space="preserve"> </w:t>
              </w:r>
              <w:r w:rsidR="00432538" w:rsidRPr="00C83DA9">
                <w:rPr>
                  <w:rStyle w:val="Hyperlink"/>
                  <w:b/>
                  <w:bCs/>
                  <w:lang w:val="fr-FR"/>
                </w:rPr>
                <w:t>(2025)</w:t>
              </w:r>
            </w:hyperlink>
            <w:r w:rsidRPr="00C83DA9">
              <w:rPr>
                <w:sz w:val="22"/>
                <w:lang w:val="fr-FR"/>
              </w:rPr>
              <w:t>, avait pour but d'expliciter l'univers complexe de la taxation des services numériques grâce à une analyse comparative complète entre pays et régions. L'étude analyse la fiscalité imposée aux opérateurs de l'économie numérique, ainsi que celle relative à la consommation de services numériques par les entreprises et les consommateurs.</w:t>
            </w:r>
          </w:p>
          <w:p w14:paraId="2B79C252" w14:textId="32F79A35" w:rsidR="00AC69A2" w:rsidRPr="00C83DA9" w:rsidRDefault="00AC69A2" w:rsidP="00DC1608">
            <w:pPr>
              <w:pStyle w:val="Tabletext"/>
              <w:widowControl w:val="0"/>
              <w:spacing w:before="120"/>
              <w:ind w:right="-84"/>
              <w:rPr>
                <w:sz w:val="22"/>
                <w:lang w:val="fr-FR"/>
              </w:rPr>
            </w:pPr>
            <w:r w:rsidRPr="00C83DA9">
              <w:rPr>
                <w:sz w:val="22"/>
                <w:lang w:val="fr-FR"/>
              </w:rPr>
              <w:t xml:space="preserve">En </w:t>
            </w:r>
            <w:r w:rsidRPr="00C83DA9">
              <w:rPr>
                <w:b/>
                <w:bCs/>
                <w:sz w:val="22"/>
                <w:lang w:val="fr-FR"/>
              </w:rPr>
              <w:t>Afrique</w:t>
            </w:r>
            <w:r w:rsidRPr="00C83DA9">
              <w:rPr>
                <w:sz w:val="22"/>
                <w:lang w:val="fr-FR"/>
              </w:rPr>
              <w:t xml:space="preserve">, lors d'une activité visant à développer et à renforcer les capacités en matière de gestion du spectre et de technologies nouvelles, </w:t>
            </w:r>
            <w:r w:rsidR="00C72BFA" w:rsidRPr="00C83DA9">
              <w:rPr>
                <w:sz w:val="22"/>
                <w:lang w:val="fr-FR"/>
              </w:rPr>
              <w:t>des formations et des ateliers</w:t>
            </w:r>
            <w:r w:rsidRPr="00C83DA9">
              <w:rPr>
                <w:sz w:val="22"/>
                <w:lang w:val="fr-FR"/>
              </w:rPr>
              <w:t xml:space="preserve"> ont été organisés dans le cadre du projet PRIDA pour </w:t>
            </w:r>
            <w:r w:rsidR="00C72BFA" w:rsidRPr="00C83DA9">
              <w:rPr>
                <w:sz w:val="22"/>
                <w:lang w:val="fr-FR"/>
              </w:rPr>
              <w:t xml:space="preserve">plus de </w:t>
            </w:r>
            <w:r w:rsidRPr="00C83DA9">
              <w:rPr>
                <w:sz w:val="22"/>
                <w:lang w:val="fr-FR"/>
              </w:rPr>
              <w:t>43 pays</w:t>
            </w:r>
            <w:r w:rsidR="00C72BFA" w:rsidRPr="00C83DA9">
              <w:rPr>
                <w:sz w:val="22"/>
                <w:lang w:val="fr-FR"/>
              </w:rPr>
              <w:t>, dont les suivants</w:t>
            </w:r>
            <w:r w:rsidRPr="00C83DA9">
              <w:rPr>
                <w:sz w:val="22"/>
                <w:lang w:val="fr-FR"/>
              </w:rPr>
              <w:t xml:space="preserve">: </w:t>
            </w:r>
            <w:r w:rsidRPr="00C83DA9">
              <w:rPr>
                <w:b/>
                <w:bCs/>
                <w:sz w:val="22"/>
                <w:lang w:val="fr-FR"/>
              </w:rPr>
              <w:t>Angola,</w:t>
            </w:r>
            <w:r w:rsidR="0079564A">
              <w:rPr>
                <w:b/>
                <w:bCs/>
                <w:sz w:val="22"/>
                <w:lang w:val="fr-FR"/>
              </w:rPr>
              <w:t> </w:t>
            </w:r>
            <w:r w:rsidRPr="00C83DA9">
              <w:rPr>
                <w:b/>
                <w:bCs/>
                <w:sz w:val="22"/>
                <w:lang w:val="fr-FR"/>
              </w:rPr>
              <w:t>Bénin, Botswana, Burkina Faso, Burundi, Cabo Verde, Cameroun, Côte d'Ivoire, Eswatini, Éthiopie, Gabon, Gambie, Ghana, Guinée, Guinée-Bissau, Guinée équatoriale, Kenya, Lesotho, Libéria, Madagascar, Malawi, Mali, Maurice, Mozambique, Namibie, Niger, Nigéria, Ouganda, République centrafricaine, République du Congo, République démocratique du Congo, Rwanda, Sao</w:t>
            </w:r>
            <w:r w:rsidR="0079564A">
              <w:rPr>
                <w:b/>
                <w:bCs/>
                <w:sz w:val="22"/>
                <w:lang w:val="fr-FR"/>
              </w:rPr>
              <w:t> </w:t>
            </w:r>
            <w:r w:rsidRPr="00C83DA9">
              <w:rPr>
                <w:b/>
                <w:bCs/>
                <w:sz w:val="22"/>
                <w:lang w:val="fr-FR"/>
              </w:rPr>
              <w:t>Tomé</w:t>
            </w:r>
            <w:r w:rsidR="0079564A">
              <w:rPr>
                <w:b/>
                <w:bCs/>
                <w:sz w:val="22"/>
                <w:lang w:val="fr-FR"/>
              </w:rPr>
              <w:noBreakHyphen/>
            </w:r>
            <w:r w:rsidRPr="00C83DA9">
              <w:rPr>
                <w:b/>
                <w:bCs/>
                <w:sz w:val="22"/>
                <w:lang w:val="fr-FR"/>
              </w:rPr>
              <w:t>et</w:t>
            </w:r>
            <w:r w:rsidR="0079564A">
              <w:rPr>
                <w:b/>
                <w:bCs/>
                <w:sz w:val="22"/>
                <w:lang w:val="fr-FR"/>
              </w:rPr>
              <w:noBreakHyphen/>
            </w:r>
            <w:r w:rsidRPr="00C83DA9">
              <w:rPr>
                <w:b/>
                <w:bCs/>
                <w:sz w:val="22"/>
                <w:lang w:val="fr-FR"/>
              </w:rPr>
              <w:t xml:space="preserve">Principe, Sénégal, Seychelles, Sierra Leone, Soudan du Sud, </w:t>
            </w:r>
            <w:r w:rsidR="00F618BE">
              <w:rPr>
                <w:b/>
                <w:bCs/>
                <w:sz w:val="22"/>
                <w:lang w:val="fr-FR"/>
              </w:rPr>
              <w:t xml:space="preserve">République sudafricaine, </w:t>
            </w:r>
            <w:r w:rsidRPr="00C83DA9">
              <w:rPr>
                <w:b/>
                <w:bCs/>
                <w:sz w:val="22"/>
                <w:lang w:val="fr-FR"/>
              </w:rPr>
              <w:t>Tanzanie, Tchad, Togo, Zambie et</w:t>
            </w:r>
            <w:r w:rsidR="0079564A">
              <w:rPr>
                <w:b/>
                <w:bCs/>
                <w:sz w:val="22"/>
                <w:lang w:val="fr-FR"/>
              </w:rPr>
              <w:t> </w:t>
            </w:r>
            <w:r w:rsidRPr="00C83DA9">
              <w:rPr>
                <w:b/>
                <w:bCs/>
                <w:sz w:val="22"/>
                <w:lang w:val="fr-FR"/>
              </w:rPr>
              <w:t>Zimbabwe</w:t>
            </w:r>
            <w:r w:rsidRPr="00C83DA9">
              <w:rPr>
                <w:sz w:val="22"/>
                <w:lang w:val="fr-FR"/>
              </w:rPr>
              <w:t xml:space="preserve">. Neuf pays de la région des États arabes ont participé aux activités: </w:t>
            </w:r>
            <w:r w:rsidRPr="00C83DA9">
              <w:rPr>
                <w:b/>
                <w:bCs/>
                <w:sz w:val="22"/>
                <w:lang w:val="fr-FR"/>
              </w:rPr>
              <w:t>Algérie, Comores, Djibouti, Égypte, Libye, Mauritanie, Maroc, Somalie et Soudan</w:t>
            </w:r>
            <w:r w:rsidRPr="00C83DA9">
              <w:rPr>
                <w:sz w:val="22"/>
                <w:lang w:val="fr-FR"/>
              </w:rPr>
              <w:t>. Vingt pays ont bénéficié d'une assistance technique au titre du projet</w:t>
            </w:r>
            <w:r w:rsidR="005A28B3" w:rsidRPr="00C83DA9">
              <w:rPr>
                <w:sz w:val="22"/>
                <w:lang w:val="fr-FR"/>
              </w:rPr>
              <w:t xml:space="preserve"> PRIDA</w:t>
            </w:r>
            <w:r w:rsidRPr="00C83DA9">
              <w:rPr>
                <w:sz w:val="22"/>
                <w:lang w:val="fr-FR"/>
              </w:rPr>
              <w:t>. Les formations dispensées comprenaient notamment la gestion du spectre dans les pays en développement, les services de communication aéronautique et maritime, le large bande par satellite et la réglementation des réseaux locaux hertziens, la planification des activités commerciales pour le développement des réseaux large bande, les aspects du spectre à prendre en considération dans le cadre de l'Internet des objets, ainsi qu'une formation spécialisée sur la gestion du spectre pour les jeunes femmes.</w:t>
            </w:r>
          </w:p>
          <w:p w14:paraId="79208E90" w14:textId="26DD4F1F" w:rsidR="00AC69A2" w:rsidRPr="00C83DA9" w:rsidRDefault="00AC69A2" w:rsidP="00A8555F">
            <w:pPr>
              <w:pStyle w:val="Tabletext"/>
              <w:keepLines/>
              <w:spacing w:before="120"/>
              <w:ind w:right="-85"/>
              <w:rPr>
                <w:sz w:val="22"/>
                <w:lang w:val="fr-FR"/>
              </w:rPr>
            </w:pPr>
            <w:r w:rsidRPr="00C83DA9">
              <w:rPr>
                <w:sz w:val="22"/>
                <w:lang w:val="fr-FR"/>
              </w:rPr>
              <w:lastRenderedPageBreak/>
              <w:t xml:space="preserve">Dans la </w:t>
            </w:r>
            <w:r w:rsidRPr="00C83DA9">
              <w:rPr>
                <w:b/>
                <w:bCs/>
                <w:sz w:val="22"/>
                <w:lang w:val="fr-FR"/>
              </w:rPr>
              <w:t>région Asie-Pacifique</w:t>
            </w:r>
            <w:r w:rsidRPr="00C83DA9">
              <w:rPr>
                <w:sz w:val="22"/>
                <w:lang w:val="fr-FR"/>
              </w:rPr>
              <w:t>, le BDT a continué de proposer aux États Membres des activités ciblées d'assistance technique et de renforcement des capacités pour encourager une transformation numérique inclusive par des interventions pratiques, réglementaires et</w:t>
            </w:r>
            <w:r w:rsidR="00F415A8" w:rsidRPr="00C83DA9">
              <w:rPr>
                <w:sz w:val="22"/>
                <w:lang w:val="fr-FR"/>
              </w:rPr>
              <w:t> </w:t>
            </w:r>
            <w:r w:rsidRPr="00C83DA9">
              <w:rPr>
                <w:sz w:val="22"/>
                <w:lang w:val="fr-FR"/>
              </w:rPr>
              <w:t>stratégiques spécialement adaptées. S'inspirant des initiatives régionales (IR) pour la région Asie-Pacifique, notamment l'IR1, "Répondre aux besoins particuliers des pays les moins avancés, des petits États insulaires en développement, y compris des pays</w:t>
            </w:r>
            <w:r w:rsidR="00A8555F" w:rsidRPr="00C83DA9">
              <w:rPr>
                <w:sz w:val="22"/>
                <w:lang w:val="fr-FR"/>
              </w:rPr>
              <w:t xml:space="preserve"> </w:t>
            </w:r>
            <w:r w:rsidRPr="00C83DA9">
              <w:rPr>
                <w:sz w:val="22"/>
                <w:lang w:val="fr-FR"/>
              </w:rPr>
              <w:t>insulaires du</w:t>
            </w:r>
            <w:r w:rsidR="00F415A8" w:rsidRPr="00C83DA9">
              <w:rPr>
                <w:sz w:val="22"/>
                <w:lang w:val="fr-FR"/>
              </w:rPr>
              <w:t xml:space="preserve"> </w:t>
            </w:r>
            <w:r w:rsidRPr="00C83DA9">
              <w:rPr>
                <w:sz w:val="22"/>
                <w:lang w:val="fr-FR"/>
              </w:rPr>
              <w:t>Pacifique, et des pays en développement sans littoral", et l'IR4, "Instituer des politiques et un cadre réglementaire propres</w:t>
            </w:r>
            <w:r w:rsidR="00F415A8" w:rsidRPr="00C83DA9">
              <w:rPr>
                <w:sz w:val="22"/>
                <w:lang w:val="fr-FR"/>
              </w:rPr>
              <w:t> </w:t>
            </w:r>
            <w:r w:rsidRPr="00C83DA9">
              <w:rPr>
                <w:sz w:val="22"/>
                <w:lang w:val="fr-FR"/>
              </w:rPr>
              <w:t>à accélérer la transformation numérique", ces activités ont visé à réduire la fracture numérique en renforçant les politiques et le cadre réglementaire et en promouvant les objectifs stratégiques de l'UIT.</w:t>
            </w:r>
          </w:p>
          <w:p w14:paraId="710A3527" w14:textId="77777777" w:rsidR="00AC69A2" w:rsidRPr="00C83DA9" w:rsidRDefault="00AC69A2" w:rsidP="00DC1608">
            <w:pPr>
              <w:pStyle w:val="Tabletext"/>
              <w:keepLines/>
              <w:spacing w:before="120"/>
              <w:ind w:right="-85"/>
              <w:rPr>
                <w:sz w:val="22"/>
                <w:lang w:val="fr-FR"/>
              </w:rPr>
            </w:pPr>
            <w:r w:rsidRPr="00C83DA9">
              <w:rPr>
                <w:sz w:val="22"/>
                <w:lang w:val="fr-FR"/>
              </w:rPr>
              <w:t xml:space="preserve">En 2024 et en 2025, le BDT a aidé les </w:t>
            </w:r>
            <w:r w:rsidRPr="00C83DA9">
              <w:rPr>
                <w:b/>
                <w:bCs/>
                <w:sz w:val="22"/>
                <w:lang w:val="fr-FR"/>
              </w:rPr>
              <w:t>Fidji, Kiribati, la Micronésie, Nauru</w:t>
            </w:r>
            <w:r w:rsidRPr="00C83DA9">
              <w:rPr>
                <w:sz w:val="22"/>
                <w:lang w:val="fr-FR"/>
              </w:rPr>
              <w:t xml:space="preserve"> et les</w:t>
            </w:r>
            <w:r w:rsidRPr="00C83DA9">
              <w:rPr>
                <w:b/>
                <w:bCs/>
                <w:sz w:val="22"/>
                <w:lang w:val="fr-FR"/>
              </w:rPr>
              <w:t xml:space="preserve"> Îles Salomon</w:t>
            </w:r>
            <w:r w:rsidRPr="00C83DA9">
              <w:rPr>
                <w:sz w:val="22"/>
                <w:lang w:val="fr-FR"/>
              </w:rPr>
              <w:t xml:space="preserve"> à formuler des stratégies nationales du numérique à l'aide d'un financement du Fonds commun pour les ODD, tandis que le </w:t>
            </w:r>
            <w:r w:rsidRPr="00C83DA9">
              <w:rPr>
                <w:b/>
                <w:bCs/>
                <w:sz w:val="22"/>
                <w:lang w:val="fr-FR"/>
              </w:rPr>
              <w:t>Vanuatu</w:t>
            </w:r>
            <w:r w:rsidRPr="00C83DA9">
              <w:rPr>
                <w:sz w:val="22"/>
                <w:lang w:val="fr-FR"/>
              </w:rPr>
              <w:t xml:space="preserve"> a bénéficié d'une assistance pour élaborer un plan directeur en matière de transformation numérique en partenariat avec le Ministère des infrastructures, des transports, du développement régional, des communications et des arts (DITRDCSA) et le Ministère des affaires étrangères et du commerce extérieur (DFAT) de l'Australie. Les </w:t>
            </w:r>
            <w:r w:rsidRPr="00C83DA9">
              <w:rPr>
                <w:b/>
                <w:bCs/>
                <w:sz w:val="22"/>
                <w:lang w:val="fr-FR"/>
              </w:rPr>
              <w:t>Fidji</w:t>
            </w:r>
            <w:r w:rsidRPr="00C83DA9">
              <w:rPr>
                <w:sz w:val="22"/>
                <w:lang w:val="fr-FR"/>
              </w:rPr>
              <w:t xml:space="preserve"> et </w:t>
            </w:r>
            <w:r w:rsidRPr="00C83DA9">
              <w:rPr>
                <w:b/>
                <w:bCs/>
                <w:sz w:val="22"/>
                <w:lang w:val="fr-FR"/>
              </w:rPr>
              <w:t>Nauru</w:t>
            </w:r>
            <w:r w:rsidRPr="00C83DA9">
              <w:rPr>
                <w:sz w:val="22"/>
                <w:lang w:val="fr-FR"/>
              </w:rPr>
              <w:t xml:space="preserve"> ont adopté leurs stratégies nationales du numérique ce qui a marqué une étape décisive dans leur gouvernance numérique. En </w:t>
            </w:r>
            <w:r w:rsidRPr="00C83DA9">
              <w:rPr>
                <w:b/>
                <w:bCs/>
                <w:sz w:val="22"/>
                <w:lang w:val="fr-FR"/>
              </w:rPr>
              <w:t>République démocratique populaire lao</w:t>
            </w:r>
            <w:r w:rsidRPr="00C83DA9">
              <w:rPr>
                <w:sz w:val="22"/>
                <w:lang w:val="fr-FR"/>
              </w:rPr>
              <w:t xml:space="preserve">, le BDT a apporté une assistance technique et proposé un plan de travail concernant la stratégie nationale de développement des télécommunications et de l'Internet (2026-2040), et concernant les </w:t>
            </w:r>
            <w:r w:rsidRPr="00C83DA9">
              <w:rPr>
                <w:b/>
                <w:bCs/>
                <w:sz w:val="22"/>
                <w:lang w:val="fr-FR"/>
              </w:rPr>
              <w:t>Tonga</w:t>
            </w:r>
            <w:r w:rsidRPr="00C83DA9">
              <w:rPr>
                <w:sz w:val="22"/>
                <w:lang w:val="fr-FR"/>
              </w:rPr>
              <w:t xml:space="preserve">, une note d'orientation sur les lacunes et les potentialités en matière de transformation numérique a été établie et sera prochainement appliquée. Par ailleurs, le BDT a apporté une assistance technique au </w:t>
            </w:r>
            <w:r w:rsidRPr="00C83DA9">
              <w:rPr>
                <w:b/>
                <w:bCs/>
                <w:sz w:val="22"/>
                <w:lang w:val="fr-FR"/>
              </w:rPr>
              <w:t>Vanuatu</w:t>
            </w:r>
            <w:r w:rsidRPr="00C83DA9">
              <w:rPr>
                <w:sz w:val="22"/>
                <w:lang w:val="fr-FR"/>
              </w:rPr>
              <w:t xml:space="preserve"> en 2024 sur le partage d'infrastructures et les services universels. De même, en novembre 2023, avec l'appui du Ministère des affaires étrangères, du Commonwealth et du développement du Royaume-Uni, il a organisé la formation "Kits pratiques d'efficacité pour l'obligation de service universel et formation aux réseaux d'intérêt local" (USO 2.0) en </w:t>
            </w:r>
            <w:r w:rsidRPr="00C83DA9">
              <w:rPr>
                <w:b/>
                <w:bCs/>
                <w:sz w:val="22"/>
                <w:lang w:val="fr-FR"/>
              </w:rPr>
              <w:t>Indonésie</w:t>
            </w:r>
            <w:r w:rsidRPr="00C83DA9">
              <w:rPr>
                <w:sz w:val="22"/>
                <w:lang w:val="fr-FR"/>
              </w:rPr>
              <w:t>, pour former les équipes chargées de l'obligation de service universel aux compétences nécessaires pour renforcer les cadres de service universel et étendre la connectivité aux zones mal desservies.</w:t>
            </w:r>
          </w:p>
          <w:p w14:paraId="2FA60956" w14:textId="5E3F6C8C" w:rsidR="00AC69A2" w:rsidRPr="00C83DA9" w:rsidRDefault="00AC69A2" w:rsidP="00DC1608">
            <w:pPr>
              <w:pStyle w:val="Tabletext"/>
              <w:keepLines/>
              <w:spacing w:before="120"/>
              <w:ind w:right="-85"/>
              <w:rPr>
                <w:sz w:val="22"/>
                <w:lang w:val="fr-FR"/>
              </w:rPr>
            </w:pPr>
            <w:r w:rsidRPr="00C83DA9">
              <w:rPr>
                <w:sz w:val="22"/>
                <w:lang w:val="fr-FR"/>
              </w:rPr>
              <w:t xml:space="preserve">À l'échelon régional, l'UIT s'est associée à la </w:t>
            </w:r>
            <w:r w:rsidRPr="00C83DA9">
              <w:rPr>
                <w:b/>
                <w:bCs/>
                <w:sz w:val="22"/>
                <w:lang w:val="fr-FR"/>
              </w:rPr>
              <w:t>Malaisie</w:t>
            </w:r>
            <w:r w:rsidRPr="00C83DA9">
              <w:rPr>
                <w:sz w:val="22"/>
                <w:lang w:val="fr-FR"/>
              </w:rPr>
              <w:t xml:space="preserve"> pour mener à l'échelle de l'ASEAN une </w:t>
            </w:r>
            <w:hyperlink r:id="rId145" w:anchor="/fr" w:history="1">
              <w:r w:rsidRPr="00C83DA9">
                <w:rPr>
                  <w:color w:val="0000FF"/>
                  <w:sz w:val="22"/>
                  <w:u w:val="single"/>
                  <w:lang w:val="fr-FR"/>
                </w:rPr>
                <w:t>évaluation de l'état de préparation à la transformation numérique dans le contexte du Plan directeur 2025 de l'ASEAN pour le numérique</w:t>
              </w:r>
            </w:hyperlink>
            <w:r w:rsidRPr="00C83DA9">
              <w:rPr>
                <w:sz w:val="22"/>
                <w:lang w:val="fr-FR"/>
              </w:rPr>
              <w:t xml:space="preserve">, prévoyant également un </w:t>
            </w:r>
            <w:r w:rsidRPr="00C83DA9">
              <w:rPr>
                <w:b/>
                <w:bCs/>
                <w:sz w:val="22"/>
                <w:lang w:val="fr-FR"/>
              </w:rPr>
              <w:t>plan d'action régional pour l'harmonisation réglementaire</w:t>
            </w:r>
            <w:r w:rsidRPr="00C83DA9">
              <w:rPr>
                <w:sz w:val="22"/>
                <w:lang w:val="fr-FR"/>
              </w:rPr>
              <w:t>. Par ailleurs, elle a organisé de mars à avril 2024 une série de webinaires régionaux de trois séances sur le déploiement et les services de la 5G, coorganisée avec le Cambodge, la Chine et l'Inde, à laquelle ont assisté des décideurs de 18 États Membres. Plus récemment, en septembre 2025, le BDT a lancé une activité de formation sous</w:t>
            </w:r>
            <w:r w:rsidR="00432538" w:rsidRPr="00C83DA9">
              <w:rPr>
                <w:sz w:val="22"/>
                <w:lang w:val="fr-FR"/>
              </w:rPr>
              <w:noBreakHyphen/>
            </w:r>
            <w:r w:rsidRPr="00C83DA9">
              <w:rPr>
                <w:sz w:val="22"/>
                <w:lang w:val="fr-FR"/>
              </w:rPr>
              <w:t xml:space="preserve">régionale sur la réglementation pour la transformation numérique, en </w:t>
            </w:r>
            <w:r w:rsidRPr="00C83DA9">
              <w:rPr>
                <w:b/>
                <w:bCs/>
                <w:sz w:val="22"/>
                <w:lang w:val="fr-FR"/>
              </w:rPr>
              <w:t>Indonésie</w:t>
            </w:r>
            <w:r w:rsidRPr="00C83DA9">
              <w:rPr>
                <w:sz w:val="22"/>
                <w:lang w:val="fr-FR"/>
              </w:rPr>
              <w:t>, avec la participation de six pays de la région de l'Asie</w:t>
            </w:r>
            <w:r w:rsidR="00432538" w:rsidRPr="00C83DA9">
              <w:rPr>
                <w:sz w:val="22"/>
                <w:lang w:val="fr-FR"/>
              </w:rPr>
              <w:t> </w:t>
            </w:r>
            <w:r w:rsidRPr="00C83DA9">
              <w:rPr>
                <w:sz w:val="22"/>
                <w:lang w:val="fr-FR"/>
              </w:rPr>
              <w:t>du Sud-Est et l'appui du Ministère des affaires étrangères, du Commonwealth et du développement du Royaume-Uni, du Ministère des sciences et des TIC de la République de Corée et le Ministère des communications et des affaires numériques de l'Indonésie. En</w:t>
            </w:r>
            <w:r w:rsidR="00432538" w:rsidRPr="00C83DA9">
              <w:rPr>
                <w:sz w:val="22"/>
                <w:lang w:val="fr-FR"/>
              </w:rPr>
              <w:t> </w:t>
            </w:r>
            <w:r w:rsidRPr="00C83DA9">
              <w:rPr>
                <w:sz w:val="22"/>
                <w:lang w:val="fr-FR"/>
              </w:rPr>
              <w:t xml:space="preserve">complément de ces initiatives, le BDT a établi un </w:t>
            </w:r>
            <w:hyperlink r:id="rId146" w:history="1">
              <w:r w:rsidRPr="00C83DA9">
                <w:rPr>
                  <w:color w:val="0000FF"/>
                  <w:sz w:val="22"/>
                  <w:u w:val="single"/>
                  <w:lang w:val="fr-FR"/>
                </w:rPr>
                <w:t>répertoire des politiques pour la région Asie-Pacifique</w:t>
              </w:r>
            </w:hyperlink>
            <w:r w:rsidRPr="00C83DA9">
              <w:rPr>
                <w:sz w:val="22"/>
                <w:lang w:val="fr-FR"/>
              </w:rPr>
              <w:t xml:space="preserve"> qui permet de retrouver rapidement les politiques et la réglementation en vigueur dans les pays de la région Asie-Pacifique ce qui favorise ainsi la collaboration. En outre, le BDT a collaboré avec l'ASEAN pour formaliser le Cadre UIT-ASEAN des domaines de coopération prioritaires (2024-2026), qui doit permettre de renforcer encore la coopération régionale et le partage des connaissances au niveau régional.</w:t>
            </w:r>
          </w:p>
          <w:p w14:paraId="0FC0FEF0" w14:textId="77777777" w:rsidR="00AC69A2" w:rsidRPr="00C83DA9" w:rsidRDefault="00AC69A2" w:rsidP="00DC1608">
            <w:pPr>
              <w:pStyle w:val="Tabletext"/>
              <w:keepLines/>
              <w:spacing w:before="120"/>
              <w:ind w:right="-85"/>
              <w:rPr>
                <w:sz w:val="22"/>
                <w:lang w:val="fr-FR"/>
              </w:rPr>
            </w:pPr>
            <w:r w:rsidRPr="00C83DA9">
              <w:rPr>
                <w:sz w:val="22"/>
                <w:lang w:val="fr-FR"/>
              </w:rPr>
              <w:t xml:space="preserve">Dans la </w:t>
            </w:r>
            <w:r w:rsidRPr="00C83DA9">
              <w:rPr>
                <w:b/>
                <w:bCs/>
                <w:sz w:val="22"/>
                <w:lang w:val="fr-FR"/>
              </w:rPr>
              <w:t>région Amériques</w:t>
            </w:r>
            <w:r w:rsidRPr="00C83DA9">
              <w:rPr>
                <w:sz w:val="22"/>
                <w:lang w:val="fr-FR"/>
              </w:rPr>
              <w:t xml:space="preserve">, les travaux du BDT ont mis l'accent sur la cohérence entre les cadres réglementaires et les stratégies en matière d'inclusion numérique et d'investissement. L'activité du BDT visant à modéliser les coûts du large bande au </w:t>
            </w:r>
            <w:r w:rsidRPr="00C83DA9">
              <w:rPr>
                <w:b/>
                <w:bCs/>
                <w:sz w:val="22"/>
                <w:lang w:val="fr-FR"/>
              </w:rPr>
              <w:t>Brésil</w:t>
            </w:r>
            <w:r w:rsidRPr="00C83DA9">
              <w:rPr>
                <w:sz w:val="22"/>
                <w:lang w:val="fr-FR"/>
              </w:rPr>
              <w:t xml:space="preserve"> a constitué un succès marquant. Les résultats obtenus ont amélioré la connaissance des effets de la politique nationale pour ce qui est de l'accès en </w:t>
            </w:r>
            <w:r w:rsidRPr="00C83DA9">
              <w:rPr>
                <w:sz w:val="22"/>
                <w:lang w:val="fr-FR"/>
              </w:rPr>
              <w:lastRenderedPageBreak/>
              <w:t xml:space="preserve">gros et de l'accessibilité financière. En </w:t>
            </w:r>
            <w:r w:rsidRPr="00C83DA9">
              <w:rPr>
                <w:b/>
                <w:bCs/>
                <w:sz w:val="22"/>
                <w:lang w:val="fr-FR"/>
              </w:rPr>
              <w:t>Colombie</w:t>
            </w:r>
            <w:r w:rsidRPr="00C83DA9">
              <w:rPr>
                <w:sz w:val="22"/>
                <w:lang w:val="fr-FR"/>
              </w:rPr>
              <w:t xml:space="preserve">, le BDT fournit une assistance technique au pays en ce qui concerne la mise à jour du plan général pour l'arrêt de la télévision analogique et l'accès universel à la télévision numérique de Terre. Le </w:t>
            </w:r>
            <w:r w:rsidRPr="00C83DA9">
              <w:rPr>
                <w:b/>
                <w:bCs/>
                <w:sz w:val="22"/>
                <w:lang w:val="fr-FR"/>
              </w:rPr>
              <w:t>Gouvernement du Honduras</w:t>
            </w:r>
            <w:r w:rsidRPr="00C83DA9">
              <w:rPr>
                <w:sz w:val="22"/>
                <w:lang w:val="fr-FR"/>
              </w:rPr>
              <w:t xml:space="preserve"> a reçu une assistance technique pour élaborer une nouvelle loi sur les télécommunications qui a été annoncée officiellement en septembre 2024. De même, le </w:t>
            </w:r>
            <w:r w:rsidRPr="00C83DA9">
              <w:rPr>
                <w:b/>
                <w:bCs/>
                <w:sz w:val="22"/>
                <w:lang w:val="fr-FR"/>
              </w:rPr>
              <w:t xml:space="preserve">Paraguay </w:t>
            </w:r>
            <w:r w:rsidRPr="00C83DA9">
              <w:rPr>
                <w:sz w:val="22"/>
                <w:lang w:val="fr-FR"/>
              </w:rPr>
              <w:t xml:space="preserve">a reçu une assistance technique pour appliquer des méthodes d'analyse des effets de la réglementation. Le projet sur l'application de mécanismes d'innovation réglementaire est mené dans sept pays, le </w:t>
            </w:r>
            <w:r w:rsidRPr="00C83DA9">
              <w:rPr>
                <w:b/>
                <w:bCs/>
                <w:sz w:val="22"/>
                <w:lang w:val="fr-FR"/>
              </w:rPr>
              <w:t>Belize</w:t>
            </w:r>
            <w:r w:rsidRPr="00C83DA9">
              <w:rPr>
                <w:sz w:val="22"/>
                <w:lang w:val="fr-FR"/>
              </w:rPr>
              <w:t xml:space="preserve">, le </w:t>
            </w:r>
            <w:r w:rsidRPr="00C83DA9">
              <w:rPr>
                <w:b/>
                <w:bCs/>
                <w:sz w:val="22"/>
                <w:lang w:val="fr-FR"/>
              </w:rPr>
              <w:t>Costa Rica</w:t>
            </w:r>
            <w:r w:rsidRPr="00C83DA9">
              <w:rPr>
                <w:sz w:val="22"/>
                <w:lang w:val="fr-FR"/>
              </w:rPr>
              <w:t xml:space="preserve">, la </w:t>
            </w:r>
            <w:r w:rsidRPr="00C83DA9">
              <w:rPr>
                <w:b/>
                <w:bCs/>
                <w:sz w:val="22"/>
                <w:lang w:val="fr-FR"/>
              </w:rPr>
              <w:t>République dominicaine</w:t>
            </w:r>
            <w:r w:rsidRPr="00C83DA9">
              <w:rPr>
                <w:sz w:val="22"/>
                <w:lang w:val="fr-FR"/>
              </w:rPr>
              <w:t xml:space="preserve">, le </w:t>
            </w:r>
            <w:r w:rsidRPr="00C83DA9">
              <w:rPr>
                <w:b/>
                <w:bCs/>
                <w:sz w:val="22"/>
                <w:lang w:val="fr-FR"/>
              </w:rPr>
              <w:t>Salvador</w:t>
            </w:r>
            <w:r w:rsidRPr="00C83DA9">
              <w:rPr>
                <w:sz w:val="22"/>
                <w:lang w:val="fr-FR"/>
              </w:rPr>
              <w:t xml:space="preserve">, le </w:t>
            </w:r>
            <w:r w:rsidRPr="00C83DA9">
              <w:rPr>
                <w:b/>
                <w:bCs/>
                <w:sz w:val="22"/>
                <w:lang w:val="fr-FR"/>
              </w:rPr>
              <w:t>Guatemala</w:t>
            </w:r>
            <w:r w:rsidRPr="00C83DA9">
              <w:rPr>
                <w:sz w:val="22"/>
                <w:lang w:val="fr-FR"/>
              </w:rPr>
              <w:t xml:space="preserve">, le </w:t>
            </w:r>
            <w:r w:rsidRPr="00C83DA9">
              <w:rPr>
                <w:b/>
                <w:bCs/>
                <w:sz w:val="22"/>
                <w:lang w:val="fr-FR"/>
              </w:rPr>
              <w:t>Honduras</w:t>
            </w:r>
            <w:r w:rsidRPr="00C83DA9">
              <w:rPr>
                <w:sz w:val="22"/>
                <w:lang w:val="fr-FR"/>
              </w:rPr>
              <w:t xml:space="preserve"> et le </w:t>
            </w:r>
            <w:r w:rsidRPr="00C83DA9">
              <w:rPr>
                <w:b/>
                <w:bCs/>
                <w:sz w:val="22"/>
                <w:lang w:val="fr-FR"/>
              </w:rPr>
              <w:t>Panama</w:t>
            </w:r>
            <w:r w:rsidRPr="00C83DA9">
              <w:rPr>
                <w:sz w:val="22"/>
                <w:lang w:val="fr-FR"/>
              </w:rPr>
              <w:t xml:space="preserve">, 13 organismes publics étant concernés. Ce projet comporte des formations à l'intention des autorités de régulation et des autorités chargées des politiques publiques. Des études techniques ont été menées concernant l'application de mécanismes comme les sas réglementaires, et une formation sur l'innovation dans le domaine réglementaire a été organisée à l'intention de 30 responsables de l'élaboration des lois et règlements. Treize plans de travail ont été définis pour l'exécution de certains projets pilotes sur l'innovation réglementaire dans les secteurs des télécommunications et du numérique. Dans les </w:t>
            </w:r>
            <w:r w:rsidRPr="00C83DA9">
              <w:rPr>
                <w:b/>
                <w:bCs/>
                <w:sz w:val="22"/>
                <w:lang w:val="fr-FR"/>
              </w:rPr>
              <w:t>Caraïbes</w:t>
            </w:r>
            <w:r w:rsidRPr="00C83DA9">
              <w:rPr>
                <w:sz w:val="22"/>
                <w:lang w:val="fr-FR"/>
              </w:rPr>
              <w:t xml:space="preserve">, une étude visant à déterminer la faisabilité d'une autorité de régulation unique a progressé, le but étant d'établir un cadre régional harmonisé pour 12 pays, ce qui serait avantageux pour le nombre important d'abonnés en supprimant les obstacles à l'entrée sur le marché et en stimulant l'innovation numérique. La </w:t>
            </w:r>
            <w:r w:rsidRPr="00C83DA9">
              <w:rPr>
                <w:b/>
                <w:bCs/>
                <w:sz w:val="22"/>
                <w:lang w:val="fr-FR"/>
              </w:rPr>
              <w:t>Trinité-et-Tobago</w:t>
            </w:r>
            <w:r w:rsidRPr="00C83DA9">
              <w:rPr>
                <w:sz w:val="22"/>
                <w:lang w:val="fr-FR"/>
              </w:rPr>
              <w:t xml:space="preserve"> a bénéficié d'une assistance pour renforcer sa politique et sa législation en matière d'identification électronique ce qui a accru la confiance du public dans les services numériques. À </w:t>
            </w:r>
            <w:r w:rsidRPr="00C83DA9">
              <w:rPr>
                <w:b/>
                <w:bCs/>
                <w:sz w:val="22"/>
                <w:lang w:val="fr-FR"/>
              </w:rPr>
              <w:t>Sainte-Lucie</w:t>
            </w:r>
            <w:r w:rsidRPr="00C83DA9">
              <w:rPr>
                <w:sz w:val="22"/>
                <w:lang w:val="fr-FR"/>
              </w:rPr>
              <w:t xml:space="preserve">, l'aide fournie a porté sur la révision de la politique nationale des TIC, l'objectif étant de sensibiliser davantage le public et d'accélérer la participation des acteurs concernés. Un examen du cadre juridique des télécommunications de la </w:t>
            </w:r>
            <w:r w:rsidRPr="00C83DA9">
              <w:rPr>
                <w:b/>
                <w:bCs/>
                <w:sz w:val="22"/>
                <w:lang w:val="fr-FR"/>
              </w:rPr>
              <w:t>République dominicaine</w:t>
            </w:r>
            <w:r w:rsidRPr="00C83DA9">
              <w:rPr>
                <w:sz w:val="22"/>
                <w:lang w:val="fr-FR"/>
              </w:rPr>
              <w:t xml:space="preserve"> a été mené et le pays a bénéficié d'une aide pour réaliser des études d'impact de la réglementation dans le cadre des processus réglementaires. </w:t>
            </w:r>
          </w:p>
          <w:p w14:paraId="7A00F6BB" w14:textId="77777777" w:rsidR="00AC69A2" w:rsidRPr="00C83DA9" w:rsidRDefault="00AC69A2" w:rsidP="00DC1608">
            <w:pPr>
              <w:pStyle w:val="Tabletext"/>
              <w:keepLines/>
              <w:spacing w:before="120"/>
              <w:ind w:right="-85"/>
              <w:rPr>
                <w:sz w:val="22"/>
                <w:lang w:val="fr-FR"/>
              </w:rPr>
            </w:pPr>
            <w:r w:rsidRPr="00C83DA9">
              <w:rPr>
                <w:sz w:val="22"/>
                <w:lang w:val="fr-FR"/>
              </w:rPr>
              <w:t xml:space="preserve">Le </w:t>
            </w:r>
            <w:hyperlink r:id="rId147" w:anchor="/fr" w:history="1">
              <w:r w:rsidRPr="00C83DA9">
                <w:rPr>
                  <w:color w:val="0000FF"/>
                  <w:sz w:val="22"/>
                  <w:u w:val="single"/>
                  <w:lang w:val="fr-FR"/>
                </w:rPr>
                <w:t>Colloque de l'UIT sur les politiques générales et l'économie (IPEC) pour les Amériques</w:t>
              </w:r>
            </w:hyperlink>
            <w:r w:rsidRPr="00C83DA9">
              <w:rPr>
                <w:sz w:val="22"/>
                <w:lang w:val="fr-FR"/>
              </w:rPr>
              <w:t>, qui a lieu chaque année, est la seule manifestation consacrée par l'UIT aux questions de politique économique, et réunit dans un même cadre les trois secteurs de l'UIT. L'IPEC propose chaque année un riche programme de manifestations à l'initiative des trois Bureaux.</w:t>
            </w:r>
          </w:p>
          <w:p w14:paraId="120650F5" w14:textId="77777777" w:rsidR="00AC69A2" w:rsidRPr="00C83DA9" w:rsidRDefault="00AC69A2" w:rsidP="00DC1608">
            <w:pPr>
              <w:pStyle w:val="Tabletext"/>
              <w:keepLines/>
              <w:spacing w:before="120"/>
              <w:ind w:right="-85"/>
              <w:rPr>
                <w:sz w:val="22"/>
                <w:lang w:val="fr-FR"/>
              </w:rPr>
            </w:pPr>
            <w:r w:rsidRPr="00C83DA9">
              <w:rPr>
                <w:sz w:val="22"/>
                <w:lang w:val="fr-FR"/>
              </w:rPr>
              <w:t>La collaboration régionale a été renforcée dans le cadre de la CITEL, où le BDT a coorganisé des ateliers sur l'octroi des licences 5G et les fonds de service universel. Ces ateliers ont permis aux régulateurs de comparer des données d'expérience et d'adopter des bonnes pratiques, ce qui a permis une meilleure cohérence à l'échelle régionale.</w:t>
            </w:r>
          </w:p>
          <w:p w14:paraId="175C8592" w14:textId="77777777" w:rsidR="00AC69A2" w:rsidRPr="00C83DA9" w:rsidRDefault="00AC69A2" w:rsidP="00DC1608">
            <w:pPr>
              <w:pStyle w:val="Tabletext"/>
              <w:keepLines/>
              <w:spacing w:before="120"/>
              <w:ind w:right="-85"/>
              <w:rPr>
                <w:sz w:val="22"/>
                <w:lang w:val="fr-FR"/>
              </w:rPr>
            </w:pPr>
            <w:r w:rsidRPr="00C83DA9">
              <w:rPr>
                <w:sz w:val="22"/>
                <w:lang w:val="fr-FR"/>
              </w:rPr>
              <w:t xml:space="preserve">La </w:t>
            </w:r>
            <w:r w:rsidRPr="00C83DA9">
              <w:rPr>
                <w:b/>
                <w:bCs/>
                <w:sz w:val="22"/>
                <w:lang w:val="fr-FR"/>
              </w:rPr>
              <w:t>région Amériques</w:t>
            </w:r>
            <w:r w:rsidRPr="00C83DA9">
              <w:rPr>
                <w:sz w:val="22"/>
                <w:lang w:val="fr-FR"/>
              </w:rPr>
              <w:t xml:space="preserve"> a aussi bénéficié d'activités de formation soutenues par le BDT. Les cours sur le SIG dispensés en </w:t>
            </w:r>
            <w:r w:rsidRPr="00C83DA9">
              <w:rPr>
                <w:b/>
                <w:bCs/>
                <w:sz w:val="22"/>
                <w:lang w:val="fr-FR"/>
              </w:rPr>
              <w:t>Uruguay</w:t>
            </w:r>
            <w:r w:rsidRPr="00C83DA9">
              <w:rPr>
                <w:sz w:val="22"/>
                <w:lang w:val="fr-FR"/>
              </w:rPr>
              <w:t xml:space="preserve"> et les ateliers de planification du large bande tenus en Amérique centrale ont fourni aux régulateurs des outils permettant des décisions reposant sur des données factuelles. En 2025, plus de </w:t>
            </w:r>
            <w:r w:rsidRPr="00C83DA9">
              <w:rPr>
                <w:b/>
                <w:bCs/>
                <w:sz w:val="22"/>
                <w:lang w:val="fr-FR"/>
              </w:rPr>
              <w:t>500 fonctionnaires et décideurs chargés de la réglementation</w:t>
            </w:r>
            <w:r w:rsidRPr="00C83DA9">
              <w:rPr>
                <w:sz w:val="22"/>
                <w:lang w:val="fr-FR"/>
              </w:rPr>
              <w:t xml:space="preserve"> de la </w:t>
            </w:r>
            <w:r w:rsidRPr="00C83DA9">
              <w:rPr>
                <w:b/>
                <w:bCs/>
                <w:sz w:val="22"/>
                <w:lang w:val="fr-FR"/>
              </w:rPr>
              <w:t>région Amériques</w:t>
            </w:r>
            <w:r w:rsidRPr="00C83DA9">
              <w:rPr>
                <w:sz w:val="22"/>
                <w:lang w:val="fr-FR"/>
              </w:rPr>
              <w:t xml:space="preserve"> avaient assisté à ces activités de formation soutenues par le BDT.</w:t>
            </w:r>
          </w:p>
          <w:p w14:paraId="537CFF37" w14:textId="77777777" w:rsidR="00AC69A2" w:rsidRPr="00C83DA9" w:rsidRDefault="00AC69A2" w:rsidP="00DC1608">
            <w:pPr>
              <w:pStyle w:val="Tabletext"/>
              <w:keepLines/>
              <w:spacing w:before="120"/>
              <w:ind w:right="-85"/>
              <w:rPr>
                <w:sz w:val="22"/>
                <w:lang w:val="fr-FR"/>
              </w:rPr>
            </w:pPr>
            <w:r w:rsidRPr="00C83DA9">
              <w:rPr>
                <w:sz w:val="22"/>
                <w:lang w:val="fr-FR"/>
              </w:rPr>
              <w:t xml:space="preserve">Dans la </w:t>
            </w:r>
            <w:r w:rsidRPr="00C83DA9">
              <w:rPr>
                <w:b/>
                <w:bCs/>
                <w:sz w:val="22"/>
                <w:lang w:val="fr-FR"/>
              </w:rPr>
              <w:t>région des États arabes</w:t>
            </w:r>
            <w:r w:rsidRPr="00C83DA9">
              <w:rPr>
                <w:sz w:val="22"/>
                <w:lang w:val="fr-FR"/>
              </w:rPr>
              <w:t>, l'atelier régional intitulé "Vers une connectivité universelle et efficace pour la région des États arabes", coorganisé avec Algérie Télécom à Alger en 2024, a réuni 278 participants, dont 24% de femmes, témoignant de l'importance accordée par l'UIT au développement des infrastructures dans la région et à la réduction des lacunes qui y subsistent en matière de connectivité. L'atelier a abordé différents sujets (cartographie du haut débit, collaboration dans le domaine réglementaire et stratégies d'investissement) et a débouché sur des recommandations concrètes à l'intention des régulateurs nationaux.</w:t>
            </w:r>
          </w:p>
          <w:p w14:paraId="7D57BE43" w14:textId="77777777" w:rsidR="00AC69A2" w:rsidRPr="00C83DA9" w:rsidRDefault="00AC69A2" w:rsidP="00DC1608">
            <w:pPr>
              <w:pStyle w:val="Tabletext"/>
              <w:keepLines/>
              <w:spacing w:before="120"/>
              <w:ind w:right="-85"/>
              <w:rPr>
                <w:sz w:val="22"/>
                <w:lang w:val="fr-FR"/>
              </w:rPr>
            </w:pPr>
            <w:r w:rsidRPr="00C83DA9">
              <w:rPr>
                <w:sz w:val="22"/>
                <w:lang w:val="fr-FR"/>
              </w:rPr>
              <w:lastRenderedPageBreak/>
              <w:t>Au-delà du dialogue régional, l'aide a été adaptée aux besoins nationaux. Dans l'</w:t>
            </w:r>
            <w:r w:rsidRPr="00C83DA9">
              <w:rPr>
                <w:b/>
                <w:bCs/>
                <w:sz w:val="22"/>
                <w:lang w:val="fr-FR"/>
              </w:rPr>
              <w:t>État de Palestine</w:t>
            </w:r>
            <w:r w:rsidRPr="00C83DA9">
              <w:rPr>
                <w:sz w:val="22"/>
                <w:lang w:val="fr-FR"/>
              </w:rPr>
              <w:t xml:space="preserve">, les activités ont porté sur l'élaboration d'un cadre national de planification en matière de numérotage et d'une réglementation en partenariat avec le Ministère des technologies de l'information et des communications; en </w:t>
            </w:r>
            <w:r w:rsidRPr="00C83DA9">
              <w:rPr>
                <w:b/>
                <w:bCs/>
                <w:sz w:val="22"/>
                <w:lang w:val="fr-FR"/>
              </w:rPr>
              <w:t>République arabe syrienne</w:t>
            </w:r>
            <w:r w:rsidRPr="00C83DA9">
              <w:rPr>
                <w:sz w:val="22"/>
                <w:lang w:val="fr-FR"/>
              </w:rPr>
              <w:t xml:space="preserve">, un rapport d'analyse et d'examen systématiques du marché des TIC a été établi avec le Ministère des communications et l'Autorité de régulation des postes et des télécommunications, et par la suite, en 2024, le </w:t>
            </w:r>
            <w:r w:rsidRPr="00C83DA9">
              <w:rPr>
                <w:b/>
                <w:bCs/>
                <w:sz w:val="22"/>
                <w:lang w:val="fr-FR"/>
              </w:rPr>
              <w:t>cadre réglementaire de tarification des services de TIC</w:t>
            </w:r>
            <w:r w:rsidRPr="00C83DA9">
              <w:rPr>
                <w:sz w:val="22"/>
                <w:lang w:val="fr-FR"/>
              </w:rPr>
              <w:t xml:space="preserve"> a été achevé pour guider le processus consultatif. La réglementation collaborative a continué de progresser à la faveur d'ateliers nationaux à </w:t>
            </w:r>
            <w:r w:rsidRPr="00C83DA9">
              <w:rPr>
                <w:b/>
                <w:bCs/>
                <w:sz w:val="22"/>
                <w:lang w:val="fr-FR"/>
              </w:rPr>
              <w:t xml:space="preserve">Oman </w:t>
            </w:r>
            <w:r w:rsidRPr="00C83DA9">
              <w:rPr>
                <w:sz w:val="22"/>
                <w:lang w:val="fr-FR"/>
              </w:rPr>
              <w:t xml:space="preserve">(février 2024) et au </w:t>
            </w:r>
            <w:r w:rsidRPr="00C83DA9">
              <w:rPr>
                <w:b/>
                <w:bCs/>
                <w:sz w:val="22"/>
                <w:lang w:val="fr-FR"/>
              </w:rPr>
              <w:t xml:space="preserve">Qatar </w:t>
            </w:r>
            <w:r w:rsidRPr="00C83DA9">
              <w:rPr>
                <w:sz w:val="22"/>
                <w:lang w:val="fr-FR"/>
              </w:rPr>
              <w:t xml:space="preserve">(juillet 2024) qui ont permis aux fonctionnaires chargés de la réglementation d'acquérir certains outils pour faciliter la coordination intersectorielle. D'autres activités ont été menées dans le cadre des </w:t>
            </w:r>
            <w:r w:rsidRPr="00C83DA9">
              <w:rPr>
                <w:b/>
                <w:bCs/>
                <w:sz w:val="22"/>
                <w:lang w:val="fr-FR"/>
              </w:rPr>
              <w:t>analyses collaboratives de pays sur la réglementation numérique</w:t>
            </w:r>
            <w:r w:rsidRPr="00C83DA9">
              <w:rPr>
                <w:sz w:val="22"/>
                <w:lang w:val="fr-FR"/>
              </w:rPr>
              <w:t xml:space="preserve"> menées pour </w:t>
            </w:r>
            <w:r w:rsidRPr="00C83DA9">
              <w:rPr>
                <w:b/>
                <w:bCs/>
                <w:sz w:val="22"/>
                <w:lang w:val="fr-FR"/>
              </w:rPr>
              <w:t>Oman</w:t>
            </w:r>
            <w:r w:rsidRPr="00C83DA9">
              <w:rPr>
                <w:sz w:val="22"/>
                <w:lang w:val="fr-FR"/>
              </w:rPr>
              <w:t xml:space="preserve"> et le </w:t>
            </w:r>
            <w:r w:rsidRPr="00C83DA9">
              <w:rPr>
                <w:b/>
                <w:bCs/>
                <w:sz w:val="22"/>
                <w:lang w:val="fr-FR"/>
              </w:rPr>
              <w:t>Qatar</w:t>
            </w:r>
            <w:r w:rsidRPr="00C83DA9">
              <w:rPr>
                <w:sz w:val="22"/>
                <w:lang w:val="fr-FR"/>
              </w:rPr>
              <w:t xml:space="preserve">. Par ailleurs, les </w:t>
            </w:r>
            <w:r w:rsidRPr="00C83DA9">
              <w:rPr>
                <w:b/>
                <w:bCs/>
                <w:sz w:val="22"/>
                <w:lang w:val="fr-FR"/>
              </w:rPr>
              <w:t>Comores</w:t>
            </w:r>
            <w:r w:rsidRPr="00C83DA9">
              <w:rPr>
                <w:sz w:val="22"/>
                <w:lang w:val="fr-FR"/>
              </w:rPr>
              <w:t xml:space="preserve"> ont reçu un appui pour la réalisation d'une </w:t>
            </w:r>
            <w:r w:rsidRPr="00C83DA9">
              <w:rPr>
                <w:b/>
                <w:bCs/>
                <w:sz w:val="22"/>
                <w:lang w:val="fr-FR"/>
              </w:rPr>
              <w:t>étude de faisabilité de la réglementation fondée sur les données</w:t>
            </w:r>
            <w:r w:rsidRPr="00C83DA9">
              <w:rPr>
                <w:sz w:val="22"/>
                <w:lang w:val="fr-FR"/>
              </w:rPr>
              <w:t xml:space="preserve">, et la </w:t>
            </w:r>
            <w:r w:rsidRPr="00C83DA9">
              <w:rPr>
                <w:b/>
                <w:bCs/>
                <w:sz w:val="22"/>
                <w:lang w:val="fr-FR"/>
              </w:rPr>
              <w:t>Somalie</w:t>
            </w:r>
            <w:r w:rsidRPr="00C83DA9">
              <w:rPr>
                <w:sz w:val="22"/>
                <w:lang w:val="fr-FR"/>
              </w:rPr>
              <w:t xml:space="preserve"> pour la formulation de sa </w:t>
            </w:r>
            <w:r w:rsidRPr="00C83DA9">
              <w:rPr>
                <w:b/>
                <w:bCs/>
                <w:sz w:val="22"/>
                <w:lang w:val="fr-FR"/>
              </w:rPr>
              <w:t>stratégie nationale de transformation numérique</w:t>
            </w:r>
            <w:r w:rsidRPr="00C83DA9">
              <w:rPr>
                <w:sz w:val="22"/>
                <w:lang w:val="fr-FR"/>
              </w:rPr>
              <w:t>.</w:t>
            </w:r>
          </w:p>
          <w:p w14:paraId="2A2B1603" w14:textId="5EC0FF1F" w:rsidR="00AC69A2" w:rsidRPr="00C83DA9" w:rsidRDefault="00AC69A2" w:rsidP="00DC1608">
            <w:pPr>
              <w:pStyle w:val="Tabletext"/>
              <w:keepLines/>
              <w:spacing w:before="120"/>
              <w:ind w:right="-85"/>
              <w:rPr>
                <w:sz w:val="22"/>
                <w:lang w:val="fr-FR"/>
              </w:rPr>
            </w:pPr>
            <w:r w:rsidRPr="00C83DA9">
              <w:rPr>
                <w:sz w:val="22"/>
                <w:lang w:val="fr-FR"/>
              </w:rPr>
              <w:t xml:space="preserve">En 2025, les pays de la région des </w:t>
            </w:r>
            <w:r w:rsidRPr="00C83DA9">
              <w:rPr>
                <w:b/>
                <w:bCs/>
                <w:sz w:val="22"/>
                <w:lang w:val="fr-FR"/>
              </w:rPr>
              <w:t>États arabes</w:t>
            </w:r>
            <w:r w:rsidRPr="00C83DA9">
              <w:rPr>
                <w:sz w:val="22"/>
                <w:lang w:val="fr-FR"/>
              </w:rPr>
              <w:t xml:space="preserve"> avaient notablement progressé; bon nombre avaient mis en place des autorités de régulation indépendantes et la coopération régionale avait augmenté en matière de gestion du spectre et d'octroi de licences. Le rôle du</w:t>
            </w:r>
            <w:r w:rsidR="00C83DA9" w:rsidRPr="00C83DA9">
              <w:rPr>
                <w:sz w:val="22"/>
                <w:lang w:val="fr-FR"/>
              </w:rPr>
              <w:t> </w:t>
            </w:r>
            <w:r w:rsidRPr="00C83DA9">
              <w:rPr>
                <w:sz w:val="22"/>
                <w:lang w:val="fr-FR"/>
              </w:rPr>
              <w:t>BDT consistant à rassembler les parties prenantes et à formuler des avis techniques a été déterminant pour ces résultats.</w:t>
            </w:r>
          </w:p>
          <w:p w14:paraId="51F84CBA" w14:textId="627B6D3E" w:rsidR="00AC69A2" w:rsidRPr="00C83DA9" w:rsidRDefault="00AC69A2" w:rsidP="00DC1608">
            <w:pPr>
              <w:pStyle w:val="Tabletext"/>
              <w:keepLines/>
              <w:spacing w:before="120"/>
              <w:ind w:right="-85"/>
              <w:rPr>
                <w:sz w:val="22"/>
                <w:lang w:val="fr-FR"/>
              </w:rPr>
            </w:pPr>
            <w:r w:rsidRPr="00C83DA9">
              <w:rPr>
                <w:sz w:val="22"/>
                <w:lang w:val="fr-FR"/>
              </w:rPr>
              <w:t xml:space="preserve">Les progrès de la </w:t>
            </w:r>
            <w:r w:rsidRPr="00C83DA9">
              <w:rPr>
                <w:b/>
                <w:bCs/>
                <w:sz w:val="22"/>
                <w:lang w:val="fr-FR"/>
              </w:rPr>
              <w:t>région Europe</w:t>
            </w:r>
            <w:r w:rsidRPr="00C83DA9">
              <w:rPr>
                <w:sz w:val="22"/>
                <w:lang w:val="fr-FR"/>
              </w:rPr>
              <w:t xml:space="preserve"> ont été déterminés par l'adaptation règlementaire aux orientations de l'Union européenne et la coopération régionale dans le cadre des plates-formes de l'UIT. En </w:t>
            </w:r>
            <w:r w:rsidRPr="00C83DA9">
              <w:rPr>
                <w:b/>
                <w:bCs/>
                <w:sz w:val="22"/>
                <w:lang w:val="fr-FR"/>
              </w:rPr>
              <w:t>Ukraine</w:t>
            </w:r>
            <w:r w:rsidRPr="00C83DA9">
              <w:rPr>
                <w:sz w:val="22"/>
                <w:lang w:val="fr-FR"/>
              </w:rPr>
              <w:t xml:space="preserve">, le BDT a aidé à la reconstruction de </w:t>
            </w:r>
            <w:r w:rsidRPr="00C83DA9">
              <w:rPr>
                <w:b/>
                <w:bCs/>
                <w:sz w:val="22"/>
                <w:lang w:val="fr-FR"/>
              </w:rPr>
              <w:t>10 stations de radiodiffusion</w:t>
            </w:r>
            <w:r w:rsidRPr="00C83DA9">
              <w:rPr>
                <w:sz w:val="22"/>
                <w:lang w:val="fr-FR"/>
              </w:rPr>
              <w:t xml:space="preserve"> et facilité un projet de modernisation des réseaux 4G/5G de 30 millions d'euros avec Vodafone Ukraine, Nokia et Finnvera. Cette initiative a montré comment les cadres réglementaires peuvent aller de pair avec la mobilisation des investissements dans un contexte post-conflit. Au </w:t>
            </w:r>
            <w:r w:rsidRPr="00C83DA9">
              <w:rPr>
                <w:b/>
                <w:bCs/>
                <w:sz w:val="22"/>
                <w:lang w:val="fr-FR"/>
              </w:rPr>
              <w:t>Monténégro</w:t>
            </w:r>
            <w:r w:rsidRPr="00C83DA9">
              <w:rPr>
                <w:sz w:val="22"/>
                <w:lang w:val="fr-FR"/>
              </w:rPr>
              <w:t xml:space="preserve">, le BDT a contribué à l'élaboration d'un plan large bande pour la période 2025-2029 mettant l'accent sur la couverture rurale. En </w:t>
            </w:r>
            <w:r w:rsidRPr="00C83DA9">
              <w:rPr>
                <w:b/>
                <w:bCs/>
                <w:sz w:val="22"/>
                <w:lang w:val="fr-FR"/>
              </w:rPr>
              <w:t>Albanie</w:t>
            </w:r>
            <w:r w:rsidRPr="00C83DA9">
              <w:rPr>
                <w:sz w:val="22"/>
                <w:lang w:val="fr-FR"/>
              </w:rPr>
              <w:t>, le BDT a aidé à moderniser le système national de cartographie du large bande, dit</w:t>
            </w:r>
            <w:r w:rsidR="00C83DA9" w:rsidRPr="00C83DA9">
              <w:rPr>
                <w:sz w:val="22"/>
                <w:lang w:val="fr-FR"/>
              </w:rPr>
              <w:t> </w:t>
            </w:r>
            <w:r w:rsidRPr="00C83DA9">
              <w:rPr>
                <w:sz w:val="22"/>
                <w:lang w:val="fr-FR"/>
              </w:rPr>
              <w:t>"Atlas".</w:t>
            </w:r>
          </w:p>
          <w:p w14:paraId="3DA45B08" w14:textId="26ACBAAF" w:rsidR="00AC69A2" w:rsidRPr="00C83DA9" w:rsidRDefault="00AC69A2" w:rsidP="00DC1608">
            <w:pPr>
              <w:pStyle w:val="Tabletext"/>
              <w:keepLines/>
              <w:spacing w:before="120"/>
              <w:ind w:right="-85"/>
              <w:rPr>
                <w:sz w:val="22"/>
                <w:lang w:val="fr-FR"/>
              </w:rPr>
            </w:pPr>
            <w:r w:rsidRPr="00C83DA9">
              <w:rPr>
                <w:sz w:val="22"/>
                <w:lang w:val="fr-FR"/>
              </w:rPr>
              <w:t>Au niveau régional, le BDT a collaboré avec le Groupe EMERG et le Réseau EaPeReg pour dispenser des formations à l'élaboration de politiques reposant sur des données objectives. L'Université d'été des technologies émergentes, organisée à Maastricht en 2025, a présenté aux régulateurs des méthodes de réglementation de l'IA, de l'IoT et d'autres technologies émergentes. En 2025, plus</w:t>
            </w:r>
            <w:r w:rsidR="00F415A8" w:rsidRPr="00C83DA9">
              <w:rPr>
                <w:sz w:val="22"/>
                <w:lang w:val="fr-FR"/>
              </w:rPr>
              <w:t> </w:t>
            </w:r>
            <w:r w:rsidRPr="00C83DA9">
              <w:rPr>
                <w:sz w:val="22"/>
                <w:lang w:val="fr-FR"/>
              </w:rPr>
              <w:t>de</w:t>
            </w:r>
            <w:r w:rsidR="00F415A8" w:rsidRPr="00C83DA9">
              <w:rPr>
                <w:sz w:val="22"/>
                <w:lang w:val="fr-FR"/>
              </w:rPr>
              <w:t> </w:t>
            </w:r>
            <w:r w:rsidRPr="00C83DA9">
              <w:rPr>
                <w:b/>
                <w:bCs/>
                <w:sz w:val="22"/>
                <w:lang w:val="fr-FR"/>
              </w:rPr>
              <w:t>300</w:t>
            </w:r>
            <w:r w:rsidR="00F415A8" w:rsidRPr="00C83DA9">
              <w:rPr>
                <w:b/>
                <w:bCs/>
                <w:sz w:val="22"/>
                <w:lang w:val="fr-FR"/>
              </w:rPr>
              <w:t> </w:t>
            </w:r>
            <w:r w:rsidRPr="00C83DA9">
              <w:rPr>
                <w:b/>
                <w:bCs/>
                <w:sz w:val="22"/>
                <w:lang w:val="fr-FR"/>
              </w:rPr>
              <w:t xml:space="preserve">fonctionnaires chargés de la réglementation de pays européens </w:t>
            </w:r>
            <w:r w:rsidRPr="00C83DA9">
              <w:rPr>
                <w:sz w:val="22"/>
                <w:lang w:val="fr-FR"/>
              </w:rPr>
              <w:t>avaient participé à des initiatives de renforcement des capacités soutenues par le BDT.</w:t>
            </w:r>
          </w:p>
          <w:p w14:paraId="068B9B54" w14:textId="0B8C793F" w:rsidR="00C83DA9" w:rsidRPr="00C83DA9" w:rsidRDefault="00C83DA9" w:rsidP="00C83DA9">
            <w:pPr>
              <w:pStyle w:val="Tabletext"/>
              <w:keepLines/>
              <w:spacing w:before="120"/>
              <w:ind w:right="-85"/>
              <w:rPr>
                <w:sz w:val="22"/>
                <w:szCs w:val="24"/>
                <w:lang w:val="fr-FR"/>
              </w:rPr>
            </w:pPr>
            <w:r w:rsidRPr="00C83DA9">
              <w:rPr>
                <w:sz w:val="22"/>
                <w:szCs w:val="24"/>
                <w:lang w:val="fr-FR"/>
              </w:rPr>
              <w:t>La région de la CEI a sensiblement progressé pour ce qui est de l'intégration des cadres réglementaires dans les stratégies numériques d'ensemble. En Arménie, le BDT a lancé en 2025le programme "L'avenir de la connectivité" axé sur le déploiement de la 5G et l'état de préparation de la réglementation. Au Tadjikistan, il a dispensé une formation sur la cartographie des TIC et facilité l'adaptation des tableaux nationaux d'attribution des bandes de fréquences aux normes régionales. En Ouzbékistan, le BDT a organisé une table ronde sur la réglementation VoLTE, ce qui a permis aux régulateurs et aux opérateurs mobiles de se préparer aux services mobiles de nouvelle génération. Grâce à l'aide spécialisée assurée par le BDT, l'Ouzbékistan a amélioré son classement dans l'outil de suivi réglementaire de l'UIT et continue de faire évoluer sa réglementation dans le cadre de son processus législatif national. Au Turkménistan, le BDT a facilité les consultations nationales sur la transformation numérique pour relier le cadre réglementaire et le développement des infrastructures.</w:t>
            </w:r>
          </w:p>
          <w:p w14:paraId="23E2271E" w14:textId="77777777" w:rsidR="00AC69A2" w:rsidRPr="00C83DA9" w:rsidRDefault="00AC69A2" w:rsidP="00DC1608">
            <w:pPr>
              <w:pStyle w:val="Tabletext"/>
              <w:keepLines/>
              <w:spacing w:before="120" w:after="120"/>
              <w:ind w:right="-85"/>
              <w:rPr>
                <w:sz w:val="22"/>
                <w:lang w:val="fr-FR"/>
              </w:rPr>
            </w:pPr>
            <w:r w:rsidRPr="00C83DA9">
              <w:rPr>
                <w:sz w:val="22"/>
                <w:lang w:val="fr-FR"/>
              </w:rPr>
              <w:lastRenderedPageBreak/>
              <w:t xml:space="preserve">En 2025, bon nombre de pays de la </w:t>
            </w:r>
            <w:r w:rsidRPr="00C83DA9">
              <w:rPr>
                <w:b/>
                <w:bCs/>
                <w:sz w:val="22"/>
                <w:lang w:val="fr-FR"/>
              </w:rPr>
              <w:t>région de la CEI</w:t>
            </w:r>
            <w:r w:rsidRPr="00C83DA9">
              <w:rPr>
                <w:sz w:val="22"/>
                <w:lang w:val="fr-FR"/>
              </w:rPr>
              <w:t xml:space="preserve"> avaient intégré l'état de préparation à la 5G dans leur cadre réglementaire national. Les interventions ciblées du BDT, associées à la coopération régionale menée sous l'égide de la Commission économique eurasienne, ont jeté les bases d'une harmonisation des marchés du numérique dans la sous-région.</w:t>
            </w:r>
          </w:p>
        </w:tc>
        <w:tc>
          <w:tcPr>
            <w:tcW w:w="2566" w:type="dxa"/>
            <w:tcBorders>
              <w:top w:val="dotted" w:sz="4" w:space="0" w:color="0070C0"/>
              <w:left w:val="dotted" w:sz="4" w:space="0" w:color="0070C0"/>
              <w:bottom w:val="dotted" w:sz="4" w:space="0" w:color="0070C0"/>
              <w:right w:val="dotted" w:sz="4" w:space="0" w:color="0070C0"/>
            </w:tcBorders>
          </w:tcPr>
          <w:p w14:paraId="36036DDC" w14:textId="77777777" w:rsidR="00AC69A2" w:rsidRPr="00C83DA9" w:rsidRDefault="00AC69A2" w:rsidP="001D6175">
            <w:pPr>
              <w:pStyle w:val="Tabletext"/>
              <w:keepNext/>
              <w:spacing w:before="120"/>
              <w:rPr>
                <w:rFonts w:eastAsia="Times New Roman"/>
                <w:b/>
                <w:bCs/>
                <w:color w:val="0070C0"/>
                <w:kern w:val="0"/>
                <w:sz w:val="22"/>
                <w:lang w:val="fr-FR"/>
              </w:rPr>
            </w:pPr>
            <w:bookmarkStart w:id="38" w:name="lt_pId714"/>
            <w:r w:rsidRPr="00C83DA9">
              <w:rPr>
                <w:rFonts w:eastAsia="Times New Roman"/>
                <w:b/>
                <w:bCs/>
                <w:color w:val="0070C0"/>
                <w:kern w:val="0"/>
                <w:sz w:val="22"/>
                <w:lang w:val="fr-FR"/>
              </w:rPr>
              <w:lastRenderedPageBreak/>
              <w:t>Amélioration de la politique et de la réglementation nationales:</w:t>
            </w:r>
            <w:bookmarkEnd w:id="38"/>
          </w:p>
          <w:p w14:paraId="3C9A6118" w14:textId="45622E18" w:rsidR="00AC69A2" w:rsidRPr="00C83DA9" w:rsidRDefault="00AC69A2" w:rsidP="00BC3D4B">
            <w:pPr>
              <w:pStyle w:val="Tabletext"/>
              <w:keepNext/>
              <w:spacing w:before="120"/>
              <w:rPr>
                <w:rFonts w:eastAsia="Times New Roman"/>
                <w:b/>
                <w:bCs/>
                <w:color w:val="0070C0"/>
                <w:kern w:val="0"/>
                <w:sz w:val="22"/>
                <w:lang w:val="fr-FR"/>
              </w:rPr>
            </w:pPr>
            <w:bookmarkStart w:id="39" w:name="lt_pId715"/>
            <w:r w:rsidRPr="00C83DA9">
              <w:rPr>
                <w:rFonts w:eastAsia="Times New Roman"/>
                <w:b/>
                <w:bCs/>
                <w:color w:val="0070C0"/>
                <w:kern w:val="0"/>
                <w:sz w:val="22"/>
                <w:lang w:val="fr-FR"/>
              </w:rPr>
              <w:t>GSR</w:t>
            </w:r>
            <w:bookmarkEnd w:id="39"/>
            <w:r w:rsidR="00285C05" w:rsidRPr="00C83DA9">
              <w:rPr>
                <w:rFonts w:eastAsia="Times New Roman"/>
                <w:b/>
                <w:bCs/>
                <w:color w:val="0070C0"/>
                <w:kern w:val="0"/>
                <w:sz w:val="22"/>
                <w:lang w:val="fr-FR"/>
              </w:rPr>
              <w:t>:</w:t>
            </w:r>
          </w:p>
          <w:p w14:paraId="098BBD33" w14:textId="083856C5"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bookmarkStart w:id="40" w:name="lt_pId716"/>
            <w:r w:rsidRPr="00C83DA9">
              <w:rPr>
                <w:color w:val="1F497D" w:themeColor="text2"/>
                <w:spacing w:val="-4"/>
                <w:sz w:val="22"/>
                <w:lang w:val="fr-FR"/>
              </w:rPr>
              <w:t>•</w:t>
            </w:r>
            <w:r w:rsidRPr="00C83DA9">
              <w:rPr>
                <w:color w:val="1F497D" w:themeColor="text2"/>
                <w:spacing w:val="-4"/>
                <w:sz w:val="22"/>
                <w:lang w:val="fr-FR"/>
              </w:rPr>
              <w:tab/>
            </w:r>
            <w:r w:rsidR="00285C05" w:rsidRPr="00C83DA9">
              <w:rPr>
                <w:rFonts w:eastAsiaTheme="minorEastAsia"/>
                <w:color w:val="1F497D" w:themeColor="text2"/>
                <w:sz w:val="22"/>
                <w:lang w:val="fr-FR"/>
              </w:rPr>
              <w:t>P</w:t>
            </w:r>
            <w:r w:rsidRPr="00C83DA9">
              <w:rPr>
                <w:rFonts w:eastAsiaTheme="minorEastAsia"/>
                <w:color w:val="1F497D" w:themeColor="text2"/>
                <w:sz w:val="22"/>
                <w:lang w:val="fr-FR"/>
              </w:rPr>
              <w:t>lus de 1</w:t>
            </w:r>
            <w:r w:rsidR="00285C05" w:rsidRPr="00C83DA9">
              <w:rPr>
                <w:rFonts w:eastAsiaTheme="minorEastAsia"/>
                <w:color w:val="1F497D" w:themeColor="text2"/>
                <w:sz w:val="22"/>
                <w:lang w:val="fr-FR"/>
              </w:rPr>
              <w:t> </w:t>
            </w:r>
            <w:r w:rsidRPr="00C83DA9">
              <w:rPr>
                <w:rFonts w:eastAsiaTheme="minorEastAsia"/>
                <w:color w:val="1F497D" w:themeColor="text2"/>
                <w:sz w:val="22"/>
                <w:lang w:val="fr-FR"/>
              </w:rPr>
              <w:t>200</w:t>
            </w:r>
            <w:r w:rsidR="00BA2B42" w:rsidRPr="00C83DA9">
              <w:rPr>
                <w:rFonts w:eastAsiaTheme="minorEastAsia"/>
                <w:color w:val="1F497D" w:themeColor="text2"/>
                <w:sz w:val="22"/>
                <w:lang w:val="fr-FR"/>
              </w:rPr>
              <w:t> </w:t>
            </w:r>
            <w:r w:rsidRPr="00C83DA9">
              <w:rPr>
                <w:rFonts w:eastAsiaTheme="minorEastAsia"/>
                <w:color w:val="1F497D" w:themeColor="text2"/>
                <w:sz w:val="22"/>
                <w:lang w:val="fr-FR"/>
              </w:rPr>
              <w:t>participants</w:t>
            </w:r>
            <w:bookmarkEnd w:id="40"/>
            <w:r w:rsidR="00285C05" w:rsidRPr="00C83DA9">
              <w:rPr>
                <w:rFonts w:eastAsiaTheme="minorEastAsia"/>
                <w:color w:val="1F497D" w:themeColor="text2"/>
                <w:sz w:val="22"/>
                <w:lang w:val="fr-FR"/>
              </w:rPr>
              <w:t>.</w:t>
            </w:r>
          </w:p>
          <w:p w14:paraId="50E5FB15" w14:textId="7465765D"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bookmarkStart w:id="41" w:name="lt_pId717"/>
            <w:r w:rsidRPr="00C83DA9">
              <w:rPr>
                <w:rFonts w:eastAsiaTheme="minorEastAsia"/>
                <w:color w:val="1F497D" w:themeColor="text2"/>
                <w:sz w:val="22"/>
                <w:lang w:val="fr-FR"/>
              </w:rPr>
              <w:t>•</w:t>
            </w:r>
            <w:r w:rsidRPr="00C83DA9">
              <w:rPr>
                <w:rFonts w:eastAsiaTheme="minorEastAsia"/>
                <w:color w:val="1F497D" w:themeColor="text2"/>
                <w:sz w:val="22"/>
                <w:lang w:val="fr-FR"/>
              </w:rPr>
              <w:tab/>
            </w:r>
            <w:r w:rsidR="00285C05" w:rsidRPr="00C83DA9">
              <w:rPr>
                <w:rFonts w:eastAsiaTheme="minorEastAsia"/>
                <w:color w:val="1F497D" w:themeColor="text2"/>
                <w:sz w:val="22"/>
                <w:lang w:val="fr-FR"/>
              </w:rPr>
              <w:t>P</w:t>
            </w:r>
            <w:r w:rsidRPr="00C83DA9">
              <w:rPr>
                <w:rFonts w:eastAsiaTheme="minorEastAsia"/>
                <w:color w:val="1F497D" w:themeColor="text2"/>
                <w:sz w:val="22"/>
                <w:lang w:val="fr-FR"/>
              </w:rPr>
              <w:t>lus de 100</w:t>
            </w:r>
            <w:bookmarkEnd w:id="41"/>
            <w:r w:rsidRPr="00C83DA9">
              <w:rPr>
                <w:rFonts w:eastAsiaTheme="minorEastAsia"/>
                <w:color w:val="1F497D" w:themeColor="text2"/>
                <w:sz w:val="22"/>
                <w:lang w:val="fr-FR"/>
              </w:rPr>
              <w:t xml:space="preserve"> pays</w:t>
            </w:r>
            <w:r w:rsidR="00285C05" w:rsidRPr="00C83DA9">
              <w:rPr>
                <w:rFonts w:eastAsiaTheme="minorEastAsia"/>
                <w:color w:val="1F497D" w:themeColor="text2"/>
                <w:sz w:val="22"/>
                <w:lang w:val="fr-FR"/>
              </w:rPr>
              <w:t>.</w:t>
            </w:r>
          </w:p>
          <w:p w14:paraId="21DE3F41" w14:textId="737AD3D4" w:rsidR="00AC69A2" w:rsidRPr="00C83DA9" w:rsidRDefault="00AC69A2" w:rsidP="001D6175">
            <w:pPr>
              <w:pStyle w:val="enumlev1"/>
              <w:keepLines/>
              <w:tabs>
                <w:tab w:val="clear" w:pos="1134"/>
              </w:tabs>
              <w:spacing w:before="40" w:after="40"/>
              <w:ind w:left="386" w:right="-102" w:hanging="386"/>
              <w:rPr>
                <w:rFonts w:eastAsiaTheme="minorEastAsia"/>
                <w:color w:val="1F497D" w:themeColor="text2"/>
                <w:sz w:val="22"/>
                <w:lang w:val="fr-FR"/>
              </w:rPr>
            </w:pPr>
            <w:bookmarkStart w:id="42" w:name="lt_pId718"/>
            <w:r w:rsidRPr="00C83DA9">
              <w:rPr>
                <w:rFonts w:eastAsiaTheme="minorEastAsia"/>
                <w:color w:val="1F497D" w:themeColor="text2"/>
                <w:sz w:val="22"/>
                <w:lang w:val="fr-FR"/>
              </w:rPr>
              <w:t>•</w:t>
            </w:r>
            <w:r w:rsidRPr="00C83DA9">
              <w:rPr>
                <w:rFonts w:eastAsiaTheme="minorEastAsia"/>
                <w:color w:val="1F497D" w:themeColor="text2"/>
                <w:sz w:val="22"/>
                <w:lang w:val="fr-FR"/>
              </w:rPr>
              <w:tab/>
              <w:t xml:space="preserve">3 éditions </w:t>
            </w:r>
            <w:bookmarkEnd w:id="42"/>
            <w:r w:rsidRPr="00C83DA9">
              <w:rPr>
                <w:rFonts w:eastAsiaTheme="minorEastAsia"/>
                <w:color w:val="1F497D" w:themeColor="text2"/>
                <w:sz w:val="22"/>
                <w:lang w:val="fr-FR"/>
              </w:rPr>
              <w:t>des Lignes directrices relatives</w:t>
            </w:r>
            <w:r w:rsidRPr="00C83DA9">
              <w:rPr>
                <w:color w:val="1F497D" w:themeColor="text2"/>
                <w:spacing w:val="-4"/>
                <w:sz w:val="22"/>
                <w:lang w:val="fr-FR"/>
              </w:rPr>
              <w:t xml:space="preserve"> aux </w:t>
            </w:r>
            <w:r w:rsidRPr="00C83DA9">
              <w:rPr>
                <w:rFonts w:eastAsiaTheme="minorEastAsia"/>
                <w:color w:val="1F497D" w:themeColor="text2"/>
                <w:sz w:val="22"/>
                <w:lang w:val="fr-FR"/>
              </w:rPr>
              <w:t>bonnes pratiques du GSR</w:t>
            </w:r>
            <w:r w:rsidR="00285C05" w:rsidRPr="00C83DA9">
              <w:rPr>
                <w:rFonts w:eastAsiaTheme="minorEastAsia"/>
                <w:color w:val="1F497D" w:themeColor="text2"/>
                <w:sz w:val="22"/>
                <w:lang w:val="fr-FR"/>
              </w:rPr>
              <w:t>.</w:t>
            </w:r>
          </w:p>
          <w:p w14:paraId="662D664B" w14:textId="6526452A" w:rsidR="00AC69A2" w:rsidRPr="00C83DA9" w:rsidRDefault="00AC69A2" w:rsidP="00202BFA">
            <w:pPr>
              <w:pStyle w:val="enumlev1"/>
              <w:tabs>
                <w:tab w:val="clear" w:pos="1134"/>
              </w:tabs>
              <w:spacing w:before="40" w:after="40"/>
              <w:ind w:left="386" w:right="-102" w:hanging="386"/>
              <w:rPr>
                <w:rFonts w:eastAsiaTheme="minorEastAsia" w:cstheme="minorBidi"/>
                <w:color w:val="1F497D" w:themeColor="text2"/>
                <w:sz w:val="22"/>
                <w:lang w:val="fr-FR"/>
              </w:rPr>
            </w:pPr>
            <w:bookmarkStart w:id="43" w:name="lt_pId719"/>
            <w:r w:rsidRPr="00C83DA9">
              <w:rPr>
                <w:rFonts w:eastAsiaTheme="minorEastAsia"/>
                <w:color w:val="1F497D" w:themeColor="text2"/>
                <w:sz w:val="22"/>
                <w:lang w:val="fr-FR"/>
              </w:rPr>
              <w:lastRenderedPageBreak/>
              <w:t>•</w:t>
            </w:r>
            <w:r w:rsidRPr="00C83DA9">
              <w:rPr>
                <w:rFonts w:eastAsiaTheme="minorEastAsia"/>
                <w:color w:val="1F497D" w:themeColor="text2"/>
                <w:sz w:val="22"/>
                <w:lang w:val="fr-FR"/>
              </w:rPr>
              <w:tab/>
            </w:r>
            <w:r w:rsidR="00285C05" w:rsidRPr="00C83DA9">
              <w:rPr>
                <w:rFonts w:eastAsiaTheme="minorEastAsia"/>
                <w:color w:val="1F497D" w:themeColor="text2"/>
                <w:sz w:val="22"/>
                <w:lang w:val="fr-FR"/>
              </w:rPr>
              <w:t>R</w:t>
            </w:r>
            <w:r w:rsidRPr="00C83DA9">
              <w:rPr>
                <w:rFonts w:eastAsiaTheme="minorEastAsia"/>
                <w:color w:val="1F497D" w:themeColor="text2"/>
                <w:sz w:val="22"/>
                <w:lang w:val="fr-FR"/>
              </w:rPr>
              <w:t>essources didactiques publiées sur la plate</w:t>
            </w:r>
            <w:r w:rsidR="00BA2B42" w:rsidRPr="00C83DA9">
              <w:rPr>
                <w:rFonts w:eastAsiaTheme="minorEastAsia"/>
                <w:color w:val="1F497D" w:themeColor="text2"/>
                <w:sz w:val="22"/>
                <w:lang w:val="fr-FR"/>
              </w:rPr>
              <w:noBreakHyphen/>
            </w:r>
            <w:r w:rsidRPr="00C83DA9">
              <w:rPr>
                <w:rFonts w:eastAsiaTheme="minorEastAsia"/>
                <w:color w:val="1F497D" w:themeColor="text2"/>
                <w:sz w:val="22"/>
                <w:lang w:val="fr-FR"/>
              </w:rPr>
              <w:t>forme de la réglementation du numérique</w:t>
            </w:r>
            <w:bookmarkEnd w:id="43"/>
            <w:r w:rsidRPr="00C83DA9">
              <w:rPr>
                <w:rFonts w:eastAsiaTheme="minorEastAsia"/>
                <w:color w:val="1F497D" w:themeColor="text2"/>
                <w:sz w:val="22"/>
                <w:lang w:val="fr-FR"/>
              </w:rPr>
              <w:t>.</w:t>
            </w:r>
          </w:p>
          <w:p w14:paraId="76BA4899" w14:textId="77777777" w:rsidR="00AC69A2" w:rsidRPr="00C83DA9" w:rsidRDefault="00AC69A2" w:rsidP="00BA2B42">
            <w:pPr>
              <w:spacing w:after="40"/>
              <w:rPr>
                <w:rFonts w:cstheme="minorBidi"/>
                <w:b/>
                <w:bCs/>
                <w:sz w:val="22"/>
                <w:lang w:val="fr-FR"/>
              </w:rPr>
            </w:pPr>
            <w:r w:rsidRPr="00C83DA9">
              <w:rPr>
                <w:rFonts w:cstheme="minorBidi"/>
                <w:b/>
                <w:bCs/>
                <w:sz w:val="22"/>
                <w:lang w:val="fr-FR"/>
              </w:rPr>
              <w:t>Analyses collaboratives sur la réglementation nationale en matière de numérique</w:t>
            </w:r>
          </w:p>
          <w:p w14:paraId="6380115D" w14:textId="0088A6E7" w:rsidR="00AC69A2" w:rsidRPr="00C83DA9" w:rsidRDefault="00AC69A2" w:rsidP="00BA2B42">
            <w:pPr>
              <w:tabs>
                <w:tab w:val="clear" w:pos="2268"/>
                <w:tab w:val="left" w:pos="851"/>
                <w:tab w:val="left" w:pos="1418"/>
                <w:tab w:val="left" w:pos="1985"/>
                <w:tab w:val="left" w:pos="2552"/>
                <w:tab w:val="left" w:pos="3119"/>
                <w:tab w:val="left" w:pos="3402"/>
                <w:tab w:val="left" w:pos="3686"/>
                <w:tab w:val="left" w:pos="3969"/>
              </w:tabs>
              <w:spacing w:before="20" w:after="20"/>
              <w:ind w:left="330" w:right="-45" w:hanging="330"/>
              <w:rPr>
                <w:rFonts w:eastAsiaTheme="minorEastAsia" w:cstheme="minorBidi"/>
                <w:color w:val="1F497D" w:themeColor="text2"/>
                <w:sz w:val="22"/>
                <w:lang w:val="fr-FR"/>
              </w:rPr>
            </w:pPr>
            <w:bookmarkStart w:id="44" w:name="lt_pId721"/>
            <w:r w:rsidRPr="00C83DA9">
              <w:rPr>
                <w:color w:val="1F497D" w:themeColor="text2"/>
                <w:sz w:val="22"/>
                <w:lang w:val="fr-FR"/>
              </w:rPr>
              <w:t>•</w:t>
            </w:r>
            <w:r w:rsidRPr="00C83DA9">
              <w:rPr>
                <w:color w:val="1F497D" w:themeColor="text2"/>
                <w:sz w:val="22"/>
                <w:lang w:val="fr-FR"/>
              </w:rPr>
              <w:tab/>
            </w:r>
            <w:r w:rsidR="00F618BE">
              <w:rPr>
                <w:rFonts w:eastAsiaTheme="minorEastAsia" w:cstheme="minorBidi"/>
                <w:color w:val="1F497D" w:themeColor="text2"/>
                <w:sz w:val="22"/>
                <w:lang w:val="fr-FR"/>
              </w:rPr>
              <w:t>République sudafricaine</w:t>
            </w:r>
            <w:r w:rsidRPr="00C83DA9">
              <w:rPr>
                <w:rFonts w:eastAsiaTheme="minorEastAsia" w:cstheme="minorBidi"/>
                <w:color w:val="1F497D" w:themeColor="text2"/>
                <w:sz w:val="22"/>
                <w:lang w:val="fr-FR"/>
              </w:rPr>
              <w:t xml:space="preserve">, Brésil, Colombie, </w:t>
            </w:r>
            <w:r w:rsidR="00BA2B42" w:rsidRPr="00C83DA9">
              <w:rPr>
                <w:rFonts w:eastAsiaTheme="minorEastAsia" w:cstheme="minorBidi"/>
                <w:color w:val="1F497D" w:themeColor="text2"/>
                <w:sz w:val="22"/>
                <w:lang w:val="fr-FR"/>
              </w:rPr>
              <w:t>Égypte</w:t>
            </w:r>
            <w:r w:rsidRPr="00C83DA9">
              <w:rPr>
                <w:rFonts w:eastAsiaTheme="minorEastAsia" w:cstheme="minorBidi"/>
                <w:color w:val="1F497D" w:themeColor="text2"/>
                <w:sz w:val="22"/>
                <w:lang w:val="fr-FR"/>
              </w:rPr>
              <w:t>, Kenya, Nigéria, Oman</w:t>
            </w:r>
            <w:r w:rsidR="00F618BE">
              <w:rPr>
                <w:rFonts w:eastAsiaTheme="minorEastAsia" w:cstheme="minorBidi"/>
                <w:color w:val="1F497D" w:themeColor="text2"/>
                <w:sz w:val="22"/>
                <w:lang w:val="fr-FR"/>
              </w:rPr>
              <w:t> </w:t>
            </w:r>
            <w:r w:rsidRPr="00C83DA9">
              <w:rPr>
                <w:rFonts w:eastAsiaTheme="minorEastAsia" w:cstheme="minorBidi"/>
                <w:color w:val="1F497D" w:themeColor="text2"/>
                <w:sz w:val="22"/>
                <w:lang w:val="fr-FR"/>
              </w:rPr>
              <w:t>et Qatar</w:t>
            </w:r>
            <w:bookmarkEnd w:id="44"/>
            <w:r w:rsidRPr="00C83DA9">
              <w:rPr>
                <w:rFonts w:eastAsiaTheme="minorEastAsia" w:cstheme="minorBidi"/>
                <w:color w:val="1F497D" w:themeColor="text2"/>
                <w:sz w:val="22"/>
                <w:lang w:val="fr-FR"/>
              </w:rPr>
              <w:t>.</w:t>
            </w:r>
          </w:p>
          <w:p w14:paraId="4326F952" w14:textId="77777777" w:rsidR="00AC69A2" w:rsidRPr="00C83DA9" w:rsidRDefault="00AC69A2" w:rsidP="001D6175">
            <w:pPr>
              <w:spacing w:before="40" w:after="40"/>
              <w:rPr>
                <w:rFonts w:cstheme="minorBidi"/>
                <w:b/>
                <w:bCs/>
                <w:sz w:val="22"/>
                <w:lang w:val="fr-FR"/>
              </w:rPr>
            </w:pPr>
            <w:bookmarkStart w:id="45" w:name="lt_pId722"/>
            <w:r w:rsidRPr="00C83DA9">
              <w:rPr>
                <w:rFonts w:cstheme="minorBidi"/>
                <w:b/>
                <w:bCs/>
                <w:sz w:val="22"/>
                <w:lang w:val="fr-FR"/>
              </w:rPr>
              <w:t>Afrique:</w:t>
            </w:r>
            <w:bookmarkEnd w:id="45"/>
          </w:p>
          <w:p w14:paraId="4937A524" w14:textId="77777777"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bookmarkStart w:id="46" w:name="lt_pId723"/>
            <w:r w:rsidRPr="00C83DA9">
              <w:rPr>
                <w:color w:val="1F497D" w:themeColor="text2"/>
                <w:sz w:val="22"/>
                <w:lang w:val="fr-FR"/>
              </w:rPr>
              <w:t>•</w:t>
            </w:r>
            <w:r w:rsidRPr="00C83DA9">
              <w:rPr>
                <w:color w:val="1F497D" w:themeColor="text2"/>
                <w:sz w:val="22"/>
                <w:lang w:val="fr-FR"/>
              </w:rPr>
              <w:tab/>
            </w:r>
            <w:r w:rsidRPr="00C83DA9">
              <w:rPr>
                <w:rFonts w:eastAsiaTheme="minorEastAsia"/>
                <w:color w:val="1F497D" w:themeColor="text2"/>
                <w:sz w:val="22"/>
                <w:lang w:val="fr-FR"/>
              </w:rPr>
              <w:t>43 pays ont pris part aux activit</w:t>
            </w:r>
            <w:bookmarkEnd w:id="46"/>
            <w:r w:rsidRPr="00C83DA9">
              <w:rPr>
                <w:rFonts w:eastAsiaTheme="minorEastAsia"/>
                <w:color w:val="1F497D" w:themeColor="text2"/>
                <w:sz w:val="22"/>
                <w:lang w:val="fr-FR"/>
              </w:rPr>
              <w:t>és.</w:t>
            </w:r>
          </w:p>
          <w:p w14:paraId="76C7348F" w14:textId="77777777"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bookmarkStart w:id="47" w:name="lt_pId724"/>
            <w:r w:rsidRPr="00C83DA9">
              <w:rPr>
                <w:rFonts w:eastAsiaTheme="minorEastAsia"/>
                <w:color w:val="1F497D" w:themeColor="text2"/>
                <w:sz w:val="22"/>
                <w:lang w:val="fr-FR"/>
              </w:rPr>
              <w:t>•</w:t>
            </w:r>
            <w:r w:rsidRPr="00C83DA9">
              <w:rPr>
                <w:rFonts w:eastAsiaTheme="minorEastAsia"/>
                <w:color w:val="1F497D" w:themeColor="text2"/>
                <w:sz w:val="22"/>
                <w:lang w:val="fr-FR"/>
              </w:rPr>
              <w:tab/>
              <w:t>Projet de l'UIT et de l'UE pour l'analyse comparative des TIC en Afrique centrale</w:t>
            </w:r>
            <w:bookmarkEnd w:id="47"/>
            <w:r w:rsidRPr="00C83DA9">
              <w:rPr>
                <w:rFonts w:eastAsiaTheme="minorEastAsia"/>
                <w:color w:val="1F497D" w:themeColor="text2"/>
                <w:sz w:val="22"/>
                <w:lang w:val="fr-FR"/>
              </w:rPr>
              <w:t>.</w:t>
            </w:r>
          </w:p>
          <w:p w14:paraId="53385406" w14:textId="77777777" w:rsidR="00AC69A2" w:rsidRPr="00C83DA9" w:rsidRDefault="00AC69A2" w:rsidP="00202BFA">
            <w:pPr>
              <w:pStyle w:val="enumlev1"/>
              <w:tabs>
                <w:tab w:val="clear" w:pos="1134"/>
              </w:tabs>
              <w:spacing w:before="40" w:after="40"/>
              <w:ind w:left="386" w:right="-102" w:hanging="386"/>
              <w:rPr>
                <w:color w:val="1F497D" w:themeColor="text2"/>
                <w:sz w:val="22"/>
                <w:lang w:val="fr-FR"/>
              </w:rPr>
            </w:pPr>
            <w:bookmarkStart w:id="48" w:name="lt_pId725"/>
            <w:r w:rsidRPr="00C83DA9">
              <w:rPr>
                <w:rFonts w:eastAsiaTheme="minorEastAsia"/>
                <w:color w:val="1F497D" w:themeColor="text2"/>
                <w:sz w:val="22"/>
                <w:lang w:val="fr-FR"/>
              </w:rPr>
              <w:t>•</w:t>
            </w:r>
            <w:r w:rsidRPr="00C83DA9">
              <w:rPr>
                <w:rFonts w:eastAsiaTheme="minorEastAsia"/>
                <w:color w:val="1F497D" w:themeColor="text2"/>
                <w:sz w:val="22"/>
                <w:lang w:val="fr-FR"/>
              </w:rPr>
              <w:tab/>
              <w:t>Projet de l'UIT, de la délégation de l'UE</w:t>
            </w:r>
            <w:r w:rsidRPr="00C83DA9">
              <w:rPr>
                <w:color w:val="1F497D" w:themeColor="text2"/>
                <w:sz w:val="22"/>
                <w:lang w:val="fr-FR"/>
              </w:rPr>
              <w:t xml:space="preserve"> et du Gouvernement du </w:t>
            </w:r>
            <w:r w:rsidRPr="00C83DA9">
              <w:rPr>
                <w:rFonts w:eastAsiaTheme="minorEastAsia"/>
                <w:color w:val="1F497D" w:themeColor="text2"/>
                <w:sz w:val="22"/>
                <w:lang w:val="fr-FR"/>
              </w:rPr>
              <w:t>Mozambique</w:t>
            </w:r>
            <w:r w:rsidRPr="00C83DA9">
              <w:rPr>
                <w:color w:val="1F497D" w:themeColor="text2"/>
                <w:sz w:val="22"/>
                <w:lang w:val="fr-FR"/>
              </w:rPr>
              <w:t xml:space="preserve"> intitulé "Construire les bases de VaMoz Digital!"</w:t>
            </w:r>
            <w:bookmarkEnd w:id="48"/>
            <w:r w:rsidRPr="00C83DA9">
              <w:rPr>
                <w:color w:val="1F497D" w:themeColor="text2"/>
                <w:sz w:val="22"/>
                <w:lang w:val="fr-FR"/>
              </w:rPr>
              <w:t>.</w:t>
            </w:r>
          </w:p>
          <w:p w14:paraId="32FC509C" w14:textId="77777777" w:rsidR="00AC69A2" w:rsidRPr="00C83DA9" w:rsidRDefault="00AC69A2" w:rsidP="00CA734F">
            <w:pPr>
              <w:pStyle w:val="enumlev1"/>
              <w:keepLines/>
              <w:tabs>
                <w:tab w:val="clear" w:pos="1134"/>
              </w:tabs>
              <w:spacing w:before="40" w:after="40"/>
              <w:ind w:left="386" w:right="-102" w:hanging="386"/>
              <w:rPr>
                <w:color w:val="1F497D" w:themeColor="text2"/>
                <w:sz w:val="22"/>
                <w:lang w:val="fr-FR"/>
              </w:rPr>
            </w:pPr>
            <w:bookmarkStart w:id="49" w:name="lt_pId726"/>
            <w:r w:rsidRPr="00C83DA9">
              <w:rPr>
                <w:color w:val="1F497D" w:themeColor="text2"/>
                <w:sz w:val="22"/>
                <w:lang w:val="fr-FR"/>
              </w:rPr>
              <w:t>•</w:t>
            </w:r>
            <w:r w:rsidRPr="00C83DA9">
              <w:rPr>
                <w:color w:val="1F497D" w:themeColor="text2"/>
                <w:sz w:val="22"/>
                <w:lang w:val="fr-FR"/>
              </w:rPr>
              <w:tab/>
            </w:r>
            <w:r w:rsidRPr="00C83DA9">
              <w:rPr>
                <w:rFonts w:eastAsiaTheme="minorEastAsia" w:cstheme="minorBidi"/>
                <w:color w:val="1F497D" w:themeColor="text2"/>
                <w:sz w:val="22"/>
                <w:lang w:val="fr-FR"/>
              </w:rPr>
              <w:t>Projet de l'UIT, du Fonds chinois pour le développement mondial et la coopération Sud-Sud et du Gouvernement</w:t>
            </w:r>
            <w:r w:rsidRPr="00C83DA9">
              <w:rPr>
                <w:color w:val="1F497D" w:themeColor="text2"/>
                <w:sz w:val="22"/>
                <w:lang w:val="fr-FR"/>
              </w:rPr>
              <w:t xml:space="preserve"> de l'Ouganda </w:t>
            </w:r>
            <w:bookmarkEnd w:id="49"/>
            <w:r w:rsidRPr="00C83DA9">
              <w:rPr>
                <w:color w:val="1F497D" w:themeColor="text2"/>
                <w:sz w:val="22"/>
                <w:lang w:val="fr-FR"/>
              </w:rPr>
              <w:t xml:space="preserve">intitulé "Assistance technique </w:t>
            </w:r>
            <w:r w:rsidRPr="00C83DA9">
              <w:rPr>
                <w:color w:val="1F497D" w:themeColor="text2"/>
                <w:sz w:val="22"/>
                <w:lang w:val="fr-FR"/>
              </w:rPr>
              <w:lastRenderedPageBreak/>
              <w:t>et formation à l'intention de l'Ouganda concernant la stratégie de développement national des TIC".</w:t>
            </w:r>
          </w:p>
          <w:p w14:paraId="14AD2FC4" w14:textId="77777777" w:rsidR="00AC69A2" w:rsidRPr="00CA734F" w:rsidRDefault="00AC69A2" w:rsidP="001D6175">
            <w:pPr>
              <w:spacing w:before="80" w:after="80"/>
              <w:rPr>
                <w:rFonts w:ascii="Calibri" w:hAnsi="Calibri" w:cs="Calibri"/>
                <w:color w:val="000000" w:themeColor="text1"/>
                <w:sz w:val="22"/>
                <w:lang w:val="es-ES_tradnl"/>
              </w:rPr>
            </w:pPr>
            <w:bookmarkStart w:id="50" w:name="lt_pId727"/>
            <w:r w:rsidRPr="00CA734F">
              <w:rPr>
                <w:rFonts w:ascii="Calibri" w:hAnsi="Calibri" w:cs="Calibri"/>
                <w:b/>
                <w:bCs/>
                <w:color w:val="000000" w:themeColor="text1"/>
                <w:sz w:val="22"/>
                <w:lang w:val="es-ES_tradnl"/>
              </w:rPr>
              <w:t>Amériques:</w:t>
            </w:r>
            <w:bookmarkEnd w:id="50"/>
          </w:p>
          <w:p w14:paraId="530E236E" w14:textId="45ADA4F4" w:rsidR="00AC69A2" w:rsidRPr="00CA734F" w:rsidRDefault="0066229E" w:rsidP="00202BFA">
            <w:pPr>
              <w:pStyle w:val="enumlev1"/>
              <w:tabs>
                <w:tab w:val="clear" w:pos="1134"/>
              </w:tabs>
              <w:spacing w:before="40" w:after="40"/>
              <w:ind w:left="386" w:right="-102" w:hanging="386"/>
              <w:rPr>
                <w:color w:val="1F497D" w:themeColor="text2"/>
                <w:sz w:val="22"/>
                <w:lang w:val="fr-FR"/>
              </w:rPr>
            </w:pPr>
            <w:bookmarkStart w:id="51" w:name="lt_pId728"/>
            <w:r w:rsidRPr="00CA734F">
              <w:rPr>
                <w:color w:val="1F497D" w:themeColor="text2"/>
                <w:sz w:val="22"/>
                <w:lang w:val="es-ES_tradnl"/>
              </w:rPr>
              <w:t>•</w:t>
            </w:r>
            <w:r w:rsidR="00AC69A2" w:rsidRPr="00CA734F">
              <w:rPr>
                <w:color w:val="1F497D" w:themeColor="text2"/>
                <w:sz w:val="22"/>
                <w:lang w:val="es-ES_tradnl"/>
              </w:rPr>
              <w:tab/>
            </w:r>
            <w:r w:rsidR="00AC69A2" w:rsidRPr="00CA734F">
              <w:rPr>
                <w:color w:val="1F497D" w:themeColor="text2"/>
                <w:sz w:val="22"/>
                <w:lang w:val="fr-FR"/>
              </w:rPr>
              <w:t xml:space="preserve">Belize, Brésil, </w:t>
            </w:r>
            <w:r w:rsidR="00AC69A2" w:rsidRPr="00CA734F">
              <w:rPr>
                <w:rFonts w:eastAsiaTheme="minorEastAsia"/>
                <w:color w:val="1F497D" w:themeColor="text2"/>
                <w:sz w:val="22"/>
                <w:lang w:val="fr-FR"/>
              </w:rPr>
              <w:t>Colombie</w:t>
            </w:r>
            <w:r w:rsidR="00AC69A2" w:rsidRPr="00CA734F">
              <w:rPr>
                <w:color w:val="1F497D" w:themeColor="text2"/>
                <w:sz w:val="22"/>
                <w:lang w:val="fr-FR"/>
              </w:rPr>
              <w:t>, Costa Rica, El Salvador, Guatemala, Honduras, Panama, Paraguay, République dominicaine, Sainte</w:t>
            </w:r>
            <w:r w:rsidRPr="00CA734F">
              <w:rPr>
                <w:color w:val="1F497D" w:themeColor="text2"/>
                <w:sz w:val="22"/>
                <w:lang w:val="fr-FR"/>
              </w:rPr>
              <w:noBreakHyphen/>
            </w:r>
            <w:r w:rsidR="00AC69A2" w:rsidRPr="00CA734F">
              <w:rPr>
                <w:color w:val="1F497D" w:themeColor="text2"/>
                <w:sz w:val="22"/>
                <w:lang w:val="fr-FR"/>
              </w:rPr>
              <w:t>Lucie, Trinité</w:t>
            </w:r>
            <w:r w:rsidR="00AC69A2" w:rsidRPr="00CA734F">
              <w:rPr>
                <w:color w:val="1F497D" w:themeColor="text2"/>
                <w:sz w:val="22"/>
                <w:lang w:val="fr-FR"/>
              </w:rPr>
              <w:noBreakHyphen/>
              <w:t>et</w:t>
            </w:r>
            <w:r w:rsidR="00AC69A2" w:rsidRPr="00CA734F">
              <w:rPr>
                <w:color w:val="1F497D" w:themeColor="text2"/>
                <w:sz w:val="22"/>
                <w:lang w:val="fr-FR"/>
              </w:rPr>
              <w:noBreakHyphen/>
              <w:t>Tobago, Uruguay</w:t>
            </w:r>
            <w:bookmarkEnd w:id="51"/>
            <w:r w:rsidR="00AC69A2" w:rsidRPr="00CA734F">
              <w:rPr>
                <w:color w:val="1F497D" w:themeColor="text2"/>
                <w:sz w:val="22"/>
                <w:lang w:val="fr-FR"/>
              </w:rPr>
              <w:t>.</w:t>
            </w:r>
          </w:p>
          <w:p w14:paraId="607219C3" w14:textId="77777777" w:rsidR="00AC69A2" w:rsidRPr="00C83DA9" w:rsidRDefault="00AC69A2" w:rsidP="001D6175">
            <w:pPr>
              <w:spacing w:before="80" w:after="80"/>
              <w:rPr>
                <w:rFonts w:ascii="Calibri" w:hAnsi="Calibri" w:cs="Calibri"/>
                <w:color w:val="000000" w:themeColor="text1"/>
                <w:sz w:val="22"/>
                <w:lang w:val="fr-FR"/>
              </w:rPr>
            </w:pPr>
            <w:bookmarkStart w:id="52" w:name="lt_pId729"/>
            <w:r w:rsidRPr="00C83DA9">
              <w:rPr>
                <w:rFonts w:ascii="Calibri" w:hAnsi="Calibri" w:cs="Calibri"/>
                <w:b/>
                <w:bCs/>
                <w:color w:val="000000" w:themeColor="text1"/>
                <w:sz w:val="22"/>
                <w:lang w:val="fr-FR"/>
              </w:rPr>
              <w:t>États arabes:</w:t>
            </w:r>
            <w:bookmarkEnd w:id="52"/>
          </w:p>
          <w:p w14:paraId="14532FC6" w14:textId="77777777" w:rsidR="00AC69A2" w:rsidRPr="00C83DA9" w:rsidRDefault="00AC69A2" w:rsidP="00202BFA">
            <w:pPr>
              <w:pStyle w:val="enumlev1"/>
              <w:tabs>
                <w:tab w:val="clear" w:pos="1134"/>
              </w:tabs>
              <w:spacing w:before="40" w:after="40"/>
              <w:ind w:left="386" w:right="-102" w:hanging="386"/>
              <w:rPr>
                <w:color w:val="1F497D" w:themeColor="text2"/>
                <w:sz w:val="22"/>
                <w:lang w:val="fr-FR"/>
              </w:rPr>
            </w:pPr>
            <w:bookmarkStart w:id="53" w:name="lt_pId730"/>
            <w:r w:rsidRPr="00C83DA9">
              <w:rPr>
                <w:color w:val="1F497D" w:themeColor="text2"/>
                <w:sz w:val="22"/>
                <w:lang w:val="fr-FR"/>
              </w:rPr>
              <w:t>•</w:t>
            </w:r>
            <w:r w:rsidRPr="00C83DA9">
              <w:rPr>
                <w:color w:val="1F497D" w:themeColor="text2"/>
                <w:sz w:val="22"/>
                <w:lang w:val="fr-FR"/>
              </w:rPr>
              <w:tab/>
              <w:t xml:space="preserve">Analyses </w:t>
            </w:r>
            <w:r w:rsidRPr="00C83DA9">
              <w:rPr>
                <w:rFonts w:eastAsiaTheme="minorEastAsia"/>
                <w:color w:val="1F497D" w:themeColor="text2"/>
                <w:sz w:val="22"/>
                <w:lang w:val="fr-FR"/>
              </w:rPr>
              <w:t>collaboratives</w:t>
            </w:r>
            <w:r w:rsidRPr="00C83DA9">
              <w:rPr>
                <w:color w:val="1F497D" w:themeColor="text2"/>
                <w:sz w:val="22"/>
                <w:lang w:val="fr-FR"/>
              </w:rPr>
              <w:t xml:space="preserve"> sur la réglementation nationale en matière de numérique pour Oman et le Qatar</w:t>
            </w:r>
            <w:bookmarkEnd w:id="53"/>
            <w:r w:rsidRPr="00C83DA9">
              <w:rPr>
                <w:color w:val="1F497D" w:themeColor="text2"/>
                <w:sz w:val="22"/>
                <w:lang w:val="fr-FR"/>
              </w:rPr>
              <w:t>.</w:t>
            </w:r>
          </w:p>
          <w:p w14:paraId="565C81EA" w14:textId="77777777" w:rsidR="00AC69A2" w:rsidRPr="00C83DA9" w:rsidRDefault="00AC69A2" w:rsidP="00202BFA">
            <w:pPr>
              <w:pStyle w:val="enumlev1"/>
              <w:tabs>
                <w:tab w:val="clear" w:pos="1134"/>
              </w:tabs>
              <w:spacing w:before="40" w:after="40"/>
              <w:ind w:left="386" w:right="-102" w:hanging="386"/>
              <w:rPr>
                <w:color w:val="1F497D" w:themeColor="text2"/>
                <w:sz w:val="22"/>
                <w:lang w:val="fr-FR"/>
              </w:rPr>
            </w:pPr>
            <w:bookmarkStart w:id="54" w:name="lt_pId731"/>
            <w:r w:rsidRPr="00C83DA9">
              <w:rPr>
                <w:color w:val="1F497D" w:themeColor="text2"/>
                <w:sz w:val="22"/>
                <w:lang w:val="fr-FR"/>
              </w:rPr>
              <w:t>•</w:t>
            </w:r>
            <w:r w:rsidRPr="00C83DA9">
              <w:rPr>
                <w:color w:val="1F497D" w:themeColor="text2"/>
                <w:sz w:val="22"/>
                <w:lang w:val="fr-FR"/>
              </w:rPr>
              <w:tab/>
              <w:t xml:space="preserve">Assistance technique de pays pour les </w:t>
            </w:r>
            <w:r w:rsidRPr="00C83DA9">
              <w:rPr>
                <w:rFonts w:eastAsiaTheme="minorEastAsia"/>
                <w:color w:val="1F497D" w:themeColor="text2"/>
                <w:sz w:val="22"/>
                <w:lang w:val="fr-FR"/>
              </w:rPr>
              <w:t>Comores</w:t>
            </w:r>
            <w:r w:rsidRPr="00C83DA9">
              <w:rPr>
                <w:color w:val="1F497D" w:themeColor="text2"/>
                <w:sz w:val="22"/>
                <w:lang w:val="fr-FR"/>
              </w:rPr>
              <w:t xml:space="preserve"> sur la réglementation axée sur les données et stratégie de transformation numérique pour la Somalie</w:t>
            </w:r>
            <w:bookmarkEnd w:id="54"/>
            <w:r w:rsidRPr="00C83DA9">
              <w:rPr>
                <w:color w:val="1F497D" w:themeColor="text2"/>
                <w:sz w:val="22"/>
                <w:lang w:val="fr-FR"/>
              </w:rPr>
              <w:t>.</w:t>
            </w:r>
          </w:p>
          <w:p w14:paraId="35F0D6AF" w14:textId="77777777" w:rsidR="00AC69A2" w:rsidRPr="00C83DA9" w:rsidRDefault="00AC69A2" w:rsidP="001D6175">
            <w:pPr>
              <w:pStyle w:val="enumlev1"/>
              <w:keepNext/>
              <w:keepLines/>
              <w:tabs>
                <w:tab w:val="clear" w:pos="1134"/>
              </w:tabs>
              <w:spacing w:before="40" w:after="40"/>
              <w:ind w:left="386" w:right="-102" w:hanging="386"/>
              <w:rPr>
                <w:rFonts w:ascii="Calibri" w:hAnsi="Calibri" w:cs="Calibri"/>
                <w:color w:val="1F497D" w:themeColor="text2"/>
                <w:sz w:val="22"/>
                <w:lang w:val="fr-FR"/>
              </w:rPr>
            </w:pPr>
            <w:bookmarkStart w:id="55" w:name="lt_pId732"/>
            <w:r w:rsidRPr="00C83DA9">
              <w:rPr>
                <w:color w:val="1F497D" w:themeColor="text2"/>
                <w:sz w:val="22"/>
                <w:lang w:val="fr-FR"/>
              </w:rPr>
              <w:t>•</w:t>
            </w:r>
            <w:r w:rsidRPr="00C83DA9">
              <w:rPr>
                <w:color w:val="1F497D" w:themeColor="text2"/>
                <w:sz w:val="22"/>
                <w:lang w:val="fr-FR"/>
              </w:rPr>
              <w:tab/>
              <w:t xml:space="preserve">Examen et analyse du marché des TIC et du </w:t>
            </w:r>
            <w:r w:rsidRPr="00C83DA9">
              <w:rPr>
                <w:rFonts w:eastAsiaTheme="minorEastAsia"/>
                <w:color w:val="1F497D" w:themeColor="text2"/>
                <w:sz w:val="22"/>
                <w:lang w:val="fr-FR"/>
              </w:rPr>
              <w:lastRenderedPageBreak/>
              <w:t>cadre</w:t>
            </w:r>
            <w:r w:rsidRPr="00C83DA9">
              <w:rPr>
                <w:color w:val="1F497D" w:themeColor="text2"/>
                <w:sz w:val="22"/>
                <w:lang w:val="fr-FR"/>
              </w:rPr>
              <w:t xml:space="preserve"> réglementaire pour la Syri</w:t>
            </w:r>
            <w:bookmarkEnd w:id="55"/>
            <w:r w:rsidRPr="00C83DA9">
              <w:rPr>
                <w:color w:val="1F497D" w:themeColor="text2"/>
                <w:sz w:val="22"/>
                <w:lang w:val="fr-FR"/>
              </w:rPr>
              <w:t>e.</w:t>
            </w:r>
          </w:p>
          <w:p w14:paraId="7368C7E5" w14:textId="77777777" w:rsidR="00AC69A2" w:rsidRPr="00C83DA9" w:rsidRDefault="00AC69A2" w:rsidP="00AC69A2">
            <w:pPr>
              <w:keepNext/>
              <w:keepLines/>
              <w:spacing w:after="120"/>
              <w:ind w:left="76"/>
              <w:rPr>
                <w:rFonts w:ascii="Calibri" w:hAnsi="Calibri" w:cs="Calibri"/>
                <w:b/>
                <w:bCs/>
                <w:sz w:val="22"/>
                <w:lang w:val="fr-FR"/>
              </w:rPr>
            </w:pPr>
            <w:bookmarkStart w:id="56" w:name="lt_pId733"/>
            <w:r w:rsidRPr="00C83DA9">
              <w:rPr>
                <w:rFonts w:ascii="Calibri" w:hAnsi="Calibri" w:cs="Calibri"/>
                <w:b/>
                <w:bCs/>
                <w:sz w:val="22"/>
                <w:lang w:val="fr-FR"/>
              </w:rPr>
              <w:t>Asie-Pacifi</w:t>
            </w:r>
            <w:bookmarkEnd w:id="56"/>
            <w:r w:rsidRPr="00C83DA9">
              <w:rPr>
                <w:rFonts w:ascii="Calibri" w:hAnsi="Calibri" w:cs="Calibri"/>
                <w:b/>
                <w:bCs/>
                <w:sz w:val="22"/>
                <w:lang w:val="fr-FR"/>
              </w:rPr>
              <w:t>que:</w:t>
            </w:r>
          </w:p>
          <w:p w14:paraId="15C9919B" w14:textId="77777777" w:rsidR="00AC69A2" w:rsidRPr="00C83DA9" w:rsidRDefault="00AC69A2"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 xml:space="preserve">Domaines d'action en </w:t>
            </w:r>
            <w:r w:rsidRPr="00C83DA9">
              <w:rPr>
                <w:rFonts w:eastAsiaTheme="minorEastAsia"/>
                <w:color w:val="1F497D" w:themeColor="text2"/>
                <w:sz w:val="22"/>
                <w:lang w:val="fr-FR"/>
              </w:rPr>
              <w:t>matière</w:t>
            </w:r>
            <w:r w:rsidRPr="00C83DA9">
              <w:rPr>
                <w:color w:val="1F497D" w:themeColor="text2"/>
                <w:sz w:val="22"/>
                <w:lang w:val="fr-FR"/>
              </w:rPr>
              <w:t xml:space="preserve"> de politique numérique pour une ASEAN connectée.</w:t>
            </w:r>
          </w:p>
          <w:p w14:paraId="70E3B30F" w14:textId="011745B1" w:rsidR="00AC69A2" w:rsidRPr="00C83DA9" w:rsidRDefault="00AC69A2" w:rsidP="00202BFA">
            <w:pPr>
              <w:pStyle w:val="enumlev1"/>
              <w:tabs>
                <w:tab w:val="clear" w:pos="1134"/>
              </w:tabs>
              <w:spacing w:before="40" w:after="40"/>
              <w:ind w:left="386" w:right="-102" w:hanging="386"/>
              <w:rPr>
                <w:color w:val="1F497D" w:themeColor="text2"/>
                <w:sz w:val="22"/>
                <w:lang w:val="fr-FR"/>
              </w:rPr>
            </w:pPr>
            <w:bookmarkStart w:id="57" w:name="lt_pId735"/>
            <w:r w:rsidRPr="00C83DA9">
              <w:rPr>
                <w:color w:val="1F497D" w:themeColor="text2"/>
                <w:sz w:val="22"/>
                <w:lang w:val="fr-FR"/>
              </w:rPr>
              <w:t>•</w:t>
            </w:r>
            <w:r w:rsidRPr="00C83DA9">
              <w:rPr>
                <w:color w:val="1F497D" w:themeColor="text2"/>
                <w:sz w:val="22"/>
                <w:lang w:val="fr-FR"/>
              </w:rPr>
              <w:tab/>
              <w:t xml:space="preserve">Assistance technique </w:t>
            </w:r>
            <w:r w:rsidRPr="00C83DA9">
              <w:rPr>
                <w:rFonts w:eastAsiaTheme="minorEastAsia"/>
                <w:color w:val="1F497D" w:themeColor="text2"/>
                <w:sz w:val="22"/>
                <w:lang w:val="fr-FR"/>
              </w:rPr>
              <w:t>concernant</w:t>
            </w:r>
            <w:r w:rsidRPr="00C83DA9">
              <w:rPr>
                <w:color w:val="1F497D" w:themeColor="text2"/>
                <w:sz w:val="22"/>
                <w:lang w:val="fr-FR"/>
              </w:rPr>
              <w:t xml:space="preserve"> la stratégie de transformation numérique pour </w:t>
            </w:r>
            <w:r w:rsidR="003F4994" w:rsidRPr="00C83DA9">
              <w:rPr>
                <w:color w:val="1F497D" w:themeColor="text2"/>
                <w:sz w:val="22"/>
                <w:lang w:val="fr-FR"/>
              </w:rPr>
              <w:t xml:space="preserve">les Fidji, </w:t>
            </w:r>
            <w:r w:rsidRPr="00C83DA9">
              <w:rPr>
                <w:color w:val="1F497D" w:themeColor="text2"/>
                <w:sz w:val="22"/>
                <w:lang w:val="fr-FR"/>
              </w:rPr>
              <w:t xml:space="preserve">Kiribati, Nauru, les états fédérés de Micronésie, les </w:t>
            </w:r>
            <w:r w:rsidR="00F57442" w:rsidRPr="00C83DA9">
              <w:rPr>
                <w:rFonts w:ascii="Calibri" w:hAnsi="Calibri" w:cs="Calibri"/>
                <w:color w:val="1F497D" w:themeColor="text2"/>
                <w:sz w:val="22"/>
                <w:lang w:val="fr-FR"/>
              </w:rPr>
              <w:t>Î</w:t>
            </w:r>
            <w:r w:rsidR="00F57442" w:rsidRPr="00C83DA9">
              <w:rPr>
                <w:color w:val="1F497D" w:themeColor="text2"/>
                <w:sz w:val="22"/>
                <w:lang w:val="fr-FR"/>
              </w:rPr>
              <w:t>les </w:t>
            </w:r>
            <w:r w:rsidRPr="00C83DA9">
              <w:rPr>
                <w:color w:val="1F497D" w:themeColor="text2"/>
                <w:sz w:val="22"/>
                <w:lang w:val="fr-FR"/>
              </w:rPr>
              <w:t>Salomon et Vanuatu</w:t>
            </w:r>
            <w:bookmarkEnd w:id="57"/>
            <w:r w:rsidRPr="00C83DA9">
              <w:rPr>
                <w:color w:val="1F497D" w:themeColor="text2"/>
                <w:sz w:val="22"/>
                <w:lang w:val="fr-FR"/>
              </w:rPr>
              <w:t>.</w:t>
            </w:r>
          </w:p>
          <w:p w14:paraId="6A5938CA" w14:textId="77777777" w:rsidR="00AC69A2" w:rsidRPr="00C83DA9" w:rsidRDefault="00AC69A2" w:rsidP="00202BFA">
            <w:pPr>
              <w:pStyle w:val="enumlev1"/>
              <w:tabs>
                <w:tab w:val="clear" w:pos="1134"/>
              </w:tabs>
              <w:spacing w:before="40" w:after="40"/>
              <w:ind w:left="386" w:right="-102" w:hanging="386"/>
              <w:rPr>
                <w:rFonts w:ascii="Calibri" w:hAnsi="Calibri" w:cs="Calibri"/>
                <w:color w:val="1F497D" w:themeColor="text2"/>
                <w:sz w:val="22"/>
                <w:lang w:val="fr-FR"/>
              </w:rPr>
            </w:pPr>
            <w:bookmarkStart w:id="58" w:name="lt_pId736"/>
            <w:r w:rsidRPr="00C83DA9">
              <w:rPr>
                <w:color w:val="1F497D" w:themeColor="text2"/>
                <w:sz w:val="22"/>
                <w:lang w:val="fr-FR"/>
              </w:rPr>
              <w:t>•</w:t>
            </w:r>
            <w:r w:rsidRPr="00C83DA9">
              <w:rPr>
                <w:color w:val="1F497D" w:themeColor="text2"/>
                <w:sz w:val="22"/>
                <w:lang w:val="fr-FR"/>
              </w:rPr>
              <w:tab/>
              <w:t xml:space="preserve">Assistance technique concernant la note </w:t>
            </w:r>
            <w:r w:rsidRPr="00C83DA9">
              <w:rPr>
                <w:rFonts w:eastAsiaTheme="minorEastAsia"/>
                <w:color w:val="1F497D" w:themeColor="text2"/>
                <w:sz w:val="22"/>
                <w:lang w:val="fr-FR"/>
              </w:rPr>
              <w:t>d'orientation</w:t>
            </w:r>
            <w:r w:rsidRPr="00C83DA9">
              <w:rPr>
                <w:color w:val="1F497D" w:themeColor="text2"/>
                <w:sz w:val="22"/>
                <w:lang w:val="fr-FR"/>
              </w:rPr>
              <w:t xml:space="preserve"> sur les lacunes et les potentialités, pour les Tonga, et la stratégie nationale de développement des télécommunications et de l'Internet, pour la République démocratique populaire lao</w:t>
            </w:r>
            <w:bookmarkEnd w:id="58"/>
            <w:r w:rsidRPr="00C83DA9">
              <w:rPr>
                <w:rFonts w:ascii="Calibri" w:hAnsi="Calibri" w:cs="Calibri"/>
                <w:color w:val="1F497D" w:themeColor="text2"/>
                <w:sz w:val="22"/>
                <w:lang w:val="fr-FR"/>
              </w:rPr>
              <w:t>.</w:t>
            </w:r>
          </w:p>
          <w:p w14:paraId="7BE47E69" w14:textId="77777777" w:rsidR="00AC69A2" w:rsidRPr="00C83DA9" w:rsidRDefault="00AC69A2" w:rsidP="00AC69A2">
            <w:pPr>
              <w:tabs>
                <w:tab w:val="left" w:pos="851"/>
                <w:tab w:val="left" w:pos="1418"/>
                <w:tab w:val="left" w:pos="1985"/>
                <w:tab w:val="left" w:pos="2552"/>
                <w:tab w:val="left" w:pos="3119"/>
                <w:tab w:val="left" w:pos="3402"/>
                <w:tab w:val="left" w:pos="3686"/>
                <w:tab w:val="left" w:pos="3969"/>
              </w:tabs>
              <w:spacing w:before="360" w:after="40"/>
              <w:rPr>
                <w:b/>
                <w:bCs/>
                <w:color w:val="0070C0"/>
                <w:sz w:val="22"/>
                <w:lang w:val="fr-FR"/>
              </w:rPr>
            </w:pPr>
            <w:bookmarkStart w:id="59" w:name="lt_pId737"/>
            <w:r w:rsidRPr="00C83DA9">
              <w:rPr>
                <w:rFonts w:ascii="Calibri" w:hAnsi="Calibri" w:cs="Calibri"/>
                <w:b/>
                <w:bCs/>
                <w:color w:val="1F497D" w:themeColor="text2"/>
                <w:sz w:val="22"/>
                <w:lang w:val="fr-FR"/>
              </w:rPr>
              <w:t>CEI</w:t>
            </w:r>
            <w:r w:rsidRPr="00C83DA9">
              <w:rPr>
                <w:rFonts w:ascii="Calibri" w:hAnsi="Calibri" w:cs="Calibri"/>
                <w:sz w:val="22"/>
                <w:lang w:val="fr-FR"/>
              </w:rPr>
              <w:t>: Arménie, Tadjikistan, Turkménistan, Ouzbékistan</w:t>
            </w:r>
            <w:bookmarkEnd w:id="59"/>
            <w:r w:rsidRPr="00C83DA9">
              <w:rPr>
                <w:rFonts w:ascii="Calibri" w:hAnsi="Calibri" w:cs="Calibri"/>
                <w:sz w:val="22"/>
                <w:lang w:val="fr-FR"/>
              </w:rPr>
              <w:t>.</w:t>
            </w:r>
          </w:p>
        </w:tc>
      </w:tr>
      <w:tr w:rsidR="00AC69A2" w:rsidRPr="00CA734F" w14:paraId="664F2A70" w14:textId="77777777" w:rsidTr="00A90F81">
        <w:trPr>
          <w:trHeight w:val="839"/>
        </w:trPr>
        <w:tc>
          <w:tcPr>
            <w:tcW w:w="14879"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3329F348" w14:textId="7424EB3E" w:rsidR="00AC69A2" w:rsidRPr="00C83DA9" w:rsidRDefault="00AC69A2" w:rsidP="009B2988">
            <w:pPr>
              <w:pStyle w:val="Headingb"/>
              <w:spacing w:before="40"/>
              <w:rPr>
                <w:rFonts w:eastAsia="Times New Roman"/>
                <w:color w:val="0070C0"/>
                <w:kern w:val="0"/>
                <w:szCs w:val="20"/>
                <w:lang w:val="fr-FR"/>
                <w14:ligatures w14:val="none"/>
              </w:rPr>
            </w:pPr>
            <w:bookmarkStart w:id="60" w:name="lt_pId738"/>
            <w:bookmarkStart w:id="61" w:name="_Toc211258925"/>
            <w:bookmarkStart w:id="62" w:name="_Toc213307970"/>
            <w:r w:rsidRPr="00C83DA9">
              <w:rPr>
                <w:rFonts w:eastAsia="Times New Roman"/>
                <w:color w:val="0070C0"/>
                <w:kern w:val="0"/>
                <w:szCs w:val="20"/>
                <w:lang w:val="fr-FR"/>
                <w14:ligatures w14:val="none"/>
              </w:rPr>
              <w:lastRenderedPageBreak/>
              <w:t>Statistiques</w:t>
            </w:r>
            <w:bookmarkEnd w:id="60"/>
            <w:bookmarkEnd w:id="61"/>
            <w:bookmarkEnd w:id="62"/>
          </w:p>
          <w:p w14:paraId="6B66EAEB" w14:textId="77777777" w:rsidR="00AC69A2" w:rsidRPr="00C83DA9" w:rsidRDefault="00AC69A2" w:rsidP="001E2771">
            <w:pPr>
              <w:pStyle w:val="Tabletext"/>
              <w:rPr>
                <w:b/>
                <w:bCs/>
                <w:i/>
                <w:iCs/>
                <w:color w:val="0070C0"/>
                <w:sz w:val="24"/>
                <w:szCs w:val="20"/>
                <w:lang w:val="fr-FR"/>
              </w:rPr>
            </w:pPr>
            <w:bookmarkStart w:id="63" w:name="lt_pId739"/>
            <w:r w:rsidRPr="00C83DA9">
              <w:rPr>
                <w:rFonts w:eastAsiaTheme="minorEastAsia" w:cstheme="minorHAnsi"/>
                <w:b/>
                <w:bCs/>
                <w:i/>
                <w:color w:val="000000" w:themeColor="text1"/>
                <w:sz w:val="24"/>
                <w:szCs w:val="20"/>
                <w:lang w:val="fr-FR"/>
              </w:rPr>
              <w:t>Résultat</w:t>
            </w:r>
            <w:r w:rsidRPr="00C83DA9">
              <w:rPr>
                <w:rFonts w:eastAsiaTheme="minorEastAsia" w:cstheme="minorHAnsi"/>
                <w:i/>
                <w:color w:val="000000" w:themeColor="text1"/>
                <w:sz w:val="24"/>
                <w:szCs w:val="20"/>
                <w:lang w:val="fr-FR"/>
              </w:rPr>
              <w:t>: renforcement de la capacité des États Membres de produire et de recueillir des statistiques de qualité et comparables au niveau international, qui tiennent compte de l'évolution et des tendances dans le secteur des télécommunications/TIC rendues possibles grâce aux technologies et aux services nouveaux et émergents, à partir de normes et de méthodologies convenues.</w:t>
            </w:r>
            <w:bookmarkEnd w:id="63"/>
          </w:p>
        </w:tc>
      </w:tr>
      <w:tr w:rsidR="00AC69A2" w:rsidRPr="00CA734F" w14:paraId="2EF715C6" w14:textId="77777777" w:rsidTr="00AC69A2">
        <w:trPr>
          <w:trHeight w:val="839"/>
        </w:trPr>
        <w:tc>
          <w:tcPr>
            <w:tcW w:w="12313" w:type="dxa"/>
            <w:gridSpan w:val="2"/>
            <w:tcBorders>
              <w:top w:val="dotted" w:sz="4" w:space="0" w:color="0070C0"/>
              <w:left w:val="dotted" w:sz="4" w:space="0" w:color="0070C0"/>
              <w:bottom w:val="dotted" w:sz="4" w:space="0" w:color="0070C0"/>
              <w:right w:val="dotted" w:sz="4" w:space="0" w:color="0070C0"/>
            </w:tcBorders>
          </w:tcPr>
          <w:p w14:paraId="061BE847" w14:textId="066F8608" w:rsidR="00AC69A2" w:rsidRPr="00C83DA9" w:rsidRDefault="00AC69A2" w:rsidP="00DC1608">
            <w:pPr>
              <w:pStyle w:val="Tabletext"/>
              <w:keepLines/>
              <w:spacing w:before="120"/>
              <w:ind w:right="-85"/>
              <w:rPr>
                <w:sz w:val="22"/>
                <w:lang w:val="fr-FR"/>
              </w:rPr>
            </w:pPr>
            <w:bookmarkStart w:id="64" w:name="_Hlk212545449"/>
            <w:r w:rsidRPr="00C83DA9">
              <w:rPr>
                <w:rFonts w:ascii="Calibri" w:hAnsi="Calibri" w:cs="Calibri"/>
                <w:sz w:val="22"/>
                <w:lang w:val="fr-FR"/>
              </w:rPr>
              <w:t xml:space="preserve">Dans le cadre de l'application de la </w:t>
            </w:r>
            <w:r w:rsidRPr="00C83DA9">
              <w:rPr>
                <w:sz w:val="22"/>
                <w:szCs w:val="24"/>
                <w:lang w:val="fr-FR"/>
              </w:rPr>
              <w:t xml:space="preserve">Résolution </w:t>
            </w:r>
            <w:hyperlink r:id="rId148" w:history="1">
              <w:r w:rsidRPr="00C83DA9">
                <w:rPr>
                  <w:rStyle w:val="Hyperlink"/>
                  <w:rFonts w:ascii="Calibri" w:hAnsi="Calibri" w:cs="Calibri"/>
                  <w:sz w:val="22"/>
                  <w:lang w:val="fr-FR"/>
                </w:rPr>
                <w:t>8 (Rév. Kigali, 2022)</w:t>
              </w:r>
            </w:hyperlink>
            <w:r w:rsidRPr="00C83DA9">
              <w:rPr>
                <w:rFonts w:ascii="Calibri" w:hAnsi="Calibri" w:cs="Calibri"/>
                <w:sz w:val="22"/>
                <w:lang w:val="fr-FR"/>
              </w:rPr>
              <w:t xml:space="preserve"> de la CMDT-22, intitulée </w:t>
            </w:r>
            <w:r w:rsidRPr="00C83DA9">
              <w:rPr>
                <w:rFonts w:ascii="Calibri" w:hAnsi="Calibri" w:cs="Calibri"/>
                <w:i/>
                <w:iCs/>
                <w:sz w:val="22"/>
                <w:lang w:val="fr-FR"/>
              </w:rPr>
              <w:t>Collecte et diffusion d'informations et de statistiques</w:t>
            </w:r>
            <w:r w:rsidRPr="00C83DA9">
              <w:rPr>
                <w:rFonts w:ascii="Calibri" w:hAnsi="Calibri" w:cs="Calibri"/>
                <w:sz w:val="22"/>
                <w:lang w:val="fr-FR"/>
              </w:rPr>
              <w:t>, à compter de 2023, le BDT a redoublé d'efforts pour améliorer la qualité, la pertinence et l'accessibilité des statistiques des</w:t>
            </w:r>
            <w:r w:rsidR="00432538" w:rsidRPr="00C83DA9">
              <w:rPr>
                <w:rFonts w:ascii="Calibri" w:hAnsi="Calibri" w:cs="Calibri"/>
                <w:sz w:val="22"/>
                <w:lang w:val="fr-FR"/>
              </w:rPr>
              <w:t> </w:t>
            </w:r>
            <w:r w:rsidRPr="00C83DA9">
              <w:rPr>
                <w:rFonts w:ascii="Calibri" w:hAnsi="Calibri" w:cs="Calibri"/>
                <w:sz w:val="22"/>
                <w:lang w:val="fr-FR"/>
              </w:rPr>
              <w:t xml:space="preserve">TIC, tout en renforçant les capacités des </w:t>
            </w:r>
            <w:r w:rsidRPr="00C83DA9">
              <w:rPr>
                <w:sz w:val="22"/>
                <w:lang w:val="fr-FR"/>
              </w:rPr>
              <w:t>États</w:t>
            </w:r>
            <w:r w:rsidRPr="00C83DA9">
              <w:rPr>
                <w:rFonts w:ascii="Calibri" w:hAnsi="Calibri" w:cs="Calibri"/>
                <w:sz w:val="22"/>
                <w:lang w:val="fr-FR"/>
              </w:rPr>
              <w:t xml:space="preserve"> </w:t>
            </w:r>
            <w:r w:rsidR="00CA734F">
              <w:rPr>
                <w:rFonts w:ascii="Calibri" w:hAnsi="Calibri" w:cs="Calibri"/>
                <w:sz w:val="22"/>
                <w:lang w:val="fr-FR"/>
              </w:rPr>
              <w:t>M</w:t>
            </w:r>
            <w:r w:rsidRPr="00C83DA9">
              <w:rPr>
                <w:rFonts w:ascii="Calibri" w:hAnsi="Calibri" w:cs="Calibri"/>
                <w:sz w:val="22"/>
                <w:lang w:val="fr-FR"/>
              </w:rPr>
              <w:t>embres pour ce qui est de recueillir, d'analyser et de diffuser des données de qualité. Pendant cette période, le BDT a dirigé la mise au point d'indicateurs fondamentaux, expérimenté des méthodes innovantes et modernisé les plate</w:t>
            </w:r>
            <w:r w:rsidR="00224289" w:rsidRPr="00C83DA9">
              <w:rPr>
                <w:rFonts w:ascii="Calibri" w:hAnsi="Calibri" w:cs="Calibri"/>
                <w:sz w:val="22"/>
                <w:lang w:val="fr-FR"/>
              </w:rPr>
              <w:t>s-</w:t>
            </w:r>
            <w:r w:rsidRPr="00C83DA9">
              <w:rPr>
                <w:rFonts w:ascii="Calibri" w:hAnsi="Calibri" w:cs="Calibri"/>
                <w:sz w:val="22"/>
                <w:lang w:val="fr-FR"/>
              </w:rPr>
              <w:t>formes statistiques, ce qui a élargi la gamme des données validées auxquelles le public peut avoir accès. Par des activités de formation et d'assistance technique et des ateliers régionaux, le BDT a veillé à ce que les États Membres disposent d'outils pratiques pour suivre les progrès, réduire la fracture numérique et accélérer la transformation numérique au niveau national.</w:t>
            </w:r>
          </w:p>
          <w:p w14:paraId="77AA9A3F" w14:textId="77777777" w:rsidR="00AC69A2" w:rsidRPr="00C83DA9" w:rsidRDefault="00AC69A2" w:rsidP="00DC1608">
            <w:pPr>
              <w:pStyle w:val="Tabletext"/>
              <w:keepLines/>
              <w:spacing w:before="120"/>
              <w:ind w:right="-85"/>
              <w:rPr>
                <w:sz w:val="22"/>
                <w:lang w:val="fr-FR"/>
              </w:rPr>
            </w:pPr>
            <w:r w:rsidRPr="00C83DA9">
              <w:rPr>
                <w:sz w:val="22"/>
                <w:lang w:val="fr-FR"/>
              </w:rPr>
              <w:t xml:space="preserve">Le </w:t>
            </w:r>
            <w:hyperlink r:id="rId149" w:history="1">
              <w:r w:rsidRPr="00C83DA9">
                <w:rPr>
                  <w:color w:val="0000FF"/>
                  <w:sz w:val="22"/>
                  <w:u w:val="single"/>
                  <w:lang w:val="fr-FR"/>
                </w:rPr>
                <w:t>Groupe d'experts sur les indicateurs des télécommunications/TIC</w:t>
              </w:r>
            </w:hyperlink>
            <w:r w:rsidRPr="00C83DA9">
              <w:rPr>
                <w:sz w:val="22"/>
                <w:lang w:val="fr-FR"/>
              </w:rPr>
              <w:t xml:space="preserve"> (EGTI) et le </w:t>
            </w:r>
            <w:hyperlink r:id="rId150" w:anchor="EGH" w:history="1">
              <w:r w:rsidRPr="00C83DA9">
                <w:rPr>
                  <w:color w:val="0000FF"/>
                  <w:sz w:val="22"/>
                  <w:u w:val="single"/>
                  <w:lang w:val="fr-FR"/>
                </w:rPr>
                <w:t>Groupe d'experts sur les indicateurs relatifs à l'utilisation des TIC par les ménages</w:t>
              </w:r>
            </w:hyperlink>
            <w:r w:rsidRPr="00C83DA9">
              <w:rPr>
                <w:sz w:val="22"/>
                <w:lang w:val="fr-FR"/>
              </w:rPr>
              <w:t xml:space="preserve"> (EGH) ont continué de jouer un rôle central dans l'élaboration de méthodes et de normes, conformément aux orientations fixées dans la Résolution 131 (Rév. Bucarest, 2022) de la Conférence de plénipotentiaires. Ils ont codirigé la mise au point de l'</w:t>
            </w:r>
            <w:hyperlink r:id="rId151" w:history="1">
              <w:r w:rsidRPr="00C83DA9">
                <w:rPr>
                  <w:color w:val="0000FF"/>
                  <w:sz w:val="22"/>
                  <w:u w:val="single"/>
                  <w:lang w:val="fr-FR"/>
                </w:rPr>
                <w:t>Indice de développement des TIC</w:t>
              </w:r>
            </w:hyperlink>
            <w:r w:rsidRPr="00C83DA9">
              <w:rPr>
                <w:sz w:val="22"/>
                <w:lang w:val="fr-FR"/>
              </w:rPr>
              <w:t xml:space="preserve"> (IDI). La nouvelle méthode, centrée sur la connectivité universelle et efficace, a été approuvée par les États Membres en 2023. En 2024, les groupes ont adopté de </w:t>
            </w:r>
            <w:hyperlink r:id="rId152" w:history="1">
              <w:r w:rsidRPr="00C83DA9">
                <w:rPr>
                  <w:color w:val="0000FF"/>
                  <w:sz w:val="22"/>
                  <w:u w:val="single"/>
                  <w:lang w:val="fr-FR"/>
                </w:rPr>
                <w:t>nouveaux indicateurs des compétences de TIC</w:t>
              </w:r>
            </w:hyperlink>
            <w:r w:rsidRPr="00C83DA9">
              <w:rPr>
                <w:sz w:val="22"/>
                <w:lang w:val="fr-FR"/>
              </w:rPr>
              <w:t xml:space="preserve"> et des </w:t>
            </w:r>
            <w:hyperlink r:id="rId153" w:history="1">
              <w:r w:rsidRPr="00C83DA9">
                <w:rPr>
                  <w:color w:val="0000FF"/>
                  <w:sz w:val="22"/>
                  <w:u w:val="single"/>
                  <w:lang w:val="fr-FR"/>
                </w:rPr>
                <w:t>paniers révisés des prix des TIC</w:t>
              </w:r>
            </w:hyperlink>
            <w:r w:rsidRPr="00C83DA9">
              <w:rPr>
                <w:sz w:val="22"/>
                <w:lang w:val="fr-FR"/>
              </w:rPr>
              <w:t xml:space="preserve"> afin que ces éléments restent adéquats, les compétences numériques et l'accessibilité constituant la pierre de touche de la connectivité universelle et efficace. Ces </w:t>
            </w:r>
            <w:r w:rsidRPr="00C83DA9">
              <w:rPr>
                <w:rFonts w:ascii="Calibri" w:hAnsi="Calibri" w:cs="Calibri"/>
                <w:sz w:val="22"/>
                <w:lang w:val="fr-FR"/>
              </w:rPr>
              <w:t>méthodes</w:t>
            </w:r>
            <w:r w:rsidRPr="00C83DA9">
              <w:rPr>
                <w:sz w:val="22"/>
                <w:lang w:val="fr-FR"/>
              </w:rPr>
              <w:t xml:space="preserve"> ont commencé d'être utilisées pour recueillir des données en 2025. Parallèlement, les deux groupes d'experts ont avancé dans de nouveaux domaines tels que la mesure de l'utilisation de l'IA par les enquêtes auprès des ménages et la conception d'indicateurs sur l'incidence du secteur des TIC sur l'environnement, et ont révisé la méthode de l'IDI pour la prochaine période de validité.</w:t>
            </w:r>
          </w:p>
          <w:p w14:paraId="66EC5467" w14:textId="4E1971F4" w:rsidR="00AC69A2" w:rsidRPr="00C83DA9" w:rsidRDefault="00AC69A2" w:rsidP="00DC1608">
            <w:pPr>
              <w:pStyle w:val="Tabletext"/>
              <w:keepLines/>
              <w:spacing w:before="120"/>
              <w:ind w:right="-85"/>
              <w:rPr>
                <w:sz w:val="22"/>
                <w:lang w:val="fr-FR"/>
              </w:rPr>
            </w:pPr>
            <w:r w:rsidRPr="00C83DA9">
              <w:rPr>
                <w:sz w:val="22"/>
                <w:lang w:val="fr-FR"/>
              </w:rPr>
              <w:t xml:space="preserve">Le BDT a enrichi la </w:t>
            </w:r>
            <w:hyperlink r:id="rId154" w:history="1">
              <w:r w:rsidRPr="00C83DA9">
                <w:rPr>
                  <w:b/>
                  <w:bCs/>
                  <w:color w:val="0000FF"/>
                  <w:sz w:val="22"/>
                  <w:u w:val="single"/>
                  <w:lang w:val="fr-FR"/>
                </w:rPr>
                <w:t xml:space="preserve">série </w:t>
              </w:r>
              <w:r w:rsidRPr="00C83DA9">
                <w:rPr>
                  <w:b/>
                  <w:bCs/>
                  <w:i/>
                  <w:iCs/>
                  <w:color w:val="0000FF"/>
                  <w:sz w:val="22"/>
                  <w:u w:val="single"/>
                  <w:lang w:val="fr-FR"/>
                </w:rPr>
                <w:t>Mesurer le développement du numérique</w:t>
              </w:r>
            </w:hyperlink>
            <w:r w:rsidRPr="00C83DA9">
              <w:rPr>
                <w:b/>
                <w:bCs/>
                <w:sz w:val="22"/>
                <w:lang w:val="fr-FR"/>
              </w:rPr>
              <w:t xml:space="preserve"> </w:t>
            </w:r>
            <w:r w:rsidRPr="00C83DA9">
              <w:rPr>
                <w:sz w:val="22"/>
                <w:lang w:val="fr-FR"/>
              </w:rPr>
              <w:t xml:space="preserve">de plusieurs nouvelles publications qui ont apporté des données et éléments d'information inédits sur la situation de la connectivité et ses catalyseurs à l'échelle mondiale, dans les régions et pour certains groupes de pays. Ces publications ont également contribué à faire prendre conscience de la nécessité d'une politique de </w:t>
            </w:r>
            <w:hyperlink r:id="rId155" w:anchor="/fr" w:history="1">
              <w:r w:rsidRPr="00C83DA9">
                <w:rPr>
                  <w:color w:val="0000FF"/>
                  <w:sz w:val="22"/>
                  <w:u w:val="single"/>
                  <w:lang w:val="fr-FR"/>
                </w:rPr>
                <w:t>connectivité universelle et efficace</w:t>
              </w:r>
            </w:hyperlink>
            <w:r w:rsidRPr="00C83DA9">
              <w:rPr>
                <w:sz w:val="22"/>
                <w:lang w:val="fr-FR"/>
              </w:rPr>
              <w:t xml:space="preserve"> tout en aidant les pays à renforcer leurs moyens d'action dans ce domaine.</w:t>
            </w:r>
          </w:p>
          <w:p w14:paraId="136ED474" w14:textId="77777777" w:rsidR="00AC69A2" w:rsidRPr="00C83DA9" w:rsidRDefault="00AC69A2" w:rsidP="00DC1608">
            <w:pPr>
              <w:pStyle w:val="Tabletext"/>
              <w:keepLines/>
              <w:spacing w:before="120"/>
              <w:ind w:right="-85"/>
              <w:rPr>
                <w:rFonts w:ascii="Calibri" w:hAnsi="Calibri" w:cs="Calibri"/>
                <w:sz w:val="22"/>
                <w:lang w:val="fr-FR"/>
              </w:rPr>
            </w:pPr>
            <w:r w:rsidRPr="00C83DA9">
              <w:rPr>
                <w:rFonts w:ascii="Calibri" w:hAnsi="Calibri" w:cs="Calibri"/>
                <w:sz w:val="22"/>
                <w:lang w:val="fr-FR"/>
              </w:rPr>
              <w:t xml:space="preserve">Dans le cadre de cette série, </w:t>
            </w:r>
            <w:hyperlink r:id="rId156" w:history="1">
              <w:r w:rsidRPr="00C83DA9">
                <w:rPr>
                  <w:rFonts w:ascii="Calibri" w:hAnsi="Calibri" w:cs="Calibri"/>
                  <w:b/>
                  <w:bCs/>
                  <w:i/>
                  <w:iCs/>
                  <w:color w:val="0000FF"/>
                  <w:sz w:val="22"/>
                  <w:u w:val="single"/>
                  <w:lang w:val="fr-FR"/>
                </w:rPr>
                <w:t>Faits et chiffres</w:t>
              </w:r>
            </w:hyperlink>
            <w:r w:rsidRPr="00C83DA9">
              <w:rPr>
                <w:rFonts w:ascii="Calibri" w:hAnsi="Calibri" w:cs="Calibri"/>
                <w:sz w:val="22"/>
                <w:lang w:val="fr-FR"/>
              </w:rPr>
              <w:t xml:space="preserve">, publication statistique annuelle phare de l'UIT, a continué d'offrir le panorama faisant autorité le plus à jour de la situation de la connectivité dans le monde, par </w:t>
            </w:r>
            <w:r w:rsidRPr="00C83DA9">
              <w:rPr>
                <w:sz w:val="22"/>
                <w:lang w:val="fr-FR"/>
              </w:rPr>
              <w:t>régions</w:t>
            </w:r>
            <w:r w:rsidRPr="00C83DA9">
              <w:rPr>
                <w:rFonts w:ascii="Calibri" w:hAnsi="Calibri" w:cs="Calibri"/>
                <w:sz w:val="22"/>
                <w:lang w:val="fr-FR"/>
              </w:rPr>
              <w:t xml:space="preserve"> de l'UIT, groupes de revenu et groupes spéciaux de pays de l'ONU, y compris des estimations pour l'année en cours. La publication a été complétée par plusieurs éditions spéciales consacrées aux pays les moins avancés (PMA), aux petits États insulaires en développement (PEID) et aux pays en développement sans littoral (PDSL).</w:t>
            </w:r>
          </w:p>
          <w:p w14:paraId="1DD9223C" w14:textId="77777777" w:rsidR="00AC69A2" w:rsidRPr="00C83DA9" w:rsidRDefault="00AC69A2" w:rsidP="00DC1608">
            <w:pPr>
              <w:pStyle w:val="Tabletext"/>
              <w:keepLines/>
              <w:spacing w:before="120"/>
              <w:ind w:right="-85"/>
              <w:rPr>
                <w:sz w:val="22"/>
                <w:lang w:val="fr-FR"/>
              </w:rPr>
            </w:pPr>
            <w:r w:rsidRPr="00C83DA9">
              <w:rPr>
                <w:rFonts w:ascii="Calibri" w:hAnsi="Calibri" w:cs="Calibri"/>
                <w:sz w:val="22"/>
                <w:lang w:val="fr-FR"/>
              </w:rPr>
              <w:lastRenderedPageBreak/>
              <w:t>Depuis 2023, la publication du rapport sur l'</w:t>
            </w:r>
            <w:hyperlink r:id="rId157" w:history="1">
              <w:r w:rsidRPr="00C83DA9">
                <w:rPr>
                  <w:rFonts w:ascii="Calibri" w:hAnsi="Calibri" w:cs="Calibri"/>
                  <w:color w:val="0000FF"/>
                  <w:sz w:val="22"/>
                  <w:u w:val="single"/>
                  <w:lang w:val="fr-FR"/>
                </w:rPr>
                <w:t>Indice de développement des TIC</w:t>
              </w:r>
            </w:hyperlink>
            <w:r w:rsidRPr="00C83DA9">
              <w:rPr>
                <w:rFonts w:ascii="Calibri" w:hAnsi="Calibri" w:cs="Calibri"/>
                <w:sz w:val="22"/>
                <w:lang w:val="fr-FR"/>
              </w:rPr>
              <w:t xml:space="preserve">, fondé sur la nouvelle méthode définie pour l'indice, a permis aux pays d'évaluer les </w:t>
            </w:r>
            <w:r w:rsidRPr="00C83DA9">
              <w:rPr>
                <w:sz w:val="22"/>
                <w:lang w:val="fr-FR"/>
              </w:rPr>
              <w:t>résultats</w:t>
            </w:r>
            <w:r w:rsidRPr="00C83DA9">
              <w:rPr>
                <w:rFonts w:ascii="Calibri" w:hAnsi="Calibri" w:cs="Calibri"/>
                <w:sz w:val="22"/>
                <w:lang w:val="fr-FR"/>
              </w:rPr>
              <w:t xml:space="preserve"> et de suivre les tendances. En complément, le </w:t>
            </w:r>
            <w:hyperlink r:id="rId158" w:history="1">
              <w:r w:rsidRPr="00C83DA9">
                <w:rPr>
                  <w:rFonts w:ascii="Calibri" w:hAnsi="Calibri" w:cs="Calibri"/>
                  <w:color w:val="0000FF"/>
                  <w:sz w:val="22"/>
                  <w:u w:val="single"/>
                  <w:lang w:val="fr-FR"/>
                </w:rPr>
                <w:t>tableau de bord de l'indice IDI par pays</w:t>
              </w:r>
            </w:hyperlink>
            <w:r w:rsidRPr="00C83DA9">
              <w:rPr>
                <w:rFonts w:ascii="Calibri" w:hAnsi="Calibri" w:cs="Calibri"/>
                <w:sz w:val="22"/>
                <w:lang w:val="fr-FR"/>
              </w:rPr>
              <w:t xml:space="preserve"> a été publié sur le Centre de données de l'UIT en 2024.</w:t>
            </w:r>
          </w:p>
          <w:p w14:paraId="2E032533" w14:textId="77777777" w:rsidR="00AC69A2" w:rsidRPr="00C83DA9" w:rsidRDefault="00AC69A2" w:rsidP="00DC1608">
            <w:pPr>
              <w:pStyle w:val="Tabletext"/>
              <w:keepLines/>
              <w:spacing w:before="120"/>
              <w:ind w:right="-85"/>
              <w:rPr>
                <w:sz w:val="22"/>
                <w:lang w:val="fr-FR"/>
              </w:rPr>
            </w:pPr>
            <w:r w:rsidRPr="00C83DA9">
              <w:rPr>
                <w:rFonts w:ascii="Calibri" w:hAnsi="Calibri" w:cs="Calibri"/>
                <w:sz w:val="22"/>
                <w:lang w:val="fr-FR"/>
              </w:rPr>
              <w:t xml:space="preserve">En 2025, à l'occasion des réunions préparatoires régionales de la CMDT-25, le BDT a publié </w:t>
            </w:r>
            <w:hyperlink r:id="rId159" w:history="1">
              <w:r w:rsidRPr="00C83DA9">
                <w:rPr>
                  <w:rFonts w:ascii="Calibri" w:hAnsi="Calibri" w:cs="Calibri"/>
                  <w:color w:val="0000FF"/>
                  <w:sz w:val="22"/>
                  <w:u w:val="single"/>
                  <w:lang w:val="fr-FR"/>
                </w:rPr>
                <w:t>six rapports spéciaux</w:t>
              </w:r>
            </w:hyperlink>
            <w:r w:rsidRPr="00C83DA9">
              <w:rPr>
                <w:rFonts w:ascii="Calibri" w:hAnsi="Calibri" w:cs="Calibri"/>
                <w:sz w:val="22"/>
                <w:lang w:val="fr-FR"/>
              </w:rPr>
              <w:t xml:space="preserve">, chacun offrant une vue d'ensemble de </w:t>
            </w:r>
            <w:r w:rsidRPr="00C83DA9">
              <w:rPr>
                <w:sz w:val="22"/>
                <w:lang w:val="fr-FR"/>
              </w:rPr>
              <w:t>l'état</w:t>
            </w:r>
            <w:r w:rsidRPr="00C83DA9">
              <w:rPr>
                <w:rFonts w:ascii="Calibri" w:hAnsi="Calibri" w:cs="Calibri"/>
                <w:sz w:val="22"/>
                <w:lang w:val="fr-FR"/>
              </w:rPr>
              <w:t xml:space="preserve"> de la connectivité numérique dans une région et présentant des études de cas provenant de cette région.</w:t>
            </w:r>
          </w:p>
          <w:p w14:paraId="49B6E15B" w14:textId="77777777" w:rsidR="00AC69A2" w:rsidRPr="00C83DA9" w:rsidRDefault="00AC69A2" w:rsidP="00DC1608">
            <w:pPr>
              <w:pStyle w:val="Tabletext"/>
              <w:keepLines/>
              <w:spacing w:before="120"/>
              <w:ind w:right="-85"/>
              <w:rPr>
                <w:rFonts w:ascii="Calibri" w:hAnsi="Calibri" w:cs="Calibri"/>
                <w:sz w:val="22"/>
                <w:lang w:val="fr-FR"/>
              </w:rPr>
            </w:pPr>
            <w:r w:rsidRPr="00C83DA9">
              <w:rPr>
                <w:rFonts w:ascii="Calibri" w:hAnsi="Calibri" w:cs="Calibri"/>
                <w:sz w:val="22"/>
                <w:lang w:val="fr-FR"/>
              </w:rPr>
              <w:t xml:space="preserve">L'accessibilité financière des TIC a continué d'occuper une place centrale dans les activités statistiques du BDT. Les </w:t>
            </w:r>
            <w:r w:rsidRPr="00C83DA9">
              <w:rPr>
                <w:rFonts w:ascii="Calibri" w:hAnsi="Calibri" w:cs="Calibri"/>
                <w:b/>
                <w:bCs/>
                <w:sz w:val="22"/>
                <w:lang w:val="fr-FR"/>
              </w:rPr>
              <w:t>séries de données sur les prix des TIC</w:t>
            </w:r>
            <w:r w:rsidRPr="00C83DA9">
              <w:rPr>
                <w:rFonts w:ascii="Calibri" w:hAnsi="Calibri" w:cs="Calibri"/>
                <w:sz w:val="22"/>
                <w:lang w:val="fr-FR"/>
              </w:rPr>
              <w:t xml:space="preserve"> ont atteint une </w:t>
            </w:r>
            <w:r w:rsidRPr="00C83DA9">
              <w:rPr>
                <w:sz w:val="22"/>
                <w:lang w:val="fr-FR"/>
              </w:rPr>
              <w:t>couverture</w:t>
            </w:r>
            <w:r w:rsidRPr="00C83DA9">
              <w:rPr>
                <w:rFonts w:ascii="Calibri" w:hAnsi="Calibri" w:cs="Calibri"/>
                <w:sz w:val="22"/>
                <w:lang w:val="fr-FR"/>
              </w:rPr>
              <w:t xml:space="preserve"> record qui portait en 2024 sur 218 pays et cinq paniers de services. Les données sont publiées sur le Centre de données de l'UIT et analysées dans diverses publications, notamment les publications annuelles intitulées </w:t>
            </w:r>
            <w:hyperlink r:id="rId160" w:history="1">
              <w:r w:rsidRPr="00C83DA9">
                <w:rPr>
                  <w:rFonts w:ascii="Calibri" w:hAnsi="Calibri" w:cs="Calibri"/>
                  <w:i/>
                  <w:iCs/>
                  <w:color w:val="0000FF"/>
                  <w:sz w:val="22"/>
                  <w:u w:val="single"/>
                  <w:lang w:val="fr-FR"/>
                </w:rPr>
                <w:t>Accessibilité financière des services TIC</w:t>
              </w:r>
            </w:hyperlink>
            <w:r w:rsidRPr="00C83DA9">
              <w:rPr>
                <w:rFonts w:ascii="Calibri" w:hAnsi="Calibri" w:cs="Calibri"/>
                <w:sz w:val="22"/>
                <w:lang w:val="fr-FR"/>
              </w:rPr>
              <w:t>, qui donnent des repères concrets aux régulateurs et aux analystes pour concevoir des stratégies efficaces en matière d'accessibilité financière.</w:t>
            </w:r>
          </w:p>
          <w:p w14:paraId="07F03302" w14:textId="67D5A69F" w:rsidR="00AC69A2" w:rsidRPr="00C83DA9" w:rsidRDefault="00AC69A2" w:rsidP="00DC1608">
            <w:pPr>
              <w:pStyle w:val="Tabletext"/>
              <w:keepLines/>
              <w:spacing w:before="120"/>
              <w:ind w:right="-85"/>
              <w:rPr>
                <w:rFonts w:ascii="Calibri" w:hAnsi="Calibri" w:cs="Calibri"/>
                <w:sz w:val="22"/>
                <w:lang w:val="fr-FR"/>
              </w:rPr>
            </w:pPr>
            <w:r w:rsidRPr="00C83DA9">
              <w:rPr>
                <w:rFonts w:ascii="Calibri" w:hAnsi="Calibri" w:cs="Calibri"/>
                <w:sz w:val="22"/>
                <w:lang w:val="fr-FR"/>
              </w:rPr>
              <w:t xml:space="preserve">Le BDT a continué de développer le </w:t>
            </w:r>
            <w:hyperlink r:id="rId161" w:history="1">
              <w:r w:rsidRPr="00C83DA9">
                <w:rPr>
                  <w:rFonts w:ascii="Calibri" w:hAnsi="Calibri" w:cs="Calibri"/>
                  <w:color w:val="0000FF"/>
                  <w:sz w:val="22"/>
                  <w:u w:val="single"/>
                  <w:lang w:val="fr-FR"/>
                </w:rPr>
                <w:t>Centre de données de l'UIT</w:t>
              </w:r>
            </w:hyperlink>
            <w:r w:rsidRPr="00C83DA9">
              <w:rPr>
                <w:rFonts w:ascii="Calibri" w:hAnsi="Calibri" w:cs="Calibri"/>
                <w:sz w:val="22"/>
                <w:lang w:val="fr-FR"/>
              </w:rPr>
              <w:t xml:space="preserve">, en complétant celui-ci de nouveaux outils de visualisation, de consultation et d'analyse, de tableaux de bord thématiques ainsi que d'autres d'indicateurs et de données supplémentaires. Le passage de la base de données par abonnement des indicateurs des télécommunications/TIC dans le monde (WTI) à un modèle d'accès libre a témoigné de l'attachement de l'UIT à la transparence. Début 2025, le Centre de données hébergeait plus de </w:t>
            </w:r>
            <w:r w:rsidRPr="00C83DA9">
              <w:rPr>
                <w:rFonts w:ascii="Calibri" w:hAnsi="Calibri" w:cs="Calibri"/>
                <w:b/>
                <w:bCs/>
                <w:sz w:val="22"/>
                <w:lang w:val="fr-FR"/>
              </w:rPr>
              <w:t>660 000 éléments de données</w:t>
            </w:r>
            <w:r w:rsidRPr="00C83DA9">
              <w:rPr>
                <w:rFonts w:ascii="Calibri" w:hAnsi="Calibri" w:cs="Calibri"/>
                <w:sz w:val="22"/>
                <w:lang w:val="fr-FR"/>
              </w:rPr>
              <w:t>, et la fréquentation de la plate</w:t>
            </w:r>
            <w:r w:rsidR="00DC1608" w:rsidRPr="00C83DA9">
              <w:rPr>
                <w:rFonts w:ascii="Calibri" w:hAnsi="Calibri" w:cs="Calibri"/>
                <w:sz w:val="22"/>
                <w:lang w:val="fr-FR"/>
              </w:rPr>
              <w:t>-</w:t>
            </w:r>
            <w:r w:rsidRPr="00C83DA9">
              <w:rPr>
                <w:rFonts w:ascii="Calibri" w:hAnsi="Calibri" w:cs="Calibri"/>
                <w:sz w:val="22"/>
                <w:lang w:val="fr-FR"/>
              </w:rPr>
              <w:t>forme a poursuivi sa croissance exponentielle.</w:t>
            </w:r>
          </w:p>
          <w:p w14:paraId="24E18A20" w14:textId="77777777" w:rsidR="00AC69A2" w:rsidRPr="00C83DA9" w:rsidRDefault="00AC69A2" w:rsidP="00DC1608">
            <w:pPr>
              <w:pStyle w:val="Tabletext"/>
              <w:keepLines/>
              <w:spacing w:before="120"/>
              <w:ind w:right="-85"/>
              <w:rPr>
                <w:rFonts w:ascii="Calibri" w:hAnsi="Calibri" w:cs="Calibri"/>
                <w:sz w:val="22"/>
                <w:lang w:val="fr-FR"/>
              </w:rPr>
            </w:pPr>
            <w:r w:rsidRPr="00C83DA9">
              <w:rPr>
                <w:rFonts w:ascii="Calibri" w:hAnsi="Calibri" w:cs="Calibri"/>
                <w:sz w:val="22"/>
                <w:lang w:val="fr-FR"/>
              </w:rPr>
              <w:t xml:space="preserve">Le BDT a aussi montré la voie en intégrant les </w:t>
            </w:r>
            <w:r w:rsidRPr="00C83DA9">
              <w:rPr>
                <w:rFonts w:ascii="Calibri" w:hAnsi="Calibri" w:cs="Calibri"/>
                <w:b/>
                <w:bCs/>
                <w:sz w:val="22"/>
                <w:lang w:val="fr-FR"/>
              </w:rPr>
              <w:t>mégadonnées dans les statistiques officielles des TIC</w:t>
            </w:r>
            <w:r w:rsidRPr="00C83DA9">
              <w:rPr>
                <w:rFonts w:ascii="Calibri" w:hAnsi="Calibri" w:cs="Calibri"/>
                <w:sz w:val="22"/>
                <w:lang w:val="fr-FR"/>
              </w:rPr>
              <w:t xml:space="preserve">. En qualité de chef de file de l'Équipe spéciale du Comité d'experts des Nations Unies en mégadonnées et science des données pour les données de téléphonie mobile, le BDT a conçu des méthodes pour tirer parti des données de téléphonie mobile pour les statistiques de la société de l'information et l'analyse des politiques. En partenariat avec la Banque mondiale, le BDT a lancé en 2024 le projet intitulé </w:t>
            </w:r>
            <w:hyperlink r:id="rId162" w:anchor=":~:text=The%20GDF%2DMPD%20program%20aims,use%20sophisticated%20data%20in%20policymaking." w:history="1">
              <w:r w:rsidRPr="00C83DA9">
                <w:rPr>
                  <w:rFonts w:ascii="Calibri" w:hAnsi="Calibri" w:cs="Calibri"/>
                  <w:i/>
                  <w:iCs/>
                  <w:color w:val="0000FF"/>
                  <w:sz w:val="22"/>
                  <w:u w:val="single"/>
                  <w:lang w:val="fr-FR"/>
                </w:rPr>
                <w:t>Mettre les mégadonnées de la téléphonie mobile au service des politiques</w:t>
              </w:r>
            </w:hyperlink>
            <w:r w:rsidRPr="00C83DA9">
              <w:rPr>
                <w:rFonts w:ascii="Calibri" w:hAnsi="Calibri" w:cs="Calibri"/>
                <w:sz w:val="22"/>
                <w:lang w:val="fr-FR"/>
              </w:rPr>
              <w:t>, actuellement à l'essai dans 18 pays. Des ateliers de formation régionaux ont permis aux praticiens d'acquérir une expérience pratique de l'utilisation des mégadonnées pour compléter les enquêtes, orienter les investissements d'infrastructure et améliorer les services.</w:t>
            </w:r>
          </w:p>
          <w:p w14:paraId="7B7CC284" w14:textId="10E1C91A" w:rsidR="00AC69A2" w:rsidRPr="00C83DA9" w:rsidRDefault="00AC69A2" w:rsidP="00DC1608">
            <w:pPr>
              <w:pStyle w:val="Tabletext"/>
              <w:keepLines/>
              <w:spacing w:before="120"/>
              <w:ind w:right="-85"/>
              <w:rPr>
                <w:rFonts w:ascii="Calibri" w:hAnsi="Calibri" w:cs="Calibri"/>
                <w:sz w:val="22"/>
                <w:lang w:val="fr-FR"/>
              </w:rPr>
            </w:pPr>
            <w:r w:rsidRPr="00C83DA9">
              <w:rPr>
                <w:rFonts w:ascii="Calibri" w:hAnsi="Calibri" w:cs="Calibri"/>
                <w:sz w:val="22"/>
                <w:lang w:val="fr-FR"/>
              </w:rPr>
              <w:t xml:space="preserve">Le BDT a investi de manière importante dans le </w:t>
            </w:r>
            <w:hyperlink r:id="rId163" w:history="1">
              <w:r w:rsidRPr="00C83DA9">
                <w:rPr>
                  <w:rFonts w:ascii="Calibri" w:hAnsi="Calibri" w:cs="Calibri"/>
                  <w:b/>
                  <w:bCs/>
                  <w:color w:val="0000FF"/>
                  <w:sz w:val="22"/>
                  <w:u w:val="single"/>
                  <w:lang w:val="fr-FR"/>
                </w:rPr>
                <w:t>renforcement des capacités et l'assistance technique</w:t>
              </w:r>
            </w:hyperlink>
            <w:r w:rsidRPr="00C83DA9">
              <w:rPr>
                <w:rFonts w:ascii="Calibri" w:hAnsi="Calibri" w:cs="Calibri"/>
                <w:sz w:val="22"/>
                <w:lang w:val="fr-FR"/>
              </w:rPr>
              <w:t xml:space="preserve"> en matière de statistiques. Concernant l'Académie de l'UIT, de nouveaux cours de formation et programmes de certification ont été lancés sur les indicateurs des</w:t>
            </w:r>
            <w:r w:rsidR="00056577">
              <w:rPr>
                <w:rFonts w:ascii="Calibri" w:hAnsi="Calibri" w:cs="Calibri"/>
                <w:sz w:val="22"/>
                <w:lang w:val="fr-FR"/>
              </w:rPr>
              <w:t> </w:t>
            </w:r>
            <w:r w:rsidRPr="00C83DA9">
              <w:rPr>
                <w:rFonts w:ascii="Calibri" w:hAnsi="Calibri" w:cs="Calibri"/>
                <w:sz w:val="22"/>
                <w:lang w:val="fr-FR"/>
              </w:rPr>
              <w:t>TIC, les enquêtes auprès des ménages et l'utilisation des données de téléphonie mobile. À compter de 2024, le BDT a lancé une série de</w:t>
            </w:r>
            <w:r w:rsidR="00056577">
              <w:rPr>
                <w:rFonts w:ascii="Calibri" w:hAnsi="Calibri" w:cs="Calibri"/>
                <w:sz w:val="22"/>
                <w:lang w:val="fr-FR"/>
              </w:rPr>
              <w:t> </w:t>
            </w:r>
            <w:r w:rsidRPr="00C83DA9">
              <w:rPr>
                <w:rFonts w:ascii="Calibri" w:hAnsi="Calibri" w:cs="Calibri"/>
                <w:sz w:val="22"/>
                <w:lang w:val="fr-FR"/>
              </w:rPr>
              <w:t xml:space="preserve">11 </w:t>
            </w:r>
            <w:hyperlink r:id="rId164" w:history="1">
              <w:r w:rsidRPr="00C83DA9">
                <w:rPr>
                  <w:rFonts w:ascii="Calibri" w:hAnsi="Calibri" w:cs="Calibri"/>
                  <w:color w:val="0000FF"/>
                  <w:sz w:val="22"/>
                  <w:u w:val="single"/>
                  <w:lang w:val="fr-FR"/>
                </w:rPr>
                <w:t>ateliers régionaux et sous-régionaux</w:t>
              </w:r>
            </w:hyperlink>
            <w:r w:rsidRPr="00C83DA9">
              <w:rPr>
                <w:rFonts w:ascii="Calibri" w:hAnsi="Calibri" w:cs="Calibri"/>
                <w:sz w:val="22"/>
                <w:lang w:val="fr-FR"/>
              </w:rPr>
              <w:t xml:space="preserve"> sur la promotion et la mesure de la connectivité universelle et efficace à l'intention des producteurs et des utilisateurs de statistiques des TIC. Les 8 premiers ateliers ont réuni en tout 393 participants originaires de 125 pays. Ont eu lieu, par ailleurs, en 2025, la première édition de l'</w:t>
            </w:r>
            <w:hyperlink r:id="rId165" w:history="1">
              <w:r w:rsidRPr="00C83DA9">
                <w:rPr>
                  <w:rFonts w:ascii="Calibri" w:hAnsi="Calibri" w:cs="Calibri"/>
                  <w:color w:val="0000FF"/>
                  <w:sz w:val="22"/>
                  <w:u w:val="single"/>
                  <w:lang w:val="fr-FR"/>
                </w:rPr>
                <w:t>Université d'été sur l'élaboration des politiques fondées sur des données factuelles</w:t>
              </w:r>
            </w:hyperlink>
            <w:r w:rsidRPr="00C83DA9">
              <w:rPr>
                <w:rFonts w:ascii="Calibri" w:hAnsi="Calibri" w:cs="Calibri"/>
                <w:sz w:val="22"/>
                <w:lang w:val="fr-FR"/>
              </w:rPr>
              <w:t xml:space="preserve"> et un webinaire sur la connectivité universelle et efficace pour certaines équipes de pays des Nations Unies. Toujours en 2025, les premiers ateliers techniques destinés aux coordonnateurs nationaux pour les statistiques ont été organisés, avant les campagnes de collecte de données, ce qui leur a permis de s'informer des derniers changements – nouveautés, améliorations et modifications d'ordre méthodologique – intervenus dans les questionnaires envoyés aux États Membres.</w:t>
            </w:r>
          </w:p>
          <w:bookmarkEnd w:id="64"/>
          <w:p w14:paraId="7C3F3A6F" w14:textId="77777777" w:rsidR="00AC69A2" w:rsidRPr="00C83DA9" w:rsidRDefault="00AC69A2" w:rsidP="00DC1608">
            <w:pPr>
              <w:pStyle w:val="Tabletext"/>
              <w:keepLines/>
              <w:spacing w:before="120"/>
              <w:ind w:right="-85"/>
              <w:rPr>
                <w:rFonts w:ascii="Calibri" w:hAnsi="Calibri" w:cs="Calibri"/>
                <w:sz w:val="22"/>
                <w:lang w:val="fr-FR"/>
              </w:rPr>
            </w:pPr>
            <w:r w:rsidRPr="00C83DA9">
              <w:rPr>
                <w:rFonts w:ascii="Calibri" w:hAnsi="Calibri" w:cs="Calibri"/>
                <w:sz w:val="22"/>
                <w:lang w:val="fr-FR"/>
              </w:rPr>
              <w:lastRenderedPageBreak/>
              <w:t xml:space="preserve">Les trois éditions – 2023, 2024 et 2025 – du </w:t>
            </w:r>
            <w:hyperlink r:id="rId166" w:history="1">
              <w:r w:rsidRPr="00C83DA9">
                <w:rPr>
                  <w:rFonts w:ascii="Calibri" w:hAnsi="Calibri" w:cs="Calibri"/>
                  <w:b/>
                  <w:bCs/>
                  <w:color w:val="0000FF"/>
                  <w:sz w:val="22"/>
                  <w:u w:val="single"/>
                  <w:lang w:val="fr-FR"/>
                </w:rPr>
                <w:t>Colloque sur les indicateurs des télécommunications/TIC dans le monde</w:t>
              </w:r>
            </w:hyperlink>
            <w:r w:rsidRPr="00C83DA9">
              <w:rPr>
                <w:rFonts w:ascii="Calibri" w:hAnsi="Calibri" w:cs="Calibri"/>
                <w:sz w:val="22"/>
                <w:lang w:val="fr-FR"/>
              </w:rPr>
              <w:t xml:space="preserve"> (WTIS) en ont conforté le statut de principale réunion internationale pour les statistiques du développement du numérique. Rassemblant des décideurs, des régulateurs, des statisticiens et des chercheurs du monde entier, le WTIS vise à promouvoir l'élaboration de politiques fondées sur des données factuelles et à faire progresser le programme de travail international des statistiques des TIC en définissant les éléments à mesurer, en développant de nouvelles méthodes de mesure, en étudiant des modèles de financement et en présentant des bonnes pratiques. Marquant le vingtième anniversaire du Colloque depuis sa première édition en 1996, le </w:t>
            </w:r>
            <w:hyperlink r:id="rId167" w:anchor="/fr" w:history="1">
              <w:r w:rsidRPr="00C83DA9">
                <w:rPr>
                  <w:rFonts w:ascii="Calibri" w:hAnsi="Calibri" w:cs="Calibri"/>
                  <w:color w:val="0000FF"/>
                  <w:sz w:val="22"/>
                  <w:u w:val="single"/>
                  <w:lang w:val="fr-FR"/>
                </w:rPr>
                <w:t>WTIS-25</w:t>
              </w:r>
            </w:hyperlink>
            <w:r w:rsidRPr="00C83DA9">
              <w:rPr>
                <w:rFonts w:ascii="Calibri" w:hAnsi="Calibri" w:cs="Calibri"/>
                <w:sz w:val="22"/>
                <w:lang w:val="fr-FR"/>
              </w:rPr>
              <w:t>, qui avait pour thème "20</w:t>
            </w:r>
            <w:r w:rsidRPr="00C83DA9">
              <w:rPr>
                <w:rFonts w:ascii="Calibri" w:hAnsi="Calibri" w:cs="Calibri"/>
                <w:sz w:val="22"/>
                <w:vertAlign w:val="superscript"/>
                <w:lang w:val="fr-FR"/>
              </w:rPr>
              <w:t xml:space="preserve"> </w:t>
            </w:r>
            <w:r w:rsidRPr="00C83DA9">
              <w:rPr>
                <w:rFonts w:ascii="Calibri" w:hAnsi="Calibri" w:cs="Calibri"/>
                <w:sz w:val="22"/>
                <w:lang w:val="fr-FR"/>
              </w:rPr>
              <w:t>ans de WTIS: Passé, présent et avenir des statistiques du développement du numérique", a attiré 270 participants originaires de 85 pays. Il a fait ressortir les priorités actuelles et les nouveaux besoins en données dans un contexte qui évolue rapidement.</w:t>
            </w:r>
          </w:p>
          <w:p w14:paraId="20B1B787" w14:textId="77777777" w:rsidR="00AC69A2" w:rsidRPr="00C83DA9" w:rsidRDefault="00AC69A2" w:rsidP="00AC69A2">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bookmarkStart w:id="65" w:name="_Hlk212546386"/>
            <w:r w:rsidRPr="00C83DA9">
              <w:rPr>
                <w:rFonts w:ascii="Calibri" w:hAnsi="Calibri" w:cs="Calibri"/>
                <w:sz w:val="22"/>
                <w:lang w:val="fr-FR"/>
              </w:rPr>
              <w:t>Les trois éditions – 2023, 2024 et 2025 – du Colloque sur les indicateurs des télécommunications/TIC dans le monde (WTIS) en ont conforté le statut de principale réunion internationale pour les statistiques du développement du numérique. Rassemblant des décideurs, des régulateurs, des statisticiens et des chercheurs du monde entier, le WTIS favorise le dialogue sur la contribution possible des données à une transformation numérique inclusive et durable.</w:t>
            </w:r>
          </w:p>
          <w:p w14:paraId="5CDA6B9E" w14:textId="77777777" w:rsidR="00AC69A2" w:rsidRPr="00C83DA9" w:rsidRDefault="00AC69A2" w:rsidP="00DC1608">
            <w:pPr>
              <w:pStyle w:val="Tabletext"/>
              <w:keepLines/>
              <w:spacing w:before="120"/>
              <w:ind w:right="-85"/>
              <w:rPr>
                <w:rFonts w:ascii="Calibri" w:hAnsi="Calibri" w:cs="Calibri"/>
                <w:sz w:val="22"/>
                <w:lang w:val="fr-FR"/>
              </w:rPr>
            </w:pPr>
            <w:r w:rsidRPr="00C83DA9">
              <w:rPr>
                <w:rFonts w:ascii="Calibri" w:hAnsi="Calibri" w:cs="Calibri"/>
                <w:sz w:val="22"/>
                <w:lang w:val="fr-FR"/>
              </w:rPr>
              <w:t>La contribution de l'UIT en tant que partenaire pour le partage de connaissances auprès du Groupe de travail sur l'économie numérique du G20 a offert une illustration supplémentaire de l'articulation entre données et politiques publiques; le texte du cadre relatif à la connectivité universelle et efficace a été reproduit à l'annexe de la Déclaration ministérielle. Le vingtième anniversaire du Partenariat sur la mesure des TIC au service du développement a aussi montré l'importance de la collaboration internationale, en réaffirmant le rôle central du BDT pour ancrer les statistiques comme élément fondamental d'une transformation numérique inclusive et durable.</w:t>
            </w:r>
          </w:p>
          <w:p w14:paraId="425F615E" w14:textId="77777777" w:rsidR="00AC69A2" w:rsidRPr="00C83DA9" w:rsidRDefault="00AC69A2" w:rsidP="00DC1608">
            <w:pPr>
              <w:pStyle w:val="Tabletext"/>
              <w:keepLines/>
              <w:spacing w:before="120"/>
              <w:ind w:right="-85"/>
              <w:rPr>
                <w:rFonts w:ascii="Calibri" w:hAnsi="Calibri" w:cs="Calibri"/>
                <w:sz w:val="22"/>
                <w:lang w:val="fr-FR"/>
              </w:rPr>
            </w:pPr>
            <w:r w:rsidRPr="00C83DA9">
              <w:rPr>
                <w:rFonts w:ascii="Calibri" w:hAnsi="Calibri" w:cs="Calibri"/>
                <w:sz w:val="22"/>
                <w:lang w:val="fr-FR"/>
              </w:rPr>
              <w:t xml:space="preserve">Lancé en 2023 et devant durer jusqu'à 2027, le </w:t>
            </w:r>
            <w:hyperlink r:id="rId168" w:history="1">
              <w:r w:rsidRPr="00C83DA9">
                <w:rPr>
                  <w:rFonts w:ascii="Calibri" w:hAnsi="Calibri" w:cs="Calibri"/>
                  <w:color w:val="0000FF"/>
                  <w:sz w:val="22"/>
                  <w:u w:val="single"/>
                  <w:lang w:val="fr-FR"/>
                </w:rPr>
                <w:t>projet "Promouvoir et mesurer la connectivité universelle et efficace</w:t>
              </w:r>
            </w:hyperlink>
            <w:r w:rsidRPr="00C83DA9">
              <w:rPr>
                <w:rFonts w:ascii="Calibri" w:hAnsi="Calibri" w:cs="Calibri"/>
                <w:sz w:val="22"/>
                <w:lang w:val="fr-FR"/>
              </w:rPr>
              <w:t>", financé par l'Union européenne, fait valoir la nécessité d'une politique axée sur la connectivité universelle et efficace, renforce la mesure et l'utilisation des statistiques des TIC, encourage l'élaboration de politiques fondées sur des données factuelles et aide les pays à évaluer leurs progrès vers la connectivité universelle et efficace, par des activités d'information, des ateliers, des outils et des travaux de recherche.</w:t>
            </w:r>
          </w:p>
          <w:p w14:paraId="60272C3D" w14:textId="3986FD22" w:rsidR="00AC69A2" w:rsidRPr="00C83DA9" w:rsidRDefault="00AC69A2" w:rsidP="00DC1608">
            <w:pPr>
              <w:pStyle w:val="Tabletext"/>
              <w:keepLines/>
              <w:spacing w:before="120"/>
              <w:ind w:right="-85"/>
              <w:rPr>
                <w:rFonts w:ascii="Calibri" w:hAnsi="Calibri" w:cs="Calibri"/>
                <w:sz w:val="22"/>
                <w:lang w:val="fr-FR"/>
              </w:rPr>
            </w:pPr>
            <w:r w:rsidRPr="00C83DA9">
              <w:rPr>
                <w:rFonts w:ascii="Calibri" w:hAnsi="Calibri" w:cs="Calibri"/>
                <w:sz w:val="22"/>
                <w:lang w:val="fr-FR"/>
              </w:rPr>
              <w:t xml:space="preserve">En </w:t>
            </w:r>
            <w:r w:rsidRPr="00C83DA9">
              <w:rPr>
                <w:rFonts w:ascii="Calibri" w:hAnsi="Calibri" w:cs="Calibri"/>
                <w:b/>
                <w:bCs/>
                <w:sz w:val="22"/>
                <w:lang w:val="fr-FR"/>
              </w:rPr>
              <w:t>Afrique</w:t>
            </w:r>
            <w:r w:rsidRPr="00C83DA9">
              <w:rPr>
                <w:rFonts w:ascii="Calibri" w:hAnsi="Calibri" w:cs="Calibri"/>
                <w:sz w:val="22"/>
                <w:lang w:val="fr-FR"/>
              </w:rPr>
              <w:t>, le BDT a coorganisé un atelier consultatif multipartite avec l'Association des régulateurs des communications d'Afrique australe (CRASA), sous l'égide de la SADC, lors duquel de nouveaux objectifs ont été définis concernant le large bande pour la période 2025</w:t>
            </w:r>
            <w:r w:rsidR="00056577">
              <w:rPr>
                <w:rFonts w:ascii="Calibri" w:hAnsi="Calibri" w:cs="Calibri"/>
                <w:sz w:val="22"/>
                <w:lang w:val="fr-FR"/>
              </w:rPr>
              <w:noBreakHyphen/>
            </w:r>
            <w:r w:rsidRPr="00C83DA9">
              <w:rPr>
                <w:rFonts w:ascii="Calibri" w:hAnsi="Calibri" w:cs="Calibri"/>
                <w:sz w:val="22"/>
                <w:lang w:val="fr-FR"/>
              </w:rPr>
              <w:t>2030. L'atelier a évoqué les difficultés posées par le développement du large bande et la collecte des données; l'UIT a indiqué des moyens possibles de parvenir à des données de meilleure qualité pour la mesure des TIC dans la région.</w:t>
            </w:r>
          </w:p>
          <w:p w14:paraId="59D8F8E0" w14:textId="4F3E5888" w:rsidR="00AC69A2" w:rsidRPr="00C83DA9" w:rsidRDefault="00D515CC" w:rsidP="00174DF1">
            <w:pPr>
              <w:pStyle w:val="Tabletext"/>
              <w:keepLines/>
              <w:spacing w:before="120"/>
              <w:ind w:right="-85"/>
              <w:rPr>
                <w:rFonts w:ascii="Calibri" w:hAnsi="Calibri" w:cs="Calibri"/>
                <w:sz w:val="22"/>
                <w:lang w:val="fr-FR"/>
              </w:rPr>
            </w:pPr>
            <w:r w:rsidRPr="00C83DA9">
              <w:rPr>
                <w:rFonts w:ascii="Calibri" w:hAnsi="Calibri" w:cs="Calibri"/>
                <w:sz w:val="22"/>
                <w:lang w:val="fr-FR"/>
              </w:rPr>
              <w:t xml:space="preserve">En Afrique, le </w:t>
            </w:r>
            <w:r w:rsidR="00AC69A2" w:rsidRPr="00C83DA9">
              <w:rPr>
                <w:rFonts w:ascii="Calibri" w:hAnsi="Calibri" w:cs="Calibri"/>
                <w:sz w:val="22"/>
                <w:lang w:val="fr-FR"/>
              </w:rPr>
              <w:t xml:space="preserve">BDT </w:t>
            </w:r>
            <w:r w:rsidRPr="00C83DA9">
              <w:rPr>
                <w:rFonts w:ascii="Calibri" w:hAnsi="Calibri" w:cs="Calibri"/>
                <w:sz w:val="22"/>
                <w:lang w:val="fr-FR"/>
              </w:rPr>
              <w:t xml:space="preserve">a organisé, en collaboration avec </w:t>
            </w:r>
            <w:r w:rsidR="00AC69A2" w:rsidRPr="00C83DA9">
              <w:rPr>
                <w:rFonts w:ascii="Calibri" w:hAnsi="Calibri" w:cs="Calibri"/>
                <w:sz w:val="22"/>
                <w:lang w:val="fr-FR"/>
              </w:rPr>
              <w:t>le Secrétariat de la Communauté de développement de l'Afrique australe (SADC) et la Banque mondiale</w:t>
            </w:r>
            <w:r w:rsidRPr="00C83DA9">
              <w:rPr>
                <w:rFonts w:ascii="Calibri" w:hAnsi="Calibri" w:cs="Calibri"/>
                <w:sz w:val="22"/>
                <w:lang w:val="fr-FR"/>
              </w:rPr>
              <w:t>,</w:t>
            </w:r>
            <w:r w:rsidR="00AC69A2" w:rsidRPr="00C83DA9">
              <w:rPr>
                <w:rFonts w:ascii="Calibri" w:hAnsi="Calibri" w:cs="Calibri"/>
                <w:sz w:val="22"/>
                <w:lang w:val="fr-FR"/>
              </w:rPr>
              <w:t xml:space="preserve"> un atelier régional sur l'utilisation des données de téléphonie mobile pour les statistiques officielles et l'élaboration</w:t>
            </w:r>
            <w:r w:rsidR="00056577">
              <w:rPr>
                <w:rFonts w:ascii="Calibri" w:hAnsi="Calibri" w:cs="Calibri"/>
                <w:sz w:val="22"/>
                <w:lang w:val="fr-FR"/>
              </w:rPr>
              <w:t xml:space="preserve"> </w:t>
            </w:r>
            <w:r w:rsidR="00AC69A2" w:rsidRPr="00C83DA9">
              <w:rPr>
                <w:rFonts w:ascii="Calibri" w:hAnsi="Calibri" w:cs="Calibri"/>
                <w:sz w:val="22"/>
                <w:lang w:val="fr-FR"/>
              </w:rPr>
              <w:t>des politiques. Cet atelier a réuni des services nationaux de statistique, des régulateurs, des opérateurs de réseau mobile et des partenaires de développement de toute la région pour étudier en quoi ces données peuvent aider à obtenir en temps opportun les informations détaillées nécessaires pour élaborer des politiques. Les participants ont été informés d'un certain nombre de bonnes pratiques internationales, d'outils et de ressources de renforcement des capacités, conçus dans le cadre d'un partenariat entre Global</w:t>
            </w:r>
            <w:r w:rsidR="00056577">
              <w:rPr>
                <w:rFonts w:ascii="Calibri" w:hAnsi="Calibri" w:cs="Calibri"/>
                <w:sz w:val="22"/>
                <w:lang w:val="fr-FR"/>
              </w:rPr>
              <w:t> </w:t>
            </w:r>
            <w:r w:rsidR="00AC69A2" w:rsidRPr="00C83DA9">
              <w:rPr>
                <w:rFonts w:ascii="Calibri" w:hAnsi="Calibri" w:cs="Calibri"/>
                <w:sz w:val="22"/>
                <w:lang w:val="fr-FR"/>
              </w:rPr>
              <w:t>Data Facility et l'UIT, et ont évoqué les perspectives et les difficultés de l'application de systèmes de données de téléphonie</w:t>
            </w:r>
            <w:r w:rsidR="00056577">
              <w:rPr>
                <w:rFonts w:ascii="Calibri" w:hAnsi="Calibri" w:cs="Calibri"/>
                <w:sz w:val="22"/>
                <w:lang w:val="fr-FR"/>
              </w:rPr>
              <w:t xml:space="preserve"> </w:t>
            </w:r>
            <w:r w:rsidR="00AC69A2" w:rsidRPr="00C83DA9">
              <w:rPr>
                <w:rFonts w:ascii="Calibri" w:hAnsi="Calibri" w:cs="Calibri"/>
                <w:sz w:val="22"/>
                <w:lang w:val="fr-FR"/>
              </w:rPr>
              <w:lastRenderedPageBreak/>
              <w:t>mobile dans le contexte de la SADC. Cette manifestation a favorisé le dialogue sur les mécanismes de collaboration, l'accès</w:t>
            </w:r>
            <w:r w:rsidR="00056577">
              <w:rPr>
                <w:rFonts w:ascii="Calibri" w:hAnsi="Calibri" w:cs="Calibri"/>
                <w:sz w:val="22"/>
                <w:lang w:val="fr-FR"/>
              </w:rPr>
              <w:t xml:space="preserve"> </w:t>
            </w:r>
            <w:r w:rsidR="00AC69A2" w:rsidRPr="00C83DA9">
              <w:rPr>
                <w:rFonts w:ascii="Calibri" w:hAnsi="Calibri" w:cs="Calibri"/>
                <w:sz w:val="22"/>
                <w:lang w:val="fr-FR"/>
              </w:rPr>
              <w:t>aux données et les cadres de gouvernance nécessaires pour tirer pleinement parti de ces données au service du développement durable.</w:t>
            </w:r>
          </w:p>
          <w:p w14:paraId="73D0859C" w14:textId="77777777" w:rsidR="00AC69A2" w:rsidRPr="00C83DA9" w:rsidRDefault="00AC69A2" w:rsidP="000B5E7B">
            <w:pPr>
              <w:pStyle w:val="Tabletext"/>
              <w:keepLines/>
              <w:spacing w:before="80"/>
              <w:ind w:right="-85"/>
              <w:rPr>
                <w:rFonts w:ascii="Calibri" w:hAnsi="Calibri" w:cs="Calibri"/>
                <w:sz w:val="22"/>
                <w:lang w:val="fr-FR"/>
              </w:rPr>
            </w:pPr>
            <w:r w:rsidRPr="00C83DA9">
              <w:rPr>
                <w:rFonts w:ascii="Calibri" w:hAnsi="Calibri" w:cs="Calibri"/>
                <w:sz w:val="22"/>
                <w:lang w:val="fr-FR"/>
              </w:rPr>
              <w:t xml:space="preserve">Le Secrétariat de la SADC a organisé un atelier régional sur les indicateurs des TIC à Kinshasa en </w:t>
            </w:r>
            <w:r w:rsidRPr="00C83DA9">
              <w:rPr>
                <w:rFonts w:ascii="Calibri" w:hAnsi="Calibri" w:cs="Calibri"/>
                <w:b/>
                <w:bCs/>
                <w:sz w:val="22"/>
                <w:lang w:val="fr-FR"/>
              </w:rPr>
              <w:t>République démocratique du Congo</w:t>
            </w:r>
            <w:r w:rsidRPr="00C83DA9">
              <w:rPr>
                <w:rFonts w:ascii="Calibri" w:hAnsi="Calibri" w:cs="Calibri"/>
                <w:sz w:val="22"/>
                <w:lang w:val="fr-FR"/>
              </w:rPr>
              <w:t>. Cette manifestation a rassemblé des représentants des États membres de la SADC pour renforcer les capacités de collecte, d'harmonisation et d'utilisation de statistiques des TIC permettant d'élaborer des politiques fondées sur des données factuelles. La contribution de l'UIT a consisté à présenter ses travaux internationaux sur les statistiques des TIC, en indiquant les principales initiatives actuelles relevant de la Semaine des statistiques des TIC et en présentant des renseignements à jour sur l'évolution des méthodes et les ressources disponibles pour faciliter la production de statistiques sur les TIC dans les ménages. L'atelier a été l'occasion d'échanger des données d'expérience, d'harmoniser les méthodes régionales avec les normes internationales et de renforcer le rôle des indicateurs des TIC dans le suivi de la transformation numérique dans la région de la SADC.</w:t>
            </w:r>
          </w:p>
          <w:p w14:paraId="21A2A284" w14:textId="5039B37F" w:rsidR="00AC69A2" w:rsidRPr="00C83DA9" w:rsidRDefault="00AC69A2" w:rsidP="000B5E7B">
            <w:pPr>
              <w:pStyle w:val="Tabletext"/>
              <w:keepLines/>
              <w:spacing w:before="80"/>
              <w:ind w:right="-85"/>
              <w:rPr>
                <w:rFonts w:cstheme="minorBidi"/>
                <w:sz w:val="22"/>
                <w:lang w:val="fr-FR"/>
              </w:rPr>
            </w:pPr>
            <w:r w:rsidRPr="00C83DA9">
              <w:rPr>
                <w:rFonts w:cstheme="minorBidi"/>
                <w:sz w:val="22"/>
                <w:lang w:val="fr-FR"/>
              </w:rPr>
              <w:t xml:space="preserve">Dans la </w:t>
            </w:r>
            <w:r w:rsidRPr="00C83DA9">
              <w:rPr>
                <w:rFonts w:cstheme="minorBidi"/>
                <w:b/>
                <w:bCs/>
                <w:sz w:val="22"/>
                <w:lang w:val="fr-FR"/>
              </w:rPr>
              <w:t>région Asie-Pacifique</w:t>
            </w:r>
            <w:r w:rsidRPr="00C83DA9">
              <w:rPr>
                <w:rFonts w:cstheme="minorBidi"/>
                <w:sz w:val="22"/>
                <w:lang w:val="fr-FR"/>
              </w:rPr>
              <w:t xml:space="preserve">, le BDT a mené un certain nombre d'ateliers nationaux qui ont permis de renforcer la collecte des données sur les ménages et des données </w:t>
            </w:r>
            <w:r w:rsidRPr="00C83DA9">
              <w:rPr>
                <w:rFonts w:ascii="Calibri" w:hAnsi="Calibri" w:cs="Calibri"/>
                <w:sz w:val="22"/>
                <w:lang w:val="fr-FR"/>
              </w:rPr>
              <w:t>administratives</w:t>
            </w:r>
            <w:r w:rsidRPr="00C83DA9">
              <w:rPr>
                <w:rFonts w:cstheme="minorBidi"/>
                <w:sz w:val="22"/>
                <w:lang w:val="fr-FR"/>
              </w:rPr>
              <w:t xml:space="preserve"> et ont favorisé l'intégration des pratiques de référence internationales dans les systèmes publics. Les petits États insulaires en développement (PEID) ont aussi bénéficié d'un soutien pour traiter leurs difficultés particulières en matière de connectivité et de services. Le BDT a aussi prêté assistance sur les données de téléphonie mobile pour les statistiques en </w:t>
            </w:r>
            <w:r w:rsidRPr="00C83DA9">
              <w:rPr>
                <w:rFonts w:cstheme="minorBidi"/>
                <w:b/>
                <w:bCs/>
                <w:sz w:val="22"/>
                <w:lang w:val="fr-FR"/>
              </w:rPr>
              <w:t>Malaisie</w:t>
            </w:r>
            <w:r w:rsidRPr="00C83DA9">
              <w:rPr>
                <w:rFonts w:cstheme="minorBidi"/>
                <w:sz w:val="22"/>
                <w:lang w:val="fr-FR"/>
              </w:rPr>
              <w:t xml:space="preserve"> et en </w:t>
            </w:r>
            <w:r w:rsidRPr="00C83DA9">
              <w:rPr>
                <w:rFonts w:cstheme="minorBidi"/>
                <w:b/>
                <w:bCs/>
                <w:sz w:val="22"/>
                <w:lang w:val="fr-FR"/>
              </w:rPr>
              <w:t>Mongolie</w:t>
            </w:r>
            <w:r w:rsidRPr="00C83DA9">
              <w:rPr>
                <w:rFonts w:cstheme="minorBidi"/>
                <w:sz w:val="22"/>
                <w:lang w:val="fr-FR"/>
              </w:rPr>
              <w:t xml:space="preserve">. Il a organisé deux ateliers sur la promotion et la mesure de la connectivité numérique universelle et efficace, l'un en </w:t>
            </w:r>
            <w:r w:rsidRPr="00C83DA9">
              <w:rPr>
                <w:rFonts w:cstheme="minorBidi"/>
                <w:b/>
                <w:bCs/>
                <w:sz w:val="22"/>
                <w:lang w:val="fr-FR"/>
              </w:rPr>
              <w:t>Thaïlande</w:t>
            </w:r>
            <w:r w:rsidRPr="00C83DA9">
              <w:rPr>
                <w:rFonts w:cstheme="minorBidi"/>
                <w:sz w:val="22"/>
                <w:lang w:val="fr-FR"/>
              </w:rPr>
              <w:t xml:space="preserve">, et l'autre aux </w:t>
            </w:r>
            <w:r w:rsidRPr="00C83DA9">
              <w:rPr>
                <w:rFonts w:cstheme="minorBidi"/>
                <w:b/>
                <w:bCs/>
                <w:sz w:val="22"/>
                <w:lang w:val="fr-FR"/>
              </w:rPr>
              <w:t>Palaos</w:t>
            </w:r>
            <w:r w:rsidRPr="00C83DA9">
              <w:rPr>
                <w:rFonts w:cstheme="minorBidi"/>
                <w:sz w:val="22"/>
                <w:lang w:val="fr-FR"/>
              </w:rPr>
              <w:t xml:space="preserve">. Ces deux ateliers ont bénéficié du soutien du projet </w:t>
            </w:r>
            <w:r w:rsidRPr="00C83DA9">
              <w:rPr>
                <w:rFonts w:cstheme="minorBidi"/>
                <w:i/>
                <w:iCs/>
                <w:sz w:val="22"/>
                <w:lang w:val="fr-FR"/>
              </w:rPr>
              <w:t>Promouvoir et mesurer la connectivité numérique universelle et efficace</w:t>
            </w:r>
            <w:r w:rsidRPr="00C83DA9">
              <w:rPr>
                <w:rFonts w:cstheme="minorBidi"/>
                <w:sz w:val="22"/>
                <w:lang w:val="fr-FR"/>
              </w:rPr>
              <w:t xml:space="preserve"> de l'Union européenne. L'atelier des </w:t>
            </w:r>
            <w:r w:rsidRPr="00C83DA9">
              <w:rPr>
                <w:rFonts w:cstheme="minorBidi"/>
                <w:b/>
                <w:bCs/>
                <w:sz w:val="22"/>
                <w:lang w:val="fr-FR"/>
              </w:rPr>
              <w:t>Palaos</w:t>
            </w:r>
            <w:r w:rsidRPr="00C83DA9">
              <w:rPr>
                <w:rFonts w:cstheme="minorBidi"/>
                <w:sz w:val="22"/>
                <w:lang w:val="fr-FR"/>
              </w:rPr>
              <w:t xml:space="preserve"> était également soutenu par le projet </w:t>
            </w:r>
            <w:r w:rsidRPr="00C83DA9">
              <w:rPr>
                <w:rFonts w:cstheme="minorBidi"/>
                <w:i/>
                <w:iCs/>
                <w:sz w:val="22"/>
                <w:lang w:val="fr-FR"/>
              </w:rPr>
              <w:t>Accélérer la réalisation des ODD par la transformation numérique en vue de renforcer la résilience des populations en Micronésie</w:t>
            </w:r>
            <w:r w:rsidRPr="00C83DA9">
              <w:rPr>
                <w:rFonts w:cstheme="minorBidi"/>
                <w:sz w:val="22"/>
                <w:lang w:val="fr-FR"/>
              </w:rPr>
              <w:t xml:space="preserve"> du Fonds commun pour les ODD. Ces ateliers ont promu la notion de connectivité numérique universelle et efficace, renforcé l'aptitude des pays de la sous</w:t>
            </w:r>
            <w:r w:rsidR="00F415A8" w:rsidRPr="00C83DA9">
              <w:rPr>
                <w:rFonts w:cstheme="minorBidi"/>
                <w:sz w:val="22"/>
                <w:lang w:val="fr-FR"/>
              </w:rPr>
              <w:noBreakHyphen/>
            </w:r>
            <w:r w:rsidRPr="00C83DA9">
              <w:rPr>
                <w:rFonts w:cstheme="minorBidi"/>
                <w:sz w:val="22"/>
                <w:lang w:val="fr-FR"/>
              </w:rPr>
              <w:t>région à produire et à diffuser les données statistiques utiles, et montré comment ces données peuvent être utilisées pour repérer des bonnes pratiques et formuler des recommandations de politique générale.</w:t>
            </w:r>
          </w:p>
          <w:p w14:paraId="77416AB5" w14:textId="77777777" w:rsidR="00AC69A2" w:rsidRPr="00C83DA9" w:rsidRDefault="00AC69A2" w:rsidP="000B5E7B">
            <w:pPr>
              <w:pStyle w:val="Tabletext"/>
              <w:keepLines/>
              <w:spacing w:before="80"/>
              <w:ind w:right="-85"/>
              <w:rPr>
                <w:rFonts w:ascii="Calibri" w:hAnsi="Calibri" w:cs="Calibri"/>
                <w:sz w:val="22"/>
                <w:lang w:val="fr-FR"/>
              </w:rPr>
            </w:pPr>
            <w:r w:rsidRPr="00C83DA9">
              <w:rPr>
                <w:rFonts w:ascii="Calibri" w:hAnsi="Calibri" w:cs="Calibri"/>
                <w:sz w:val="22"/>
                <w:lang w:val="fr-FR"/>
              </w:rPr>
              <w:t xml:space="preserve">Dans la </w:t>
            </w:r>
            <w:r w:rsidRPr="00C83DA9">
              <w:rPr>
                <w:rFonts w:ascii="Calibri" w:hAnsi="Calibri" w:cs="Calibri"/>
                <w:b/>
                <w:bCs/>
                <w:sz w:val="22"/>
                <w:lang w:val="fr-FR"/>
              </w:rPr>
              <w:t>région Amériques</w:t>
            </w:r>
            <w:r w:rsidRPr="00C83DA9">
              <w:rPr>
                <w:rFonts w:ascii="Calibri" w:hAnsi="Calibri" w:cs="Calibri"/>
                <w:sz w:val="22"/>
                <w:lang w:val="fr-FR"/>
              </w:rPr>
              <w:t xml:space="preserve">, le </w:t>
            </w:r>
            <w:r w:rsidRPr="00C83DA9">
              <w:rPr>
                <w:rFonts w:ascii="Calibri" w:hAnsi="Calibri" w:cs="Calibri"/>
                <w:b/>
                <w:bCs/>
                <w:sz w:val="22"/>
                <w:lang w:val="fr-FR"/>
              </w:rPr>
              <w:t>Brésil</w:t>
            </w:r>
            <w:r w:rsidRPr="00C83DA9">
              <w:rPr>
                <w:rFonts w:ascii="Calibri" w:hAnsi="Calibri" w:cs="Calibri"/>
                <w:sz w:val="22"/>
                <w:lang w:val="fr-FR"/>
              </w:rPr>
              <w:t xml:space="preserve">, en collaboration avec le BDT, a accueilli des séances de formation sur les systèmes d'information géographique et la cartographie du large bande, lors desquelles les organismes nationaux ont été informés d'outils pratiques pour le suivi et l'évaluation du déploiement des infrastructures. En </w:t>
            </w:r>
            <w:r w:rsidRPr="00C83DA9">
              <w:rPr>
                <w:rFonts w:ascii="Calibri" w:hAnsi="Calibri" w:cs="Calibri"/>
                <w:b/>
                <w:bCs/>
                <w:sz w:val="22"/>
                <w:lang w:val="fr-FR"/>
              </w:rPr>
              <w:t>Colombie</w:t>
            </w:r>
            <w:r w:rsidRPr="00C83DA9">
              <w:rPr>
                <w:rFonts w:ascii="Calibri" w:hAnsi="Calibri" w:cs="Calibri"/>
                <w:sz w:val="22"/>
                <w:lang w:val="fr-FR"/>
              </w:rPr>
              <w:t xml:space="preserve"> et en </w:t>
            </w:r>
            <w:r w:rsidRPr="00C83DA9">
              <w:rPr>
                <w:rFonts w:ascii="Calibri" w:hAnsi="Calibri" w:cs="Calibri"/>
                <w:b/>
                <w:bCs/>
                <w:sz w:val="22"/>
                <w:lang w:val="fr-FR"/>
              </w:rPr>
              <w:t>République dominicaine</w:t>
            </w:r>
            <w:r w:rsidRPr="00C83DA9">
              <w:rPr>
                <w:rFonts w:ascii="Calibri" w:hAnsi="Calibri" w:cs="Calibri"/>
                <w:sz w:val="22"/>
                <w:lang w:val="fr-FR"/>
              </w:rPr>
              <w:t xml:space="preserve">, une assistance du BDT a été fournie à ces pays pour développer de leurs observatoires nationaux du numérique, de façon à pouvoir utiliser des indicateurs en temps réel pour éclairer les décisions concernant les </w:t>
            </w:r>
            <w:r w:rsidRPr="00C83DA9">
              <w:rPr>
                <w:rFonts w:cstheme="minorBidi"/>
                <w:sz w:val="22"/>
                <w:lang w:val="fr-FR"/>
              </w:rPr>
              <w:t>politiques</w:t>
            </w:r>
            <w:r w:rsidRPr="00C83DA9">
              <w:rPr>
                <w:rFonts w:ascii="Calibri" w:hAnsi="Calibri" w:cs="Calibri"/>
                <w:sz w:val="22"/>
                <w:lang w:val="fr-FR"/>
              </w:rPr>
              <w:t xml:space="preserve"> et la réglementation. Dans les </w:t>
            </w:r>
            <w:r w:rsidRPr="00C83DA9">
              <w:rPr>
                <w:rFonts w:ascii="Calibri" w:hAnsi="Calibri" w:cs="Calibri"/>
                <w:b/>
                <w:bCs/>
                <w:sz w:val="22"/>
                <w:lang w:val="fr-FR"/>
              </w:rPr>
              <w:t>Caraïbes</w:t>
            </w:r>
            <w:r w:rsidRPr="00C83DA9">
              <w:rPr>
                <w:rFonts w:ascii="Calibri" w:hAnsi="Calibri" w:cs="Calibri"/>
                <w:sz w:val="22"/>
                <w:lang w:val="fr-FR"/>
              </w:rPr>
              <w:t xml:space="preserve">, le BDT a coordonné des enquêtes sur l'accessibilité financière menées collectivement dans plusieurs pays, et les résultats ainsi obtenus ont directement influencé certains changements apportés aux cadres réglementaires et aux politiques de service universel. Lors des </w:t>
            </w:r>
            <w:hyperlink r:id="rId169" w:history="1">
              <w:r w:rsidRPr="00C83DA9">
                <w:rPr>
                  <w:rFonts w:ascii="Calibri" w:hAnsi="Calibri" w:cs="Calibri"/>
                  <w:color w:val="0000FF"/>
                  <w:sz w:val="22"/>
                  <w:u w:val="single"/>
                  <w:lang w:val="fr-FR"/>
                </w:rPr>
                <w:t>Colloques de l'UIT sur les politiques générales et l'économie</w:t>
              </w:r>
            </w:hyperlink>
            <w:r w:rsidRPr="00C83DA9">
              <w:rPr>
                <w:rFonts w:ascii="Calibri" w:hAnsi="Calibri" w:cs="Calibri"/>
                <w:sz w:val="22"/>
                <w:lang w:val="fr-FR"/>
              </w:rPr>
              <w:t>, dont le BDT est le facilitateur, des séries de données de l'UIT ont fait partie intégrante des débats sur la tarification du spectre et l'investissement dans le spectre, pour faire en sorte que les données statistiques entrent en ligne de compte dans l'élaboration des politiques économiques régionales</w:t>
            </w:r>
            <w:bookmarkStart w:id="66" w:name="lt_pId801"/>
            <w:r w:rsidRPr="00C83DA9">
              <w:rPr>
                <w:rFonts w:ascii="Calibri" w:hAnsi="Calibri" w:cs="Calibri"/>
                <w:sz w:val="22"/>
                <w:lang w:val="fr-FR"/>
              </w:rPr>
              <w:t>.</w:t>
            </w:r>
            <w:bookmarkEnd w:id="66"/>
          </w:p>
          <w:p w14:paraId="23A789E8" w14:textId="5DD5993F" w:rsidR="00AC69A2" w:rsidRPr="00C83DA9" w:rsidRDefault="00AC69A2" w:rsidP="000B5E7B">
            <w:pPr>
              <w:pStyle w:val="Tabletext"/>
              <w:keepLines/>
              <w:spacing w:before="80"/>
              <w:ind w:right="-85"/>
              <w:rPr>
                <w:rFonts w:ascii="Calibri" w:hAnsi="Calibri" w:cs="Calibri"/>
                <w:sz w:val="22"/>
                <w:lang w:val="fr-FR"/>
              </w:rPr>
            </w:pPr>
            <w:r w:rsidRPr="00C83DA9">
              <w:rPr>
                <w:rFonts w:ascii="Calibri" w:hAnsi="Calibri" w:cs="Calibri"/>
                <w:sz w:val="22"/>
                <w:lang w:val="fr-FR"/>
              </w:rPr>
              <w:t xml:space="preserve">Dans la </w:t>
            </w:r>
            <w:r w:rsidRPr="00C83DA9">
              <w:rPr>
                <w:rFonts w:ascii="Calibri" w:hAnsi="Calibri" w:cs="Calibri"/>
                <w:b/>
                <w:bCs/>
                <w:sz w:val="22"/>
                <w:lang w:val="fr-FR"/>
              </w:rPr>
              <w:t>région des États arabes</w:t>
            </w:r>
            <w:r w:rsidRPr="00C83DA9">
              <w:rPr>
                <w:rFonts w:ascii="Calibri" w:hAnsi="Calibri" w:cs="Calibri"/>
                <w:sz w:val="22"/>
                <w:lang w:val="fr-FR"/>
              </w:rPr>
              <w:t>, le BDT a contribué à l'intégration des statistiques sur les TIC dans les grandes priorités nationales. À</w:t>
            </w:r>
            <w:r w:rsidR="00F415A8" w:rsidRPr="00C83DA9">
              <w:rPr>
                <w:rFonts w:ascii="Calibri" w:hAnsi="Calibri" w:cs="Calibri"/>
                <w:sz w:val="22"/>
                <w:lang w:val="fr-FR"/>
              </w:rPr>
              <w:t> </w:t>
            </w:r>
            <w:r w:rsidRPr="00C83DA9">
              <w:rPr>
                <w:rFonts w:ascii="Calibri" w:hAnsi="Calibri" w:cs="Calibri"/>
                <w:b/>
                <w:bCs/>
                <w:sz w:val="22"/>
                <w:lang w:val="fr-FR"/>
              </w:rPr>
              <w:t>Djibouti</w:t>
            </w:r>
            <w:r w:rsidRPr="00C83DA9">
              <w:rPr>
                <w:rFonts w:ascii="Calibri" w:hAnsi="Calibri" w:cs="Calibri"/>
                <w:sz w:val="22"/>
                <w:lang w:val="fr-FR"/>
              </w:rPr>
              <w:t xml:space="preserve"> et en </w:t>
            </w:r>
            <w:r w:rsidRPr="00C83DA9">
              <w:rPr>
                <w:rFonts w:ascii="Calibri" w:hAnsi="Calibri" w:cs="Calibri"/>
                <w:b/>
                <w:bCs/>
                <w:sz w:val="22"/>
                <w:lang w:val="fr-FR"/>
              </w:rPr>
              <w:t>Somalie</w:t>
            </w:r>
            <w:r w:rsidRPr="00C83DA9">
              <w:rPr>
                <w:rFonts w:ascii="Calibri" w:hAnsi="Calibri" w:cs="Calibri"/>
                <w:sz w:val="22"/>
                <w:lang w:val="fr-FR"/>
              </w:rPr>
              <w:t xml:space="preserve">, la collecte de données sur les TIC a été intégrée dans des projets pilotes GovStack pour faire en sorte que les services numériques – pour les dossiers scolaires et les systèmes administratifs, par exemple – soient lancés en recourant à des statistiques d'utilisation fiables. En </w:t>
            </w:r>
            <w:r w:rsidRPr="00C83DA9">
              <w:rPr>
                <w:rFonts w:ascii="Calibri" w:hAnsi="Calibri" w:cs="Calibri"/>
                <w:b/>
                <w:bCs/>
                <w:sz w:val="22"/>
                <w:lang w:val="fr-FR"/>
              </w:rPr>
              <w:t>République arabe syrienne</w:t>
            </w:r>
            <w:r w:rsidRPr="00C83DA9">
              <w:rPr>
                <w:rFonts w:ascii="Calibri" w:hAnsi="Calibri" w:cs="Calibri"/>
                <w:sz w:val="22"/>
                <w:lang w:val="fr-FR"/>
              </w:rPr>
              <w:t xml:space="preserve">, une assistance a été fournie pour réaliser une étude de marché sur </w:t>
            </w:r>
            <w:r w:rsidRPr="00C83DA9">
              <w:rPr>
                <w:rFonts w:ascii="Calibri" w:hAnsi="Calibri" w:cs="Calibri"/>
                <w:sz w:val="22"/>
                <w:lang w:val="fr-FR"/>
              </w:rPr>
              <w:lastRenderedPageBreak/>
              <w:t>les</w:t>
            </w:r>
            <w:r w:rsidR="00056577">
              <w:rPr>
                <w:rFonts w:ascii="Calibri" w:hAnsi="Calibri" w:cs="Calibri"/>
                <w:sz w:val="22"/>
                <w:lang w:val="fr-FR"/>
              </w:rPr>
              <w:t> </w:t>
            </w:r>
            <w:r w:rsidRPr="00C83DA9">
              <w:rPr>
                <w:rFonts w:ascii="Calibri" w:hAnsi="Calibri" w:cs="Calibri"/>
                <w:sz w:val="22"/>
                <w:lang w:val="fr-FR"/>
              </w:rPr>
              <w:t xml:space="preserve">TIC, et adapter les indicateurs de l'UIT sur l'accessibilité financière dans le cadre des politiques de tarification nationales. À </w:t>
            </w:r>
            <w:r w:rsidRPr="00C83DA9">
              <w:rPr>
                <w:rFonts w:ascii="Calibri" w:hAnsi="Calibri" w:cs="Calibri"/>
                <w:b/>
                <w:bCs/>
                <w:sz w:val="22"/>
                <w:lang w:val="fr-FR"/>
              </w:rPr>
              <w:t>Oman</w:t>
            </w:r>
            <w:r w:rsidRPr="00C83DA9">
              <w:rPr>
                <w:rFonts w:ascii="Calibri" w:hAnsi="Calibri" w:cs="Calibri"/>
                <w:sz w:val="22"/>
                <w:lang w:val="fr-FR"/>
              </w:rPr>
              <w:t xml:space="preserve"> et au </w:t>
            </w:r>
            <w:r w:rsidRPr="00C83DA9">
              <w:rPr>
                <w:rFonts w:ascii="Calibri" w:hAnsi="Calibri" w:cs="Calibri"/>
                <w:b/>
                <w:bCs/>
                <w:sz w:val="22"/>
                <w:lang w:val="fr-FR"/>
              </w:rPr>
              <w:t>Qatar</w:t>
            </w:r>
            <w:r w:rsidRPr="00C83DA9">
              <w:rPr>
                <w:rFonts w:ascii="Calibri" w:hAnsi="Calibri" w:cs="Calibri"/>
                <w:sz w:val="22"/>
                <w:lang w:val="fr-FR"/>
              </w:rPr>
              <w:t>, le BDT a formé les régulateurs aux méthodes d'enquête auprès des ménages, ce qui amélioré la qualité des statistiques officielles. Parallèlement, l'</w:t>
            </w:r>
            <w:r w:rsidRPr="00C83DA9">
              <w:rPr>
                <w:rFonts w:ascii="Calibri" w:hAnsi="Calibri" w:cs="Calibri"/>
                <w:b/>
                <w:bCs/>
                <w:sz w:val="22"/>
                <w:lang w:val="fr-FR"/>
              </w:rPr>
              <w:t>Égypte</w:t>
            </w:r>
            <w:r w:rsidRPr="00C83DA9">
              <w:rPr>
                <w:rFonts w:ascii="Calibri" w:hAnsi="Calibri" w:cs="Calibri"/>
                <w:sz w:val="22"/>
                <w:lang w:val="fr-FR"/>
              </w:rPr>
              <w:t xml:space="preserve"> a bénéficié d'une aide pour intégrer l'analyse statistique dans ses programmes de villes intelligentes, ce qui a montré comment les données pouvaient être utilisées pour réaliser des initiatives </w:t>
            </w:r>
            <w:r w:rsidRPr="00C83DA9">
              <w:rPr>
                <w:rFonts w:cstheme="minorBidi"/>
                <w:sz w:val="22"/>
                <w:lang w:val="fr-FR"/>
              </w:rPr>
              <w:t>numériques</w:t>
            </w:r>
            <w:r w:rsidRPr="00C83DA9">
              <w:rPr>
                <w:rFonts w:ascii="Calibri" w:hAnsi="Calibri" w:cs="Calibri"/>
                <w:sz w:val="22"/>
                <w:lang w:val="fr-FR"/>
              </w:rPr>
              <w:t xml:space="preserve"> complexes. L'atelier régional "Promouvoir et mesurer la connectivité universelle et efficace" pour les États arabes, tenu en 2024, a renforcé les connaissances et les capacités de 86</w:t>
            </w:r>
            <w:r w:rsidR="00F415A8" w:rsidRPr="00C83DA9">
              <w:rPr>
                <w:rFonts w:ascii="Calibri" w:hAnsi="Calibri" w:cs="Calibri"/>
                <w:sz w:val="22"/>
                <w:lang w:val="fr-FR"/>
              </w:rPr>
              <w:t> </w:t>
            </w:r>
            <w:r w:rsidRPr="00C83DA9">
              <w:rPr>
                <w:rFonts w:ascii="Calibri" w:hAnsi="Calibri" w:cs="Calibri"/>
                <w:sz w:val="22"/>
                <w:lang w:val="fr-FR"/>
              </w:rPr>
              <w:t xml:space="preserve">participants en ce qui concerne les indicateurs des TIC relatifs à la connectivité universelle et efficace et les objectifs de politique générale, notamment pour ce qui est des difficultés rencontrées par les États </w:t>
            </w:r>
            <w:r w:rsidR="00CA734F">
              <w:rPr>
                <w:rFonts w:ascii="Calibri" w:hAnsi="Calibri" w:cs="Calibri"/>
                <w:sz w:val="22"/>
                <w:lang w:val="fr-FR"/>
              </w:rPr>
              <w:t>M</w:t>
            </w:r>
            <w:r w:rsidRPr="00C83DA9">
              <w:rPr>
                <w:rFonts w:ascii="Calibri" w:hAnsi="Calibri" w:cs="Calibri"/>
                <w:sz w:val="22"/>
                <w:lang w:val="fr-FR"/>
              </w:rPr>
              <w:t>embres de l'UIT dans la collecte des données relatives à ces indicateurs.</w:t>
            </w:r>
          </w:p>
          <w:p w14:paraId="6D624F56" w14:textId="77777777" w:rsidR="00AC69A2" w:rsidRPr="00C83DA9" w:rsidRDefault="00AC69A2" w:rsidP="000B5E7B">
            <w:pPr>
              <w:pStyle w:val="Tabletext"/>
              <w:keepLines/>
              <w:spacing w:before="80"/>
              <w:ind w:right="-85"/>
              <w:rPr>
                <w:rFonts w:ascii="Calibri" w:hAnsi="Calibri" w:cs="Calibri"/>
                <w:sz w:val="22"/>
                <w:lang w:val="fr-FR"/>
              </w:rPr>
            </w:pPr>
            <w:r w:rsidRPr="00C83DA9">
              <w:rPr>
                <w:rFonts w:ascii="Calibri" w:hAnsi="Calibri" w:cs="Calibri"/>
                <w:sz w:val="22"/>
                <w:lang w:val="fr-FR"/>
              </w:rPr>
              <w:t xml:space="preserve">Dans la </w:t>
            </w:r>
            <w:r w:rsidRPr="00C83DA9">
              <w:rPr>
                <w:rFonts w:ascii="Calibri" w:hAnsi="Calibri" w:cs="Calibri"/>
                <w:b/>
                <w:bCs/>
                <w:sz w:val="22"/>
                <w:lang w:val="fr-FR"/>
              </w:rPr>
              <w:t>région Europe</w:t>
            </w:r>
            <w:r w:rsidRPr="00C83DA9">
              <w:rPr>
                <w:rFonts w:ascii="Calibri" w:hAnsi="Calibri" w:cs="Calibri"/>
                <w:sz w:val="22"/>
                <w:lang w:val="fr-FR"/>
              </w:rPr>
              <w:t xml:space="preserve">, le BDT a mis l'accent sur l'innovation méthodologique et l'utilisation des données pour promouvoir le développement des TIC. La </w:t>
            </w:r>
            <w:r w:rsidRPr="00C83DA9">
              <w:rPr>
                <w:rFonts w:ascii="Calibri" w:hAnsi="Calibri" w:cs="Calibri"/>
                <w:b/>
                <w:bCs/>
                <w:sz w:val="22"/>
                <w:lang w:val="fr-FR"/>
              </w:rPr>
              <w:t>Bosnie-Herzégovine</w:t>
            </w:r>
            <w:r w:rsidRPr="00C83DA9">
              <w:rPr>
                <w:rFonts w:ascii="Calibri" w:hAnsi="Calibri" w:cs="Calibri"/>
                <w:sz w:val="22"/>
                <w:lang w:val="fr-FR"/>
              </w:rPr>
              <w:t xml:space="preserve">, le </w:t>
            </w:r>
            <w:r w:rsidRPr="00C83DA9">
              <w:rPr>
                <w:rFonts w:ascii="Calibri" w:hAnsi="Calibri" w:cs="Calibri"/>
                <w:b/>
                <w:bCs/>
                <w:sz w:val="22"/>
                <w:lang w:val="fr-FR"/>
              </w:rPr>
              <w:t>Monténégro</w:t>
            </w:r>
            <w:r w:rsidRPr="00C83DA9">
              <w:rPr>
                <w:rFonts w:ascii="Calibri" w:hAnsi="Calibri" w:cs="Calibri"/>
                <w:sz w:val="22"/>
                <w:lang w:val="fr-FR"/>
              </w:rPr>
              <w:t xml:space="preserve"> et la </w:t>
            </w:r>
            <w:r w:rsidRPr="00C83DA9">
              <w:rPr>
                <w:rFonts w:ascii="Calibri" w:hAnsi="Calibri" w:cs="Calibri"/>
                <w:b/>
                <w:bCs/>
                <w:sz w:val="22"/>
                <w:lang w:val="fr-FR"/>
              </w:rPr>
              <w:t>Serbie</w:t>
            </w:r>
            <w:r w:rsidRPr="00C83DA9">
              <w:rPr>
                <w:rFonts w:ascii="Calibri" w:hAnsi="Calibri" w:cs="Calibri"/>
                <w:sz w:val="22"/>
                <w:lang w:val="fr-FR"/>
              </w:rPr>
              <w:t xml:space="preserve"> ont bénéficié de profils de pays sur le développement numérique, élaborés avec l'appui du BDT, où les données d'accessibilité financière, les évaluations des politiques et les indicateurs nationaux permettent d'obtenir des rapports exhaustifs. Dans le cadre du projet UIT-Groupe EMERG-Réseau EaPeReg, le BDT a formé plus de 100 professionnels à l'élaboration de politiques fondées sur des données factuelles, ce qui renforcé les compétences régionales. En collaboration avec l'Université de Maastricht, le BDT a lancé en 2025 la première Université d'été sur les politiques fondées sur des données factuelles, qui a établi de nouvelles méthodes pour la mesure des technologies émergentes, notamment de l'intelligence artificielle. La même année, le BDT a aidé le </w:t>
            </w:r>
            <w:r w:rsidRPr="00C83DA9">
              <w:rPr>
                <w:rFonts w:ascii="Calibri" w:hAnsi="Calibri" w:cs="Calibri"/>
                <w:b/>
                <w:bCs/>
                <w:sz w:val="22"/>
                <w:lang w:val="fr-FR"/>
              </w:rPr>
              <w:t>Monténégro</w:t>
            </w:r>
            <w:r w:rsidRPr="00C83DA9">
              <w:rPr>
                <w:rFonts w:ascii="Calibri" w:hAnsi="Calibri" w:cs="Calibri"/>
                <w:sz w:val="22"/>
                <w:lang w:val="fr-FR"/>
              </w:rPr>
              <w:t xml:space="preserve"> à organiser l'</w:t>
            </w:r>
            <w:hyperlink r:id="rId170" w:history="1">
              <w:r w:rsidRPr="00C83DA9">
                <w:rPr>
                  <w:rFonts w:ascii="Calibri" w:hAnsi="Calibri" w:cs="Calibri"/>
                  <w:color w:val="0000FF"/>
                  <w:sz w:val="22"/>
                  <w:u w:val="single"/>
                  <w:lang w:val="fr-FR"/>
                </w:rPr>
                <w:t>Accélérateur d'initiatives régionales</w:t>
              </w:r>
            </w:hyperlink>
            <w:r w:rsidRPr="00C83DA9">
              <w:rPr>
                <w:rFonts w:ascii="Calibri" w:hAnsi="Calibri" w:cs="Calibri"/>
                <w:sz w:val="22"/>
                <w:lang w:val="fr-FR"/>
              </w:rPr>
              <w:t xml:space="preserve">, où les statistiques relatives aux TIC ont été utilisées pour élaborer des idées-cadres de projets d'une valeur de 20 millions de dollars pour les </w:t>
            </w:r>
            <w:r w:rsidRPr="00C83DA9">
              <w:rPr>
                <w:rFonts w:ascii="Calibri" w:hAnsi="Calibri" w:cs="Calibri"/>
                <w:b/>
                <w:bCs/>
                <w:sz w:val="22"/>
                <w:lang w:val="fr-FR"/>
              </w:rPr>
              <w:t>Balkans occidentaux</w:t>
            </w:r>
            <w:r w:rsidRPr="00C83DA9">
              <w:rPr>
                <w:rFonts w:ascii="Calibri" w:hAnsi="Calibri" w:cs="Calibri"/>
                <w:sz w:val="22"/>
                <w:lang w:val="fr-FR"/>
              </w:rPr>
              <w:t>, un lien direct étant ainsi établi entre les données et les priorités d'investissement.</w:t>
            </w:r>
          </w:p>
          <w:bookmarkEnd w:id="65"/>
          <w:p w14:paraId="6F8A9013" w14:textId="5E921B80" w:rsidR="00AC69A2" w:rsidRPr="00C83DA9" w:rsidRDefault="00AC69A2" w:rsidP="000B5E7B">
            <w:pPr>
              <w:pStyle w:val="Tabletext"/>
              <w:keepLines/>
              <w:spacing w:before="80" w:after="120"/>
              <w:ind w:right="-85"/>
              <w:rPr>
                <w:sz w:val="22"/>
                <w:lang w:val="fr-FR"/>
              </w:rPr>
            </w:pPr>
            <w:r w:rsidRPr="00C83DA9">
              <w:rPr>
                <w:rFonts w:ascii="Calibri" w:hAnsi="Calibri" w:cs="Calibri"/>
                <w:sz w:val="22"/>
                <w:lang w:val="fr-FR"/>
              </w:rPr>
              <w:t xml:space="preserve">Dans la </w:t>
            </w:r>
            <w:r w:rsidRPr="00C83DA9">
              <w:rPr>
                <w:rFonts w:ascii="Calibri" w:hAnsi="Calibri" w:cs="Calibri"/>
                <w:b/>
                <w:bCs/>
                <w:sz w:val="22"/>
                <w:lang w:val="fr-FR"/>
              </w:rPr>
              <w:t>région de la CEI</w:t>
            </w:r>
            <w:r w:rsidRPr="00C83DA9">
              <w:rPr>
                <w:rFonts w:ascii="Calibri" w:hAnsi="Calibri" w:cs="Calibri"/>
                <w:sz w:val="22"/>
                <w:lang w:val="fr-FR"/>
              </w:rPr>
              <w:t>, le BDT a mis l'accent sur l'intégration des statistiques dans la gouvernance aux échelons national et local. En</w:t>
            </w:r>
            <w:r w:rsidR="00F415A8" w:rsidRPr="00C83DA9">
              <w:rPr>
                <w:rFonts w:ascii="Calibri" w:hAnsi="Calibri" w:cs="Calibri"/>
                <w:sz w:val="22"/>
                <w:lang w:val="fr-FR"/>
              </w:rPr>
              <w:t> </w:t>
            </w:r>
            <w:r w:rsidRPr="00C83DA9">
              <w:rPr>
                <w:rFonts w:ascii="Calibri" w:hAnsi="Calibri" w:cs="Calibri"/>
                <w:sz w:val="22"/>
                <w:lang w:val="fr-FR"/>
              </w:rPr>
              <w:t xml:space="preserve">2024, le </w:t>
            </w:r>
            <w:r w:rsidRPr="00C83DA9">
              <w:rPr>
                <w:rFonts w:ascii="Calibri" w:hAnsi="Calibri" w:cs="Calibri"/>
                <w:b/>
                <w:bCs/>
                <w:sz w:val="22"/>
                <w:lang w:val="fr-FR"/>
              </w:rPr>
              <w:t>Kirghizistan</w:t>
            </w:r>
            <w:r w:rsidRPr="00C83DA9">
              <w:rPr>
                <w:rFonts w:ascii="Calibri" w:hAnsi="Calibri" w:cs="Calibri"/>
                <w:sz w:val="22"/>
                <w:lang w:val="fr-FR"/>
              </w:rPr>
              <w:t xml:space="preserve"> a accueilli un atelier soutenu par le BDT sur le développement axé sur les données, où des fonctionnaires ont été formés à l'application des indicateurs des TIC au processus de planification. En 2025, l'</w:t>
            </w:r>
            <w:r w:rsidRPr="00C83DA9">
              <w:rPr>
                <w:rFonts w:ascii="Calibri" w:hAnsi="Calibri" w:cs="Calibri"/>
                <w:b/>
                <w:bCs/>
                <w:sz w:val="22"/>
                <w:lang w:val="fr-FR"/>
              </w:rPr>
              <w:t>Arménie</w:t>
            </w:r>
            <w:r w:rsidRPr="00C83DA9">
              <w:rPr>
                <w:rFonts w:ascii="Calibri" w:hAnsi="Calibri" w:cs="Calibri"/>
                <w:sz w:val="22"/>
                <w:lang w:val="fr-FR"/>
              </w:rPr>
              <w:t xml:space="preserve"> a accueilli, pour sa part, un atelier sur l'évaluation de la qualité de service, qui a permis de renforcer les capacités de suivi nationales. Le </w:t>
            </w:r>
            <w:r w:rsidRPr="00C83DA9">
              <w:rPr>
                <w:rFonts w:ascii="Calibri" w:hAnsi="Calibri" w:cs="Calibri"/>
                <w:b/>
                <w:bCs/>
                <w:sz w:val="22"/>
                <w:lang w:val="fr-FR"/>
              </w:rPr>
              <w:t>Bélarus</w:t>
            </w:r>
            <w:r w:rsidRPr="00C83DA9">
              <w:rPr>
                <w:rFonts w:ascii="Calibri" w:hAnsi="Calibri" w:cs="Calibri"/>
                <w:sz w:val="22"/>
                <w:lang w:val="fr-FR"/>
              </w:rPr>
              <w:t xml:space="preserve"> a renforcé la formation destinée aux agents municipaux, avec l'appui du BDT, pour que la collecte des données locales soit exploitée dans le cadre des systèmes nationaux, ce qui a amélioré la fiabilité et la précision des données. Un atelier régional sur les statistiques des TIC a permis à plusieurs pays de renforcer leurs capacités de collecte et d'analyse des données, et a amélioré les communications et l'actualisation des méthodes ce qui a permis une meilleure qualité de données pour la prise des décisions. Au niveau local, le concours Batken 4.0, au </w:t>
            </w:r>
            <w:r w:rsidRPr="00C83DA9">
              <w:rPr>
                <w:rFonts w:ascii="Calibri" w:hAnsi="Calibri" w:cs="Calibri"/>
                <w:b/>
                <w:bCs/>
                <w:sz w:val="22"/>
                <w:lang w:val="fr-FR"/>
              </w:rPr>
              <w:t>Kirghizistan</w:t>
            </w:r>
            <w:r w:rsidRPr="00C83DA9">
              <w:rPr>
                <w:rFonts w:ascii="Calibri" w:hAnsi="Calibri" w:cs="Calibri"/>
                <w:sz w:val="22"/>
                <w:lang w:val="fr-FR"/>
              </w:rPr>
              <w:t>, a illustré la possibilité d'utiliser des cadres statistiques robustes à l'appui de solutions numériques innovantes conçues en fonction des besoins locaux, ce qui a montré les liens entre pratique locale et stratégie nationale.</w:t>
            </w:r>
          </w:p>
        </w:tc>
        <w:tc>
          <w:tcPr>
            <w:tcW w:w="2566" w:type="dxa"/>
            <w:tcBorders>
              <w:top w:val="dotted" w:sz="4" w:space="0" w:color="0070C0"/>
              <w:left w:val="dotted" w:sz="4" w:space="0" w:color="0070C0"/>
              <w:bottom w:val="dotted" w:sz="4" w:space="0" w:color="0070C0"/>
              <w:right w:val="dotted" w:sz="4" w:space="0" w:color="0070C0"/>
            </w:tcBorders>
          </w:tcPr>
          <w:p w14:paraId="31C6103B" w14:textId="77777777" w:rsidR="00AC69A2" w:rsidRPr="00C83DA9" w:rsidRDefault="00AC69A2" w:rsidP="001D6175">
            <w:pPr>
              <w:pStyle w:val="Tabletext"/>
              <w:keepNext/>
              <w:spacing w:before="120"/>
              <w:rPr>
                <w:rFonts w:eastAsia="Times New Roman"/>
                <w:b/>
                <w:bCs/>
                <w:color w:val="0070C0"/>
                <w:kern w:val="0"/>
                <w:sz w:val="22"/>
                <w:lang w:val="fr-FR"/>
              </w:rPr>
            </w:pPr>
            <w:bookmarkStart w:id="67" w:name="lt_pId819"/>
            <w:bookmarkStart w:id="68" w:name="_Hlk212545264"/>
            <w:r w:rsidRPr="00C83DA9">
              <w:rPr>
                <w:rFonts w:eastAsia="Times New Roman"/>
                <w:b/>
                <w:bCs/>
                <w:color w:val="0070C0"/>
                <w:kern w:val="0"/>
                <w:sz w:val="22"/>
                <w:lang w:val="fr-FR"/>
              </w:rPr>
              <w:lastRenderedPageBreak/>
              <w:t>Réalisations marquantes</w:t>
            </w:r>
            <w:bookmarkEnd w:id="67"/>
          </w:p>
          <w:p w14:paraId="16696D7F" w14:textId="77777777" w:rsidR="00AC69A2" w:rsidRPr="00C83DA9" w:rsidRDefault="00AC69A2" w:rsidP="001D6175">
            <w:pPr>
              <w:pStyle w:val="Tabletext"/>
              <w:keepNext/>
              <w:spacing w:before="120"/>
              <w:rPr>
                <w:rFonts w:eastAsia="Times New Roman"/>
                <w:b/>
                <w:bCs/>
                <w:color w:val="0070C0"/>
                <w:kern w:val="0"/>
                <w:sz w:val="22"/>
                <w:lang w:val="fr-FR"/>
              </w:rPr>
            </w:pPr>
            <w:bookmarkStart w:id="69" w:name="lt_pId820"/>
            <w:r w:rsidRPr="00C83DA9">
              <w:rPr>
                <w:rFonts w:eastAsia="Times New Roman"/>
                <w:b/>
                <w:bCs/>
                <w:color w:val="0070C0"/>
                <w:kern w:val="0"/>
                <w:sz w:val="22"/>
                <w:lang w:val="fr-FR"/>
              </w:rPr>
              <w:t>Série de publications "Mesurer le développement du numérique":</w:t>
            </w:r>
            <w:bookmarkEnd w:id="69"/>
          </w:p>
          <w:p w14:paraId="659A4E3E" w14:textId="77777777" w:rsidR="00AC69A2" w:rsidRPr="00C83DA9" w:rsidRDefault="00AC69A2"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Publication d'une version actualisée de l'Indice de développement des TIC, selon une méthode élaborée dans le cadre des Groupes EGTI et EGH en consultation avec les États Membres.</w:t>
            </w:r>
          </w:p>
          <w:p w14:paraId="6BB887B3" w14:textId="77777777" w:rsidR="00AC69A2" w:rsidRPr="00C83DA9" w:rsidRDefault="00AC69A2" w:rsidP="00202BFA">
            <w:pPr>
              <w:pStyle w:val="enumlev1"/>
              <w:tabs>
                <w:tab w:val="clear" w:pos="1134"/>
              </w:tabs>
              <w:spacing w:before="40" w:after="40"/>
              <w:ind w:left="386" w:right="-102" w:hanging="386"/>
              <w:rPr>
                <w:color w:val="1F497D" w:themeColor="text2"/>
                <w:sz w:val="22"/>
                <w:lang w:val="fr-FR"/>
              </w:rPr>
            </w:pPr>
            <w:bookmarkStart w:id="70" w:name="lt_pId822"/>
            <w:r w:rsidRPr="00C83DA9">
              <w:rPr>
                <w:color w:val="1F497D" w:themeColor="text2"/>
                <w:sz w:val="22"/>
                <w:lang w:val="fr-FR"/>
              </w:rPr>
              <w:t>•</w:t>
            </w:r>
            <w:r w:rsidRPr="00C83DA9">
              <w:rPr>
                <w:color w:val="1F497D" w:themeColor="text2"/>
                <w:sz w:val="22"/>
                <w:lang w:val="fr-FR"/>
              </w:rPr>
              <w:tab/>
              <w:t xml:space="preserve">Élargissement de la </w:t>
            </w:r>
            <w:r w:rsidRPr="00C83DA9">
              <w:rPr>
                <w:rFonts w:eastAsiaTheme="minorEastAsia"/>
                <w:color w:val="1F497D" w:themeColor="text2"/>
                <w:sz w:val="22"/>
                <w:lang w:val="fr-FR"/>
              </w:rPr>
              <w:t>publication</w:t>
            </w:r>
            <w:r w:rsidRPr="00C83DA9">
              <w:rPr>
                <w:color w:val="1F497D" w:themeColor="text2"/>
                <w:sz w:val="22"/>
                <w:lang w:val="fr-FR"/>
              </w:rPr>
              <w:t xml:space="preserve"> </w:t>
            </w:r>
            <w:r w:rsidRPr="00C83DA9">
              <w:rPr>
                <w:i/>
                <w:iCs/>
                <w:color w:val="1F497D" w:themeColor="text2"/>
                <w:sz w:val="22"/>
                <w:lang w:val="fr-FR"/>
              </w:rPr>
              <w:t>Faits et chiffres</w:t>
            </w:r>
            <w:r w:rsidRPr="00C83DA9">
              <w:rPr>
                <w:color w:val="1F497D" w:themeColor="text2"/>
                <w:sz w:val="22"/>
                <w:lang w:val="fr-FR"/>
              </w:rPr>
              <w:t xml:space="preserve"> par des éditions sur les PMA, les PIED et les PDSL</w:t>
            </w:r>
            <w:bookmarkEnd w:id="70"/>
            <w:r w:rsidRPr="00C83DA9">
              <w:rPr>
                <w:color w:val="1F497D" w:themeColor="text2"/>
                <w:sz w:val="22"/>
                <w:lang w:val="fr-FR"/>
              </w:rPr>
              <w:t>.</w:t>
            </w:r>
          </w:p>
          <w:p w14:paraId="213ABC70" w14:textId="77777777" w:rsidR="00AC69A2" w:rsidRPr="00C83DA9" w:rsidRDefault="00AC69A2" w:rsidP="00202BFA">
            <w:pPr>
              <w:pStyle w:val="enumlev1"/>
              <w:tabs>
                <w:tab w:val="clear" w:pos="1134"/>
              </w:tabs>
              <w:spacing w:before="40" w:after="40"/>
              <w:ind w:left="386" w:right="-102" w:hanging="386"/>
              <w:rPr>
                <w:color w:val="1F497D" w:themeColor="text2"/>
                <w:sz w:val="22"/>
                <w:lang w:val="fr-FR"/>
              </w:rPr>
            </w:pPr>
            <w:bookmarkStart w:id="71" w:name="lt_pId823"/>
            <w:r w:rsidRPr="00C83DA9">
              <w:rPr>
                <w:color w:val="1F497D" w:themeColor="text2"/>
                <w:sz w:val="22"/>
                <w:lang w:val="fr-FR"/>
              </w:rPr>
              <w:t>•</w:t>
            </w:r>
            <w:r w:rsidRPr="00C83DA9">
              <w:rPr>
                <w:color w:val="1F497D" w:themeColor="text2"/>
                <w:sz w:val="22"/>
                <w:lang w:val="fr-FR"/>
              </w:rPr>
              <w:tab/>
            </w:r>
            <w:r w:rsidRPr="00C83DA9">
              <w:rPr>
                <w:rFonts w:eastAsiaTheme="minorEastAsia"/>
                <w:color w:val="1F497D" w:themeColor="text2"/>
                <w:sz w:val="22"/>
                <w:lang w:val="fr-FR"/>
              </w:rPr>
              <w:t>Publication</w:t>
            </w:r>
            <w:r w:rsidRPr="00C83DA9">
              <w:rPr>
                <w:color w:val="1F497D" w:themeColor="text2"/>
                <w:sz w:val="22"/>
                <w:lang w:val="fr-FR"/>
              </w:rPr>
              <w:t xml:space="preserve"> d'une série en six volumes intitulée "Niveau de développement du numérique et tendances dans ce </w:t>
            </w:r>
            <w:r w:rsidRPr="00C83DA9">
              <w:rPr>
                <w:color w:val="1F497D" w:themeColor="text2"/>
                <w:sz w:val="22"/>
                <w:lang w:val="fr-FR"/>
              </w:rPr>
              <w:lastRenderedPageBreak/>
              <w:t>domaine" pour les réunions préparatoires régionales en vue de la CMDT-25</w:t>
            </w:r>
            <w:bookmarkEnd w:id="71"/>
            <w:r w:rsidRPr="00C83DA9">
              <w:rPr>
                <w:color w:val="1F497D" w:themeColor="text2"/>
                <w:sz w:val="22"/>
                <w:lang w:val="fr-FR"/>
              </w:rPr>
              <w:t>.</w:t>
            </w:r>
          </w:p>
          <w:p w14:paraId="655BE96E" w14:textId="77777777" w:rsidR="00AC69A2" w:rsidRPr="00C83DA9" w:rsidRDefault="00AC69A2" w:rsidP="0067293A">
            <w:pPr>
              <w:pStyle w:val="Tabletext"/>
              <w:keepNext/>
              <w:spacing w:before="120"/>
              <w:rPr>
                <w:rFonts w:eastAsia="Times New Roman"/>
                <w:b/>
                <w:bCs/>
                <w:color w:val="0070C0"/>
                <w:kern w:val="0"/>
                <w:sz w:val="22"/>
                <w:lang w:val="fr-FR"/>
              </w:rPr>
            </w:pPr>
            <w:bookmarkStart w:id="72" w:name="lt_pId824"/>
            <w:r w:rsidRPr="00C83DA9">
              <w:rPr>
                <w:rFonts w:eastAsia="Times New Roman"/>
                <w:b/>
                <w:bCs/>
                <w:color w:val="0070C0"/>
                <w:kern w:val="0"/>
                <w:sz w:val="22"/>
                <w:lang w:val="fr-FR"/>
              </w:rPr>
              <w:t>Présence numérique et outils de productivité:</w:t>
            </w:r>
            <w:bookmarkEnd w:id="72"/>
          </w:p>
          <w:p w14:paraId="12170B83" w14:textId="77777777" w:rsidR="00AC69A2" w:rsidRPr="00C83DA9" w:rsidRDefault="00AC69A2" w:rsidP="00202BFA">
            <w:pPr>
              <w:pStyle w:val="enumlev1"/>
              <w:tabs>
                <w:tab w:val="clear" w:pos="1134"/>
              </w:tabs>
              <w:spacing w:before="40" w:after="40"/>
              <w:ind w:left="386" w:right="-102" w:hanging="386"/>
              <w:rPr>
                <w:rFonts w:ascii="Calibri" w:hAnsi="Calibri" w:cs="Calibri"/>
                <w:color w:val="1F497D" w:themeColor="text2"/>
                <w:sz w:val="22"/>
                <w:lang w:val="fr-FR"/>
              </w:rPr>
            </w:pPr>
            <w:r w:rsidRPr="00C83DA9">
              <w:rPr>
                <w:color w:val="1F497D" w:themeColor="text2"/>
                <w:sz w:val="22"/>
                <w:lang w:val="fr-FR"/>
              </w:rPr>
              <w:t>•</w:t>
            </w:r>
            <w:r w:rsidRPr="00C83DA9">
              <w:rPr>
                <w:color w:val="1F497D" w:themeColor="text2"/>
                <w:sz w:val="22"/>
                <w:lang w:val="fr-FR"/>
              </w:rPr>
              <w:tab/>
            </w:r>
            <w:r w:rsidRPr="00C83DA9">
              <w:rPr>
                <w:rFonts w:ascii="Calibri" w:hAnsi="Calibri" w:cs="Calibri"/>
                <w:color w:val="1F497D" w:themeColor="text2"/>
                <w:sz w:val="22"/>
                <w:lang w:val="fr-FR"/>
              </w:rPr>
              <w:t xml:space="preserve">Le Centre de données de l'UIT a été régulièrement </w:t>
            </w:r>
            <w:r w:rsidRPr="00C83DA9">
              <w:rPr>
                <w:color w:val="1F497D" w:themeColor="text2"/>
                <w:sz w:val="22"/>
                <w:lang w:val="fr-FR"/>
              </w:rPr>
              <w:t>amélioré</w:t>
            </w:r>
            <w:r w:rsidRPr="00C83DA9">
              <w:rPr>
                <w:rFonts w:ascii="Calibri" w:hAnsi="Calibri" w:cs="Calibri"/>
                <w:color w:val="1F497D" w:themeColor="text2"/>
                <w:sz w:val="22"/>
                <w:lang w:val="fr-FR"/>
              </w:rPr>
              <w:t xml:space="preserve"> et enrichi en y ajoutant des données, des tableaux de bord thématiques et des outils de visualisation et de consultation.</w:t>
            </w:r>
          </w:p>
          <w:p w14:paraId="19215F4F" w14:textId="77777777" w:rsidR="00AC69A2" w:rsidRPr="00C83DA9" w:rsidRDefault="00AC69A2" w:rsidP="0067293A">
            <w:pPr>
              <w:pStyle w:val="Tabletext"/>
              <w:keepNext/>
              <w:spacing w:before="120"/>
              <w:rPr>
                <w:rFonts w:eastAsia="Times New Roman"/>
                <w:b/>
                <w:bCs/>
                <w:color w:val="0070C0"/>
                <w:kern w:val="0"/>
                <w:sz w:val="22"/>
                <w:lang w:val="fr-FR"/>
              </w:rPr>
            </w:pPr>
            <w:bookmarkStart w:id="73" w:name="lt_pId826"/>
            <w:r w:rsidRPr="00C83DA9">
              <w:rPr>
                <w:rFonts w:eastAsia="Times New Roman"/>
                <w:b/>
                <w:bCs/>
                <w:color w:val="0070C0"/>
                <w:kern w:val="0"/>
                <w:sz w:val="22"/>
                <w:lang w:val="fr-FR"/>
              </w:rPr>
              <w:t>Collecte de données et production de statistiques:</w:t>
            </w:r>
            <w:bookmarkEnd w:id="73"/>
            <w:r w:rsidRPr="00C83DA9">
              <w:rPr>
                <w:rFonts w:eastAsia="Times New Roman"/>
                <w:b/>
                <w:bCs/>
                <w:color w:val="0070C0"/>
                <w:kern w:val="0"/>
                <w:sz w:val="22"/>
                <w:lang w:val="fr-FR"/>
              </w:rPr>
              <w:t xml:space="preserve"> </w:t>
            </w:r>
          </w:p>
          <w:p w14:paraId="30520E73" w14:textId="54A0DA43" w:rsidR="00AC69A2" w:rsidRPr="00C83DA9" w:rsidRDefault="00AC69A2" w:rsidP="00202BFA">
            <w:pPr>
              <w:pStyle w:val="enumlev1"/>
              <w:tabs>
                <w:tab w:val="clear" w:pos="1134"/>
              </w:tabs>
              <w:spacing w:before="40" w:after="40"/>
              <w:ind w:left="386" w:right="-102" w:hanging="386"/>
              <w:rPr>
                <w:rFonts w:ascii="Calibri" w:hAnsi="Calibri" w:cs="Calibri"/>
                <w:color w:val="1F497D" w:themeColor="text2"/>
                <w:sz w:val="22"/>
                <w:lang w:val="fr-FR"/>
              </w:rPr>
            </w:pPr>
            <w:bookmarkStart w:id="74" w:name="lt_pId827"/>
            <w:r w:rsidRPr="00C83DA9">
              <w:rPr>
                <w:rFonts w:ascii="Calibri" w:hAnsi="Calibri" w:cs="Calibri"/>
                <w:color w:val="1F497D" w:themeColor="text2"/>
                <w:sz w:val="22"/>
                <w:lang w:val="fr-FR"/>
              </w:rPr>
              <w:t>•</w:t>
            </w:r>
            <w:r w:rsidRPr="00C83DA9">
              <w:rPr>
                <w:rFonts w:ascii="Calibri" w:hAnsi="Calibri" w:cs="Calibri"/>
                <w:color w:val="1F497D" w:themeColor="text2"/>
                <w:sz w:val="22"/>
                <w:lang w:val="fr-FR"/>
              </w:rPr>
              <w:tab/>
              <w:t>Les séries de données sur le prix des TIC a été développée pour tenir compte de 218</w:t>
            </w:r>
            <w:r w:rsidR="00262321" w:rsidRPr="00C83DA9">
              <w:rPr>
                <w:rFonts w:ascii="Calibri" w:hAnsi="Calibri" w:cs="Calibri"/>
                <w:color w:val="1F497D" w:themeColor="text2"/>
                <w:sz w:val="22"/>
                <w:lang w:val="fr-FR"/>
              </w:rPr>
              <w:t> </w:t>
            </w:r>
            <w:r w:rsidRPr="00C83DA9">
              <w:rPr>
                <w:rFonts w:ascii="Calibri" w:hAnsi="Calibri" w:cs="Calibri"/>
                <w:color w:val="1F497D" w:themeColor="text2"/>
                <w:sz w:val="22"/>
                <w:lang w:val="fr-FR"/>
              </w:rPr>
              <w:t>pays et 5 paniers de services</w:t>
            </w:r>
            <w:bookmarkEnd w:id="74"/>
            <w:r w:rsidRPr="00C83DA9">
              <w:rPr>
                <w:rFonts w:ascii="Calibri" w:hAnsi="Calibri" w:cs="Calibri"/>
                <w:color w:val="1F497D" w:themeColor="text2"/>
                <w:sz w:val="22"/>
                <w:lang w:val="fr-FR"/>
              </w:rPr>
              <w:t>.</w:t>
            </w:r>
          </w:p>
          <w:p w14:paraId="570126D2" w14:textId="77777777" w:rsidR="00AC69A2" w:rsidRPr="00C83DA9" w:rsidRDefault="00AC69A2" w:rsidP="00202BFA">
            <w:pPr>
              <w:pStyle w:val="enumlev1"/>
              <w:tabs>
                <w:tab w:val="clear" w:pos="1134"/>
              </w:tabs>
              <w:spacing w:before="40" w:after="40"/>
              <w:ind w:left="386" w:right="-102" w:hanging="386"/>
              <w:rPr>
                <w:rFonts w:cstheme="minorBidi"/>
                <w:b/>
                <w:color w:val="1F497D" w:themeColor="text2"/>
                <w:sz w:val="22"/>
                <w:lang w:val="fr-FR"/>
              </w:rPr>
            </w:pPr>
            <w:bookmarkStart w:id="75" w:name="lt_pId828"/>
            <w:r w:rsidRPr="00C83DA9">
              <w:rPr>
                <w:rFonts w:ascii="Calibri" w:hAnsi="Calibri" w:cs="Calibri"/>
                <w:color w:val="1F497D" w:themeColor="text2"/>
                <w:sz w:val="22"/>
                <w:lang w:val="fr-FR"/>
              </w:rPr>
              <w:t>•</w:t>
            </w:r>
            <w:r w:rsidRPr="00C83DA9">
              <w:rPr>
                <w:rFonts w:ascii="Calibri" w:hAnsi="Calibri" w:cs="Calibri"/>
                <w:color w:val="1F497D" w:themeColor="text2"/>
                <w:sz w:val="22"/>
                <w:lang w:val="fr-FR"/>
              </w:rPr>
              <w:tab/>
              <w:t>Le Centre de données de l'UIT comporte plus de 660 000 éléments de données (T1 2025)</w:t>
            </w:r>
            <w:bookmarkEnd w:id="75"/>
            <w:r w:rsidRPr="00C83DA9">
              <w:rPr>
                <w:rFonts w:ascii="Calibri" w:hAnsi="Calibri" w:cs="Calibri"/>
                <w:color w:val="1F497D" w:themeColor="text2"/>
                <w:sz w:val="22"/>
                <w:lang w:val="fr-FR"/>
              </w:rPr>
              <w:t>.</w:t>
            </w:r>
          </w:p>
          <w:p w14:paraId="623B2658" w14:textId="77777777" w:rsidR="00AC69A2" w:rsidRPr="00C83DA9" w:rsidRDefault="00AC69A2" w:rsidP="0067293A">
            <w:pPr>
              <w:pStyle w:val="Tabletext"/>
              <w:keepNext/>
              <w:spacing w:before="120"/>
              <w:rPr>
                <w:rFonts w:eastAsia="Times New Roman"/>
                <w:b/>
                <w:bCs/>
                <w:color w:val="0070C0"/>
                <w:kern w:val="0"/>
                <w:sz w:val="22"/>
                <w:lang w:val="fr-FR"/>
              </w:rPr>
            </w:pPr>
            <w:bookmarkStart w:id="76" w:name="lt_pId829"/>
            <w:r w:rsidRPr="00C83DA9">
              <w:rPr>
                <w:rFonts w:eastAsia="Times New Roman"/>
                <w:b/>
                <w:bCs/>
                <w:color w:val="0070C0"/>
                <w:kern w:val="0"/>
                <w:sz w:val="22"/>
                <w:lang w:val="fr-FR"/>
              </w:rPr>
              <w:t>Science des données au service des statistiques officielles:</w:t>
            </w:r>
            <w:bookmarkEnd w:id="76"/>
          </w:p>
          <w:p w14:paraId="123AF8EE" w14:textId="77777777" w:rsidR="00AC69A2" w:rsidRPr="00C83DA9" w:rsidRDefault="00AC69A2" w:rsidP="00202BFA">
            <w:pPr>
              <w:pStyle w:val="enumlev1"/>
              <w:tabs>
                <w:tab w:val="clear" w:pos="1134"/>
              </w:tabs>
              <w:spacing w:before="40" w:after="40"/>
              <w:ind w:left="386" w:right="-102" w:hanging="386"/>
              <w:rPr>
                <w:rFonts w:ascii="Calibri" w:hAnsi="Calibri" w:cs="Calibri"/>
                <w:color w:val="1F497D" w:themeColor="text2"/>
                <w:sz w:val="22"/>
                <w:lang w:val="fr-FR"/>
              </w:rPr>
            </w:pPr>
            <w:bookmarkStart w:id="77" w:name="lt_pId830"/>
            <w:r w:rsidRPr="00C83DA9">
              <w:rPr>
                <w:rFonts w:ascii="Calibri" w:hAnsi="Calibri" w:cs="Calibri"/>
                <w:color w:val="1F497D" w:themeColor="text2"/>
                <w:sz w:val="22"/>
                <w:lang w:val="fr-FR"/>
              </w:rPr>
              <w:t>•</w:t>
            </w:r>
            <w:r w:rsidRPr="00C83DA9">
              <w:rPr>
                <w:rFonts w:ascii="Calibri" w:hAnsi="Calibri" w:cs="Calibri"/>
                <w:color w:val="1F497D" w:themeColor="text2"/>
                <w:sz w:val="22"/>
                <w:lang w:val="fr-FR"/>
              </w:rPr>
              <w:tab/>
              <w:t xml:space="preserve">Élaboration de </w:t>
            </w:r>
            <w:r w:rsidRPr="00C83DA9">
              <w:rPr>
                <w:rFonts w:eastAsiaTheme="minorEastAsia" w:cstheme="minorBidi"/>
                <w:color w:val="1F497D" w:themeColor="text2"/>
                <w:sz w:val="22"/>
                <w:lang w:val="fr-FR"/>
              </w:rPr>
              <w:t>méthodes</w:t>
            </w:r>
            <w:r w:rsidRPr="00C83DA9">
              <w:rPr>
                <w:rFonts w:ascii="Calibri" w:hAnsi="Calibri" w:cs="Calibri"/>
                <w:color w:val="1F497D" w:themeColor="text2"/>
                <w:sz w:val="22"/>
                <w:lang w:val="fr-FR"/>
              </w:rPr>
              <w:t xml:space="preserve"> en qualité de chef de file de </w:t>
            </w:r>
            <w:r w:rsidRPr="00C83DA9">
              <w:rPr>
                <w:rFonts w:ascii="Calibri" w:hAnsi="Calibri" w:cs="Calibri"/>
                <w:color w:val="1F497D" w:themeColor="text2"/>
                <w:sz w:val="22"/>
                <w:lang w:val="fr-FR"/>
              </w:rPr>
              <w:lastRenderedPageBreak/>
              <w:t>l'Équipe spéciale du Comité d'experts des Nations Unies en mégadonnées et science des données pour les données de téléphonie mobile</w:t>
            </w:r>
            <w:bookmarkEnd w:id="77"/>
            <w:r w:rsidRPr="00C83DA9">
              <w:rPr>
                <w:rFonts w:ascii="Calibri" w:hAnsi="Calibri" w:cs="Calibri"/>
                <w:color w:val="1F497D" w:themeColor="text2"/>
                <w:sz w:val="22"/>
                <w:lang w:val="fr-FR"/>
              </w:rPr>
              <w:t>.</w:t>
            </w:r>
          </w:p>
          <w:p w14:paraId="7B6C78B5" w14:textId="77777777" w:rsidR="00AC69A2" w:rsidRPr="00C83DA9" w:rsidRDefault="00AC69A2" w:rsidP="00202BFA">
            <w:pPr>
              <w:pStyle w:val="enumlev1"/>
              <w:tabs>
                <w:tab w:val="clear" w:pos="1134"/>
              </w:tabs>
              <w:spacing w:before="40" w:after="40"/>
              <w:ind w:left="386" w:right="-102" w:hanging="386"/>
              <w:rPr>
                <w:rFonts w:ascii="Calibri" w:hAnsi="Calibri" w:cs="Calibri"/>
                <w:color w:val="1F497D" w:themeColor="text2"/>
                <w:sz w:val="22"/>
                <w:lang w:val="fr-FR"/>
              </w:rPr>
            </w:pPr>
            <w:bookmarkStart w:id="78" w:name="lt_pId831"/>
            <w:r w:rsidRPr="00C83DA9">
              <w:rPr>
                <w:rFonts w:ascii="Calibri" w:hAnsi="Calibri" w:cs="Calibri"/>
                <w:color w:val="1F497D" w:themeColor="text2"/>
                <w:sz w:val="22"/>
                <w:lang w:val="fr-FR"/>
              </w:rPr>
              <w:t>•</w:t>
            </w:r>
            <w:r w:rsidRPr="00C83DA9">
              <w:rPr>
                <w:rFonts w:ascii="Calibri" w:hAnsi="Calibri" w:cs="Calibri"/>
                <w:color w:val="1F497D" w:themeColor="text2"/>
                <w:sz w:val="22"/>
                <w:lang w:val="fr-FR"/>
              </w:rPr>
              <w:tab/>
            </w:r>
            <w:r w:rsidRPr="00C83DA9">
              <w:rPr>
                <w:rFonts w:eastAsiaTheme="minorEastAsia" w:cstheme="minorBidi"/>
                <w:color w:val="1F497D" w:themeColor="text2"/>
                <w:sz w:val="22"/>
                <w:lang w:val="fr-FR"/>
              </w:rPr>
              <w:t>Lancement</w:t>
            </w:r>
            <w:r w:rsidRPr="00C83DA9">
              <w:rPr>
                <w:rFonts w:ascii="Calibri" w:hAnsi="Calibri" w:cs="Calibri"/>
                <w:color w:val="1F497D" w:themeColor="text2"/>
                <w:sz w:val="22"/>
                <w:lang w:val="fr-FR"/>
              </w:rPr>
              <w:t xml:space="preserve"> du projet sur les mégadonnées de la téléphonie mobile (2024) </w:t>
            </w:r>
            <w:bookmarkEnd w:id="78"/>
            <w:r w:rsidRPr="00C83DA9">
              <w:rPr>
                <w:rFonts w:ascii="Calibri" w:hAnsi="Calibri" w:cs="Calibri"/>
                <w:color w:val="1F497D" w:themeColor="text2"/>
                <w:sz w:val="22"/>
                <w:lang w:val="fr-FR"/>
              </w:rPr>
              <w:t>avec la Banque mondiale.</w:t>
            </w:r>
          </w:p>
          <w:p w14:paraId="0B5FA514" w14:textId="07461CB6" w:rsidR="00AC69A2" w:rsidRPr="00C83DA9" w:rsidRDefault="00AC69A2" w:rsidP="00202BFA">
            <w:pPr>
              <w:pStyle w:val="enumlev1"/>
              <w:tabs>
                <w:tab w:val="clear" w:pos="1134"/>
              </w:tabs>
              <w:spacing w:before="40" w:after="40"/>
              <w:ind w:left="386" w:right="-102" w:hanging="386"/>
              <w:rPr>
                <w:rFonts w:cstheme="minorBidi"/>
                <w:b/>
                <w:bCs/>
                <w:color w:val="1F497D" w:themeColor="text2"/>
                <w:sz w:val="22"/>
                <w:lang w:val="fr-FR"/>
              </w:rPr>
            </w:pPr>
            <w:bookmarkStart w:id="79" w:name="lt_pId832"/>
            <w:r w:rsidRPr="00C83DA9">
              <w:rPr>
                <w:rFonts w:ascii="Calibri" w:hAnsi="Calibri" w:cs="Calibri"/>
                <w:color w:val="1F497D" w:themeColor="text2"/>
                <w:sz w:val="22"/>
                <w:lang w:val="fr-FR"/>
              </w:rPr>
              <w:t>•</w:t>
            </w:r>
            <w:r w:rsidRPr="00C83DA9">
              <w:rPr>
                <w:rFonts w:ascii="Calibri" w:hAnsi="Calibri" w:cs="Calibri"/>
                <w:color w:val="1F497D" w:themeColor="text2"/>
                <w:sz w:val="22"/>
                <w:lang w:val="fr-FR"/>
              </w:rPr>
              <w:tab/>
              <w:t>Mise à l'essai dans 18</w:t>
            </w:r>
            <w:r w:rsidR="00F415A8" w:rsidRPr="00C83DA9">
              <w:rPr>
                <w:rFonts w:ascii="Calibri" w:hAnsi="Calibri" w:cs="Calibri"/>
                <w:color w:val="1F497D" w:themeColor="text2"/>
                <w:sz w:val="22"/>
                <w:lang w:val="fr-FR"/>
              </w:rPr>
              <w:t> </w:t>
            </w:r>
            <w:r w:rsidRPr="00C83DA9">
              <w:rPr>
                <w:rFonts w:ascii="Calibri" w:hAnsi="Calibri" w:cs="Calibri"/>
                <w:color w:val="1F497D" w:themeColor="text2"/>
                <w:sz w:val="22"/>
                <w:lang w:val="fr-FR"/>
              </w:rPr>
              <w:t xml:space="preserve">pays à l'aide </w:t>
            </w:r>
            <w:r w:rsidRPr="00C83DA9">
              <w:rPr>
                <w:rFonts w:eastAsiaTheme="minorEastAsia" w:cstheme="minorBidi"/>
                <w:color w:val="1F497D" w:themeColor="text2"/>
                <w:sz w:val="22"/>
                <w:lang w:val="fr-FR"/>
              </w:rPr>
              <w:t>d'ateliers</w:t>
            </w:r>
            <w:r w:rsidRPr="00C83DA9">
              <w:rPr>
                <w:rFonts w:ascii="Calibri" w:hAnsi="Calibri" w:cs="Calibri"/>
                <w:color w:val="1F497D" w:themeColor="text2"/>
                <w:sz w:val="22"/>
                <w:lang w:val="fr-FR"/>
              </w:rPr>
              <w:t xml:space="preserve"> de formation régionaux</w:t>
            </w:r>
            <w:bookmarkEnd w:id="79"/>
            <w:r w:rsidRPr="00C83DA9">
              <w:rPr>
                <w:rFonts w:ascii="Calibri" w:hAnsi="Calibri" w:cs="Calibri"/>
                <w:color w:val="1F497D" w:themeColor="text2"/>
                <w:sz w:val="22"/>
                <w:lang w:val="fr-FR"/>
              </w:rPr>
              <w:t>.</w:t>
            </w:r>
          </w:p>
          <w:p w14:paraId="6F4CA457" w14:textId="53DD1C97" w:rsidR="00AC69A2" w:rsidRPr="00C83DA9" w:rsidRDefault="00AC69A2" w:rsidP="0067293A">
            <w:pPr>
              <w:pStyle w:val="Tabletext"/>
              <w:keepNext/>
              <w:spacing w:before="120"/>
              <w:rPr>
                <w:rFonts w:eastAsia="Times New Roman"/>
                <w:b/>
                <w:bCs/>
                <w:color w:val="0070C0"/>
                <w:kern w:val="0"/>
                <w:sz w:val="22"/>
                <w:lang w:val="fr-FR"/>
              </w:rPr>
            </w:pPr>
            <w:bookmarkStart w:id="80" w:name="lt_pId833"/>
            <w:r w:rsidRPr="00C83DA9">
              <w:rPr>
                <w:rFonts w:eastAsia="Times New Roman"/>
                <w:b/>
                <w:bCs/>
                <w:color w:val="0070C0"/>
                <w:kern w:val="0"/>
                <w:sz w:val="22"/>
                <w:lang w:val="fr-FR"/>
              </w:rPr>
              <w:t>Développement des capacités et normes statistiques (Groupes</w:t>
            </w:r>
            <w:r w:rsidR="00056577">
              <w:rPr>
                <w:rFonts w:eastAsia="Times New Roman"/>
                <w:b/>
                <w:bCs/>
                <w:color w:val="0070C0"/>
                <w:kern w:val="0"/>
                <w:sz w:val="22"/>
                <w:lang w:val="fr-FR"/>
              </w:rPr>
              <w:t> </w:t>
            </w:r>
            <w:r w:rsidRPr="00C83DA9">
              <w:rPr>
                <w:rFonts w:eastAsia="Times New Roman"/>
                <w:b/>
                <w:bCs/>
                <w:color w:val="0070C0"/>
                <w:kern w:val="0"/>
                <w:sz w:val="22"/>
                <w:lang w:val="fr-FR"/>
              </w:rPr>
              <w:t>EGTI et EGH):</w:t>
            </w:r>
            <w:bookmarkEnd w:id="80"/>
          </w:p>
          <w:p w14:paraId="6A4980A9" w14:textId="7084589A" w:rsidR="00AC69A2" w:rsidRPr="00C83DA9" w:rsidRDefault="00AC69A2" w:rsidP="00202BFA">
            <w:pPr>
              <w:pStyle w:val="enumlev1"/>
              <w:tabs>
                <w:tab w:val="clear" w:pos="1134"/>
              </w:tabs>
              <w:spacing w:before="40" w:after="40"/>
              <w:ind w:left="386" w:right="-102" w:hanging="386"/>
              <w:rPr>
                <w:rFonts w:eastAsia="Times New Roman"/>
                <w:color w:val="1F497D"/>
                <w:kern w:val="0"/>
                <w:sz w:val="22"/>
                <w:lang w:val="fr-FR"/>
              </w:rPr>
            </w:pPr>
            <w:r w:rsidRPr="00C83DA9">
              <w:rPr>
                <w:rFonts w:eastAsia="Times New Roman"/>
                <w:color w:val="1F497D"/>
                <w:kern w:val="0"/>
                <w:sz w:val="22"/>
                <w:lang w:val="fr-FR"/>
              </w:rPr>
              <w:t>•</w:t>
            </w:r>
            <w:r w:rsidRPr="00C83DA9">
              <w:rPr>
                <w:rFonts w:eastAsia="Times New Roman"/>
                <w:color w:val="1F497D"/>
                <w:kern w:val="0"/>
                <w:sz w:val="22"/>
                <w:lang w:val="fr-FR"/>
              </w:rPr>
              <w:tab/>
            </w:r>
            <w:r w:rsidRPr="00C83DA9">
              <w:rPr>
                <w:rFonts w:eastAsiaTheme="minorEastAsia" w:cstheme="minorBidi"/>
                <w:color w:val="1F497D" w:themeColor="text2"/>
                <w:sz w:val="22"/>
                <w:lang w:val="fr-FR"/>
              </w:rPr>
              <w:t>Organisation</w:t>
            </w:r>
            <w:r w:rsidRPr="00C83DA9">
              <w:rPr>
                <w:rFonts w:eastAsia="Times New Roman"/>
                <w:color w:val="1F497D"/>
                <w:kern w:val="0"/>
                <w:sz w:val="22"/>
                <w:lang w:val="fr-FR"/>
              </w:rPr>
              <w:t xml:space="preserve"> de 8</w:t>
            </w:r>
            <w:r w:rsidR="00F415A8" w:rsidRPr="00C83DA9">
              <w:rPr>
                <w:rFonts w:eastAsia="Times New Roman"/>
                <w:color w:val="1F497D"/>
                <w:kern w:val="0"/>
                <w:sz w:val="22"/>
                <w:lang w:val="fr-FR"/>
              </w:rPr>
              <w:t> </w:t>
            </w:r>
            <w:r w:rsidRPr="00C83DA9">
              <w:rPr>
                <w:rFonts w:eastAsia="Times New Roman"/>
                <w:color w:val="1F497D"/>
                <w:kern w:val="0"/>
                <w:sz w:val="22"/>
                <w:lang w:val="fr-FR"/>
              </w:rPr>
              <w:t>ateliers régionaux.</w:t>
            </w:r>
          </w:p>
          <w:p w14:paraId="20D9B255" w14:textId="77777777" w:rsidR="00AC69A2" w:rsidRPr="00C83DA9" w:rsidRDefault="00AC69A2" w:rsidP="00202BFA">
            <w:pPr>
              <w:pStyle w:val="enumlev1"/>
              <w:tabs>
                <w:tab w:val="clear" w:pos="1134"/>
              </w:tabs>
              <w:spacing w:before="40" w:after="40"/>
              <w:ind w:left="386" w:right="-102" w:hanging="386"/>
              <w:rPr>
                <w:rFonts w:eastAsia="Times New Roman"/>
                <w:color w:val="1F497D"/>
                <w:kern w:val="0"/>
                <w:sz w:val="22"/>
                <w:lang w:val="fr-FR"/>
              </w:rPr>
            </w:pPr>
            <w:r w:rsidRPr="00C83DA9">
              <w:rPr>
                <w:rFonts w:eastAsia="Times New Roman"/>
                <w:color w:val="1F497D"/>
                <w:kern w:val="0"/>
                <w:sz w:val="22"/>
                <w:lang w:val="fr-FR"/>
              </w:rPr>
              <w:t>•</w:t>
            </w:r>
            <w:r w:rsidRPr="00C83DA9">
              <w:rPr>
                <w:rFonts w:eastAsia="Times New Roman"/>
                <w:color w:val="1F497D"/>
                <w:kern w:val="0"/>
                <w:sz w:val="22"/>
                <w:lang w:val="fr-FR"/>
              </w:rPr>
              <w:tab/>
              <w:t xml:space="preserve">Adoption de nouveaux cours de </w:t>
            </w:r>
            <w:r w:rsidRPr="00C83DA9">
              <w:rPr>
                <w:rFonts w:eastAsiaTheme="minorEastAsia" w:cstheme="minorBidi"/>
                <w:color w:val="1F497D" w:themeColor="text2"/>
                <w:sz w:val="22"/>
                <w:lang w:val="fr-FR"/>
              </w:rPr>
              <w:t>l'Académie</w:t>
            </w:r>
            <w:r w:rsidRPr="00C83DA9">
              <w:rPr>
                <w:rFonts w:eastAsia="Times New Roman"/>
                <w:color w:val="1F497D"/>
                <w:kern w:val="0"/>
                <w:sz w:val="22"/>
                <w:lang w:val="fr-FR"/>
              </w:rPr>
              <w:t xml:space="preserve"> de l'UIT sur les indicateurs des TIC, les enquêtes et les données mobiles.</w:t>
            </w:r>
          </w:p>
          <w:p w14:paraId="5A9B1FAC" w14:textId="77777777" w:rsidR="00AC69A2" w:rsidRPr="00C83DA9" w:rsidRDefault="00AC69A2" w:rsidP="00202BFA">
            <w:pPr>
              <w:pStyle w:val="enumlev1"/>
              <w:tabs>
                <w:tab w:val="clear" w:pos="1134"/>
              </w:tabs>
              <w:spacing w:before="40" w:after="40"/>
              <w:ind w:left="386" w:right="-102" w:hanging="386"/>
              <w:rPr>
                <w:rFonts w:ascii="Calibri" w:hAnsi="Calibri" w:cs="Calibri"/>
                <w:color w:val="1F497D" w:themeColor="text2"/>
                <w:sz w:val="22"/>
                <w:lang w:val="fr-FR"/>
              </w:rPr>
            </w:pPr>
            <w:r w:rsidRPr="00C83DA9">
              <w:rPr>
                <w:rFonts w:eastAsia="Times New Roman"/>
                <w:color w:val="1F497D"/>
                <w:kern w:val="0"/>
                <w:sz w:val="22"/>
                <w:lang w:val="fr-FR"/>
              </w:rPr>
              <w:t>•</w:t>
            </w:r>
            <w:r w:rsidRPr="00C83DA9">
              <w:rPr>
                <w:rFonts w:eastAsia="Times New Roman"/>
                <w:color w:val="1F497D"/>
                <w:kern w:val="0"/>
                <w:sz w:val="22"/>
                <w:lang w:val="fr-FR"/>
              </w:rPr>
              <w:tab/>
              <w:t>Publication d'une version révisée du Manuel des paniers de prix des TIC et organisation d'ateliers techniques.</w:t>
            </w:r>
          </w:p>
          <w:p w14:paraId="0C1AFD8D" w14:textId="33094268" w:rsidR="00AC69A2" w:rsidRPr="00C83DA9" w:rsidRDefault="00AC69A2" w:rsidP="0067293A">
            <w:pPr>
              <w:pStyle w:val="Tabletext"/>
              <w:keepNext/>
              <w:spacing w:before="120"/>
              <w:rPr>
                <w:rFonts w:eastAsia="Times New Roman"/>
                <w:b/>
                <w:bCs/>
                <w:color w:val="0070C0"/>
                <w:kern w:val="0"/>
                <w:sz w:val="22"/>
                <w:lang w:val="fr-FR"/>
              </w:rPr>
            </w:pPr>
            <w:bookmarkStart w:id="81" w:name="lt_pId837"/>
            <w:r w:rsidRPr="00C83DA9">
              <w:rPr>
                <w:rFonts w:eastAsia="Times New Roman"/>
                <w:b/>
                <w:bCs/>
                <w:color w:val="0070C0"/>
                <w:kern w:val="0"/>
                <w:sz w:val="22"/>
                <w:lang w:val="fr-FR"/>
              </w:rPr>
              <w:lastRenderedPageBreak/>
              <w:t>Coopération internationale (Groupes</w:t>
            </w:r>
            <w:r w:rsidR="00262321" w:rsidRPr="00C83DA9">
              <w:rPr>
                <w:rFonts w:eastAsia="Times New Roman"/>
                <w:b/>
                <w:bCs/>
                <w:color w:val="0070C0"/>
                <w:kern w:val="0"/>
                <w:sz w:val="22"/>
                <w:lang w:val="fr-FR"/>
              </w:rPr>
              <w:t> </w:t>
            </w:r>
            <w:r w:rsidRPr="00C83DA9">
              <w:rPr>
                <w:rFonts w:eastAsia="Times New Roman"/>
                <w:b/>
                <w:bCs/>
                <w:color w:val="0070C0"/>
                <w:kern w:val="0"/>
                <w:sz w:val="22"/>
                <w:lang w:val="fr-FR"/>
              </w:rPr>
              <w:t>EGTI et EGH):</w:t>
            </w:r>
            <w:bookmarkEnd w:id="81"/>
          </w:p>
          <w:p w14:paraId="027DCB90" w14:textId="433A76B2" w:rsidR="00AC69A2" w:rsidRPr="00C83DA9" w:rsidRDefault="00AC69A2" w:rsidP="00202BFA">
            <w:pPr>
              <w:pStyle w:val="enumlev1"/>
              <w:tabs>
                <w:tab w:val="clear" w:pos="1134"/>
              </w:tabs>
              <w:spacing w:before="40" w:after="40"/>
              <w:ind w:left="386" w:right="-102" w:hanging="386"/>
              <w:rPr>
                <w:rFonts w:eastAsia="Times New Roman"/>
                <w:color w:val="1F497D"/>
                <w:kern w:val="0"/>
                <w:sz w:val="22"/>
                <w:lang w:val="fr-FR"/>
              </w:rPr>
            </w:pPr>
            <w:bookmarkStart w:id="82" w:name="lt_pId838"/>
            <w:r w:rsidRPr="00C83DA9">
              <w:rPr>
                <w:rFonts w:eastAsia="Times New Roman"/>
                <w:color w:val="1F497D"/>
                <w:kern w:val="0"/>
                <w:sz w:val="22"/>
                <w:lang w:val="fr-FR"/>
              </w:rPr>
              <w:t>•</w:t>
            </w:r>
            <w:r w:rsidRPr="00C83DA9">
              <w:rPr>
                <w:rFonts w:eastAsia="Times New Roman"/>
                <w:color w:val="1F497D"/>
                <w:kern w:val="0"/>
                <w:sz w:val="22"/>
                <w:lang w:val="fr-FR"/>
              </w:rPr>
              <w:tab/>
              <w:t>Les éditions 2024 et</w:t>
            </w:r>
            <w:r w:rsidR="00F415A8" w:rsidRPr="00C83DA9">
              <w:rPr>
                <w:rFonts w:eastAsia="Times New Roman"/>
                <w:color w:val="1F497D"/>
                <w:kern w:val="0"/>
                <w:sz w:val="22"/>
                <w:lang w:val="fr-FR"/>
              </w:rPr>
              <w:t> </w:t>
            </w:r>
            <w:r w:rsidRPr="00C83DA9">
              <w:rPr>
                <w:rFonts w:eastAsia="Times New Roman"/>
                <w:color w:val="1F497D"/>
                <w:kern w:val="0"/>
                <w:sz w:val="22"/>
                <w:lang w:val="fr-FR"/>
              </w:rPr>
              <w:t xml:space="preserve">2025 du WTIS ont permis de renforcer les normes et de relier données </w:t>
            </w:r>
            <w:bookmarkEnd w:id="68"/>
            <w:bookmarkEnd w:id="82"/>
            <w:r w:rsidRPr="00C83DA9">
              <w:rPr>
                <w:rFonts w:eastAsia="Times New Roman"/>
                <w:color w:val="1F497D"/>
                <w:kern w:val="0"/>
                <w:sz w:val="22"/>
                <w:lang w:val="fr-FR"/>
              </w:rPr>
              <w:t>et politiques menées.</w:t>
            </w:r>
          </w:p>
        </w:tc>
      </w:tr>
      <w:tr w:rsidR="00AC69A2" w:rsidRPr="00C83DA9" w14:paraId="65DD4E65" w14:textId="77777777" w:rsidTr="003D0435">
        <w:trPr>
          <w:trHeight w:val="64"/>
        </w:trPr>
        <w:tc>
          <w:tcPr>
            <w:tcW w:w="4673" w:type="dxa"/>
            <w:tcBorders>
              <w:top w:val="dotted" w:sz="4" w:space="0" w:color="0070C0"/>
              <w:left w:val="dotted" w:sz="4" w:space="0" w:color="0070C0"/>
              <w:bottom w:val="dotted" w:sz="4" w:space="0" w:color="0070C0"/>
              <w:right w:val="dotted" w:sz="4" w:space="0" w:color="0070C0"/>
            </w:tcBorders>
          </w:tcPr>
          <w:p w14:paraId="580B2B31" w14:textId="77777777" w:rsidR="00AC69A2" w:rsidRPr="00C83DA9" w:rsidRDefault="00AC69A2" w:rsidP="00B5062F">
            <w:pPr>
              <w:pStyle w:val="Tabletext"/>
              <w:keepLines/>
              <w:rPr>
                <w:rFonts w:eastAsia="Times New Roman"/>
                <w:b/>
                <w:bCs/>
                <w:kern w:val="0"/>
                <w:sz w:val="22"/>
                <w:lang w:val="fr-FR"/>
              </w:rPr>
            </w:pPr>
            <w:bookmarkStart w:id="83" w:name="lt_pId839"/>
            <w:r w:rsidRPr="00C83DA9">
              <w:rPr>
                <w:rFonts w:eastAsia="Times New Roman"/>
                <w:b/>
                <w:bCs/>
                <w:kern w:val="0"/>
                <w:sz w:val="22"/>
                <w:lang w:val="fr-FR"/>
              </w:rPr>
              <w:lastRenderedPageBreak/>
              <w:t>Contribution à la réalisation des cibles des ODD</w:t>
            </w:r>
          </w:p>
        </w:tc>
        <w:bookmarkEnd w:id="83"/>
        <w:tc>
          <w:tcPr>
            <w:tcW w:w="10206" w:type="dxa"/>
            <w:gridSpan w:val="2"/>
            <w:tcBorders>
              <w:top w:val="dotted" w:sz="4" w:space="0" w:color="0070C0"/>
              <w:left w:val="dotted" w:sz="4" w:space="0" w:color="0070C0"/>
              <w:bottom w:val="dotted" w:sz="4" w:space="0" w:color="0070C0"/>
              <w:right w:val="dotted" w:sz="4" w:space="0" w:color="0070C0"/>
            </w:tcBorders>
          </w:tcPr>
          <w:p w14:paraId="3F84D49D" w14:textId="2180F569" w:rsidR="00AC69A2" w:rsidRPr="00C83DA9" w:rsidRDefault="00174DF1" w:rsidP="00B5062F">
            <w:pPr>
              <w:pStyle w:val="Tabletext"/>
              <w:keepLines/>
              <w:rPr>
                <w:rFonts w:eastAsia="Times New Roman"/>
                <w:kern w:val="0"/>
                <w:sz w:val="22"/>
                <w:lang w:val="fr-FR"/>
              </w:rPr>
            </w:pPr>
            <w:r w:rsidRPr="00C83DA9">
              <w:rPr>
                <w:rFonts w:eastAsia="Times New Roman"/>
                <w:kern w:val="0"/>
                <w:sz w:val="22"/>
                <w:lang w:val="fr-FR"/>
              </w:rPr>
              <w:t>ODD</w:t>
            </w:r>
            <w:r w:rsidR="00AC69A2" w:rsidRPr="00C83DA9">
              <w:rPr>
                <w:rFonts w:eastAsia="Times New Roman"/>
                <w:kern w:val="0"/>
                <w:sz w:val="22"/>
                <w:lang w:val="fr-FR"/>
              </w:rPr>
              <w:t xml:space="preserve"> 1, 3, 4, 5, 8, 9, 10, 11, 16, 17</w:t>
            </w:r>
          </w:p>
        </w:tc>
      </w:tr>
      <w:tr w:rsidR="00AC69A2" w:rsidRPr="00C83DA9" w14:paraId="11813739" w14:textId="77777777" w:rsidTr="003D0435">
        <w:trPr>
          <w:trHeight w:val="64"/>
        </w:trPr>
        <w:tc>
          <w:tcPr>
            <w:tcW w:w="4673" w:type="dxa"/>
            <w:tcBorders>
              <w:top w:val="dotted" w:sz="4" w:space="0" w:color="0070C0"/>
              <w:left w:val="dotted" w:sz="4" w:space="0" w:color="0070C0"/>
              <w:bottom w:val="dotted" w:sz="4" w:space="0" w:color="0070C0"/>
              <w:right w:val="dotted" w:sz="4" w:space="0" w:color="0070C0"/>
            </w:tcBorders>
          </w:tcPr>
          <w:p w14:paraId="76155DD7" w14:textId="1A2565A3" w:rsidR="00AC69A2" w:rsidRPr="00C83DA9" w:rsidRDefault="00AC69A2" w:rsidP="00B5062F">
            <w:pPr>
              <w:pStyle w:val="Tabletext"/>
              <w:keepLines/>
              <w:rPr>
                <w:rFonts w:eastAsia="Times New Roman"/>
                <w:b/>
                <w:bCs/>
                <w:kern w:val="0"/>
                <w:sz w:val="22"/>
                <w:lang w:val="fr-FR"/>
              </w:rPr>
            </w:pPr>
            <w:bookmarkStart w:id="84" w:name="lt_pId840"/>
            <w:r w:rsidRPr="00C83DA9">
              <w:rPr>
                <w:rFonts w:eastAsia="Times New Roman"/>
                <w:b/>
                <w:bCs/>
                <w:kern w:val="0"/>
                <w:sz w:val="22"/>
                <w:lang w:val="fr-FR"/>
              </w:rPr>
              <w:t>Grandes orientations</w:t>
            </w:r>
            <w:bookmarkEnd w:id="84"/>
            <w:r w:rsidR="000B5E7B">
              <w:rPr>
                <w:rFonts w:eastAsia="Times New Roman"/>
                <w:b/>
                <w:bCs/>
                <w:kern w:val="0"/>
                <w:sz w:val="22"/>
                <w:lang w:val="fr-FR"/>
              </w:rPr>
              <w:t xml:space="preserve"> du SMSI</w:t>
            </w:r>
          </w:p>
        </w:tc>
        <w:tc>
          <w:tcPr>
            <w:tcW w:w="10206" w:type="dxa"/>
            <w:gridSpan w:val="2"/>
            <w:tcBorders>
              <w:top w:val="dotted" w:sz="4" w:space="0" w:color="0070C0"/>
              <w:left w:val="dotted" w:sz="4" w:space="0" w:color="0070C0"/>
              <w:bottom w:val="dotted" w:sz="4" w:space="0" w:color="0070C0"/>
              <w:right w:val="dotted" w:sz="4" w:space="0" w:color="0070C0"/>
            </w:tcBorders>
          </w:tcPr>
          <w:p w14:paraId="2CBE098D" w14:textId="27B8E1A7" w:rsidR="00AC69A2" w:rsidRPr="00C83DA9" w:rsidRDefault="00AC69A2" w:rsidP="00B5062F">
            <w:pPr>
              <w:pStyle w:val="Tabletext"/>
              <w:keepLines/>
              <w:rPr>
                <w:rFonts w:eastAsia="Times New Roman"/>
                <w:kern w:val="0"/>
                <w:sz w:val="22"/>
                <w:lang w:val="fr-FR"/>
              </w:rPr>
            </w:pPr>
            <w:r w:rsidRPr="00C83DA9">
              <w:rPr>
                <w:rFonts w:eastAsia="Times New Roman"/>
                <w:kern w:val="0"/>
                <w:sz w:val="22"/>
                <w:lang w:val="fr-FR"/>
              </w:rPr>
              <w:t xml:space="preserve">C1, C2, C3, C4, C5, C6 et C7 </w:t>
            </w:r>
          </w:p>
        </w:tc>
      </w:tr>
      <w:tr w:rsidR="00AC69A2" w:rsidRPr="00CA734F" w14:paraId="677CC637" w14:textId="77777777" w:rsidTr="003D0435">
        <w:trPr>
          <w:trHeight w:val="193"/>
        </w:trPr>
        <w:tc>
          <w:tcPr>
            <w:tcW w:w="4673" w:type="dxa"/>
            <w:tcBorders>
              <w:top w:val="dotted" w:sz="4" w:space="0" w:color="0070C0"/>
              <w:left w:val="dotted" w:sz="4" w:space="0" w:color="0070C0"/>
              <w:bottom w:val="dotted" w:sz="4" w:space="0" w:color="0070C0"/>
              <w:right w:val="dotted" w:sz="4" w:space="0" w:color="0070C0"/>
            </w:tcBorders>
          </w:tcPr>
          <w:p w14:paraId="253046BF" w14:textId="4C118E52" w:rsidR="00AC69A2" w:rsidRPr="00C83DA9" w:rsidRDefault="00AC69A2" w:rsidP="00B5062F">
            <w:pPr>
              <w:pStyle w:val="Tabletext"/>
              <w:keepLines/>
              <w:rPr>
                <w:rFonts w:eastAsia="Times New Roman"/>
                <w:b/>
                <w:bCs/>
                <w:kern w:val="0"/>
                <w:sz w:val="22"/>
                <w:lang w:val="fr-FR"/>
              </w:rPr>
            </w:pPr>
            <w:bookmarkStart w:id="85" w:name="lt_pId841"/>
            <w:r w:rsidRPr="00C83DA9">
              <w:rPr>
                <w:rFonts w:eastAsia="Times New Roman"/>
                <w:b/>
                <w:bCs/>
                <w:kern w:val="0"/>
                <w:sz w:val="22"/>
                <w:lang w:val="fr-FR"/>
              </w:rPr>
              <w:t>Résolutions</w:t>
            </w:r>
            <w:bookmarkEnd w:id="85"/>
          </w:p>
        </w:tc>
        <w:tc>
          <w:tcPr>
            <w:tcW w:w="10206" w:type="dxa"/>
            <w:gridSpan w:val="2"/>
            <w:tcBorders>
              <w:top w:val="dotted" w:sz="4" w:space="0" w:color="0070C0"/>
              <w:left w:val="dotted" w:sz="4" w:space="0" w:color="0070C0"/>
              <w:bottom w:val="dotted" w:sz="4" w:space="0" w:color="0070C0"/>
              <w:right w:val="dotted" w:sz="4" w:space="0" w:color="0070C0"/>
            </w:tcBorders>
          </w:tcPr>
          <w:p w14:paraId="4816DA57" w14:textId="384323B1" w:rsidR="00AC69A2" w:rsidRPr="00C83DA9" w:rsidRDefault="00AC69A2" w:rsidP="00B5062F">
            <w:pPr>
              <w:pStyle w:val="Tabletext"/>
              <w:keepLines/>
              <w:rPr>
                <w:rFonts w:eastAsia="Times New Roman"/>
                <w:kern w:val="0"/>
                <w:sz w:val="22"/>
                <w:lang w:val="fr-FR"/>
              </w:rPr>
            </w:pPr>
            <w:r w:rsidRPr="00C83DA9">
              <w:rPr>
                <w:rFonts w:eastAsia="Times New Roman"/>
                <w:kern w:val="0"/>
                <w:sz w:val="22"/>
                <w:lang w:val="fr-FR"/>
              </w:rPr>
              <w:t xml:space="preserve">2, 8, 10, 18, 21, 22, 131, 135, 138, 139, 174, 191, 195, 196 et 201 de la </w:t>
            </w:r>
            <w:r w:rsidR="000B5E7B">
              <w:rPr>
                <w:rFonts w:eastAsia="Times New Roman"/>
                <w:kern w:val="0"/>
                <w:sz w:val="22"/>
                <w:lang w:val="fr-FR"/>
              </w:rPr>
              <w:t>PP</w:t>
            </w:r>
          </w:p>
          <w:p w14:paraId="2FC303FD" w14:textId="77777777" w:rsidR="00AC69A2" w:rsidRPr="00C83DA9" w:rsidRDefault="00AC69A2" w:rsidP="00B5062F">
            <w:pPr>
              <w:pStyle w:val="Tabletext"/>
              <w:keepLines/>
              <w:rPr>
                <w:rFonts w:eastAsia="Times New Roman"/>
                <w:kern w:val="0"/>
                <w:sz w:val="22"/>
                <w:lang w:val="fr-FR"/>
              </w:rPr>
            </w:pPr>
            <w:r w:rsidRPr="00C83DA9">
              <w:rPr>
                <w:rFonts w:eastAsia="Times New Roman"/>
                <w:kern w:val="0"/>
                <w:sz w:val="22"/>
                <w:lang w:val="fr-FR"/>
              </w:rPr>
              <w:t>8, 16, 17, 22, 23, 25, 30, 37, 48, 64, 71, 77, 78, 79, 80, 84 et 85 de la CMDT</w:t>
            </w:r>
          </w:p>
        </w:tc>
      </w:tr>
      <w:tr w:rsidR="00AC69A2" w:rsidRPr="00CA734F" w14:paraId="2B15A9CB" w14:textId="77777777" w:rsidTr="003D0435">
        <w:trPr>
          <w:trHeight w:val="518"/>
        </w:trPr>
        <w:tc>
          <w:tcPr>
            <w:tcW w:w="4673" w:type="dxa"/>
            <w:tcBorders>
              <w:top w:val="dotted" w:sz="4" w:space="0" w:color="0070C0"/>
              <w:left w:val="dotted" w:sz="4" w:space="0" w:color="0070C0"/>
              <w:bottom w:val="dotted" w:sz="4" w:space="0" w:color="0070C0"/>
              <w:right w:val="dotted" w:sz="4" w:space="0" w:color="0070C0"/>
            </w:tcBorders>
          </w:tcPr>
          <w:p w14:paraId="38CD2CDC" w14:textId="77777777" w:rsidR="00AC69A2" w:rsidRPr="00C83DA9" w:rsidRDefault="00AC69A2" w:rsidP="003D0435">
            <w:pPr>
              <w:pStyle w:val="Tabletext"/>
              <w:rPr>
                <w:rFonts w:eastAsia="Times New Roman"/>
                <w:b/>
                <w:bCs/>
                <w:kern w:val="0"/>
                <w:sz w:val="22"/>
                <w:lang w:val="fr-FR"/>
              </w:rPr>
            </w:pPr>
            <w:r w:rsidRPr="00C83DA9">
              <w:rPr>
                <w:rFonts w:eastAsia="Times New Roman"/>
                <w:b/>
                <w:bCs/>
                <w:kern w:val="0"/>
                <w:sz w:val="22"/>
                <w:lang w:val="fr-FR"/>
              </w:rPr>
              <w:t>Questions relevant des commissions d'études de l'UIT</w:t>
            </w:r>
            <w:r w:rsidRPr="00C83DA9">
              <w:rPr>
                <w:rFonts w:eastAsia="Times New Roman"/>
                <w:b/>
                <w:bCs/>
                <w:kern w:val="0"/>
                <w:sz w:val="22"/>
                <w:lang w:val="fr-FR"/>
              </w:rPr>
              <w:noBreakHyphen/>
              <w:t>D</w:t>
            </w:r>
          </w:p>
        </w:tc>
        <w:tc>
          <w:tcPr>
            <w:tcW w:w="10206" w:type="dxa"/>
            <w:gridSpan w:val="2"/>
            <w:tcBorders>
              <w:top w:val="dotted" w:sz="4" w:space="0" w:color="0070C0"/>
              <w:left w:val="dotted" w:sz="4" w:space="0" w:color="0070C0"/>
              <w:bottom w:val="dotted" w:sz="4" w:space="0" w:color="0070C0"/>
              <w:right w:val="dotted" w:sz="4" w:space="0" w:color="0070C0"/>
            </w:tcBorders>
          </w:tcPr>
          <w:p w14:paraId="323EB795" w14:textId="77777777" w:rsidR="00AC69A2" w:rsidRPr="00C83DA9" w:rsidRDefault="00AC69A2" w:rsidP="003D0435">
            <w:pPr>
              <w:pStyle w:val="Tabletext"/>
              <w:rPr>
                <w:rFonts w:eastAsia="Times New Roman"/>
                <w:kern w:val="0"/>
                <w:sz w:val="22"/>
                <w:lang w:val="fr-FR"/>
              </w:rPr>
            </w:pPr>
            <w:r w:rsidRPr="00C83DA9">
              <w:rPr>
                <w:rFonts w:eastAsia="Times New Roman"/>
                <w:kern w:val="0"/>
                <w:sz w:val="22"/>
                <w:lang w:val="fr-FR"/>
              </w:rPr>
              <w:t>Question 1/1 (Large bande), Question 4/1 (Aspects économiques), Question 6/1 (Protection du consommateur) et Question 5/2 (Compétences numériques)</w:t>
            </w:r>
          </w:p>
        </w:tc>
      </w:tr>
    </w:tbl>
    <w:tbl>
      <w:tblPr>
        <w:tblStyle w:val="TableGrid6"/>
        <w:tblW w:w="14880"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4678"/>
        <w:gridCol w:w="7640"/>
        <w:gridCol w:w="2562"/>
      </w:tblGrid>
      <w:tr w:rsidR="00C31666" w:rsidRPr="00CA734F" w14:paraId="22DA5ABF" w14:textId="77777777" w:rsidTr="00A90F81">
        <w:tc>
          <w:tcPr>
            <w:tcW w:w="14880" w:type="dxa"/>
            <w:gridSpan w:val="3"/>
            <w:tcBorders>
              <w:bottom w:val="dotted" w:sz="4" w:space="0" w:color="0070C0"/>
            </w:tcBorders>
            <w:shd w:val="clear" w:color="auto" w:fill="365F91" w:themeFill="accent1" w:themeFillShade="BF"/>
          </w:tcPr>
          <w:p w14:paraId="2E3BF609" w14:textId="70D8CFAC" w:rsidR="003011AA" w:rsidRPr="00C83DA9" w:rsidRDefault="003011AA" w:rsidP="009B2988">
            <w:pPr>
              <w:pStyle w:val="Headingb"/>
              <w:spacing w:before="40"/>
              <w:jc w:val="center"/>
              <w:rPr>
                <w:rFonts w:eastAsia="Times New Roman"/>
                <w:color w:val="FFFFFF" w:themeColor="background1"/>
                <w:kern w:val="0"/>
                <w:szCs w:val="20"/>
                <w:lang w:val="fr-FR"/>
                <w14:ligatures w14:val="none"/>
              </w:rPr>
            </w:pPr>
            <w:bookmarkStart w:id="86" w:name="_Toc211258926"/>
            <w:bookmarkStart w:id="87" w:name="_Toc213307971"/>
            <w:r w:rsidRPr="00C83DA9">
              <w:rPr>
                <w:rFonts w:eastAsia="Times New Roman"/>
                <w:color w:val="FFFFFF" w:themeColor="background1"/>
                <w:kern w:val="0"/>
                <w:szCs w:val="20"/>
                <w:lang w:val="fr-FR"/>
                <w14:ligatures w14:val="none"/>
              </w:rPr>
              <w:lastRenderedPageBreak/>
              <w:t>Priorité 4 de l'UIT-D: Mobilisation de ressources, partenariats et coopération internationale</w:t>
            </w:r>
            <w:bookmarkEnd w:id="86"/>
            <w:bookmarkEnd w:id="87"/>
          </w:p>
          <w:p w14:paraId="4D5A78D5" w14:textId="77777777" w:rsidR="003011AA" w:rsidRPr="00C83DA9" w:rsidRDefault="003011AA" w:rsidP="00C31666">
            <w:pPr>
              <w:pStyle w:val="Tablehead"/>
              <w:rPr>
                <w:rFonts w:cstheme="minorHAnsi"/>
                <w:i/>
                <w:iCs/>
                <w:color w:val="FFFFFF" w:themeColor="background1"/>
                <w:sz w:val="24"/>
                <w:szCs w:val="20"/>
                <w:lang w:val="fr-FR"/>
              </w:rPr>
            </w:pPr>
            <w:r w:rsidRPr="00C83DA9">
              <w:rPr>
                <w:rFonts w:eastAsia="Times New Roman"/>
                <w:i/>
                <w:iCs/>
                <w:color w:val="FFFFFF" w:themeColor="background1"/>
                <w:kern w:val="0"/>
                <w:sz w:val="24"/>
                <w:szCs w:val="20"/>
                <w:lang w:val="fr-FR"/>
                <w14:ligatures w14:val="none"/>
              </w:rPr>
              <w:t>Renforcer la stratégie de mobilisation des ressources grâce à la coopération internationale</w:t>
            </w:r>
          </w:p>
        </w:tc>
      </w:tr>
      <w:tr w:rsidR="003011AA" w:rsidRPr="00CA734F" w14:paraId="57CE6F73" w14:textId="77777777" w:rsidTr="00A90F81">
        <w:tc>
          <w:tcPr>
            <w:tcW w:w="14880" w:type="dxa"/>
            <w:gridSpan w:val="3"/>
            <w:shd w:val="clear" w:color="auto" w:fill="E5DFEC" w:themeFill="accent4" w:themeFillTint="33"/>
          </w:tcPr>
          <w:p w14:paraId="2DD82349" w14:textId="77777777" w:rsidR="003011AA" w:rsidRPr="00C83DA9" w:rsidRDefault="003011AA" w:rsidP="00C31666">
            <w:pPr>
              <w:pStyle w:val="Tabletext"/>
              <w:rPr>
                <w:rFonts w:cstheme="minorHAnsi"/>
                <w:i/>
                <w:iCs/>
                <w:sz w:val="24"/>
                <w:szCs w:val="20"/>
                <w:lang w:val="fr-FR"/>
              </w:rPr>
            </w:pPr>
            <w:r w:rsidRPr="00C83DA9">
              <w:rPr>
                <w:rFonts w:eastAsiaTheme="minorEastAsia" w:cstheme="minorHAnsi"/>
                <w:b/>
                <w:bCs/>
                <w:i/>
                <w:color w:val="000000" w:themeColor="text1"/>
                <w:sz w:val="24"/>
                <w:szCs w:val="20"/>
                <w:lang w:val="fr-FR"/>
              </w:rPr>
              <w:t>Réalisation</w:t>
            </w:r>
            <w:r w:rsidRPr="00C83DA9">
              <w:rPr>
                <w:rFonts w:eastAsiaTheme="minorEastAsia" w:cstheme="minorHAnsi"/>
                <w:i/>
                <w:color w:val="000000" w:themeColor="text1"/>
                <w:sz w:val="24"/>
                <w:szCs w:val="20"/>
                <w:lang w:val="fr-FR"/>
              </w:rPr>
              <w:t>: renforcement de la coopération et de la coordination avec l'Organisation des Nations Unies et ses institutions spécialisées, d'autres organisations internationales, les organisations régionales de télécommunication et les institutions régionales et mondiales de développement, pour la mise en œuvre des priorités de l'UIT-D.</w:t>
            </w:r>
          </w:p>
        </w:tc>
      </w:tr>
      <w:tr w:rsidR="003011AA" w:rsidRPr="00C83DA9" w14:paraId="3CDAC1F0" w14:textId="77777777" w:rsidTr="003011AA">
        <w:tc>
          <w:tcPr>
            <w:tcW w:w="12318" w:type="dxa"/>
            <w:gridSpan w:val="2"/>
          </w:tcPr>
          <w:p w14:paraId="25967701" w14:textId="77777777" w:rsidR="003011AA" w:rsidRPr="00C83DA9" w:rsidRDefault="003011AA"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Produits</w:t>
            </w:r>
          </w:p>
        </w:tc>
        <w:tc>
          <w:tcPr>
            <w:tcW w:w="2562" w:type="dxa"/>
          </w:tcPr>
          <w:p w14:paraId="18602E3E" w14:textId="77777777" w:rsidR="003011AA" w:rsidRPr="00C83DA9" w:rsidRDefault="003011AA"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Points à retenir</w:t>
            </w:r>
          </w:p>
        </w:tc>
      </w:tr>
      <w:tr w:rsidR="003011AA" w:rsidRPr="00CA734F" w14:paraId="0E85E419" w14:textId="77777777" w:rsidTr="003011AA">
        <w:tc>
          <w:tcPr>
            <w:tcW w:w="12318" w:type="dxa"/>
            <w:gridSpan w:val="2"/>
          </w:tcPr>
          <w:p w14:paraId="2F4EDD9E" w14:textId="137FDE11" w:rsidR="003011AA" w:rsidRPr="00C83DA9" w:rsidRDefault="003011AA" w:rsidP="000B5E7B">
            <w:pPr>
              <w:pStyle w:val="Tabletext"/>
              <w:spacing w:before="120"/>
              <w:ind w:right="-85"/>
              <w:rPr>
                <w:rFonts w:ascii="Calibri" w:hAnsi="Calibri" w:cs="Calibri"/>
                <w:sz w:val="22"/>
                <w:lang w:val="fr-FR"/>
              </w:rPr>
            </w:pPr>
            <w:r w:rsidRPr="00C83DA9">
              <w:rPr>
                <w:sz w:val="22"/>
                <w:lang w:val="fr-FR"/>
              </w:rPr>
              <w:t xml:space="preserve">Depuis janvier 2023, le BDT a conclu </w:t>
            </w:r>
            <w:r w:rsidRPr="00C83DA9">
              <w:rPr>
                <w:rFonts w:ascii="Calibri" w:eastAsia="Calibri" w:hAnsi="Calibri" w:cs="Calibri"/>
                <w:sz w:val="22"/>
                <w:lang w:val="fr-FR"/>
              </w:rPr>
              <w:t>plus</w:t>
            </w:r>
            <w:r w:rsidRPr="00C83DA9">
              <w:rPr>
                <w:sz w:val="22"/>
                <w:lang w:val="fr-FR"/>
              </w:rPr>
              <w:t xml:space="preserve"> de </w:t>
            </w:r>
            <w:r w:rsidR="00D515CC" w:rsidRPr="00C83DA9">
              <w:rPr>
                <w:sz w:val="22"/>
                <w:lang w:val="fr-FR"/>
              </w:rPr>
              <w:t xml:space="preserve">200 </w:t>
            </w:r>
            <w:r w:rsidRPr="00C83DA9">
              <w:rPr>
                <w:sz w:val="22"/>
                <w:lang w:val="fr-FR"/>
              </w:rPr>
              <w:t>accords de partenariat, qui représentent des engagements s'élevant à</w:t>
            </w:r>
            <w:r w:rsidR="005131CC" w:rsidRPr="00C83DA9">
              <w:rPr>
                <w:sz w:val="22"/>
                <w:lang w:val="fr-FR"/>
              </w:rPr>
              <w:t> </w:t>
            </w:r>
            <w:r w:rsidRPr="00C83DA9">
              <w:rPr>
                <w:b/>
                <w:bCs/>
                <w:sz w:val="22"/>
                <w:lang w:val="fr-FR"/>
              </w:rPr>
              <w:t>60,8</w:t>
            </w:r>
            <w:r w:rsidR="00F96B80" w:rsidRPr="00C83DA9">
              <w:rPr>
                <w:b/>
                <w:bCs/>
                <w:sz w:val="22"/>
                <w:lang w:val="fr-FR"/>
              </w:rPr>
              <w:t> </w:t>
            </w:r>
            <w:r w:rsidRPr="00C83DA9">
              <w:rPr>
                <w:b/>
                <w:bCs/>
                <w:sz w:val="22"/>
                <w:lang w:val="fr-FR"/>
              </w:rPr>
              <w:t>millions</w:t>
            </w:r>
            <w:r w:rsidR="00F96B80" w:rsidRPr="00C83DA9">
              <w:rPr>
                <w:b/>
                <w:bCs/>
                <w:sz w:val="22"/>
                <w:lang w:val="fr-FR"/>
              </w:rPr>
              <w:t> </w:t>
            </w:r>
            <w:r w:rsidRPr="00C83DA9">
              <w:rPr>
                <w:b/>
                <w:bCs/>
                <w:sz w:val="22"/>
                <w:lang w:val="fr-FR"/>
              </w:rPr>
              <w:t>USD</w:t>
            </w:r>
            <w:r w:rsidRPr="00C83DA9">
              <w:rPr>
                <w:sz w:val="22"/>
                <w:lang w:val="fr-FR"/>
              </w:rPr>
              <w:t xml:space="preserve">, et lancé </w:t>
            </w:r>
            <w:r w:rsidR="00C24C58" w:rsidRPr="00C83DA9">
              <w:rPr>
                <w:sz w:val="22"/>
                <w:lang w:val="fr-FR"/>
              </w:rPr>
              <w:t xml:space="preserve">78 </w:t>
            </w:r>
            <w:r w:rsidRPr="00C83DA9">
              <w:rPr>
                <w:sz w:val="22"/>
                <w:lang w:val="fr-FR"/>
              </w:rPr>
              <w:t>nouveaux projets de développement numérique.</w:t>
            </w:r>
          </w:p>
          <w:p w14:paraId="7F98D089" w14:textId="77777777" w:rsidR="003011AA" w:rsidRPr="00C83DA9" w:rsidRDefault="003011AA" w:rsidP="003011AA">
            <w:pPr>
              <w:pStyle w:val="Tabletext"/>
              <w:keepLines/>
              <w:spacing w:before="120"/>
              <w:ind w:right="-85"/>
              <w:rPr>
                <w:rFonts w:ascii="Calibri" w:hAnsi="Calibri" w:cs="Calibri"/>
                <w:sz w:val="22"/>
                <w:lang w:val="fr-FR"/>
              </w:rPr>
            </w:pPr>
            <w:r w:rsidRPr="00C83DA9">
              <w:rPr>
                <w:sz w:val="22"/>
                <w:lang w:val="fr-FR"/>
              </w:rPr>
              <w:t xml:space="preserve">Le BDT a continué de renforcer les partenariats et la mobilisation de ressources en tant que moteurs essentiels de la transformation numérique. Outre les accords bilatéraux, cette période a été marquée par l'établissement d'alliances multi-parties prenantes entre des gouvernements, des institutions du système des Nations Unies, des banques de développement, des établissements universitaires et le secteur privé dans un but commun, à savoir accélérer la réalisation d'une connectivité universelle et efficace et la transformation numérique. Dans le cadre de ces activités, le </w:t>
            </w:r>
            <w:r w:rsidRPr="00C83DA9">
              <w:rPr>
                <w:rFonts w:ascii="Calibri" w:eastAsia="Calibri" w:hAnsi="Calibri" w:cs="Calibri"/>
                <w:sz w:val="22"/>
                <w:lang w:val="fr-FR"/>
              </w:rPr>
              <w:t>BDT</w:t>
            </w:r>
            <w:r w:rsidRPr="00C83DA9">
              <w:rPr>
                <w:sz w:val="22"/>
                <w:lang w:val="fr-FR"/>
              </w:rPr>
              <w:t xml:space="preserve"> a mené des campagnes de sensibilisation concernant les politiques générales et fourni des services techniques, en ayant recours à des partenariats pour appliquer des modèles éprouvés à plus grande échelle, reproduire des projets pilotes ayant fait leurs preuves et assurer la pérennité des initiatives numériques. Il en a été de même pour la mobilisation de ressources, l'exécution de projets ayant été supplantée par des cadres à plus long terme susceptibles d'attirer à la fois des donateurs et un financement au niveau national. Il en découle que les partenariats ne constituent pas simplement un complément au mandat de l'UIT, mais un outil central permettant à l'Union de produire des résultats aux niveaux national, régional et mondial.</w:t>
            </w:r>
          </w:p>
          <w:p w14:paraId="24850551" w14:textId="00708269" w:rsidR="003011AA" w:rsidRPr="00C83DA9" w:rsidRDefault="0052273C" w:rsidP="003011AA">
            <w:pPr>
              <w:pStyle w:val="Tabletext"/>
              <w:keepLines/>
              <w:spacing w:before="120"/>
              <w:ind w:right="-85"/>
              <w:rPr>
                <w:rFonts w:ascii="Calibri" w:hAnsi="Calibri" w:cs="Calibri"/>
                <w:sz w:val="22"/>
                <w:lang w:val="fr-FR"/>
              </w:rPr>
            </w:pPr>
            <w:r w:rsidRPr="00C83DA9">
              <w:rPr>
                <w:sz w:val="22"/>
                <w:lang w:val="fr-FR"/>
              </w:rPr>
              <w:t xml:space="preserve">En 2024, le BDT a continué d'aider les pays à élaborer </w:t>
            </w:r>
            <w:r w:rsidR="003011AA" w:rsidRPr="00C83DA9">
              <w:rPr>
                <w:sz w:val="22"/>
                <w:lang w:val="fr-FR"/>
              </w:rPr>
              <w:t xml:space="preserve">des projets axés sur la connectivité des écoles qui soient prêts à recueillir des investissements et </w:t>
            </w:r>
            <w:r w:rsidRPr="00C83DA9">
              <w:rPr>
                <w:sz w:val="22"/>
                <w:lang w:val="fr-FR"/>
              </w:rPr>
              <w:t xml:space="preserve">conçus pour </w:t>
            </w:r>
            <w:r w:rsidR="003011AA" w:rsidRPr="00C83DA9">
              <w:rPr>
                <w:sz w:val="22"/>
                <w:lang w:val="fr-FR"/>
              </w:rPr>
              <w:t xml:space="preserve">attirer des financements mixtes de donateurs, d'opérateurs privés et de pouvoirs publics. </w:t>
            </w:r>
            <w:r w:rsidRPr="00C83DA9">
              <w:rPr>
                <w:sz w:val="22"/>
                <w:lang w:val="fr-FR"/>
              </w:rPr>
              <w:t>Cela montre</w:t>
            </w:r>
            <w:r w:rsidR="003011AA" w:rsidRPr="00C83DA9">
              <w:rPr>
                <w:sz w:val="22"/>
                <w:lang w:val="fr-FR"/>
              </w:rPr>
              <w:t xml:space="preserve"> comment </w:t>
            </w:r>
            <w:r w:rsidRPr="00C83DA9">
              <w:rPr>
                <w:sz w:val="22"/>
                <w:lang w:val="fr-FR"/>
              </w:rPr>
              <w:t xml:space="preserve">des </w:t>
            </w:r>
            <w:r w:rsidR="003011AA" w:rsidRPr="00C83DA9">
              <w:rPr>
                <w:sz w:val="22"/>
                <w:lang w:val="fr-FR"/>
              </w:rPr>
              <w:t>partenariats</w:t>
            </w:r>
            <w:r w:rsidRPr="00C83DA9">
              <w:rPr>
                <w:sz w:val="22"/>
                <w:lang w:val="fr-FR"/>
              </w:rPr>
              <w:t xml:space="preserve"> bien structurés</w:t>
            </w:r>
            <w:r w:rsidR="00DE6E6C" w:rsidRPr="00C83DA9">
              <w:rPr>
                <w:sz w:val="22"/>
                <w:lang w:val="fr-FR"/>
              </w:rPr>
              <w:t xml:space="preserve"> et construits</w:t>
            </w:r>
            <w:r w:rsidR="003011AA" w:rsidRPr="00C83DA9">
              <w:rPr>
                <w:sz w:val="22"/>
                <w:lang w:val="fr-FR"/>
              </w:rPr>
              <w:t xml:space="preserve"> autour d'un objectif clair peuvent produire des biens publics mondiaux tout en </w:t>
            </w:r>
            <w:r w:rsidR="00DE6E6C" w:rsidRPr="00C83DA9">
              <w:rPr>
                <w:sz w:val="22"/>
                <w:lang w:val="fr-FR"/>
              </w:rPr>
              <w:t>faisant progresser</w:t>
            </w:r>
            <w:r w:rsidR="003011AA" w:rsidRPr="00C83DA9">
              <w:rPr>
                <w:sz w:val="22"/>
                <w:lang w:val="fr-FR"/>
              </w:rPr>
              <w:t xml:space="preserve"> les stratégies nationales d'éducation.</w:t>
            </w:r>
            <w:hyperlink r:id="rId171"/>
          </w:p>
          <w:p w14:paraId="4256F558" w14:textId="2F0175AF" w:rsidR="003011AA" w:rsidRPr="00C83DA9" w:rsidRDefault="003011AA" w:rsidP="00917571">
            <w:pPr>
              <w:pStyle w:val="Tabletext"/>
              <w:widowControl w:val="0"/>
              <w:spacing w:before="120"/>
              <w:ind w:right="-85"/>
              <w:rPr>
                <w:rFonts w:ascii="Calibri" w:hAnsi="Calibri" w:cs="Calibri"/>
                <w:sz w:val="22"/>
                <w:lang w:val="fr-FR"/>
              </w:rPr>
            </w:pPr>
            <w:r w:rsidRPr="00C83DA9">
              <w:rPr>
                <w:sz w:val="22"/>
                <w:lang w:val="fr-FR"/>
              </w:rPr>
              <w:t xml:space="preserve">Une autre étape décisive a été franchie avec la conclusion d'une </w:t>
            </w:r>
            <w:r w:rsidRPr="00C83DA9">
              <w:rPr>
                <w:b/>
                <w:bCs/>
                <w:sz w:val="22"/>
                <w:lang w:val="fr-FR"/>
              </w:rPr>
              <w:t>collaboration stratégique avec des partenaires des Nations Unies</w:t>
            </w:r>
            <w:r w:rsidRPr="00C83DA9">
              <w:rPr>
                <w:sz w:val="22"/>
                <w:lang w:val="fr-FR"/>
              </w:rPr>
              <w:t>, notamment le Bureau de l'informatique et des communications (OICT), le PNUD, l'UNICEF et la Banque mondiale. Bien plus que des alliances entre marques, ces partenariats ont permis la mise en œuvre d'initiatives communes relatives au développement des TIC. L'Initiative GovStack, qui a bénéficié de l'appui de l'</w:t>
            </w:r>
            <w:r w:rsidRPr="00C83DA9">
              <w:rPr>
                <w:i/>
                <w:iCs/>
                <w:sz w:val="22"/>
                <w:lang w:val="fr-FR"/>
              </w:rPr>
              <w:t>Agence allemande pour la coopération internationale</w:t>
            </w:r>
            <w:r w:rsidRPr="00C83DA9">
              <w:rPr>
                <w:sz w:val="22"/>
                <w:lang w:val="fr-FR"/>
              </w:rPr>
              <w:t xml:space="preserve"> (GIZ), compte tenu d'un financement de 1,24 million EUR en 2023, est passée aux phases </w:t>
            </w:r>
            <w:r w:rsidRPr="00C83DA9">
              <w:rPr>
                <w:rFonts w:ascii="Calibri" w:eastAsia="Calibri" w:hAnsi="Calibri" w:cs="Calibri"/>
                <w:sz w:val="22"/>
                <w:lang w:val="fr-FR"/>
              </w:rPr>
              <w:t>opérationnelles</w:t>
            </w:r>
            <w:r w:rsidRPr="00C83DA9">
              <w:rPr>
                <w:sz w:val="22"/>
                <w:lang w:val="fr-FR"/>
              </w:rPr>
              <w:t xml:space="preserve"> dans la Corne de l'Afrique, à </w:t>
            </w:r>
            <w:r w:rsidRPr="00C83DA9">
              <w:rPr>
                <w:b/>
                <w:bCs/>
                <w:sz w:val="22"/>
                <w:lang w:val="fr-FR"/>
              </w:rPr>
              <w:t>Djibouti</w:t>
            </w:r>
            <w:r w:rsidRPr="00C83DA9">
              <w:rPr>
                <w:sz w:val="22"/>
                <w:lang w:val="fr-FR"/>
              </w:rPr>
              <w:t xml:space="preserve">, en </w:t>
            </w:r>
            <w:r w:rsidRPr="00C83DA9">
              <w:rPr>
                <w:b/>
                <w:bCs/>
                <w:sz w:val="22"/>
                <w:lang w:val="fr-FR"/>
              </w:rPr>
              <w:t>Éthiopie</w:t>
            </w:r>
            <w:r w:rsidRPr="00C83DA9">
              <w:rPr>
                <w:sz w:val="22"/>
                <w:lang w:val="fr-FR"/>
              </w:rPr>
              <w:t xml:space="preserve"> et en</w:t>
            </w:r>
            <w:r w:rsidR="00A62167">
              <w:rPr>
                <w:sz w:val="22"/>
                <w:lang w:val="fr-FR"/>
              </w:rPr>
              <w:t> </w:t>
            </w:r>
            <w:r w:rsidRPr="00C83DA9">
              <w:rPr>
                <w:b/>
                <w:bCs/>
                <w:sz w:val="22"/>
                <w:lang w:val="fr-FR"/>
              </w:rPr>
              <w:t>Somalie</w:t>
            </w:r>
            <w:r w:rsidRPr="00C83DA9">
              <w:rPr>
                <w:sz w:val="22"/>
                <w:lang w:val="fr-FR"/>
              </w:rPr>
              <w:t>, avec l'intégration de modules réutilisables d'administration en ligne dans leurs systèmes nationaux. La collaboration "Le</w:t>
            </w:r>
            <w:r w:rsidR="000B5E7B">
              <w:rPr>
                <w:sz w:val="22"/>
                <w:lang w:val="fr-FR"/>
              </w:rPr>
              <w:t> </w:t>
            </w:r>
            <w:r w:rsidRPr="00C83DA9">
              <w:rPr>
                <w:sz w:val="22"/>
                <w:lang w:val="fr-FR"/>
              </w:rPr>
              <w:t xml:space="preserve">numérique au service du développement" (D4D) sur l'administration en ligne et la cybersécurité, cofinancée par l'Union européenne, appuie le pilier 1 "Infrastructure" de l'initiative pour la Corne de l'Afrique, en particulier le domaine d'action "Stratégie et services d'administration en ligne". La composante 1 "Administration en ligne" est en cours de mise en œuvre à </w:t>
            </w:r>
            <w:r w:rsidRPr="00C83DA9">
              <w:rPr>
                <w:b/>
                <w:bCs/>
                <w:sz w:val="22"/>
                <w:lang w:val="fr-FR"/>
              </w:rPr>
              <w:t>Djibouti</w:t>
            </w:r>
            <w:r w:rsidRPr="00C83DA9">
              <w:rPr>
                <w:sz w:val="22"/>
                <w:lang w:val="fr-FR"/>
              </w:rPr>
              <w:t xml:space="preserve">, en </w:t>
            </w:r>
            <w:r w:rsidRPr="00C83DA9">
              <w:rPr>
                <w:b/>
                <w:bCs/>
                <w:sz w:val="22"/>
                <w:lang w:val="fr-FR"/>
              </w:rPr>
              <w:t>Éthiopie</w:t>
            </w:r>
            <w:r w:rsidRPr="00C83DA9">
              <w:rPr>
                <w:sz w:val="22"/>
                <w:lang w:val="fr-FR"/>
              </w:rPr>
              <w:t xml:space="preserve"> et en </w:t>
            </w:r>
            <w:r w:rsidRPr="00C83DA9">
              <w:rPr>
                <w:b/>
                <w:bCs/>
                <w:sz w:val="22"/>
                <w:lang w:val="fr-FR"/>
              </w:rPr>
              <w:t>Somalie</w:t>
            </w:r>
            <w:r w:rsidRPr="00C83DA9">
              <w:rPr>
                <w:sz w:val="22"/>
                <w:lang w:val="fr-FR"/>
              </w:rPr>
              <w:t xml:space="preserve">. Au </w:t>
            </w:r>
            <w:r w:rsidRPr="00C83DA9">
              <w:rPr>
                <w:b/>
                <w:bCs/>
                <w:sz w:val="22"/>
                <w:lang w:val="fr-FR"/>
              </w:rPr>
              <w:t>Mozambique</w:t>
            </w:r>
            <w:r w:rsidRPr="00C83DA9">
              <w:rPr>
                <w:sz w:val="22"/>
                <w:lang w:val="fr-FR"/>
              </w:rPr>
              <w:t xml:space="preserve">, le projet </w:t>
            </w:r>
            <w:r w:rsidRPr="00C83DA9">
              <w:rPr>
                <w:b/>
                <w:bCs/>
                <w:sz w:val="22"/>
                <w:lang w:val="fr-FR"/>
              </w:rPr>
              <w:t>VaMoz Digital!</w:t>
            </w:r>
            <w:r w:rsidRPr="00C83DA9">
              <w:rPr>
                <w:sz w:val="22"/>
                <w:lang w:val="fr-FR"/>
              </w:rPr>
              <w:t xml:space="preserve">, financé par la Commission européenne, a appuyé l'examen des instruments </w:t>
            </w:r>
            <w:r w:rsidRPr="00C83DA9">
              <w:rPr>
                <w:sz w:val="22"/>
                <w:lang w:val="fr-FR"/>
              </w:rPr>
              <w:lastRenderedPageBreak/>
              <w:t xml:space="preserve">nationaux en vue de l'élaboration d'une stratégie nationale de transformation numérique qui veille à ce que les besoins locaux </w:t>
            </w:r>
            <w:r w:rsidRPr="00C83DA9">
              <w:rPr>
                <w:rFonts w:ascii="Calibri" w:eastAsia="Calibri" w:hAnsi="Calibri" w:cs="Calibri"/>
                <w:sz w:val="22"/>
                <w:lang w:val="fr-FR"/>
              </w:rPr>
              <w:t>façonnent</w:t>
            </w:r>
            <w:r w:rsidRPr="00C83DA9">
              <w:rPr>
                <w:sz w:val="22"/>
                <w:lang w:val="fr-FR"/>
              </w:rPr>
              <w:t xml:space="preserve"> le déploiement de cadres mondiaux. Ces exemples de collaboration illustrent comment l'UIT tire parti de son rôle fédérateur pour intégrer l'innovation dans le processus de fourniture des services publics.</w:t>
            </w:r>
          </w:p>
          <w:p w14:paraId="1D0F0CC2" w14:textId="6722D5EC" w:rsidR="003011AA" w:rsidRPr="00C83DA9" w:rsidRDefault="003011AA" w:rsidP="003011AA">
            <w:pPr>
              <w:pStyle w:val="Tabletext"/>
              <w:widowControl w:val="0"/>
              <w:spacing w:before="120"/>
              <w:ind w:right="-85"/>
              <w:rPr>
                <w:sz w:val="22"/>
                <w:lang w:val="fr-FR"/>
              </w:rPr>
            </w:pPr>
            <w:r w:rsidRPr="00C83DA9">
              <w:rPr>
                <w:sz w:val="22"/>
                <w:lang w:val="fr-FR"/>
              </w:rPr>
              <w:t>Parallèlement, conformément à la</w:t>
            </w:r>
            <w:r w:rsidR="001D7A75" w:rsidRPr="00C83DA9">
              <w:rPr>
                <w:sz w:val="22"/>
                <w:lang w:val="fr-FR"/>
              </w:rPr>
              <w:t xml:space="preserve"> </w:t>
            </w:r>
            <w:r w:rsidR="001D7A75" w:rsidRPr="000B5E7B">
              <w:rPr>
                <w:sz w:val="22"/>
                <w:lang w:val="fr-FR"/>
              </w:rPr>
              <w:t xml:space="preserve">Résolution </w:t>
            </w:r>
            <w:hyperlink r:id="rId172" w:history="1">
              <w:r w:rsidR="001D7A75" w:rsidRPr="000B5E7B">
                <w:rPr>
                  <w:rStyle w:val="Hyperlink"/>
                  <w:sz w:val="22"/>
                  <w:lang w:val="fr-FR"/>
                </w:rPr>
                <w:t>73 (Rév. Kigali, 2022)</w:t>
              </w:r>
            </w:hyperlink>
            <w:r w:rsidR="001D7A75" w:rsidRPr="000B5E7B">
              <w:rPr>
                <w:sz w:val="22"/>
                <w:lang w:val="fr-FR"/>
              </w:rPr>
              <w:t xml:space="preserve"> de la CMDT</w:t>
            </w:r>
            <w:r w:rsidRPr="000B5E7B">
              <w:rPr>
                <w:sz w:val="22"/>
                <w:lang w:val="fr-FR"/>
              </w:rPr>
              <w:t>,</w:t>
            </w:r>
            <w:r w:rsidRPr="00C83DA9">
              <w:rPr>
                <w:sz w:val="22"/>
                <w:lang w:val="fr-FR"/>
              </w:rPr>
              <w:t xml:space="preserve"> des centres de formation de l'Académie de l'UIT ont été créés en partenariat avec des universités et des instituts de recherche, afin d'intégrer la question du renforcement des compétences numériques dans les programmes universitaires. Ces partenariats ont permis de mobiliser des ressources financières et de créer des points d'ancrage institutionnels pour assurer le renforcement des capacités à long terme, tout en veillant à poursuivre sur la voie de l'inclusion numérique en mettant l'accent sur l'équité et les questions intergénérationnelles.</w:t>
            </w:r>
            <w:hyperlink r:id="rId173" w:history="1"/>
          </w:p>
          <w:p w14:paraId="65693582" w14:textId="77777777" w:rsidR="003011AA" w:rsidRPr="00C83DA9" w:rsidRDefault="003011AA" w:rsidP="003011AA">
            <w:pPr>
              <w:pStyle w:val="Tabletext"/>
              <w:widowControl w:val="0"/>
              <w:spacing w:before="120"/>
              <w:ind w:right="-85"/>
              <w:rPr>
                <w:sz w:val="22"/>
                <w:lang w:val="fr-FR"/>
              </w:rPr>
            </w:pPr>
            <w:r w:rsidRPr="00C83DA9">
              <w:rPr>
                <w:sz w:val="22"/>
                <w:lang w:val="fr-FR"/>
              </w:rPr>
              <w:t>Le rôle de l'UIT dans l'action politique à l'échelle mondiale a été renforcé par des partenariats dans le cadre de processus multilatéraux. En tant que partenaire pour le partage de connaissances dans le cadre des consultations du Secrétaire général de l'ONU sur le Pacte numérique mondial, l'UIT a veillé à ce que les données issues de ses travaux d'évaluation et relatifs à la connectivité alimentent les négociations intergouvernementales. Les partenariats conclus dans le cadre du G20, et avec les banques régionales de développement et l'Union européenne, ont permis à l'UIT de se placer à l'intersection du financement mondial et du développement du numérique. Il en résulte que les partenariats ne se sont pas limités à l'exécution de projets, mais se sont aussi étendus à l'élaboration des normes et des priorités qui définissent la transformation numérique à grande échelle.</w:t>
            </w:r>
          </w:p>
          <w:p w14:paraId="10369D90" w14:textId="4198E37F" w:rsidR="003011AA" w:rsidRPr="00C83DA9" w:rsidRDefault="00C11F15" w:rsidP="003011AA">
            <w:pPr>
              <w:pStyle w:val="Tabletext"/>
              <w:widowControl w:val="0"/>
              <w:spacing w:before="120"/>
              <w:ind w:right="-85"/>
              <w:rPr>
                <w:sz w:val="22"/>
                <w:lang w:val="fr-FR"/>
              </w:rPr>
            </w:pPr>
            <w:r w:rsidRPr="00C83DA9">
              <w:rPr>
                <w:sz w:val="22"/>
                <w:lang w:val="fr-FR"/>
              </w:rPr>
              <w:t xml:space="preserve">En </w:t>
            </w:r>
            <w:r w:rsidRPr="00C83DA9">
              <w:rPr>
                <w:b/>
                <w:bCs/>
                <w:sz w:val="22"/>
                <w:lang w:val="fr-FR"/>
              </w:rPr>
              <w:t>Afrique</w:t>
            </w:r>
            <w:r w:rsidRPr="00C83DA9">
              <w:rPr>
                <w:sz w:val="22"/>
                <w:lang w:val="fr-FR"/>
              </w:rPr>
              <w:t xml:space="preserve">, dans le cadre d'un partenariat entre l'UIT et l'Union européenne, le projet pour l'analyse comparative des TIC en Afrique centrale a été mis en œuvre afin d'améliorer la gouvernance des TIC en Afrique centrale et de promouvoir l'élaboration de politiques fondées sur des </w:t>
            </w:r>
            <w:r w:rsidR="00713E10" w:rsidRPr="00C83DA9">
              <w:rPr>
                <w:sz w:val="22"/>
                <w:lang w:val="fr-FR"/>
              </w:rPr>
              <w:t>données factuelles</w:t>
            </w:r>
            <w:r w:rsidRPr="00C83DA9">
              <w:rPr>
                <w:sz w:val="22"/>
                <w:lang w:val="fr-FR"/>
              </w:rPr>
              <w:t>. L'évaluation des cadres politiques et réglementaires relatifs aux TIC</w:t>
            </w:r>
            <w:r w:rsidR="00925266" w:rsidRPr="00C83DA9">
              <w:rPr>
                <w:sz w:val="22"/>
                <w:lang w:val="fr-FR"/>
              </w:rPr>
              <w:t>,</w:t>
            </w:r>
            <w:r w:rsidRPr="00C83DA9">
              <w:rPr>
                <w:sz w:val="22"/>
                <w:lang w:val="fr-FR"/>
              </w:rPr>
              <w:t xml:space="preserve"> qui visait à évaluer l'efficacité</w:t>
            </w:r>
            <w:r w:rsidR="00925266" w:rsidRPr="00C83DA9">
              <w:rPr>
                <w:sz w:val="22"/>
                <w:lang w:val="fr-FR"/>
              </w:rPr>
              <w:t xml:space="preserve"> (entre autres aspects)</w:t>
            </w:r>
            <w:r w:rsidRPr="00C83DA9">
              <w:rPr>
                <w:sz w:val="22"/>
                <w:lang w:val="fr-FR"/>
              </w:rPr>
              <w:t xml:space="preserve">, à identifier les lacunes et à </w:t>
            </w:r>
            <w:r w:rsidR="00FD79AD" w:rsidRPr="00C83DA9">
              <w:rPr>
                <w:sz w:val="22"/>
                <w:lang w:val="fr-FR"/>
              </w:rPr>
              <w:t>mettre en lumière</w:t>
            </w:r>
            <w:r w:rsidRPr="00C83DA9">
              <w:rPr>
                <w:sz w:val="22"/>
                <w:lang w:val="fr-FR"/>
              </w:rPr>
              <w:t xml:space="preserve"> les possibles </w:t>
            </w:r>
            <w:r w:rsidR="000E4CFC" w:rsidRPr="00C83DA9">
              <w:rPr>
                <w:sz w:val="22"/>
                <w:lang w:val="fr-FR"/>
              </w:rPr>
              <w:t>améliorations</w:t>
            </w:r>
            <w:r w:rsidRPr="00C83DA9">
              <w:rPr>
                <w:sz w:val="22"/>
                <w:lang w:val="fr-FR"/>
              </w:rPr>
              <w:t xml:space="preserve"> à apporter, s'est achevée dans les</w:t>
            </w:r>
            <w:r w:rsidR="000B5E7B">
              <w:rPr>
                <w:sz w:val="22"/>
                <w:lang w:val="fr-FR"/>
              </w:rPr>
              <w:t> </w:t>
            </w:r>
            <w:r w:rsidRPr="00C83DA9">
              <w:rPr>
                <w:sz w:val="22"/>
                <w:lang w:val="fr-FR"/>
              </w:rPr>
              <w:t>11</w:t>
            </w:r>
            <w:r w:rsidR="001D7A75" w:rsidRPr="00C83DA9">
              <w:rPr>
                <w:sz w:val="22"/>
                <w:lang w:val="fr-FR"/>
              </w:rPr>
              <w:t> </w:t>
            </w:r>
            <w:r w:rsidRPr="00C83DA9">
              <w:rPr>
                <w:sz w:val="22"/>
                <w:lang w:val="fr-FR"/>
              </w:rPr>
              <w:t xml:space="preserve">pays de </w:t>
            </w:r>
            <w:r w:rsidR="003011AA" w:rsidRPr="00C83DA9">
              <w:rPr>
                <w:sz w:val="22"/>
                <w:lang w:val="fr-FR"/>
              </w:rPr>
              <w:t>la Communauté économique des États de l'Afrique centrale (CEEAC)</w:t>
            </w:r>
            <w:r w:rsidRPr="00C83DA9">
              <w:rPr>
                <w:sz w:val="22"/>
                <w:lang w:val="fr-FR"/>
              </w:rPr>
              <w:t xml:space="preserve">: </w:t>
            </w:r>
            <w:r w:rsidRPr="00C83DA9">
              <w:rPr>
                <w:b/>
                <w:bCs/>
                <w:sz w:val="22"/>
                <w:lang w:val="fr-FR"/>
              </w:rPr>
              <w:t>Angola</w:t>
            </w:r>
            <w:r w:rsidRPr="00C83DA9">
              <w:rPr>
                <w:sz w:val="22"/>
                <w:lang w:val="fr-FR"/>
              </w:rPr>
              <w:t xml:space="preserve">, </w:t>
            </w:r>
            <w:r w:rsidRPr="00C83DA9">
              <w:rPr>
                <w:b/>
                <w:bCs/>
                <w:sz w:val="22"/>
                <w:lang w:val="fr-FR"/>
              </w:rPr>
              <w:t>Burundi</w:t>
            </w:r>
            <w:r w:rsidRPr="00C83DA9">
              <w:rPr>
                <w:sz w:val="22"/>
                <w:lang w:val="fr-FR"/>
              </w:rPr>
              <w:t xml:space="preserve">, </w:t>
            </w:r>
            <w:r w:rsidRPr="00C83DA9">
              <w:rPr>
                <w:b/>
                <w:bCs/>
                <w:sz w:val="22"/>
                <w:lang w:val="fr-FR"/>
              </w:rPr>
              <w:t>Cameroun</w:t>
            </w:r>
            <w:r w:rsidRPr="00C83DA9">
              <w:rPr>
                <w:sz w:val="22"/>
                <w:lang w:val="fr-FR"/>
              </w:rPr>
              <w:t xml:space="preserve">, </w:t>
            </w:r>
            <w:r w:rsidRPr="00C83DA9">
              <w:rPr>
                <w:b/>
                <w:bCs/>
                <w:sz w:val="22"/>
                <w:lang w:val="fr-FR"/>
              </w:rPr>
              <w:t>République centrafricaine</w:t>
            </w:r>
            <w:r w:rsidRPr="00C83DA9">
              <w:rPr>
                <w:sz w:val="22"/>
                <w:lang w:val="fr-FR"/>
              </w:rPr>
              <w:t xml:space="preserve">, </w:t>
            </w:r>
            <w:r w:rsidRPr="00C83DA9">
              <w:rPr>
                <w:b/>
                <w:bCs/>
                <w:sz w:val="22"/>
                <w:lang w:val="fr-FR"/>
              </w:rPr>
              <w:t>Tchad</w:t>
            </w:r>
            <w:r w:rsidRPr="00C83DA9">
              <w:rPr>
                <w:sz w:val="22"/>
                <w:lang w:val="fr-FR"/>
              </w:rPr>
              <w:t xml:space="preserve">, </w:t>
            </w:r>
            <w:r w:rsidRPr="00C83DA9">
              <w:rPr>
                <w:b/>
                <w:bCs/>
                <w:sz w:val="22"/>
                <w:lang w:val="fr-FR"/>
              </w:rPr>
              <w:t>République démocratique du Congo</w:t>
            </w:r>
            <w:r w:rsidRPr="00C83DA9">
              <w:rPr>
                <w:sz w:val="22"/>
                <w:lang w:val="fr-FR"/>
              </w:rPr>
              <w:t xml:space="preserve">, </w:t>
            </w:r>
            <w:r w:rsidRPr="00C83DA9">
              <w:rPr>
                <w:b/>
                <w:bCs/>
                <w:sz w:val="22"/>
                <w:lang w:val="fr-FR"/>
              </w:rPr>
              <w:t>Guinée équatoriale</w:t>
            </w:r>
            <w:r w:rsidRPr="00C83DA9">
              <w:rPr>
                <w:sz w:val="22"/>
                <w:lang w:val="fr-FR"/>
              </w:rPr>
              <w:t xml:space="preserve">, </w:t>
            </w:r>
            <w:r w:rsidRPr="00C83DA9">
              <w:rPr>
                <w:b/>
                <w:bCs/>
                <w:sz w:val="22"/>
                <w:lang w:val="fr-FR"/>
              </w:rPr>
              <w:t>Gabon</w:t>
            </w:r>
            <w:r w:rsidRPr="00C83DA9">
              <w:rPr>
                <w:sz w:val="22"/>
                <w:lang w:val="fr-FR"/>
              </w:rPr>
              <w:t xml:space="preserve">, </w:t>
            </w:r>
            <w:r w:rsidRPr="00C83DA9">
              <w:rPr>
                <w:b/>
                <w:bCs/>
                <w:sz w:val="22"/>
                <w:lang w:val="fr-FR"/>
              </w:rPr>
              <w:t>République du Congo</w:t>
            </w:r>
            <w:r w:rsidRPr="00C83DA9">
              <w:rPr>
                <w:sz w:val="22"/>
                <w:lang w:val="fr-FR"/>
              </w:rPr>
              <w:t xml:space="preserve">, </w:t>
            </w:r>
            <w:r w:rsidRPr="00C83DA9">
              <w:rPr>
                <w:b/>
                <w:bCs/>
                <w:sz w:val="22"/>
                <w:lang w:val="fr-FR"/>
              </w:rPr>
              <w:t>Rwanda</w:t>
            </w:r>
            <w:r w:rsidRPr="00C83DA9">
              <w:rPr>
                <w:sz w:val="22"/>
                <w:lang w:val="fr-FR"/>
              </w:rPr>
              <w:t xml:space="preserve"> et </w:t>
            </w:r>
            <w:r w:rsidRPr="00C83DA9">
              <w:rPr>
                <w:b/>
                <w:bCs/>
                <w:sz w:val="22"/>
                <w:lang w:val="fr-FR"/>
              </w:rPr>
              <w:t>Sao</w:t>
            </w:r>
            <w:r w:rsidR="001D7A75" w:rsidRPr="00C83DA9">
              <w:rPr>
                <w:b/>
                <w:bCs/>
                <w:sz w:val="22"/>
                <w:lang w:val="fr-FR"/>
              </w:rPr>
              <w:t> </w:t>
            </w:r>
            <w:r w:rsidRPr="00C83DA9">
              <w:rPr>
                <w:b/>
                <w:bCs/>
                <w:sz w:val="22"/>
                <w:lang w:val="fr-FR"/>
              </w:rPr>
              <w:t>Tomé</w:t>
            </w:r>
            <w:r w:rsidR="001D7A75" w:rsidRPr="00C83DA9">
              <w:rPr>
                <w:b/>
                <w:bCs/>
                <w:sz w:val="22"/>
                <w:lang w:val="fr-FR"/>
              </w:rPr>
              <w:noBreakHyphen/>
            </w:r>
            <w:r w:rsidRPr="00C83DA9">
              <w:rPr>
                <w:b/>
                <w:bCs/>
                <w:sz w:val="22"/>
                <w:lang w:val="fr-FR"/>
              </w:rPr>
              <w:t>et-Principe</w:t>
            </w:r>
            <w:r w:rsidR="003011AA" w:rsidRPr="00C83DA9">
              <w:rPr>
                <w:sz w:val="22"/>
                <w:lang w:val="fr-FR"/>
              </w:rPr>
              <w:t xml:space="preserve">. </w:t>
            </w:r>
            <w:r w:rsidR="003D45E1" w:rsidRPr="00C83DA9">
              <w:rPr>
                <w:sz w:val="22"/>
                <w:lang w:val="fr-FR"/>
              </w:rPr>
              <w:t>Les principales conclusions, des feuilles de route sur mesure et des recommandations</w:t>
            </w:r>
            <w:r w:rsidR="00A734FE" w:rsidRPr="00C83DA9">
              <w:rPr>
                <w:sz w:val="22"/>
                <w:lang w:val="fr-FR"/>
              </w:rPr>
              <w:t>,</w:t>
            </w:r>
            <w:r w:rsidR="003D45E1" w:rsidRPr="00C83DA9">
              <w:rPr>
                <w:sz w:val="22"/>
                <w:lang w:val="fr-FR"/>
              </w:rPr>
              <w:t xml:space="preserve"> ont été présentées aux parties prenantes à l'occasion d'un atelier organisé en Guinée équatoriale en novembre 2024. </w:t>
            </w:r>
            <w:r w:rsidR="003011AA" w:rsidRPr="00C83DA9">
              <w:rPr>
                <w:sz w:val="22"/>
                <w:lang w:val="fr-FR"/>
              </w:rPr>
              <w:t xml:space="preserve">Dans la région de la Corne de l'Afrique, l'Initiative GovStack a permis à </w:t>
            </w:r>
            <w:r w:rsidR="003011AA" w:rsidRPr="00C83DA9">
              <w:rPr>
                <w:b/>
                <w:bCs/>
                <w:sz w:val="22"/>
                <w:lang w:val="fr-FR"/>
              </w:rPr>
              <w:t>Djibouti</w:t>
            </w:r>
            <w:r w:rsidR="003011AA" w:rsidRPr="00C83DA9">
              <w:rPr>
                <w:sz w:val="22"/>
                <w:lang w:val="fr-FR"/>
              </w:rPr>
              <w:t>, à l'</w:t>
            </w:r>
            <w:r w:rsidR="003011AA" w:rsidRPr="00C83DA9">
              <w:rPr>
                <w:b/>
                <w:bCs/>
                <w:sz w:val="22"/>
                <w:lang w:val="fr-FR"/>
              </w:rPr>
              <w:t>Éthiopie</w:t>
            </w:r>
            <w:r w:rsidR="003011AA" w:rsidRPr="00C83DA9">
              <w:rPr>
                <w:sz w:val="22"/>
                <w:lang w:val="fr-FR"/>
              </w:rPr>
              <w:t xml:space="preserve"> et à la </w:t>
            </w:r>
            <w:r w:rsidR="003011AA" w:rsidRPr="00C83DA9">
              <w:rPr>
                <w:b/>
                <w:bCs/>
                <w:sz w:val="22"/>
                <w:lang w:val="fr-FR"/>
              </w:rPr>
              <w:t>Somalie</w:t>
            </w:r>
            <w:r w:rsidR="003011AA" w:rsidRPr="00C83DA9">
              <w:rPr>
                <w:sz w:val="22"/>
                <w:lang w:val="fr-FR"/>
              </w:rPr>
              <w:t xml:space="preserve"> de commencer à déployer des plates</w:t>
            </w:r>
            <w:r w:rsidR="003011AA" w:rsidRPr="00C83DA9">
              <w:rPr>
                <w:sz w:val="22"/>
                <w:lang w:val="fr-FR"/>
              </w:rPr>
              <w:noBreakHyphen/>
              <w:t xml:space="preserve">formes numériques interopérables concernant les services publics, pays ayant bénéficié d'une formation en la matière et d'une assistance technique partagée. Ces initiatives ont montré comment des </w:t>
            </w:r>
            <w:r w:rsidR="003011AA" w:rsidRPr="00C83DA9">
              <w:rPr>
                <w:b/>
                <w:bCs/>
                <w:sz w:val="22"/>
                <w:lang w:val="fr-FR"/>
              </w:rPr>
              <w:t>partenariats, lorsqu'ils sont adaptés aux contextes régionaux, pouvaient combler les lacunes systémiques</w:t>
            </w:r>
            <w:r w:rsidR="003011AA" w:rsidRPr="00C83DA9">
              <w:rPr>
                <w:sz w:val="22"/>
                <w:lang w:val="fr-FR"/>
              </w:rPr>
              <w:t xml:space="preserve"> tout en aidant la région Afrique à mieux s'approprier les questions liées au numérique.</w:t>
            </w:r>
          </w:p>
          <w:p w14:paraId="1A474EEB" w14:textId="77777777" w:rsidR="003011AA" w:rsidRPr="00C83DA9" w:rsidRDefault="003011AA" w:rsidP="003011AA">
            <w:pPr>
              <w:pStyle w:val="Tabletext"/>
              <w:widowControl w:val="0"/>
              <w:spacing w:before="120"/>
              <w:ind w:right="-85"/>
              <w:rPr>
                <w:sz w:val="22"/>
                <w:lang w:val="fr-FR"/>
              </w:rPr>
            </w:pPr>
            <w:r w:rsidRPr="00C83DA9">
              <w:rPr>
                <w:sz w:val="22"/>
                <w:lang w:val="fr-FR"/>
              </w:rPr>
              <w:t xml:space="preserve">Dans la </w:t>
            </w:r>
            <w:r w:rsidRPr="00C83DA9">
              <w:rPr>
                <w:b/>
                <w:bCs/>
                <w:sz w:val="22"/>
                <w:lang w:val="fr-FR"/>
              </w:rPr>
              <w:t>région Asie-Pacifique</w:t>
            </w:r>
            <w:r w:rsidRPr="00C83DA9">
              <w:rPr>
                <w:sz w:val="22"/>
                <w:lang w:val="fr-FR"/>
              </w:rPr>
              <w:t>, les partenariats ont encouragé la mise en place tant de programmes à grande échelle que d'initiatives locales. L'Initiative "</w:t>
            </w:r>
            <w:r w:rsidRPr="00C83DA9">
              <w:rPr>
                <w:b/>
                <w:bCs/>
                <w:sz w:val="22"/>
                <w:lang w:val="fr-FR"/>
              </w:rPr>
              <w:t>Villages intelligents et îles intelligentes</w:t>
            </w:r>
            <w:r w:rsidRPr="00C83DA9">
              <w:rPr>
                <w:sz w:val="22"/>
                <w:lang w:val="fr-FR"/>
              </w:rPr>
              <w:t xml:space="preserve">", mise en œuvre en collaboration avec des universités régionales et les autorités locales, a permis de connecter des communautés de </w:t>
            </w:r>
            <w:r w:rsidRPr="00C83DA9">
              <w:rPr>
                <w:b/>
                <w:bCs/>
                <w:sz w:val="22"/>
                <w:lang w:val="fr-FR"/>
              </w:rPr>
              <w:t>Kiribati</w:t>
            </w:r>
            <w:r w:rsidRPr="00C83DA9">
              <w:rPr>
                <w:sz w:val="22"/>
                <w:lang w:val="fr-FR"/>
              </w:rPr>
              <w:t xml:space="preserve">, de </w:t>
            </w:r>
            <w:r w:rsidRPr="00C83DA9">
              <w:rPr>
                <w:b/>
                <w:bCs/>
                <w:sz w:val="22"/>
                <w:lang w:val="fr-FR"/>
              </w:rPr>
              <w:t>Nauru</w:t>
            </w:r>
            <w:r w:rsidRPr="00C83DA9">
              <w:rPr>
                <w:sz w:val="22"/>
                <w:lang w:val="fr-FR"/>
              </w:rPr>
              <w:t xml:space="preserve"> ainsi que d'autres pays du Pacifique, en leur offrant des services groupés dans les domaines de la santé, de l'éducation et de la finance. La conception du projet a tenu compte de partenariats communautaires solides afin de garantir que la technologie était adaptée aux réalités culturelles et géographiques. Parallèlement, la collaboration de l'UIT avec la Télécommunauté Asie-Pacifique et des partenaires de développement a permis d'étendre la formation en matière de réglementation et les exercices de prospective, dotant ainsi les pays d'outils politiques pour gérer l'économie numérique. </w:t>
            </w:r>
            <w:r w:rsidRPr="00C83DA9">
              <w:rPr>
                <w:sz w:val="22"/>
                <w:lang w:val="fr-FR"/>
              </w:rPr>
              <w:lastRenderedPageBreak/>
              <w:t xml:space="preserve">Dans les </w:t>
            </w:r>
            <w:r w:rsidRPr="00C83DA9">
              <w:rPr>
                <w:b/>
                <w:bCs/>
                <w:sz w:val="22"/>
                <w:lang w:val="fr-FR"/>
              </w:rPr>
              <w:t>régions de l'Asie du Sud et du Sud</w:t>
            </w:r>
            <w:r w:rsidRPr="00C83DA9">
              <w:rPr>
                <w:b/>
                <w:bCs/>
                <w:sz w:val="22"/>
                <w:lang w:val="fr-FR"/>
              </w:rPr>
              <w:noBreakHyphen/>
              <w:t>Est</w:t>
            </w:r>
            <w:r w:rsidRPr="00C83DA9">
              <w:rPr>
                <w:sz w:val="22"/>
                <w:lang w:val="fr-FR"/>
              </w:rPr>
              <w:t>, la conclusion de partenariats a facilité les activités de renforcement des capacités et les études d'accessibilité financière menées dans le cadre de l'Initiative GovStack, ce qui témoigne de la double orientation de la région en ce qui concerne les cadres de gouvernance et la fourniture de services.</w:t>
            </w:r>
          </w:p>
          <w:p w14:paraId="3CAB4A4A" w14:textId="77777777" w:rsidR="003011AA" w:rsidRPr="00C83DA9" w:rsidRDefault="003011AA" w:rsidP="003011AA">
            <w:pPr>
              <w:pStyle w:val="Tabletext"/>
              <w:widowControl w:val="0"/>
              <w:spacing w:before="120"/>
              <w:ind w:right="-85"/>
              <w:rPr>
                <w:rFonts w:ascii="Calibri" w:hAnsi="Calibri" w:cs="Calibri"/>
                <w:sz w:val="22"/>
                <w:lang w:val="fr-FR"/>
              </w:rPr>
            </w:pPr>
            <w:r w:rsidRPr="00C83DA9">
              <w:rPr>
                <w:sz w:val="22"/>
                <w:lang w:val="fr-FR"/>
              </w:rPr>
              <w:t xml:space="preserve">Dans la </w:t>
            </w:r>
            <w:r w:rsidRPr="00C83DA9">
              <w:rPr>
                <w:b/>
                <w:bCs/>
                <w:sz w:val="22"/>
                <w:lang w:val="fr-FR"/>
              </w:rPr>
              <w:t>région Amériques</w:t>
            </w:r>
            <w:r w:rsidRPr="00C83DA9">
              <w:rPr>
                <w:sz w:val="22"/>
                <w:lang w:val="fr-FR"/>
              </w:rPr>
              <w:t>, avec le soutien de la Banque mondiale et de partenaires régionaux, le BDT a aidé l'</w:t>
            </w:r>
            <w:r w:rsidRPr="00C83DA9">
              <w:rPr>
                <w:b/>
                <w:bCs/>
                <w:sz w:val="22"/>
                <w:lang w:val="fr-FR"/>
              </w:rPr>
              <w:t>Argentine</w:t>
            </w:r>
            <w:r w:rsidRPr="00C83DA9">
              <w:rPr>
                <w:sz w:val="22"/>
                <w:lang w:val="fr-FR"/>
              </w:rPr>
              <w:t xml:space="preserve"> et la </w:t>
            </w:r>
            <w:r w:rsidRPr="00C83DA9">
              <w:rPr>
                <w:b/>
                <w:bCs/>
                <w:sz w:val="22"/>
                <w:lang w:val="fr-FR"/>
              </w:rPr>
              <w:t>République dominicaine</w:t>
            </w:r>
            <w:r w:rsidRPr="00C83DA9">
              <w:rPr>
                <w:sz w:val="22"/>
                <w:lang w:val="fr-FR"/>
              </w:rPr>
              <w:t xml:space="preserve"> à faire progresser leurs stratégies numériques nationales, tandis que la </w:t>
            </w:r>
            <w:r w:rsidRPr="00C83DA9">
              <w:rPr>
                <w:b/>
                <w:bCs/>
                <w:sz w:val="22"/>
                <w:lang w:val="fr-FR"/>
              </w:rPr>
              <w:t>Colombie</w:t>
            </w:r>
            <w:r w:rsidRPr="00C83DA9">
              <w:rPr>
                <w:sz w:val="22"/>
                <w:lang w:val="fr-FR"/>
              </w:rPr>
              <w:t xml:space="preserve"> a aligné ses cadres sur les initiatives régionales. Dans les Caraïbes, les partenariats conclus avec l'OECO et les régulateurs ont contribué à la réalisation d'enquêtes sur l'accessibilité financière et d'études de faisabilité en vue de la création d'une éventuelle "autorité de réglementation unique", ainsi qu'à une harmonisation de la surveillance. Les </w:t>
            </w:r>
            <w:r w:rsidRPr="00C83DA9">
              <w:rPr>
                <w:b/>
                <w:bCs/>
                <w:sz w:val="22"/>
                <w:lang w:val="fr-FR"/>
              </w:rPr>
              <w:t>Colloques sur les politiques générales et l'économie</w:t>
            </w:r>
            <w:r w:rsidRPr="00C83DA9">
              <w:rPr>
                <w:sz w:val="22"/>
                <w:lang w:val="fr-FR"/>
              </w:rPr>
              <w:t>, organisés conjointement avec des universités et des groupes de réflexion, ont conduit à la création de plates-formes sur lesquelles les données statistiques et les expériences en matière de réglementation recueillies étaient directement liées aux dialogues sur le financement et l'investissement. Ces partenariats ont témoigné d'une volonté de mettre l'accent sur l'harmonisation des priorités nationales avec les priorités économiques régionales plus larges dans la région Amériques.</w:t>
            </w:r>
          </w:p>
          <w:p w14:paraId="124DC636" w14:textId="77777777" w:rsidR="003011AA" w:rsidRPr="00C83DA9" w:rsidRDefault="003011AA" w:rsidP="003011AA">
            <w:pPr>
              <w:pStyle w:val="Tabletext"/>
              <w:widowControl w:val="0"/>
              <w:spacing w:before="120"/>
              <w:ind w:right="-85"/>
              <w:rPr>
                <w:rFonts w:ascii="Calibri" w:hAnsi="Calibri" w:cs="Calibri"/>
                <w:sz w:val="22"/>
                <w:lang w:val="fr-FR"/>
              </w:rPr>
            </w:pPr>
            <w:r w:rsidRPr="00C83DA9">
              <w:rPr>
                <w:sz w:val="22"/>
                <w:lang w:val="fr-FR"/>
              </w:rPr>
              <w:t xml:space="preserve">Dans la </w:t>
            </w:r>
            <w:r w:rsidRPr="00C83DA9">
              <w:rPr>
                <w:b/>
                <w:bCs/>
                <w:sz w:val="22"/>
                <w:lang w:val="fr-FR"/>
              </w:rPr>
              <w:t>région des États arabes</w:t>
            </w:r>
            <w:r w:rsidRPr="00C83DA9">
              <w:rPr>
                <w:sz w:val="22"/>
                <w:lang w:val="fr-FR"/>
              </w:rPr>
              <w:t xml:space="preserve">, </w:t>
            </w:r>
            <w:r w:rsidRPr="00C83DA9">
              <w:rPr>
                <w:b/>
                <w:bCs/>
                <w:sz w:val="22"/>
                <w:lang w:val="fr-FR"/>
              </w:rPr>
              <w:t>Djibouti</w:t>
            </w:r>
            <w:r w:rsidRPr="00C83DA9">
              <w:rPr>
                <w:sz w:val="22"/>
                <w:lang w:val="fr-FR"/>
              </w:rPr>
              <w:t xml:space="preserve"> et la </w:t>
            </w:r>
            <w:r w:rsidRPr="00C83DA9">
              <w:rPr>
                <w:b/>
                <w:bCs/>
                <w:sz w:val="22"/>
                <w:lang w:val="fr-FR"/>
              </w:rPr>
              <w:t>Somalie</w:t>
            </w:r>
            <w:r w:rsidRPr="00C83DA9">
              <w:rPr>
                <w:sz w:val="22"/>
                <w:lang w:val="fr-FR"/>
              </w:rPr>
              <w:t xml:space="preserve"> ont été parmi les premiers à adopter le modèle GovStack dans le cadre de l'initiative pour la Corne de l'Afrique, tandis qu'en </w:t>
            </w:r>
            <w:r w:rsidRPr="00C83DA9">
              <w:rPr>
                <w:b/>
                <w:bCs/>
                <w:sz w:val="22"/>
                <w:lang w:val="fr-FR"/>
              </w:rPr>
              <w:t>Mauritanie</w:t>
            </w:r>
            <w:r w:rsidRPr="00C83DA9">
              <w:rPr>
                <w:sz w:val="22"/>
                <w:lang w:val="fr-FR"/>
              </w:rPr>
              <w:t>, trois prototypes de services numériques ont été conçus et développés conjointement par des parties prenantes locales dans le cadre du projet Govstack. En outre, l'</w:t>
            </w:r>
            <w:r w:rsidRPr="00C83DA9">
              <w:rPr>
                <w:b/>
                <w:bCs/>
                <w:sz w:val="22"/>
                <w:lang w:val="fr-FR"/>
              </w:rPr>
              <w:t>Égypte</w:t>
            </w:r>
            <w:r w:rsidRPr="00C83DA9">
              <w:rPr>
                <w:sz w:val="22"/>
                <w:lang w:val="fr-FR"/>
              </w:rPr>
              <w:t xml:space="preserve"> a organisé des activités de renforcement des capacités liées aux stratégies relatives aux villes intelligentes. La conclusion de partenariats dans le cadre du </w:t>
            </w:r>
            <w:hyperlink r:id="rId174" w:history="1">
              <w:r w:rsidRPr="00C83DA9">
                <w:rPr>
                  <w:color w:val="0000FF"/>
                  <w:sz w:val="22"/>
                  <w:u w:val="single"/>
                  <w:lang w:val="fr-FR"/>
                </w:rPr>
                <w:t>programme iCodi de l'UIT</w:t>
              </w:r>
            </w:hyperlink>
            <w:r w:rsidRPr="00C83DA9">
              <w:rPr>
                <w:sz w:val="22"/>
                <w:lang w:val="fr-FR"/>
              </w:rPr>
              <w:t xml:space="preserve"> a permis aux </w:t>
            </w:r>
            <w:r w:rsidRPr="00C83DA9">
              <w:rPr>
                <w:b/>
                <w:bCs/>
                <w:sz w:val="22"/>
                <w:lang w:val="fr-FR"/>
              </w:rPr>
              <w:t>Émirats arabes unis</w:t>
            </w:r>
            <w:r w:rsidRPr="00C83DA9">
              <w:rPr>
                <w:sz w:val="22"/>
                <w:lang w:val="fr-FR"/>
              </w:rPr>
              <w:t xml:space="preserve"> de contribuer à la mise en place d'ateliers annuels à l'échelle mondiale et régionale axés sur des activités de renforcement des capacités collaboratives et innovantes à l'intention des membres de l'</w:t>
            </w:r>
            <w:hyperlink r:id="rId175" w:anchor="/fr" w:history="1">
              <w:r w:rsidRPr="00C83DA9">
                <w:rPr>
                  <w:color w:val="0000FF"/>
                  <w:sz w:val="22"/>
                  <w:u w:val="single"/>
                  <w:lang w:val="fr-FR"/>
                </w:rPr>
                <w:t>Alliance de l'innovation et de l'entrepreneuriat au service du développement du numérique</w:t>
              </w:r>
            </w:hyperlink>
            <w:r w:rsidRPr="00C83DA9">
              <w:rPr>
                <w:sz w:val="22"/>
                <w:lang w:val="fr-FR"/>
              </w:rPr>
              <w:t>, ayant pour objet, au niveau régional, l'établissement d'une analyse prospective stratégique et la définition des priorités à cet égard. Ces activités démontrent la volonté de la région de transformer les partenariats numériques en moteurs de la modernisation et de la diversification sur le plan économique.</w:t>
            </w:r>
            <w:hyperlink r:id="rId176"/>
            <w:hyperlink r:id="rId177" w:history="1"/>
          </w:p>
          <w:p w14:paraId="4CB9CA7A" w14:textId="31C372B8" w:rsidR="003011AA" w:rsidRPr="00C83DA9" w:rsidRDefault="003011AA" w:rsidP="003011AA">
            <w:pPr>
              <w:pStyle w:val="Tabletext"/>
              <w:widowControl w:val="0"/>
              <w:spacing w:before="120"/>
              <w:ind w:right="-85"/>
              <w:rPr>
                <w:rFonts w:ascii="Calibri" w:hAnsi="Calibri" w:cs="Calibri"/>
                <w:sz w:val="22"/>
                <w:lang w:val="fr-FR"/>
              </w:rPr>
            </w:pPr>
            <w:r w:rsidRPr="00C83DA9">
              <w:rPr>
                <w:sz w:val="22"/>
                <w:lang w:val="fr-FR"/>
              </w:rPr>
              <w:t xml:space="preserve">Dans la </w:t>
            </w:r>
            <w:r w:rsidRPr="00C83DA9">
              <w:rPr>
                <w:b/>
                <w:bCs/>
                <w:sz w:val="22"/>
                <w:lang w:val="fr-FR"/>
              </w:rPr>
              <w:t>région Europe</w:t>
            </w:r>
            <w:r w:rsidRPr="00C83DA9">
              <w:rPr>
                <w:sz w:val="22"/>
                <w:lang w:val="fr-FR"/>
              </w:rPr>
              <w:t>, les partenariats conclus étaient étroitement liés aux programmes nationaux et alignés sur les stratégies numériques définies par l'Union européenne. L'</w:t>
            </w:r>
            <w:r w:rsidRPr="00C83DA9">
              <w:rPr>
                <w:b/>
                <w:bCs/>
                <w:sz w:val="22"/>
                <w:lang w:val="fr-FR"/>
              </w:rPr>
              <w:t>Albanie</w:t>
            </w:r>
            <w:r w:rsidRPr="00C83DA9">
              <w:rPr>
                <w:sz w:val="22"/>
                <w:lang w:val="fr-FR"/>
              </w:rPr>
              <w:t xml:space="preserve">, le </w:t>
            </w:r>
            <w:r w:rsidRPr="00C83DA9">
              <w:rPr>
                <w:b/>
                <w:bCs/>
                <w:sz w:val="22"/>
                <w:lang w:val="fr-FR"/>
              </w:rPr>
              <w:t>Monténégro</w:t>
            </w:r>
            <w:r w:rsidRPr="00C83DA9">
              <w:rPr>
                <w:sz w:val="22"/>
                <w:lang w:val="fr-FR"/>
              </w:rPr>
              <w:t xml:space="preserve"> et la </w:t>
            </w:r>
            <w:r w:rsidRPr="00C83DA9">
              <w:rPr>
                <w:b/>
                <w:bCs/>
                <w:sz w:val="22"/>
                <w:lang w:val="fr-FR"/>
              </w:rPr>
              <w:t>Serbie</w:t>
            </w:r>
            <w:r w:rsidRPr="00C83DA9">
              <w:rPr>
                <w:sz w:val="22"/>
                <w:lang w:val="fr-FR"/>
              </w:rPr>
              <w:t xml:space="preserve"> ont élaboré des profils de pays dans le domaine du développement numérique avec l'appui du BDT, en intégrant des données sur l'accessibilité financière, les infrastructures et la gouvernance dans des feuilles de route nationales réalisables. L'</w:t>
            </w:r>
            <w:hyperlink r:id="rId178" w:anchor="/fr" w:history="1">
              <w:r w:rsidRPr="00C83DA9">
                <w:rPr>
                  <w:color w:val="0000FF"/>
                  <w:sz w:val="22"/>
                  <w:u w:val="single"/>
                  <w:lang w:val="fr-FR"/>
                </w:rPr>
                <w:t>Accélérateur d'initiatives régionales</w:t>
              </w:r>
            </w:hyperlink>
            <w:r w:rsidRPr="00C83DA9">
              <w:rPr>
                <w:sz w:val="22"/>
                <w:lang w:val="fr-FR"/>
              </w:rPr>
              <w:t xml:space="preserve">, organisé par le </w:t>
            </w:r>
            <w:r w:rsidRPr="00C83DA9">
              <w:rPr>
                <w:b/>
                <w:bCs/>
                <w:sz w:val="22"/>
                <w:lang w:val="fr-FR"/>
              </w:rPr>
              <w:t>Monténégro</w:t>
            </w:r>
            <w:r w:rsidRPr="00C83DA9">
              <w:rPr>
                <w:sz w:val="22"/>
                <w:lang w:val="fr-FR"/>
              </w:rPr>
              <w:t xml:space="preserve"> en</w:t>
            </w:r>
            <w:r w:rsidR="00224289" w:rsidRPr="00C83DA9">
              <w:rPr>
                <w:sz w:val="22"/>
                <w:lang w:val="fr-FR"/>
              </w:rPr>
              <w:t> </w:t>
            </w:r>
            <w:r w:rsidRPr="00C83DA9">
              <w:rPr>
                <w:sz w:val="22"/>
                <w:lang w:val="fr-FR"/>
              </w:rPr>
              <w:t xml:space="preserve">2025 et mis au point en collaboration avec l'UNOPS et d'autres partenaires, a produit 20 millions USD en concepts de projets pour les </w:t>
            </w:r>
            <w:r w:rsidRPr="00C83DA9">
              <w:rPr>
                <w:b/>
                <w:bCs/>
                <w:sz w:val="22"/>
                <w:lang w:val="fr-FR"/>
              </w:rPr>
              <w:t>Balkans occidentaux</w:t>
            </w:r>
            <w:r w:rsidRPr="00C83DA9">
              <w:rPr>
                <w:sz w:val="22"/>
                <w:lang w:val="fr-FR"/>
              </w:rPr>
              <w:t xml:space="preserve">, ce qui témoigne de la façon dont les partenariats permettent une mobilisation directe de ressources aux fins de la mise en œuvre. Le </w:t>
            </w:r>
            <w:hyperlink r:id="rId179" w:history="1">
              <w:r w:rsidRPr="00C83DA9">
                <w:rPr>
                  <w:color w:val="0000FF"/>
                  <w:sz w:val="22"/>
                  <w:u w:val="single"/>
                  <w:lang w:val="fr-FR"/>
                </w:rPr>
                <w:t xml:space="preserve">rapport intitulé "Paysage de l'innovation de </w:t>
              </w:r>
              <w:r w:rsidRPr="00C83DA9">
                <w:rPr>
                  <w:b/>
                  <w:bCs/>
                  <w:color w:val="0000FF"/>
                  <w:sz w:val="22"/>
                  <w:u w:val="single"/>
                  <w:lang w:val="fr-FR"/>
                </w:rPr>
                <w:t>Malte</w:t>
              </w:r>
              <w:r w:rsidRPr="00C83DA9">
                <w:rPr>
                  <w:color w:val="0000FF"/>
                  <w:sz w:val="22"/>
                  <w:u w:val="single"/>
                  <w:lang w:val="fr-FR"/>
                </w:rPr>
                <w:t>"</w:t>
              </w:r>
            </w:hyperlink>
            <w:r w:rsidRPr="00C83DA9">
              <w:rPr>
                <w:sz w:val="22"/>
                <w:lang w:val="fr-FR"/>
              </w:rPr>
              <w:t xml:space="preserve">, présenté lors du </w:t>
            </w:r>
            <w:hyperlink r:id="rId180" w:anchor="/fr" w:history="1">
              <w:r w:rsidRPr="00C83DA9">
                <w:rPr>
                  <w:color w:val="0000FF"/>
                  <w:sz w:val="22"/>
                  <w:u w:val="single"/>
                  <w:lang w:val="fr-FR"/>
                </w:rPr>
                <w:t>Forum mondial de l'innovation</w:t>
              </w:r>
            </w:hyperlink>
            <w:r w:rsidRPr="00C83DA9">
              <w:rPr>
                <w:sz w:val="22"/>
                <w:lang w:val="fr-FR"/>
              </w:rPr>
              <w:t>, a montré comment les données probantes et les partenariats peuvent positionner les petits États en tant que modèles pour l'intégration d'écosystèmes. Ces exemples mettent en évidence le rôle de l'Europe en tant que terrain d'essai pour des partenariats numériques structurés et fondés sur des données factuelles.</w:t>
            </w:r>
            <w:hyperlink r:id="rId181"/>
            <w:hyperlink r:id="rId182"/>
            <w:hyperlink r:id="rId183"/>
          </w:p>
          <w:p w14:paraId="0E998164" w14:textId="77777777" w:rsidR="003011AA" w:rsidRPr="00C83DA9" w:rsidRDefault="003011AA" w:rsidP="003011AA">
            <w:pPr>
              <w:pStyle w:val="Tabletext"/>
              <w:widowControl w:val="0"/>
              <w:spacing w:before="120" w:after="120"/>
              <w:ind w:right="-85"/>
              <w:rPr>
                <w:sz w:val="22"/>
                <w:lang w:val="fr-FR"/>
              </w:rPr>
            </w:pPr>
            <w:r w:rsidRPr="00C83DA9">
              <w:rPr>
                <w:sz w:val="22"/>
                <w:lang w:val="fr-FR"/>
              </w:rPr>
              <w:t xml:space="preserve">Dans la </w:t>
            </w:r>
            <w:r w:rsidRPr="00C83DA9">
              <w:rPr>
                <w:b/>
                <w:bCs/>
                <w:sz w:val="22"/>
                <w:lang w:val="fr-FR"/>
              </w:rPr>
              <w:t>région de la CEI</w:t>
            </w:r>
            <w:r w:rsidRPr="00C83DA9">
              <w:rPr>
                <w:sz w:val="22"/>
                <w:lang w:val="fr-FR"/>
              </w:rPr>
              <w:t xml:space="preserve">, les partenariats étaient avant tout axés sur le développement d'infrastructures, l'entrepreneuriat numérique et la participation des jeunes. Le concours "Batken 4.0" organisé au </w:t>
            </w:r>
            <w:r w:rsidRPr="00C83DA9">
              <w:rPr>
                <w:b/>
                <w:bCs/>
                <w:sz w:val="22"/>
                <w:lang w:val="fr-FR"/>
              </w:rPr>
              <w:t>Kirghizistan</w:t>
            </w:r>
            <w:r w:rsidRPr="00C83DA9">
              <w:rPr>
                <w:sz w:val="22"/>
                <w:lang w:val="fr-FR"/>
              </w:rPr>
              <w:t xml:space="preserve">, qui a bénéficié d'un appui dans le cadre des programmes d'innovation de l'UIT, a permis à des municipalités, à des universités et à des entrepreneurs de créer conjointement des solutions </w:t>
            </w:r>
            <w:r w:rsidRPr="00C83DA9">
              <w:rPr>
                <w:sz w:val="22"/>
                <w:lang w:val="fr-FR"/>
              </w:rPr>
              <w:lastRenderedPageBreak/>
              <w:t>numériques pour relever les défis locaux. L'</w:t>
            </w:r>
            <w:r w:rsidRPr="00C83DA9">
              <w:rPr>
                <w:b/>
                <w:bCs/>
                <w:sz w:val="22"/>
                <w:lang w:val="fr-FR"/>
              </w:rPr>
              <w:t>Arménie</w:t>
            </w:r>
            <w:r w:rsidRPr="00C83DA9">
              <w:rPr>
                <w:sz w:val="22"/>
                <w:lang w:val="fr-FR"/>
              </w:rPr>
              <w:t xml:space="preserve"> a organisé des ateliers sur l'évaluation de la qualité de service, en alignant les capacités statistiques sur les besoins réglementaires, tandis que l'</w:t>
            </w:r>
            <w:r w:rsidRPr="00C83DA9">
              <w:rPr>
                <w:b/>
                <w:bCs/>
                <w:sz w:val="22"/>
                <w:lang w:val="fr-FR"/>
              </w:rPr>
              <w:t>Azerbaïdjan</w:t>
            </w:r>
            <w:r w:rsidRPr="00C83DA9">
              <w:rPr>
                <w:sz w:val="22"/>
                <w:lang w:val="fr-FR"/>
              </w:rPr>
              <w:t xml:space="preserve"> a entrepris des évaluations de l'état de préparation concernant les partenariats en matière de cybersécurité. Des forums régionaux ont facilité la collaboration sur les plates-formes d'administration en ligne, appuyée par le déploiement d'un projet régional. Ces activités ont permis d'illustrer la façon dont les partenariats dans la </w:t>
            </w:r>
            <w:r w:rsidRPr="00C83DA9">
              <w:rPr>
                <w:b/>
                <w:bCs/>
                <w:sz w:val="22"/>
                <w:lang w:val="fr-FR"/>
              </w:rPr>
              <w:t>région de la CEI</w:t>
            </w:r>
            <w:r w:rsidRPr="00C83DA9">
              <w:rPr>
                <w:sz w:val="22"/>
                <w:lang w:val="fr-FR"/>
              </w:rPr>
              <w:t xml:space="preserve"> ont été adaptés pour renforcer à la fois la résilience nationale et la coopération internationale, en intégrant la collaboration dans les systèmes d'innovation locaux ainsi que dans les cadres de gouvernance régionaux.</w:t>
            </w:r>
          </w:p>
        </w:tc>
        <w:tc>
          <w:tcPr>
            <w:tcW w:w="2562" w:type="dxa"/>
          </w:tcPr>
          <w:p w14:paraId="32058F5A" w14:textId="77777777" w:rsidR="003011AA" w:rsidRPr="00C83DA9" w:rsidRDefault="003011AA" w:rsidP="0067293A">
            <w:pPr>
              <w:pStyle w:val="Tabletext"/>
              <w:keepNext/>
              <w:spacing w:before="120"/>
              <w:rPr>
                <w:rFonts w:eastAsia="Times New Roman" w:cs="Times New Roman"/>
                <w:b/>
                <w:bCs/>
                <w:color w:val="0070C0"/>
                <w:kern w:val="0"/>
                <w:sz w:val="22"/>
                <w:lang w:val="fr-FR"/>
                <w14:ligatures w14:val="none"/>
              </w:rPr>
            </w:pPr>
            <w:r w:rsidRPr="00C83DA9">
              <w:rPr>
                <w:rFonts w:eastAsia="Times New Roman" w:cs="Times New Roman"/>
                <w:b/>
                <w:bCs/>
                <w:color w:val="0070C0"/>
                <w:kern w:val="0"/>
                <w:sz w:val="22"/>
                <w:lang w:val="fr-FR"/>
                <w14:ligatures w14:val="none"/>
              </w:rPr>
              <w:lastRenderedPageBreak/>
              <w:t>2023-2025:</w:t>
            </w:r>
          </w:p>
          <w:p w14:paraId="1A59481D" w14:textId="4E7E7181" w:rsidR="003011AA" w:rsidRPr="00C83DA9" w:rsidRDefault="003011AA"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color w:val="1F497D" w:themeColor="text2"/>
                <w:sz w:val="22"/>
                <w:lang w:val="fr-FR"/>
              </w:rPr>
              <w:t>•</w:t>
            </w:r>
            <w:r w:rsidRPr="00C83DA9">
              <w:rPr>
                <w:color w:val="1F497D" w:themeColor="text2"/>
                <w:sz w:val="22"/>
                <w:lang w:val="fr-FR"/>
              </w:rPr>
              <w:tab/>
              <w:t xml:space="preserve">Conclusion de </w:t>
            </w:r>
            <w:r w:rsidR="005F071D" w:rsidRPr="00C83DA9">
              <w:rPr>
                <w:color w:val="1F497D" w:themeColor="text2"/>
                <w:sz w:val="22"/>
                <w:lang w:val="fr-FR"/>
              </w:rPr>
              <w:t>plus de</w:t>
            </w:r>
            <w:r w:rsidR="005131CC" w:rsidRPr="00C83DA9">
              <w:rPr>
                <w:color w:val="1F497D" w:themeColor="text2"/>
                <w:sz w:val="22"/>
                <w:lang w:val="fr-FR"/>
              </w:rPr>
              <w:t xml:space="preserve"> </w:t>
            </w:r>
            <w:r w:rsidR="005F071D" w:rsidRPr="00C83DA9">
              <w:rPr>
                <w:color w:val="1F497D" w:themeColor="text2"/>
                <w:sz w:val="22"/>
                <w:lang w:val="fr-FR"/>
              </w:rPr>
              <w:t>200 </w:t>
            </w:r>
            <w:r w:rsidRPr="00C83DA9">
              <w:rPr>
                <w:color w:val="1F497D" w:themeColor="text2"/>
                <w:sz w:val="22"/>
                <w:lang w:val="fr-FR"/>
              </w:rPr>
              <w:t xml:space="preserve">nouveaux </w:t>
            </w:r>
            <w:r w:rsidRPr="00C83DA9">
              <w:rPr>
                <w:rFonts w:eastAsiaTheme="minorEastAsia"/>
                <w:color w:val="1F497D" w:themeColor="text2"/>
                <w:sz w:val="22"/>
                <w:lang w:val="fr-FR"/>
              </w:rPr>
              <w:t>accords, pour un montant de 60,8 millions USD.</w:t>
            </w:r>
          </w:p>
          <w:p w14:paraId="6E3040E5" w14:textId="77777777" w:rsidR="003011AA" w:rsidRPr="00C83DA9" w:rsidRDefault="003011AA"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Conclusion de 27 plans</w:t>
            </w:r>
            <w:r w:rsidRPr="00C83DA9">
              <w:rPr>
                <w:rFonts w:eastAsiaTheme="minorEastAsia"/>
                <w:color w:val="1F497D" w:themeColor="text2"/>
                <w:sz w:val="22"/>
                <w:lang w:val="fr-FR"/>
              </w:rPr>
              <w:noBreakHyphen/>
              <w:t>cadres de coopération des Nations Unies pour le développement durable.</w:t>
            </w:r>
          </w:p>
          <w:p w14:paraId="4C369284" w14:textId="1848EE9E" w:rsidR="003011AA" w:rsidRPr="00C83DA9" w:rsidRDefault="003011AA" w:rsidP="00202BFA">
            <w:pPr>
              <w:pStyle w:val="enumlev1"/>
              <w:tabs>
                <w:tab w:val="clear" w:pos="1134"/>
              </w:tabs>
              <w:spacing w:before="40" w:after="40"/>
              <w:ind w:left="386" w:right="-102" w:hanging="386"/>
              <w:rPr>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 xml:space="preserve">Lancement de </w:t>
            </w:r>
            <w:r w:rsidR="00CE4135" w:rsidRPr="00C83DA9">
              <w:rPr>
                <w:rFonts w:eastAsiaTheme="minorEastAsia"/>
                <w:color w:val="1F497D" w:themeColor="text2"/>
                <w:sz w:val="22"/>
                <w:lang w:val="fr-FR"/>
              </w:rPr>
              <w:t>78 </w:t>
            </w:r>
            <w:r w:rsidRPr="00C83DA9">
              <w:rPr>
                <w:rFonts w:eastAsiaTheme="minorEastAsia"/>
                <w:color w:val="1F497D" w:themeColor="text2"/>
                <w:sz w:val="22"/>
                <w:lang w:val="fr-FR"/>
              </w:rPr>
              <w:t>nouveaux</w:t>
            </w:r>
            <w:r w:rsidRPr="00C83DA9">
              <w:rPr>
                <w:color w:val="1F497D" w:themeColor="text2"/>
                <w:sz w:val="22"/>
                <w:lang w:val="fr-FR"/>
              </w:rPr>
              <w:t xml:space="preserve"> projets de développement numérique.</w:t>
            </w:r>
          </w:p>
          <w:p w14:paraId="649FBF92" w14:textId="77777777" w:rsidR="003011AA" w:rsidRPr="00C83DA9" w:rsidRDefault="003011AA" w:rsidP="0067293A">
            <w:pPr>
              <w:pStyle w:val="Tabletext"/>
              <w:keepNext/>
              <w:spacing w:before="120"/>
              <w:rPr>
                <w:rFonts w:eastAsia="Times New Roman" w:cs="Times New Roman"/>
                <w:b/>
                <w:bCs/>
                <w:color w:val="0070C0"/>
                <w:kern w:val="0"/>
                <w:sz w:val="22"/>
                <w:lang w:val="fr-FR"/>
                <w14:ligatures w14:val="none"/>
              </w:rPr>
            </w:pPr>
            <w:r w:rsidRPr="00C83DA9">
              <w:rPr>
                <w:rFonts w:eastAsia="Times New Roman" w:cs="Times New Roman"/>
                <w:b/>
                <w:bCs/>
                <w:color w:val="0070C0"/>
                <w:kern w:val="0"/>
                <w:sz w:val="22"/>
                <w:lang w:val="fr-FR"/>
                <w14:ligatures w14:val="none"/>
              </w:rPr>
              <w:t>PMA, PDSL et PEID mobilisés ou aidés:</w:t>
            </w:r>
          </w:p>
          <w:p w14:paraId="5F853A46" w14:textId="48415C06" w:rsidR="003011AA" w:rsidRPr="00C83DA9" w:rsidRDefault="003011AA"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color w:val="1F497D" w:themeColor="text2"/>
                <w:sz w:val="22"/>
                <w:lang w:val="fr-FR"/>
              </w:rPr>
              <w:t>•</w:t>
            </w:r>
            <w:r w:rsidRPr="00C83DA9">
              <w:rPr>
                <w:color w:val="1F497D" w:themeColor="text2"/>
                <w:sz w:val="22"/>
                <w:lang w:val="fr-FR"/>
              </w:rPr>
              <w:tab/>
            </w:r>
            <w:r w:rsidR="001D7A75" w:rsidRPr="00C83DA9">
              <w:rPr>
                <w:color w:val="1F497D" w:themeColor="text2"/>
                <w:sz w:val="22"/>
                <w:lang w:val="fr-FR"/>
              </w:rPr>
              <w:t>6</w:t>
            </w:r>
            <w:r w:rsidRPr="00C83DA9">
              <w:rPr>
                <w:color w:val="1F497D" w:themeColor="text2"/>
                <w:sz w:val="22"/>
                <w:lang w:val="fr-FR"/>
              </w:rPr>
              <w:t xml:space="preserve"> pays ont été </w:t>
            </w:r>
            <w:r w:rsidRPr="00C83DA9">
              <w:rPr>
                <w:rFonts w:eastAsiaTheme="minorEastAsia"/>
                <w:color w:val="1F497D" w:themeColor="text2"/>
                <w:sz w:val="22"/>
                <w:lang w:val="fr-FR"/>
              </w:rPr>
              <w:t>mobilisés.</w:t>
            </w:r>
          </w:p>
          <w:p w14:paraId="15198166" w14:textId="191FF51F" w:rsidR="003011AA" w:rsidRPr="00C83DA9" w:rsidRDefault="003011AA" w:rsidP="00202BFA">
            <w:pPr>
              <w:pStyle w:val="enumlev1"/>
              <w:tabs>
                <w:tab w:val="clear" w:pos="1134"/>
              </w:tabs>
              <w:spacing w:before="40" w:after="40"/>
              <w:ind w:left="386" w:right="-102" w:hanging="386"/>
              <w:rPr>
                <w:rFonts w:ascii="Calibri" w:hAnsi="Calibri" w:cs="Calibri"/>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r>
            <w:r w:rsidR="001D7A75" w:rsidRPr="00C83DA9">
              <w:rPr>
                <w:rFonts w:eastAsiaTheme="minorEastAsia"/>
                <w:color w:val="1F497D" w:themeColor="text2"/>
                <w:sz w:val="22"/>
                <w:lang w:val="fr-FR"/>
              </w:rPr>
              <w:t>4</w:t>
            </w:r>
            <w:r w:rsidRPr="00C83DA9">
              <w:rPr>
                <w:rFonts w:eastAsiaTheme="minorEastAsia"/>
                <w:color w:val="1F497D" w:themeColor="text2"/>
                <w:sz w:val="22"/>
                <w:lang w:val="fr-FR"/>
              </w:rPr>
              <w:t xml:space="preserve"> pays ont participé au système des Natio</w:t>
            </w:r>
            <w:r w:rsidRPr="00C83DA9">
              <w:rPr>
                <w:color w:val="1F497D" w:themeColor="text2"/>
                <w:sz w:val="22"/>
                <w:lang w:val="fr-FR"/>
              </w:rPr>
              <w:t>ns Unies pour le développement.</w:t>
            </w:r>
          </w:p>
        </w:tc>
      </w:tr>
      <w:tr w:rsidR="003011AA" w:rsidRPr="00C83DA9" w14:paraId="2CDCE7D9" w14:textId="77777777" w:rsidTr="001D7A75">
        <w:tc>
          <w:tcPr>
            <w:tcW w:w="4678" w:type="dxa"/>
          </w:tcPr>
          <w:p w14:paraId="418C55D8" w14:textId="77777777" w:rsidR="003011AA" w:rsidRPr="00C83DA9" w:rsidRDefault="003011AA"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lastRenderedPageBreak/>
              <w:t>Contribution à la réalisation des cibles des ODD</w:t>
            </w:r>
          </w:p>
        </w:tc>
        <w:tc>
          <w:tcPr>
            <w:tcW w:w="10202" w:type="dxa"/>
            <w:gridSpan w:val="2"/>
          </w:tcPr>
          <w:p w14:paraId="3FC6133D" w14:textId="77777777" w:rsidR="003011AA" w:rsidRPr="00C83DA9" w:rsidRDefault="003011AA" w:rsidP="00202BFA">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ODD 1, 3, 4, 5, 8, 9, 10, 11, 16, 17</w:t>
            </w:r>
          </w:p>
        </w:tc>
      </w:tr>
      <w:tr w:rsidR="003011AA" w:rsidRPr="00C83DA9" w14:paraId="05B99C4F" w14:textId="77777777" w:rsidTr="001D7A75">
        <w:tc>
          <w:tcPr>
            <w:tcW w:w="4678" w:type="dxa"/>
          </w:tcPr>
          <w:p w14:paraId="31B73DC2" w14:textId="77777777" w:rsidR="003011AA" w:rsidRPr="00C83DA9" w:rsidRDefault="003011AA"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Grandes orientations du SMSI</w:t>
            </w:r>
          </w:p>
        </w:tc>
        <w:tc>
          <w:tcPr>
            <w:tcW w:w="10202" w:type="dxa"/>
            <w:gridSpan w:val="2"/>
          </w:tcPr>
          <w:p w14:paraId="5DC911B8" w14:textId="77777777" w:rsidR="003011AA" w:rsidRPr="00C83DA9" w:rsidRDefault="003011AA" w:rsidP="00202BFA">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C1, C2, C3, C4, C5, C6, C7, C11</w:t>
            </w:r>
          </w:p>
        </w:tc>
      </w:tr>
      <w:tr w:rsidR="003011AA" w:rsidRPr="00C83DA9" w14:paraId="4589EB1D" w14:textId="77777777" w:rsidTr="001D7A75">
        <w:tc>
          <w:tcPr>
            <w:tcW w:w="4678" w:type="dxa"/>
          </w:tcPr>
          <w:p w14:paraId="3CAE3BB8" w14:textId="77777777" w:rsidR="003011AA" w:rsidRPr="00C83DA9" w:rsidRDefault="003011AA"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Résolutions</w:t>
            </w:r>
          </w:p>
        </w:tc>
        <w:tc>
          <w:tcPr>
            <w:tcW w:w="10202" w:type="dxa"/>
            <w:gridSpan w:val="2"/>
          </w:tcPr>
          <w:p w14:paraId="0335E474" w14:textId="77777777" w:rsidR="003011AA" w:rsidRPr="00C83DA9" w:rsidRDefault="003011AA" w:rsidP="00202BFA">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1, 2, 24, 25, 52 et 58 de la CMDT</w:t>
            </w:r>
          </w:p>
        </w:tc>
      </w:tr>
    </w:tbl>
    <w:p w14:paraId="42DBA099" w14:textId="77777777" w:rsidR="003011AA" w:rsidRPr="00C83DA9" w:rsidRDefault="003011AA">
      <w:pPr>
        <w:tabs>
          <w:tab w:val="clear" w:pos="1134"/>
          <w:tab w:val="clear" w:pos="1871"/>
          <w:tab w:val="clear" w:pos="2268"/>
        </w:tabs>
        <w:overflowPunct/>
        <w:autoSpaceDE/>
        <w:autoSpaceDN/>
        <w:adjustRightInd/>
        <w:spacing w:before="0"/>
        <w:textAlignment w:val="auto"/>
        <w:rPr>
          <w:lang w:val="fr-FR"/>
        </w:rPr>
      </w:pPr>
      <w:r w:rsidRPr="00C83DA9">
        <w:rPr>
          <w:lang w:val="fr-FR"/>
        </w:rPr>
        <w:br w:type="page"/>
      </w:r>
    </w:p>
    <w:tbl>
      <w:tblPr>
        <w:tblStyle w:val="TableGrid5"/>
        <w:tblpPr w:leftFromText="180" w:rightFromText="180" w:vertAnchor="page" w:horzAnchor="margin" w:tblpY="1182"/>
        <w:tblW w:w="15115" w:type="dxa"/>
        <w:tblBorders>
          <w:top w:val="dotted" w:sz="4" w:space="0" w:color="4F81BD" w:themeColor="accent1"/>
          <w:left w:val="dotted" w:sz="4" w:space="0" w:color="4F81BD" w:themeColor="accent1"/>
          <w:bottom w:val="dotted" w:sz="4" w:space="0" w:color="4F81BD" w:themeColor="accent1"/>
          <w:right w:val="dotted" w:sz="4" w:space="0" w:color="4F81BD" w:themeColor="accent1"/>
          <w:insideH w:val="dotted" w:sz="4" w:space="0" w:color="4F81BD" w:themeColor="accent1"/>
          <w:insideV w:val="dotted" w:sz="4" w:space="0" w:color="4F81BD" w:themeColor="accent1"/>
        </w:tblBorders>
        <w:tblLayout w:type="fixed"/>
        <w:tblLook w:val="04A0" w:firstRow="1" w:lastRow="0" w:firstColumn="1" w:lastColumn="0" w:noHBand="0" w:noVBand="1"/>
      </w:tblPr>
      <w:tblGrid>
        <w:gridCol w:w="4673"/>
        <w:gridCol w:w="7655"/>
        <w:gridCol w:w="2787"/>
      </w:tblGrid>
      <w:tr w:rsidR="00F01013" w:rsidRPr="00CA734F" w14:paraId="248885C3" w14:textId="77777777" w:rsidTr="00A90F81">
        <w:trPr>
          <w:trHeight w:val="300"/>
        </w:trPr>
        <w:tc>
          <w:tcPr>
            <w:tcW w:w="15115"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044865B9" w14:textId="4EFC425D" w:rsidR="00224289" w:rsidRPr="00C83DA9" w:rsidRDefault="00224289" w:rsidP="009B2988">
            <w:pPr>
              <w:pStyle w:val="Headingb"/>
              <w:spacing w:before="40"/>
              <w:jc w:val="center"/>
              <w:rPr>
                <w:rFonts w:eastAsia="Times New Roman"/>
                <w:color w:val="FFFFFF" w:themeColor="background1"/>
                <w:kern w:val="0"/>
                <w:szCs w:val="20"/>
                <w:lang w:val="fr-FR"/>
                <w14:ligatures w14:val="none"/>
              </w:rPr>
            </w:pPr>
            <w:bookmarkStart w:id="88" w:name="_Toc211258927"/>
            <w:bookmarkStart w:id="89" w:name="_Toc213307972"/>
            <w:r w:rsidRPr="00C83DA9">
              <w:rPr>
                <w:rFonts w:eastAsia="Times New Roman"/>
                <w:color w:val="FFFFFF" w:themeColor="background1"/>
                <w:kern w:val="0"/>
                <w:szCs w:val="20"/>
                <w:lang w:val="fr-FR"/>
                <w14:ligatures w14:val="none"/>
              </w:rPr>
              <w:lastRenderedPageBreak/>
              <w:t>Priorité 5 de l'UIT-D: Télécommunications/TIC inclusives et sûres au service du développement durable</w:t>
            </w:r>
            <w:bookmarkEnd w:id="88"/>
            <w:bookmarkEnd w:id="89"/>
          </w:p>
          <w:p w14:paraId="68732613" w14:textId="77777777" w:rsidR="00224289" w:rsidRPr="00C83DA9" w:rsidRDefault="00224289" w:rsidP="00F01013">
            <w:pPr>
              <w:pStyle w:val="Tablehead"/>
              <w:rPr>
                <w:rFonts w:eastAsia="Times New Roman"/>
                <w:i/>
                <w:iCs/>
                <w:color w:val="FFFFFF" w:themeColor="background1"/>
                <w:kern w:val="0"/>
                <w:sz w:val="24"/>
                <w:szCs w:val="20"/>
                <w:lang w:val="fr-FR"/>
                <w14:ligatures w14:val="none"/>
              </w:rPr>
            </w:pPr>
            <w:r w:rsidRPr="00C83DA9">
              <w:rPr>
                <w:rFonts w:eastAsia="Times New Roman"/>
                <w:i/>
                <w:iCs/>
                <w:color w:val="FFFFFF" w:themeColor="background1"/>
                <w:kern w:val="0"/>
                <w:sz w:val="24"/>
                <w:szCs w:val="20"/>
                <w:lang w:val="fr-FR"/>
                <w14:ligatures w14:val="none"/>
              </w:rPr>
              <w:t>Promouvoir l'élaboration de stratégies nationales en matière de cybersécurité et renforcer les compétences numériques</w:t>
            </w:r>
          </w:p>
        </w:tc>
      </w:tr>
      <w:tr w:rsidR="00224289" w:rsidRPr="00CA734F" w14:paraId="6C3D9EBA" w14:textId="77777777" w:rsidTr="00A90F81">
        <w:trPr>
          <w:trHeight w:val="300"/>
        </w:trPr>
        <w:tc>
          <w:tcPr>
            <w:tcW w:w="15115"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24806208" w14:textId="77777777" w:rsidR="00224289" w:rsidRPr="00C83DA9" w:rsidRDefault="00224289" w:rsidP="00F01013">
            <w:pPr>
              <w:pStyle w:val="Tabletext"/>
              <w:rPr>
                <w:rFonts w:eastAsia="Times New Roman" w:cs="Times New Roman"/>
                <w:i/>
                <w:iCs/>
                <w:kern w:val="0"/>
                <w:sz w:val="24"/>
                <w:szCs w:val="20"/>
                <w:lang w:val="fr-FR"/>
              </w:rPr>
            </w:pPr>
            <w:r w:rsidRPr="00C83DA9">
              <w:rPr>
                <w:rFonts w:eastAsiaTheme="minorEastAsia" w:cstheme="minorHAnsi"/>
                <w:b/>
                <w:bCs/>
                <w:i/>
                <w:color w:val="000000" w:themeColor="text1"/>
                <w:sz w:val="24"/>
                <w:szCs w:val="20"/>
                <w:lang w:val="fr-FR"/>
              </w:rPr>
              <w:t>Réalisation</w:t>
            </w:r>
            <w:r w:rsidRPr="00C83DA9">
              <w:rPr>
                <w:rFonts w:eastAsiaTheme="minorEastAsia" w:cstheme="minorHAnsi"/>
                <w:i/>
                <w:color w:val="000000" w:themeColor="text1"/>
                <w:sz w:val="24"/>
                <w:szCs w:val="20"/>
                <w:lang w:val="fr-FR"/>
              </w:rPr>
              <w:t>: fourniture aux États Membres d'une aide à l'élaboration de stratégies nationales relatives à la cybersécurité et à la création d'équipes CIRT. Développement de services en ligne sécurisés, notamment les services de protection en ligne des enfants, et mobilisation de ressources en faveur des groupes marginalisés et des personnes ayant des besoins particuliers.</w:t>
            </w:r>
          </w:p>
        </w:tc>
      </w:tr>
      <w:tr w:rsidR="00224289" w:rsidRPr="00C83DA9" w14:paraId="20310F82" w14:textId="77777777" w:rsidTr="001B1CF5">
        <w:trPr>
          <w:trHeight w:val="300"/>
        </w:trPr>
        <w:tc>
          <w:tcPr>
            <w:tcW w:w="12328" w:type="dxa"/>
            <w:gridSpan w:val="2"/>
            <w:tcBorders>
              <w:top w:val="dotted" w:sz="4" w:space="0" w:color="0070C0"/>
              <w:left w:val="dotted" w:sz="4" w:space="0" w:color="0070C0"/>
              <w:bottom w:val="dotted" w:sz="4" w:space="0" w:color="0070C0"/>
              <w:right w:val="dotted" w:sz="4" w:space="0" w:color="0070C0"/>
            </w:tcBorders>
          </w:tcPr>
          <w:p w14:paraId="12FF2CE6" w14:textId="77777777" w:rsidR="00224289" w:rsidRPr="00C83DA9" w:rsidRDefault="00224289"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Produits</w:t>
            </w:r>
          </w:p>
        </w:tc>
        <w:tc>
          <w:tcPr>
            <w:tcW w:w="2787" w:type="dxa"/>
            <w:tcBorders>
              <w:top w:val="dotted" w:sz="4" w:space="0" w:color="0070C0"/>
              <w:left w:val="dotted" w:sz="4" w:space="0" w:color="0070C0"/>
              <w:bottom w:val="dotted" w:sz="4" w:space="0" w:color="0070C0"/>
              <w:right w:val="dotted" w:sz="4" w:space="0" w:color="0070C0"/>
            </w:tcBorders>
          </w:tcPr>
          <w:p w14:paraId="626A399C" w14:textId="77777777" w:rsidR="00224289" w:rsidRPr="00C83DA9" w:rsidRDefault="00224289"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Points à retenir</w:t>
            </w:r>
          </w:p>
        </w:tc>
      </w:tr>
      <w:tr w:rsidR="00224289" w:rsidRPr="00CA734F" w14:paraId="6AE5011B" w14:textId="77777777" w:rsidTr="00D925BB">
        <w:trPr>
          <w:trHeight w:val="300"/>
        </w:trPr>
        <w:tc>
          <w:tcPr>
            <w:tcW w:w="12328" w:type="dxa"/>
            <w:gridSpan w:val="2"/>
            <w:tcBorders>
              <w:top w:val="dotted" w:sz="4" w:space="0" w:color="0070C0"/>
              <w:left w:val="dotted" w:sz="4" w:space="0" w:color="0070C0"/>
              <w:bottom w:val="dotted" w:sz="4" w:space="0" w:color="0070C0"/>
              <w:right w:val="dotted" w:sz="4" w:space="0" w:color="0070C0"/>
            </w:tcBorders>
          </w:tcPr>
          <w:p w14:paraId="152CAF0B" w14:textId="533B188F" w:rsidR="00224289" w:rsidRPr="00C83DA9" w:rsidRDefault="00224289" w:rsidP="000B5E7B">
            <w:pPr>
              <w:pStyle w:val="Headingb"/>
              <w:spacing w:before="120"/>
              <w:rPr>
                <w:rFonts w:eastAsia="Times New Roman"/>
                <w:color w:val="0070C0"/>
                <w:kern w:val="0"/>
                <w:sz w:val="22"/>
                <w:szCs w:val="18"/>
                <w:lang w:val="fr-FR"/>
                <w14:ligatures w14:val="none"/>
              </w:rPr>
            </w:pPr>
            <w:bookmarkStart w:id="90" w:name="_Toc211258928"/>
            <w:bookmarkStart w:id="91" w:name="_Toc213307973"/>
            <w:r w:rsidRPr="00C83DA9">
              <w:rPr>
                <w:rFonts w:eastAsia="Times New Roman"/>
                <w:color w:val="0070C0"/>
                <w:kern w:val="0"/>
                <w:sz w:val="22"/>
                <w:szCs w:val="18"/>
                <w:lang w:val="fr-FR"/>
                <w14:ligatures w14:val="none"/>
              </w:rPr>
              <w:t>Cybersécurité</w:t>
            </w:r>
            <w:bookmarkEnd w:id="90"/>
            <w:bookmarkEnd w:id="91"/>
          </w:p>
          <w:p w14:paraId="6E43F10A" w14:textId="2C002E11"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Depuis 2023, le BDT a fait de la cybersécurité un pilier central du développement numérique. Conscient que des écosystèmes numériques sécurisés sont essentiels pour instaurer la confiance, garantir la résilience et assurer la croissance, le BDT a combiné plates</w:t>
            </w:r>
            <w:r w:rsidR="00917571" w:rsidRPr="00C83DA9">
              <w:rPr>
                <w:rFonts w:eastAsia="Times New Roman" w:cs="Times New Roman"/>
                <w:kern w:val="0"/>
                <w:sz w:val="22"/>
                <w:lang w:val="fr-FR"/>
                <w14:ligatures w14:val="none"/>
              </w:rPr>
              <w:noBreakHyphen/>
            </w:r>
            <w:r w:rsidRPr="00C83DA9">
              <w:rPr>
                <w:rFonts w:eastAsia="Times New Roman" w:cs="Times New Roman"/>
                <w:kern w:val="0"/>
                <w:sz w:val="22"/>
                <w:lang w:val="fr-FR"/>
                <w14:ligatures w14:val="none"/>
              </w:rPr>
              <w:t xml:space="preserve">formes mondiales, collaboration régionale et interventions nationales en vue de renforcer la capacité des États Membres à faire face aux cybermenaces. Les travaux entrepris ont contribué à la mise en œuvre de la Résolution </w:t>
            </w:r>
            <w:hyperlink r:id="rId184" w:history="1">
              <w:r w:rsidRPr="00C83DA9">
                <w:rPr>
                  <w:rFonts w:eastAsia="Times New Roman" w:cs="Times New Roman"/>
                  <w:color w:val="0000FF"/>
                  <w:kern w:val="0"/>
                  <w:sz w:val="22"/>
                  <w:u w:val="single"/>
                  <w:lang w:val="fr-FR"/>
                  <w14:ligatures w14:val="none"/>
                </w:rPr>
                <w:t>45 (Rév. Kigali, 2022)</w:t>
              </w:r>
            </w:hyperlink>
            <w:r w:rsidRPr="00C83DA9">
              <w:rPr>
                <w:rFonts w:eastAsia="Times New Roman" w:cs="Times New Roman"/>
                <w:kern w:val="0"/>
                <w:sz w:val="22"/>
                <w:lang w:val="fr-FR"/>
                <w14:ligatures w14:val="none"/>
              </w:rPr>
              <w:t xml:space="preserve"> de la CMDT, relative aux </w:t>
            </w:r>
            <w:r w:rsidRPr="00C83DA9">
              <w:rPr>
                <w:rFonts w:eastAsia="Times New Roman" w:cs="Times New Roman"/>
                <w:i/>
                <w:iCs/>
                <w:kern w:val="0"/>
                <w:sz w:val="22"/>
                <w:lang w:val="fr-FR"/>
                <w14:ligatures w14:val="none"/>
              </w:rPr>
              <w:t>mécanismes propres à améliorer la coopération en matière de cybersécurité, y compris la lutte contre le spam</w:t>
            </w:r>
            <w:r w:rsidRPr="00C83DA9">
              <w:rPr>
                <w:rFonts w:eastAsia="Times New Roman" w:cs="Times New Roman"/>
                <w:kern w:val="0"/>
                <w:sz w:val="22"/>
                <w:lang w:val="fr-FR"/>
                <w14:ligatures w14:val="none"/>
              </w:rPr>
              <w:t>.</w:t>
            </w:r>
            <w:hyperlink r:id="rId185"/>
          </w:p>
          <w:p w14:paraId="3F8307BE" w14:textId="6CE47A9A"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L'une des principales initiatives lancées pendant la période considérée a été la mise en place de </w:t>
            </w:r>
            <w:hyperlink r:id="rId186" w:history="1">
              <w:r w:rsidRPr="00C83DA9">
                <w:rPr>
                  <w:rFonts w:eastAsia="Times New Roman" w:cs="Times New Roman"/>
                  <w:color w:val="0000FF"/>
                  <w:kern w:val="0"/>
                  <w:sz w:val="22"/>
                  <w:u w:val="single"/>
                  <w:lang w:val="fr-FR"/>
                  <w14:ligatures w14:val="none"/>
                </w:rPr>
                <w:t>cyberexercices</w:t>
              </w:r>
            </w:hyperlink>
            <w:r w:rsidRPr="00C83DA9">
              <w:rPr>
                <w:rFonts w:eastAsia="Times New Roman" w:cs="Times New Roman"/>
                <w:kern w:val="0"/>
                <w:sz w:val="22"/>
                <w:lang w:val="fr-FR"/>
                <w14:ligatures w14:val="none"/>
              </w:rPr>
              <w:t xml:space="preserve">, qui simulent des incidents réels et permettent aux pouvoirs publics, aux régulateurs et aux opérateurs de tester leur état de préparation dans des conditions coordonnées. Le </w:t>
            </w:r>
            <w:r w:rsidRPr="00C83DA9">
              <w:rPr>
                <w:rFonts w:eastAsia="Times New Roman" w:cs="Times New Roman"/>
                <w:b/>
                <w:kern w:val="0"/>
                <w:sz w:val="22"/>
                <w:lang w:val="fr-FR"/>
                <w14:ligatures w14:val="none"/>
              </w:rPr>
              <w:t>projet "La cybersécurité au service du bien social"</w:t>
            </w:r>
            <w:r w:rsidRPr="00C83DA9">
              <w:rPr>
                <w:rFonts w:eastAsia="Times New Roman" w:cs="Times New Roman"/>
                <w:kern w:val="0"/>
                <w:sz w:val="22"/>
                <w:lang w:val="fr-FR"/>
                <w14:ligatures w14:val="none"/>
              </w:rPr>
              <w:t xml:space="preserve"> a fourni une assistance adaptée aux pays vulnérables, en appuyant la création de </w:t>
            </w:r>
            <w:hyperlink r:id="rId187" w:history="1">
              <w:r w:rsidRPr="00C83DA9">
                <w:rPr>
                  <w:rFonts w:eastAsia="Times New Roman" w:cs="Times New Roman"/>
                  <w:color w:val="0000FF"/>
                  <w:kern w:val="0"/>
                  <w:sz w:val="22"/>
                  <w:u w:val="single"/>
                  <w:lang w:val="fr-FR"/>
                  <w14:ligatures w14:val="none"/>
                </w:rPr>
                <w:t>CIRT</w:t>
              </w:r>
            </w:hyperlink>
            <w:r w:rsidRPr="00C83DA9">
              <w:rPr>
                <w:rFonts w:eastAsia="Times New Roman" w:cs="Times New Roman"/>
                <w:kern w:val="0"/>
                <w:sz w:val="22"/>
                <w:lang w:val="fr-FR"/>
                <w14:ligatures w14:val="none"/>
              </w:rPr>
              <w:t>, en leur fournissant des formations approfondies et en jetant les bases des stratégies nationales relatives à la cybersécurité. Le BDT promeut une culture dans laquelle la cybersécurité est perçue comme un processus continu et itératif, intégré aux produits dès leur conception et maintenu tout au long de leur cycle de vie, et est accessible et compréhensible pour les utilisateurs. Le BDT a également contribué à faire progresser les analyses comparatives à l'échelle mondiale grâce à l'</w:t>
            </w:r>
            <w:hyperlink r:id="rId188" w:history="1">
              <w:r w:rsidRPr="00C83DA9">
                <w:rPr>
                  <w:rFonts w:eastAsia="Times New Roman" w:cs="Times New Roman"/>
                  <w:color w:val="0000FF"/>
                  <w:kern w:val="0"/>
                  <w:sz w:val="22"/>
                  <w:u w:val="single"/>
                  <w:lang w:val="fr-FR"/>
                  <w14:ligatures w14:val="none"/>
                </w:rPr>
                <w:t>Indice mondial de cybersécurité (GCI)</w:t>
              </w:r>
            </w:hyperlink>
            <w:r w:rsidRPr="00C83DA9">
              <w:rPr>
                <w:rFonts w:eastAsia="Times New Roman" w:cs="Times New Roman"/>
                <w:kern w:val="0"/>
                <w:sz w:val="22"/>
                <w:lang w:val="fr-FR"/>
                <w14:ligatures w14:val="none"/>
              </w:rPr>
              <w:t>, qui a permis aux États Membres d'évaluer leur état de préparation. Le GCI est une référence fiable qui mesure l'engagement des pays en faveur de la cybersécurité au niveau mondial – pour sensibiliser à l'importance et aux différentes dimensions de la question.</w:t>
            </w:r>
            <w:hyperlink r:id="rId189"/>
            <w:hyperlink r:id="rId190"/>
            <w:hyperlink r:id="rId191"/>
          </w:p>
          <w:p w14:paraId="20CCC849" w14:textId="77777777" w:rsidR="00224289" w:rsidRPr="00C83DA9" w:rsidRDefault="00224289" w:rsidP="000B5E7B">
            <w:pPr>
              <w:pStyle w:val="Tabletext"/>
              <w:spacing w:before="120"/>
              <w:rPr>
                <w:rFonts w:ascii="Calibri" w:eastAsia="Calibri" w:hAnsi="Calibri" w:cs="Calibri"/>
                <w:b/>
                <w:bCs/>
                <w:sz w:val="22"/>
                <w:lang w:val="fr-FR"/>
              </w:rPr>
            </w:pPr>
            <w:r w:rsidRPr="00C83DA9">
              <w:rPr>
                <w:rFonts w:ascii="Calibri" w:eastAsia="Calibri" w:hAnsi="Calibri" w:cs="Calibri"/>
                <w:b/>
                <w:bCs/>
                <w:sz w:val="22"/>
                <w:lang w:val="fr-FR"/>
              </w:rPr>
              <w:t>Cyberexercices</w:t>
            </w:r>
          </w:p>
          <w:p w14:paraId="2026C7E2" w14:textId="45219A45" w:rsidR="00224289" w:rsidRPr="00C83DA9" w:rsidRDefault="00224289" w:rsidP="00F01013">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Le programme de cyberexercices a été l'une des plates-formes opérationnelles les plus visibles de l'UIT pendant la période considérée. Entre 2023 et 2025, l'UIT a organisé 22 cyberexercices aux niveaux national, régional et mondial, auxquels ont participé plus de 140</w:t>
            </w:r>
            <w:r w:rsidR="004E5CF5" w:rsidRPr="00C83DA9">
              <w:rPr>
                <w:rFonts w:eastAsia="Times New Roman" w:cs="Times New Roman"/>
                <w:kern w:val="0"/>
                <w:sz w:val="22"/>
                <w:lang w:val="fr-FR"/>
                <w14:ligatures w14:val="none"/>
              </w:rPr>
              <w:t> </w:t>
            </w:r>
            <w:r w:rsidRPr="00C83DA9">
              <w:rPr>
                <w:rFonts w:eastAsia="Times New Roman" w:cs="Times New Roman"/>
                <w:kern w:val="0"/>
                <w:sz w:val="22"/>
                <w:lang w:val="fr-FR"/>
                <w14:ligatures w14:val="none"/>
              </w:rPr>
              <w:t xml:space="preserve">pays. Les cyberexercices simulent les points de pression exercés par des cyberattaques réelles et reposent sur la mise en place d'une coordination sur le plan technique, juridique et diplomatique. Le </w:t>
            </w:r>
            <w:hyperlink r:id="rId192" w:anchor="/fr" w:history="1">
              <w:r w:rsidRPr="00C83DA9">
                <w:rPr>
                  <w:rFonts w:eastAsia="Times New Roman" w:cs="Times New Roman"/>
                  <w:color w:val="0000FF"/>
                  <w:kern w:val="0"/>
                  <w:sz w:val="22"/>
                  <w:u w:val="single"/>
                  <w:lang w:val="fr-FR"/>
                  <w14:ligatures w14:val="none"/>
                </w:rPr>
                <w:t>cyberexercice mondial de 2024</w:t>
              </w:r>
            </w:hyperlink>
            <w:r w:rsidRPr="00C83DA9">
              <w:rPr>
                <w:rFonts w:eastAsia="Times New Roman" w:cs="Times New Roman"/>
                <w:kern w:val="0"/>
                <w:sz w:val="22"/>
                <w:lang w:val="fr-FR"/>
                <w14:ligatures w14:val="none"/>
              </w:rPr>
              <w:t>, qui s'est tenu en avril 2024 à Dubaï (</w:t>
            </w:r>
            <w:r w:rsidRPr="00C83DA9">
              <w:rPr>
                <w:rFonts w:eastAsia="Times New Roman" w:cs="Times New Roman"/>
                <w:b/>
                <w:kern w:val="0"/>
                <w:sz w:val="22"/>
                <w:lang w:val="fr-FR"/>
                <w14:ligatures w14:val="none"/>
              </w:rPr>
              <w:t>Émirats arabes unis</w:t>
            </w:r>
            <w:r w:rsidRPr="00C83DA9">
              <w:rPr>
                <w:rFonts w:eastAsia="Times New Roman" w:cs="Times New Roman"/>
                <w:kern w:val="0"/>
                <w:sz w:val="22"/>
                <w:lang w:val="fr-FR"/>
                <w14:ligatures w14:val="none"/>
              </w:rPr>
              <w:t xml:space="preserve">) et auquel 104 pays ont participé, a permis à l'UIT et au Conseil de cybersécurité des Émirats arabes unis de battre trois records du monde Guinness, tandis que le </w:t>
            </w:r>
            <w:hyperlink r:id="rId193" w:anchor="/fr" w:history="1">
              <w:r w:rsidRPr="00C83DA9">
                <w:rPr>
                  <w:rFonts w:eastAsia="Times New Roman" w:cs="Times New Roman"/>
                  <w:color w:val="0000FF"/>
                  <w:kern w:val="0"/>
                  <w:sz w:val="22"/>
                  <w:u w:val="single"/>
                  <w:lang w:val="fr-FR"/>
                  <w14:ligatures w14:val="none"/>
                </w:rPr>
                <w:t>cyberexercice mondial de 2025</w:t>
              </w:r>
            </w:hyperlink>
            <w:r w:rsidRPr="00C83DA9">
              <w:rPr>
                <w:rFonts w:eastAsia="Times New Roman" w:cs="Times New Roman"/>
                <w:kern w:val="0"/>
                <w:sz w:val="22"/>
                <w:lang w:val="fr-FR"/>
                <w14:ligatures w14:val="none"/>
              </w:rPr>
              <w:t>, qui s'est tenu du 6 au 8 mai 2025, également à</w:t>
            </w:r>
            <w:r w:rsidR="000B5E7B">
              <w:rPr>
                <w:rFonts w:eastAsia="Times New Roman" w:cs="Times New Roman"/>
                <w:kern w:val="0"/>
                <w:sz w:val="22"/>
                <w:lang w:val="fr-FR"/>
                <w14:ligatures w14:val="none"/>
              </w:rPr>
              <w:t> </w:t>
            </w:r>
            <w:r w:rsidRPr="00C83DA9">
              <w:rPr>
                <w:rFonts w:eastAsia="Times New Roman" w:cs="Times New Roman"/>
                <w:kern w:val="0"/>
                <w:sz w:val="22"/>
                <w:lang w:val="fr-FR"/>
                <w14:ligatures w14:val="none"/>
              </w:rPr>
              <w:t>Dubaï, et organisé par le Conseil de cybersécurité des Émirats arabes unis, a rassemblé plus de 126 pays et a permis d'établir 11 records Guinness, y compris le record du plus grand</w:t>
            </w:r>
            <w:r w:rsidR="00F01013" w:rsidRPr="00C83DA9">
              <w:rPr>
                <w:rFonts w:eastAsia="Times New Roman" w:cs="Times New Roman"/>
                <w:kern w:val="0"/>
                <w:sz w:val="22"/>
                <w:lang w:val="fr-FR"/>
                <w14:ligatures w14:val="none"/>
              </w:rPr>
              <w:t xml:space="preserve"> </w:t>
            </w:r>
            <w:r w:rsidRPr="00C83DA9">
              <w:rPr>
                <w:rFonts w:eastAsia="Times New Roman" w:cs="Times New Roman"/>
                <w:kern w:val="0"/>
                <w:sz w:val="22"/>
                <w:lang w:val="fr-FR"/>
                <w14:ligatures w14:val="none"/>
              </w:rPr>
              <w:t>nombre de nationalités représentées lors d'un concours de cyberexercices (126). Ce</w:t>
            </w:r>
            <w:r w:rsidR="000B5E7B">
              <w:rPr>
                <w:rFonts w:eastAsia="Times New Roman" w:cs="Times New Roman"/>
                <w:kern w:val="0"/>
                <w:sz w:val="22"/>
                <w:lang w:val="fr-FR"/>
                <w14:ligatures w14:val="none"/>
              </w:rPr>
              <w:t> </w:t>
            </w:r>
            <w:r w:rsidRPr="00C83DA9">
              <w:rPr>
                <w:rFonts w:eastAsia="Times New Roman" w:cs="Times New Roman"/>
                <w:kern w:val="0"/>
                <w:sz w:val="22"/>
                <w:lang w:val="fr-FR"/>
                <w14:ligatures w14:val="none"/>
              </w:rPr>
              <w:t>nombre record de participants aux cyberexercices témoigne de la confiance accrue que les États Membres placent dans la capacité de l'UIT à jouer un rôle clé dans la lutte contre les cybermenaces et dans la préparation aux cybermenaces.</w:t>
            </w:r>
            <w:hyperlink r:id="rId194" w:history="1"/>
            <w:hyperlink r:id="rId195" w:history="1"/>
          </w:p>
          <w:p w14:paraId="0ACEFE99" w14:textId="6198FB63" w:rsidR="00224289" w:rsidRPr="000B5E7B"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lastRenderedPageBreak/>
              <w:t>Ces cyberexercices ont permis aux équipes techniques, aux régulateurs, aux CIRT/équipes d'intervention informatique d'urgence/équipes d'intervention en cas d'incident de sécurité informatique, aux agences nationales de cybersécurité et à d'autres organismes nationaux responsables des questions de cybersécurité de s'entraîner en temps réel à intervenir en cas d'incident. En</w:t>
            </w:r>
            <w:r w:rsidR="000B5E7B">
              <w:rPr>
                <w:rFonts w:eastAsia="Times New Roman" w:cs="Times New Roman"/>
                <w:kern w:val="0"/>
                <w:sz w:val="22"/>
                <w:lang w:val="fr-FR"/>
                <w14:ligatures w14:val="none"/>
              </w:rPr>
              <w:t> </w:t>
            </w:r>
            <w:r w:rsidRPr="00C83DA9">
              <w:rPr>
                <w:rFonts w:eastAsia="Times New Roman" w:cs="Times New Roman"/>
                <w:kern w:val="0"/>
                <w:sz w:val="22"/>
                <w:lang w:val="fr-FR"/>
                <w14:ligatures w14:val="none"/>
              </w:rPr>
              <w:t xml:space="preserve">parallèle, le BDT a organisé des </w:t>
            </w:r>
            <w:r w:rsidRPr="00C83DA9">
              <w:rPr>
                <w:rFonts w:eastAsia="Times New Roman" w:cs="Times New Roman"/>
                <w:b/>
                <w:kern w:val="0"/>
                <w:sz w:val="22"/>
                <w:lang w:val="fr-FR"/>
                <w14:ligatures w14:val="none"/>
              </w:rPr>
              <w:t>programmes de formation spécialisés</w:t>
            </w:r>
            <w:r w:rsidRPr="00C83DA9">
              <w:rPr>
                <w:rFonts w:eastAsia="Times New Roman" w:cs="Times New Roman"/>
                <w:kern w:val="0"/>
                <w:sz w:val="22"/>
                <w:lang w:val="fr-FR"/>
                <w14:ligatures w14:val="none"/>
              </w:rPr>
              <w:t xml:space="preserve">. Une formation sur le cycle de vie des stratégies nationales de cybersécurité à portée mondiale a attiré plus de </w:t>
            </w:r>
            <w:r w:rsidRPr="00C83DA9">
              <w:rPr>
                <w:rFonts w:eastAsia="Times New Roman" w:cs="Times New Roman"/>
                <w:b/>
                <w:kern w:val="0"/>
                <w:sz w:val="22"/>
                <w:lang w:val="fr-FR"/>
                <w14:ligatures w14:val="none"/>
              </w:rPr>
              <w:t>700 participants de 130 pays</w:t>
            </w:r>
            <w:r w:rsidRPr="00C83DA9">
              <w:rPr>
                <w:rFonts w:eastAsia="Times New Roman" w:cs="Times New Roman"/>
                <w:kern w:val="0"/>
                <w:sz w:val="22"/>
                <w:lang w:val="fr-FR"/>
                <w14:ligatures w14:val="none"/>
              </w:rPr>
              <w:t xml:space="preserve">, afin de dispenser des conseils sur l'élaboration, la mise en œuvre et l'examen des stratégies nationales. Des ateliers régionaux complémentaires ont été organisés à </w:t>
            </w:r>
            <w:r w:rsidRPr="00C83DA9">
              <w:rPr>
                <w:rFonts w:eastAsia="Times New Roman" w:cs="Times New Roman"/>
                <w:b/>
                <w:kern w:val="0"/>
                <w:sz w:val="22"/>
                <w:lang w:val="fr-FR"/>
                <w14:ligatures w14:val="none"/>
              </w:rPr>
              <w:t>Bahreïn</w:t>
            </w:r>
            <w:r w:rsidRPr="00C83DA9">
              <w:rPr>
                <w:rFonts w:eastAsia="Times New Roman" w:cs="Times New Roman"/>
                <w:kern w:val="0"/>
                <w:sz w:val="22"/>
                <w:lang w:val="fr-FR"/>
                <w14:ligatures w14:val="none"/>
              </w:rPr>
              <w:t xml:space="preserve">, aux </w:t>
            </w:r>
            <w:r w:rsidRPr="00C83DA9">
              <w:rPr>
                <w:rFonts w:eastAsia="Times New Roman" w:cs="Times New Roman"/>
                <w:b/>
                <w:kern w:val="0"/>
                <w:sz w:val="22"/>
                <w:lang w:val="fr-FR"/>
                <w14:ligatures w14:val="none"/>
              </w:rPr>
              <w:t>Maldives</w:t>
            </w:r>
            <w:r w:rsidRPr="00C83DA9">
              <w:rPr>
                <w:rFonts w:eastAsia="Times New Roman" w:cs="Times New Roman"/>
                <w:kern w:val="0"/>
                <w:sz w:val="22"/>
                <w:lang w:val="fr-FR"/>
                <w14:ligatures w14:val="none"/>
              </w:rPr>
              <w:t xml:space="preserve"> et aux </w:t>
            </w:r>
            <w:r w:rsidRPr="00C83DA9">
              <w:rPr>
                <w:rFonts w:eastAsia="Times New Roman" w:cs="Times New Roman"/>
                <w:b/>
                <w:kern w:val="0"/>
                <w:sz w:val="22"/>
                <w:lang w:val="fr-FR"/>
                <w14:ligatures w14:val="none"/>
              </w:rPr>
              <w:t>Émirats arabes unis</w:t>
            </w:r>
            <w:r w:rsidRPr="00C83DA9">
              <w:rPr>
                <w:rFonts w:eastAsia="Times New Roman" w:cs="Times New Roman"/>
                <w:kern w:val="0"/>
                <w:sz w:val="22"/>
                <w:lang w:val="fr-FR"/>
                <w14:ligatures w14:val="none"/>
              </w:rPr>
              <w:t xml:space="preserve">, au cours desquels les participants ont appliqué ces connaissances dans des contextes nationaux, l'accent ayant été mis sur des domaines tels que le signalement des incidents et l'évaluation des risques. Ces activités ont également contribué à la mise en œuvre de la Résolution </w:t>
            </w:r>
            <w:hyperlink r:id="rId196" w:history="1">
              <w:r w:rsidRPr="00C83DA9">
                <w:rPr>
                  <w:rFonts w:eastAsia="Times New Roman" w:cs="Times New Roman"/>
                  <w:color w:val="0000FF"/>
                  <w:kern w:val="0"/>
                  <w:sz w:val="22"/>
                  <w:u w:val="single"/>
                  <w:lang w:val="fr-FR"/>
                  <w14:ligatures w14:val="none"/>
                </w:rPr>
                <w:t>69 (Rév. Kigali, 2022)</w:t>
              </w:r>
            </w:hyperlink>
            <w:r w:rsidRPr="00C83DA9">
              <w:rPr>
                <w:rFonts w:eastAsia="Times New Roman" w:cs="Times New Roman"/>
                <w:kern w:val="0"/>
                <w:sz w:val="22"/>
                <w:lang w:val="fr-FR"/>
                <w14:ligatures w14:val="none"/>
              </w:rPr>
              <w:t xml:space="preserve"> de la CMDT intitulée "Faciliter la création d'équipes nationales d'intervention en cas d'incident informatique, en particulier pour les pays en développement, et coopération entre ces équipes".</w:t>
            </w:r>
            <w:hyperlink r:id="rId197" w:history="1"/>
          </w:p>
          <w:p w14:paraId="4209F0B9" w14:textId="77777777"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Afin de promouvoir l'inclusion numérique, le BDT a mis en œuvre des programmes d'encadrement, de formation et d'autonomisation des femmes. En 2023, le </w:t>
            </w:r>
            <w:hyperlink r:id="rId198" w:history="1">
              <w:r w:rsidRPr="00C83DA9">
                <w:rPr>
                  <w:rFonts w:eastAsia="Times New Roman" w:cs="Times New Roman"/>
                  <w:color w:val="0000FF"/>
                  <w:kern w:val="0"/>
                  <w:sz w:val="22"/>
                  <w:u w:val="single"/>
                  <w:lang w:val="fr-FR"/>
                  <w14:ligatures w14:val="none"/>
                </w:rPr>
                <w:t>Programme de mentorat de l'UIT pour les femmes dans la cybersécurité</w:t>
              </w:r>
            </w:hyperlink>
            <w:r w:rsidRPr="00C83DA9">
              <w:rPr>
                <w:rFonts w:eastAsia="Times New Roman" w:cs="Times New Roman"/>
                <w:kern w:val="0"/>
                <w:sz w:val="22"/>
                <w:lang w:val="fr-FR"/>
                <w14:ligatures w14:val="none"/>
              </w:rPr>
              <w:t xml:space="preserve"> a atteint plus de 300 femmes. L'UIT et la GIZ ont lancé une formation et un programme de mentorat sur mesure dans le cadre de l'Initiative "</w:t>
            </w:r>
            <w:proofErr w:type="spellStart"/>
            <w:r>
              <w:fldChar w:fldCharType="begin"/>
            </w:r>
            <w:r w:rsidRPr="00CA734F">
              <w:rPr>
                <w:lang w:val="fr-FR"/>
              </w:rPr>
              <w:instrText>HYPERLINK "https://www.itu.int/en/ITU-D/Cybersecurity/Pages/Skills-Development/Her-CyberTracks.aspx"</w:instrText>
            </w:r>
            <w:r>
              <w:fldChar w:fldCharType="separate"/>
            </w:r>
            <w:r w:rsidRPr="00C83DA9">
              <w:rPr>
                <w:rFonts w:eastAsia="Times New Roman" w:cs="Times New Roman"/>
                <w:color w:val="0000FF"/>
                <w:kern w:val="0"/>
                <w:sz w:val="22"/>
                <w:u w:val="single"/>
                <w:lang w:val="fr-FR"/>
                <w14:ligatures w14:val="none"/>
              </w:rPr>
              <w:t>HerCyberTracks</w:t>
            </w:r>
            <w:proofErr w:type="spellEnd"/>
            <w:r>
              <w:fldChar w:fldCharType="end"/>
            </w:r>
            <w:r w:rsidRPr="00C83DA9">
              <w:rPr>
                <w:rFonts w:eastAsia="Times New Roman" w:cs="Times New Roman"/>
                <w:kern w:val="0"/>
                <w:sz w:val="22"/>
                <w:lang w:val="fr-FR"/>
                <w14:ligatures w14:val="none"/>
              </w:rPr>
              <w:t>", qui visait à préparer les femmes à des postes techniques, de politiques générales et de direction et qui a été élargi pour inclure des recommandations de l'Office des Nations Unies contre la drogue et le crime (ONUDC). Depuis 2024, toutes les activités de renforcement des compétences en cybersécurité destinées aux femmes ont été regroupées dans le cadre de l'Initiative "HerCyberTracks". En 2025, la troisième édition du programme a accueilli des participantes des régions que sont l'Afrique, les États arabes, l'Asie-Pacifique, les Amériques et l'Europe.</w:t>
            </w:r>
            <w:hyperlink r:id="rId199" w:history="1"/>
            <w:hyperlink r:id="rId200"/>
          </w:p>
          <w:p w14:paraId="1264CB71" w14:textId="77777777"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Les pays disposant de ressources institutionnelles limitées ont bénéficié d'un appui dans le cadre du projet "</w:t>
            </w:r>
            <w:r w:rsidRPr="00C83DA9">
              <w:rPr>
                <w:rFonts w:eastAsia="Times New Roman" w:cs="Times New Roman"/>
                <w:b/>
                <w:kern w:val="0"/>
                <w:sz w:val="22"/>
                <w:lang w:val="fr-FR"/>
                <w14:ligatures w14:val="none"/>
              </w:rPr>
              <w:t>La cybersécurité au service du bien social</w:t>
            </w:r>
            <w:r w:rsidRPr="00C83DA9">
              <w:rPr>
                <w:rFonts w:eastAsia="Times New Roman" w:cs="Times New Roman"/>
                <w:kern w:val="0"/>
                <w:sz w:val="22"/>
                <w:lang w:val="fr-FR"/>
                <w14:ligatures w14:val="none"/>
              </w:rPr>
              <w:t xml:space="preserve">". En 2024, 33 PMA en avaient bénéficié: </w:t>
            </w:r>
            <w:r w:rsidRPr="00C83DA9">
              <w:rPr>
                <w:rFonts w:eastAsia="Times New Roman" w:cs="Times New Roman"/>
                <w:b/>
                <w:kern w:val="0"/>
                <w:sz w:val="22"/>
                <w:lang w:val="fr-FR"/>
                <w14:ligatures w14:val="none"/>
              </w:rPr>
              <w:t>Bénin</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Burkina Faso</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Cambodge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Tchad</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Djibouti</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Éthiopie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Gambie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Guinée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Guinée-Bissau</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Jamaïque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Kiribati</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Lao (R.d.p.)</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Lesotho</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Libéria</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Malawi</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Mali</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Mauritanie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Mozambique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Népal</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Niger</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Rwanda</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Sénégal</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Sierra Leone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Îles Salomon</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Somalie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Soudan du Sud</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Suriname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Tanzanie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Timor-Leste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Togo</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Ouganda</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 xml:space="preserve">Vanuatu </w:t>
            </w:r>
            <w:r w:rsidRPr="00C83DA9">
              <w:rPr>
                <w:rFonts w:eastAsia="Times New Roman" w:cs="Times New Roman"/>
                <w:kern w:val="0"/>
                <w:sz w:val="22"/>
                <w:lang w:val="fr-FR"/>
                <w14:ligatures w14:val="none"/>
              </w:rPr>
              <w:t xml:space="preserve">et </w:t>
            </w:r>
            <w:r w:rsidRPr="00C83DA9">
              <w:rPr>
                <w:rFonts w:eastAsia="Times New Roman" w:cs="Times New Roman"/>
                <w:b/>
                <w:kern w:val="0"/>
                <w:sz w:val="22"/>
                <w:lang w:val="fr-FR"/>
                <w14:ligatures w14:val="none"/>
              </w:rPr>
              <w:t>Zambie</w:t>
            </w:r>
            <w:r w:rsidRPr="00C83DA9">
              <w:rPr>
                <w:rFonts w:eastAsia="Times New Roman" w:cs="Times New Roman"/>
                <w:kern w:val="0"/>
                <w:sz w:val="22"/>
                <w:lang w:val="fr-FR"/>
                <w14:ligatures w14:val="none"/>
              </w:rPr>
              <w:t xml:space="preserve">. Cette assistance a pris la forme d'évaluations, de formations et d'une fourniture d'accès à des outils du secteur privé. Il a été procédé à des évaluations des lacunes pour le </w:t>
            </w:r>
            <w:r w:rsidRPr="00C83DA9">
              <w:rPr>
                <w:rFonts w:eastAsia="Times New Roman" w:cs="Times New Roman"/>
                <w:b/>
                <w:kern w:val="0"/>
                <w:sz w:val="22"/>
                <w:lang w:val="fr-FR"/>
                <w14:ligatures w14:val="none"/>
              </w:rPr>
              <w:t>Lesotho</w:t>
            </w:r>
            <w:r w:rsidRPr="00C83DA9">
              <w:rPr>
                <w:rFonts w:eastAsia="Times New Roman" w:cs="Times New Roman"/>
                <w:kern w:val="0"/>
                <w:sz w:val="22"/>
                <w:lang w:val="fr-FR"/>
                <w14:ligatures w14:val="none"/>
              </w:rPr>
              <w:t xml:space="preserve"> et le </w:t>
            </w:r>
            <w:r w:rsidRPr="00C83DA9">
              <w:rPr>
                <w:rFonts w:eastAsia="Times New Roman" w:cs="Times New Roman"/>
                <w:b/>
                <w:kern w:val="0"/>
                <w:sz w:val="22"/>
                <w:lang w:val="fr-FR"/>
                <w14:ligatures w14:val="none"/>
              </w:rPr>
              <w:t>Zimbabwe</w:t>
            </w:r>
            <w:r w:rsidRPr="00C83DA9">
              <w:rPr>
                <w:rFonts w:eastAsia="Times New Roman" w:cs="Times New Roman"/>
                <w:kern w:val="0"/>
                <w:sz w:val="22"/>
                <w:lang w:val="fr-FR"/>
                <w14:ligatures w14:val="none"/>
              </w:rPr>
              <w:t>, lesquelles ont conduit à l'élaboration de plans d'action relatifs à l'intervention en cas d'incident et à la dispense de formations à l'intention des travailleurs.</w:t>
            </w:r>
          </w:p>
          <w:p w14:paraId="3FDD668C" w14:textId="24411467" w:rsidR="00224289" w:rsidRPr="000B5E7B" w:rsidRDefault="00224289" w:rsidP="00224289">
            <w:pPr>
              <w:pStyle w:val="Tabletext"/>
              <w:keepNext/>
              <w:keepLines/>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La </w:t>
            </w:r>
            <w:hyperlink r:id="rId201" w:history="1">
              <w:r w:rsidRPr="00C83DA9">
                <w:rPr>
                  <w:rStyle w:val="Hyperlink"/>
                  <w:rFonts w:eastAsia="Times New Roman" w:cs="Times New Roman"/>
                  <w:kern w:val="0"/>
                  <w:sz w:val="22"/>
                  <w:lang w:val="fr-FR"/>
                  <w14:ligatures w14:val="none"/>
                </w:rPr>
                <w:t>protection en ligne des enfants (COP)</w:t>
              </w:r>
            </w:hyperlink>
            <w:r w:rsidRPr="00C83DA9">
              <w:rPr>
                <w:rFonts w:eastAsia="Times New Roman" w:cs="Times New Roman"/>
                <w:kern w:val="0"/>
                <w:sz w:val="22"/>
                <w:lang w:val="fr-FR"/>
                <w14:ligatures w14:val="none"/>
              </w:rPr>
              <w:t xml:space="preserve"> est demeurée une priorité centrale, les stratégies, politiques et cadres visant à protéger les enfants dans la sphère numérique ayant été au premier plan de la mise en œuvre de la Résolution </w:t>
            </w:r>
            <w:hyperlink r:id="rId202" w:history="1">
              <w:r w:rsidRPr="00C83DA9">
                <w:rPr>
                  <w:rFonts w:eastAsia="Times New Roman" w:cs="Times New Roman"/>
                  <w:color w:val="0000FF"/>
                  <w:kern w:val="0"/>
                  <w:sz w:val="22"/>
                  <w:u w:val="single"/>
                  <w:lang w:val="fr-FR"/>
                  <w14:ligatures w14:val="none"/>
                </w:rPr>
                <w:t>67 (Rév. Kigali, 2022)</w:t>
              </w:r>
            </w:hyperlink>
            <w:r w:rsidRPr="00C83DA9">
              <w:rPr>
                <w:rFonts w:eastAsia="Times New Roman" w:cs="Times New Roman"/>
                <w:kern w:val="0"/>
                <w:sz w:val="22"/>
                <w:lang w:val="fr-FR"/>
                <w14:ligatures w14:val="none"/>
              </w:rPr>
              <w:t xml:space="preserve"> de la CMDT intitulée "Rôle du Secteur du développement des télécommunications de l'UIT dans la protection en ligne des enfants".</w:t>
            </w:r>
          </w:p>
          <w:p w14:paraId="2BB3E10D" w14:textId="77777777"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Les </w:t>
            </w:r>
            <w:r w:rsidRPr="00C83DA9">
              <w:rPr>
                <w:rFonts w:eastAsia="Times New Roman" w:cs="Times New Roman"/>
                <w:b/>
                <w:kern w:val="0"/>
                <w:sz w:val="22"/>
                <w:lang w:val="fr-FR"/>
                <w14:ligatures w14:val="none"/>
              </w:rPr>
              <w:t>lignes directrices actualisées sur la protection en ligne des enfants</w:t>
            </w:r>
            <w:r w:rsidRPr="00C83DA9">
              <w:rPr>
                <w:rFonts w:eastAsia="Times New Roman" w:cs="Times New Roman"/>
                <w:kern w:val="0"/>
                <w:sz w:val="22"/>
                <w:lang w:val="fr-FR"/>
                <w14:ligatures w14:val="none"/>
              </w:rPr>
              <w:t xml:space="preserve"> ont été traduites en </w:t>
            </w:r>
            <w:r w:rsidRPr="00C83DA9">
              <w:rPr>
                <w:rFonts w:eastAsia="Times New Roman" w:cs="Times New Roman"/>
                <w:b/>
                <w:kern w:val="0"/>
                <w:sz w:val="22"/>
                <w:lang w:val="fr-FR"/>
                <w14:ligatures w14:val="none"/>
              </w:rPr>
              <w:t>26 langues</w:t>
            </w:r>
            <w:r w:rsidRPr="00C83DA9">
              <w:rPr>
                <w:rFonts w:eastAsia="Times New Roman" w:cs="Times New Roman"/>
                <w:kern w:val="0"/>
                <w:sz w:val="22"/>
                <w:lang w:val="fr-FR"/>
                <w14:ligatures w14:val="none"/>
              </w:rPr>
              <w:t xml:space="preserve"> (y compris dans des langues régionales comme le quechua ou le swahili) et adoptées dans plusieurs pays. Seize pays ont bénéficié d'un appui au titre de l'élaboration de projets de cadres, stratégies et/ou rapports d'évaluation nationaux en matière de protection en ligne des enfants, notamment </w:t>
            </w:r>
            <w:r w:rsidRPr="00C83DA9">
              <w:rPr>
                <w:rFonts w:eastAsia="Times New Roman" w:cs="Times New Roman"/>
                <w:b/>
                <w:kern w:val="0"/>
                <w:sz w:val="22"/>
                <w:lang w:val="fr-FR"/>
                <w14:ligatures w14:val="none"/>
              </w:rPr>
              <w:t>Andorre</w:t>
            </w:r>
            <w:r w:rsidRPr="00C83DA9">
              <w:rPr>
                <w:rFonts w:eastAsia="Times New Roman" w:cs="Times New Roman"/>
                <w:kern w:val="0"/>
                <w:sz w:val="22"/>
                <w:lang w:val="fr-FR"/>
                <w14:ligatures w14:val="none"/>
              </w:rPr>
              <w:t>, l'</w:t>
            </w:r>
            <w:r w:rsidRPr="00C83DA9">
              <w:rPr>
                <w:rFonts w:eastAsia="Times New Roman" w:cs="Times New Roman"/>
                <w:b/>
                <w:kern w:val="0"/>
                <w:sz w:val="22"/>
                <w:lang w:val="fr-FR"/>
                <w14:ligatures w14:val="none"/>
              </w:rPr>
              <w:t>Arménie</w:t>
            </w:r>
            <w:r w:rsidRPr="00C83DA9">
              <w:rPr>
                <w:rFonts w:eastAsia="Times New Roman" w:cs="Times New Roman"/>
                <w:kern w:val="0"/>
                <w:sz w:val="22"/>
                <w:lang w:val="fr-FR"/>
                <w14:ligatures w14:val="none"/>
              </w:rPr>
              <w:t>, les </w:t>
            </w:r>
            <w:r w:rsidRPr="00C83DA9">
              <w:rPr>
                <w:rFonts w:eastAsia="Times New Roman" w:cs="Times New Roman"/>
                <w:b/>
                <w:kern w:val="0"/>
                <w:sz w:val="22"/>
                <w:lang w:val="fr-FR"/>
                <w14:ligatures w14:val="none"/>
              </w:rPr>
              <w:t>Bahamas</w:t>
            </w:r>
            <w:r w:rsidRPr="00C83DA9">
              <w:rPr>
                <w:rFonts w:eastAsia="Times New Roman" w:cs="Times New Roman"/>
                <w:kern w:val="0"/>
                <w:sz w:val="22"/>
                <w:lang w:val="fr-FR"/>
                <w14:ligatures w14:val="none"/>
              </w:rPr>
              <w:t xml:space="preserve">, le </w:t>
            </w:r>
            <w:r w:rsidRPr="00C83DA9">
              <w:rPr>
                <w:rFonts w:eastAsia="Times New Roman" w:cs="Times New Roman"/>
                <w:b/>
                <w:kern w:val="0"/>
                <w:sz w:val="22"/>
                <w:lang w:val="fr-FR"/>
                <w14:ligatures w14:val="none"/>
              </w:rPr>
              <w:t>Bhoutan</w:t>
            </w:r>
            <w:r w:rsidRPr="00C83DA9">
              <w:rPr>
                <w:rFonts w:eastAsia="Times New Roman" w:cs="Times New Roman"/>
                <w:kern w:val="0"/>
                <w:sz w:val="22"/>
                <w:lang w:val="fr-FR"/>
                <w14:ligatures w14:val="none"/>
              </w:rPr>
              <w:t xml:space="preserve">, le </w:t>
            </w:r>
            <w:r w:rsidRPr="00C83DA9">
              <w:rPr>
                <w:rFonts w:eastAsia="Times New Roman" w:cs="Times New Roman"/>
                <w:b/>
                <w:kern w:val="0"/>
                <w:sz w:val="22"/>
                <w:lang w:val="fr-FR"/>
                <w14:ligatures w14:val="none"/>
              </w:rPr>
              <w:t>Cambodge</w:t>
            </w:r>
            <w:r w:rsidRPr="00C83DA9">
              <w:rPr>
                <w:rFonts w:eastAsia="Times New Roman" w:cs="Times New Roman"/>
                <w:kern w:val="0"/>
                <w:sz w:val="22"/>
                <w:lang w:val="fr-FR"/>
                <w14:ligatures w14:val="none"/>
              </w:rPr>
              <w:t xml:space="preserve">, le </w:t>
            </w:r>
            <w:r w:rsidRPr="00C83DA9">
              <w:rPr>
                <w:rFonts w:eastAsia="Times New Roman" w:cs="Times New Roman"/>
                <w:b/>
                <w:kern w:val="0"/>
                <w:sz w:val="22"/>
                <w:lang w:val="fr-FR"/>
                <w14:ligatures w14:val="none"/>
              </w:rPr>
              <w:t>Chili</w:t>
            </w:r>
            <w:r w:rsidRPr="00C83DA9">
              <w:rPr>
                <w:rFonts w:eastAsia="Times New Roman" w:cs="Times New Roman"/>
                <w:kern w:val="0"/>
                <w:sz w:val="22"/>
                <w:lang w:val="fr-FR"/>
                <w14:ligatures w14:val="none"/>
              </w:rPr>
              <w:t>, l'</w:t>
            </w:r>
            <w:r w:rsidRPr="00C83DA9">
              <w:rPr>
                <w:rFonts w:eastAsia="Times New Roman" w:cs="Times New Roman"/>
                <w:b/>
                <w:kern w:val="0"/>
                <w:sz w:val="22"/>
                <w:lang w:val="fr-FR"/>
                <w14:ligatures w14:val="none"/>
              </w:rPr>
              <w:t>Équateur</w:t>
            </w:r>
            <w:r w:rsidRPr="00C83DA9">
              <w:rPr>
                <w:rFonts w:eastAsia="Times New Roman" w:cs="Times New Roman"/>
                <w:kern w:val="0"/>
                <w:sz w:val="22"/>
                <w:lang w:val="fr-FR"/>
                <w14:ligatures w14:val="none"/>
              </w:rPr>
              <w:t>, l'</w:t>
            </w:r>
            <w:r w:rsidRPr="00C83DA9">
              <w:rPr>
                <w:rFonts w:eastAsia="Times New Roman" w:cs="Times New Roman"/>
                <w:b/>
                <w:kern w:val="0"/>
                <w:sz w:val="22"/>
                <w:lang w:val="fr-FR"/>
                <w14:ligatures w14:val="none"/>
              </w:rPr>
              <w:t>Eswatini</w:t>
            </w:r>
            <w:r w:rsidRPr="00C83DA9">
              <w:rPr>
                <w:rFonts w:eastAsia="Times New Roman" w:cs="Times New Roman"/>
                <w:kern w:val="0"/>
                <w:sz w:val="22"/>
                <w:lang w:val="fr-FR"/>
                <w14:ligatures w14:val="none"/>
              </w:rPr>
              <w:t xml:space="preserve">, le </w:t>
            </w:r>
            <w:r w:rsidRPr="00C83DA9">
              <w:rPr>
                <w:rFonts w:eastAsia="Times New Roman" w:cs="Times New Roman"/>
                <w:b/>
                <w:kern w:val="0"/>
                <w:sz w:val="22"/>
                <w:lang w:val="fr-FR"/>
                <w14:ligatures w14:val="none"/>
              </w:rPr>
              <w:t>Kazakhstan</w:t>
            </w:r>
            <w:r w:rsidRPr="00C83DA9">
              <w:rPr>
                <w:rFonts w:eastAsia="Times New Roman" w:cs="Times New Roman"/>
                <w:kern w:val="0"/>
                <w:sz w:val="22"/>
                <w:lang w:val="fr-FR"/>
                <w14:ligatures w14:val="none"/>
              </w:rPr>
              <w:t xml:space="preserve">, le </w:t>
            </w:r>
            <w:r w:rsidRPr="00C83DA9">
              <w:rPr>
                <w:rFonts w:eastAsia="Times New Roman" w:cs="Times New Roman"/>
                <w:b/>
                <w:kern w:val="0"/>
                <w:sz w:val="22"/>
                <w:lang w:val="fr-FR"/>
                <w14:ligatures w14:val="none"/>
              </w:rPr>
              <w:t>Liban</w:t>
            </w:r>
            <w:r w:rsidRPr="00C83DA9">
              <w:rPr>
                <w:rFonts w:eastAsia="Times New Roman" w:cs="Times New Roman"/>
                <w:kern w:val="0"/>
                <w:sz w:val="22"/>
                <w:lang w:val="fr-FR"/>
                <w14:ligatures w14:val="none"/>
              </w:rPr>
              <w:t xml:space="preserve">, le </w:t>
            </w:r>
            <w:r w:rsidRPr="00C83DA9">
              <w:rPr>
                <w:rFonts w:eastAsia="Times New Roman" w:cs="Times New Roman"/>
                <w:b/>
                <w:kern w:val="0"/>
                <w:sz w:val="22"/>
                <w:lang w:val="fr-FR"/>
                <w14:ligatures w14:val="none"/>
              </w:rPr>
              <w:t>Malawi</w:t>
            </w:r>
            <w:r w:rsidRPr="00C83DA9">
              <w:rPr>
                <w:rFonts w:eastAsia="Times New Roman" w:cs="Times New Roman"/>
                <w:kern w:val="0"/>
                <w:sz w:val="22"/>
                <w:lang w:val="fr-FR"/>
                <w14:ligatures w14:val="none"/>
              </w:rPr>
              <w:t xml:space="preserve">, la </w:t>
            </w:r>
            <w:r w:rsidRPr="00C83DA9">
              <w:rPr>
                <w:rFonts w:eastAsia="Times New Roman" w:cs="Times New Roman"/>
                <w:b/>
                <w:kern w:val="0"/>
                <w:sz w:val="22"/>
                <w:lang w:val="fr-FR"/>
                <w14:ligatures w14:val="none"/>
              </w:rPr>
              <w:t>Mongolie</w:t>
            </w:r>
            <w:r w:rsidRPr="00C83DA9">
              <w:rPr>
                <w:rFonts w:eastAsia="Times New Roman" w:cs="Times New Roman"/>
                <w:kern w:val="0"/>
                <w:sz w:val="22"/>
                <w:lang w:val="fr-FR"/>
                <w14:ligatures w14:val="none"/>
              </w:rPr>
              <w:t xml:space="preserve">, le </w:t>
            </w:r>
            <w:r w:rsidRPr="00C83DA9">
              <w:rPr>
                <w:rFonts w:eastAsia="Times New Roman" w:cs="Times New Roman"/>
                <w:b/>
                <w:kern w:val="0"/>
                <w:sz w:val="22"/>
                <w:lang w:val="fr-FR"/>
                <w14:ligatures w14:val="none"/>
              </w:rPr>
              <w:t>Maroc</w:t>
            </w:r>
            <w:r w:rsidRPr="00C83DA9">
              <w:rPr>
                <w:rFonts w:eastAsia="Times New Roman" w:cs="Times New Roman"/>
                <w:kern w:val="0"/>
                <w:sz w:val="22"/>
                <w:lang w:val="fr-FR"/>
                <w14:ligatures w14:val="none"/>
              </w:rPr>
              <w:t xml:space="preserve">, le </w:t>
            </w:r>
            <w:r w:rsidRPr="00C83DA9">
              <w:rPr>
                <w:rFonts w:eastAsia="Times New Roman" w:cs="Times New Roman"/>
                <w:b/>
                <w:kern w:val="0"/>
                <w:sz w:val="22"/>
                <w:lang w:val="fr-FR"/>
                <w14:ligatures w14:val="none"/>
              </w:rPr>
              <w:t>Pakistan</w:t>
            </w:r>
            <w:r w:rsidRPr="00C83DA9">
              <w:rPr>
                <w:rFonts w:eastAsia="Times New Roman" w:cs="Times New Roman"/>
                <w:kern w:val="0"/>
                <w:sz w:val="22"/>
                <w:lang w:val="fr-FR"/>
                <w14:ligatures w14:val="none"/>
              </w:rPr>
              <w:t xml:space="preserve">, le </w:t>
            </w:r>
            <w:r w:rsidRPr="00C83DA9">
              <w:rPr>
                <w:rFonts w:eastAsia="Times New Roman" w:cs="Times New Roman"/>
                <w:b/>
                <w:kern w:val="0"/>
                <w:sz w:val="22"/>
                <w:lang w:val="fr-FR"/>
                <w14:ligatures w14:val="none"/>
              </w:rPr>
              <w:t xml:space="preserve">Suriname </w:t>
            </w:r>
            <w:r w:rsidRPr="00C83DA9">
              <w:rPr>
                <w:rFonts w:eastAsia="Times New Roman" w:cs="Times New Roman"/>
                <w:kern w:val="0"/>
                <w:sz w:val="22"/>
                <w:lang w:val="fr-FR"/>
                <w14:ligatures w14:val="none"/>
              </w:rPr>
              <w:t xml:space="preserve">et la </w:t>
            </w:r>
            <w:r w:rsidRPr="00C83DA9">
              <w:rPr>
                <w:rFonts w:eastAsia="Times New Roman" w:cs="Times New Roman"/>
                <w:b/>
                <w:kern w:val="0"/>
                <w:sz w:val="22"/>
                <w:lang w:val="fr-FR"/>
                <w14:ligatures w14:val="none"/>
              </w:rPr>
              <w:t>Thaïlande</w:t>
            </w:r>
            <w:r w:rsidRPr="00C83DA9">
              <w:rPr>
                <w:rFonts w:eastAsia="Times New Roman" w:cs="Times New Roman"/>
                <w:kern w:val="0"/>
                <w:sz w:val="22"/>
                <w:lang w:val="fr-FR"/>
                <w14:ligatures w14:val="none"/>
              </w:rPr>
              <w:t>. La participation à l'échelle régionale s'est également renforcée dans le cadre de l'Union africaine, qui a intégré les lignes directrices en la matière en swahili.</w:t>
            </w:r>
          </w:p>
          <w:p w14:paraId="2ECD818C" w14:textId="77777777"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lastRenderedPageBreak/>
              <w:t xml:space="preserve">L'accent a notamment été mis sur le </w:t>
            </w:r>
            <w:r w:rsidRPr="00C83DA9">
              <w:rPr>
                <w:rFonts w:eastAsia="Times New Roman" w:cs="Times New Roman"/>
                <w:b/>
                <w:kern w:val="0"/>
                <w:sz w:val="22"/>
                <w:lang w:val="fr-FR"/>
                <w14:ligatures w14:val="none"/>
              </w:rPr>
              <w:t>renforcement des capacités</w:t>
            </w:r>
            <w:r w:rsidRPr="00C83DA9">
              <w:rPr>
                <w:rFonts w:eastAsia="Times New Roman" w:cs="Times New Roman"/>
                <w:kern w:val="0"/>
                <w:sz w:val="22"/>
                <w:lang w:val="fr-FR"/>
                <w14:ligatures w14:val="none"/>
              </w:rPr>
              <w:t xml:space="preserve">. Le programme a pu atteindre plus de </w:t>
            </w:r>
            <w:r w:rsidRPr="00C83DA9">
              <w:rPr>
                <w:rFonts w:eastAsia="Times New Roman" w:cs="Times New Roman"/>
                <w:b/>
                <w:kern w:val="0"/>
                <w:sz w:val="22"/>
                <w:lang w:val="fr-FR"/>
                <w14:ligatures w14:val="none"/>
              </w:rPr>
              <w:t>200 000 bénéficiaires directs</w:t>
            </w:r>
            <w:r w:rsidRPr="00C83DA9">
              <w:rPr>
                <w:rFonts w:eastAsia="Times New Roman" w:cs="Times New Roman"/>
                <w:kern w:val="0"/>
                <w:sz w:val="22"/>
                <w:lang w:val="fr-FR"/>
                <w14:ligatures w14:val="none"/>
              </w:rPr>
              <w:t>, comme suit:</w:t>
            </w:r>
          </w:p>
          <w:p w14:paraId="1CEF98D3" w14:textId="124D10FB" w:rsidR="00224289" w:rsidRPr="00C83DA9" w:rsidRDefault="000B5E7B" w:rsidP="000B5E7B">
            <w:pPr>
              <w:pStyle w:val="enumlev1"/>
              <w:tabs>
                <w:tab w:val="clear" w:pos="1134"/>
              </w:tabs>
              <w:ind w:left="452" w:hanging="452"/>
              <w:rPr>
                <w:rFonts w:eastAsia="Times New Roman" w:cs="Times New Roman"/>
                <w:color w:val="000000" w:themeColor="text1"/>
                <w:kern w:val="0"/>
                <w:sz w:val="22"/>
                <w:lang w:val="fr-FR"/>
              </w:rPr>
            </w:pPr>
            <w:r w:rsidRPr="000B5E7B">
              <w:rPr>
                <w:color w:val="000000" w:themeColor="text1"/>
                <w:sz w:val="22"/>
                <w:lang w:val="fr-FR"/>
              </w:rPr>
              <w:t>•</w:t>
            </w:r>
            <w:r w:rsidR="00224289" w:rsidRPr="00C83DA9">
              <w:rPr>
                <w:rFonts w:eastAsia="Times New Roman" w:cs="Times New Roman"/>
                <w:color w:val="000000" w:themeColor="text1"/>
                <w:kern w:val="0"/>
                <w:sz w:val="22"/>
                <w:lang w:val="fr-FR"/>
              </w:rPr>
              <w:tab/>
              <w:t>quelque 170 000 enfants ont participé à des formations sur les compétences numériques et la sécurité dans les six langues officielles de l'ONU;</w:t>
            </w:r>
          </w:p>
          <w:p w14:paraId="2EC69CA3" w14:textId="77777777" w:rsidR="00224289" w:rsidRPr="00C83DA9" w:rsidRDefault="00224289" w:rsidP="000B5E7B">
            <w:pPr>
              <w:pStyle w:val="enumlev1"/>
              <w:tabs>
                <w:tab w:val="clear" w:pos="1134"/>
              </w:tabs>
              <w:ind w:left="452" w:hanging="452"/>
              <w:rPr>
                <w:rFonts w:eastAsia="Times New Roman" w:cs="Times New Roman"/>
                <w:color w:val="000000" w:themeColor="text1"/>
                <w:kern w:val="0"/>
                <w:sz w:val="22"/>
                <w:lang w:val="fr-FR"/>
              </w:rPr>
            </w:pPr>
            <w:r w:rsidRPr="00C83DA9">
              <w:rPr>
                <w:rFonts w:eastAsia="Times New Roman" w:cs="Times New Roman"/>
                <w:color w:val="000000" w:themeColor="text1"/>
                <w:kern w:val="0"/>
                <w:sz w:val="22"/>
                <w:lang w:val="fr-FR"/>
              </w:rPr>
              <w:t>•</w:t>
            </w:r>
            <w:r w:rsidRPr="00C83DA9">
              <w:rPr>
                <w:rFonts w:eastAsia="Times New Roman" w:cs="Times New Roman"/>
                <w:color w:val="000000" w:themeColor="text1"/>
                <w:kern w:val="0"/>
                <w:sz w:val="22"/>
                <w:lang w:val="fr-FR"/>
              </w:rPr>
              <w:tab/>
              <w:t>plus de 6 000 parents, éducateurs et personnes s'occupant d'enfants ont reçu une formation par le biais de sessions en présentiel et en ligne;</w:t>
            </w:r>
          </w:p>
          <w:p w14:paraId="1473E5B8" w14:textId="77777777" w:rsidR="00224289" w:rsidRPr="00C83DA9" w:rsidRDefault="00224289" w:rsidP="000B5E7B">
            <w:pPr>
              <w:pStyle w:val="enumlev1"/>
              <w:tabs>
                <w:tab w:val="clear" w:pos="1134"/>
              </w:tabs>
              <w:ind w:left="452" w:hanging="452"/>
              <w:rPr>
                <w:rFonts w:eastAsia="Times New Roman" w:cs="Times New Roman"/>
                <w:color w:val="000000" w:themeColor="text1"/>
                <w:kern w:val="0"/>
                <w:sz w:val="22"/>
                <w:lang w:val="fr-FR"/>
              </w:rPr>
            </w:pPr>
            <w:r w:rsidRPr="00C83DA9">
              <w:rPr>
                <w:rFonts w:eastAsia="Times New Roman" w:cs="Times New Roman"/>
                <w:color w:val="000000" w:themeColor="text1"/>
                <w:kern w:val="0"/>
                <w:sz w:val="22"/>
                <w:lang w:val="fr-FR"/>
              </w:rPr>
              <w:t>•</w:t>
            </w:r>
            <w:r w:rsidRPr="00C83DA9">
              <w:rPr>
                <w:rFonts w:eastAsia="Times New Roman" w:cs="Times New Roman"/>
                <w:color w:val="000000" w:themeColor="text1"/>
                <w:kern w:val="0"/>
                <w:sz w:val="22"/>
                <w:lang w:val="fr-FR"/>
              </w:rPr>
              <w:tab/>
              <w:t>quelque 2 900 professionnels des TIC et travailleurs sociaux ont reçu une formation;</w:t>
            </w:r>
          </w:p>
          <w:p w14:paraId="3D4088C7" w14:textId="77777777" w:rsidR="00224289" w:rsidRPr="00C83DA9" w:rsidRDefault="00224289" w:rsidP="000B5E7B">
            <w:pPr>
              <w:pStyle w:val="enumlev1"/>
              <w:tabs>
                <w:tab w:val="clear" w:pos="1134"/>
              </w:tabs>
              <w:ind w:left="452" w:hanging="452"/>
              <w:rPr>
                <w:rFonts w:eastAsia="Times New Roman" w:cs="Times New Roman"/>
                <w:color w:val="000000" w:themeColor="text1"/>
                <w:kern w:val="0"/>
                <w:sz w:val="22"/>
                <w:lang w:val="fr-FR"/>
              </w:rPr>
            </w:pPr>
            <w:r w:rsidRPr="00C83DA9">
              <w:rPr>
                <w:rFonts w:eastAsia="Times New Roman" w:cs="Times New Roman"/>
                <w:color w:val="000000" w:themeColor="text1"/>
                <w:kern w:val="0"/>
                <w:sz w:val="22"/>
                <w:lang w:val="fr-FR"/>
              </w:rPr>
              <w:t>•</w:t>
            </w:r>
            <w:r w:rsidRPr="00C83DA9">
              <w:rPr>
                <w:rFonts w:eastAsia="Times New Roman" w:cs="Times New Roman"/>
                <w:color w:val="000000" w:themeColor="text1"/>
                <w:kern w:val="0"/>
                <w:sz w:val="22"/>
                <w:lang w:val="fr-FR"/>
              </w:rPr>
              <w:tab/>
              <w:t>quelque 1 000 décideurs et régulateurs ont suivi une formation en matière de politiques générales et de réglementation.</w:t>
            </w:r>
          </w:p>
          <w:p w14:paraId="6FCC1853" w14:textId="77777777"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Des programmes de </w:t>
            </w:r>
            <w:r w:rsidRPr="00C83DA9">
              <w:rPr>
                <w:rFonts w:eastAsia="Times New Roman" w:cs="Times New Roman"/>
                <w:b/>
                <w:kern w:val="0"/>
                <w:sz w:val="22"/>
                <w:lang w:val="fr-FR"/>
                <w14:ligatures w14:val="none"/>
              </w:rPr>
              <w:t>formation à l'intention des formateurs</w:t>
            </w:r>
            <w:r w:rsidRPr="00C83DA9">
              <w:rPr>
                <w:rFonts w:eastAsia="Times New Roman" w:cs="Times New Roman"/>
                <w:kern w:val="0"/>
                <w:sz w:val="22"/>
                <w:lang w:val="fr-FR"/>
                <w14:ligatures w14:val="none"/>
              </w:rPr>
              <w:t xml:space="preserve"> ont été dispensés et des éducateurs ont été certifiés en </w:t>
            </w:r>
            <w:r w:rsidRPr="00C83DA9">
              <w:rPr>
                <w:rFonts w:eastAsia="Times New Roman" w:cs="Times New Roman"/>
                <w:b/>
                <w:kern w:val="0"/>
                <w:sz w:val="22"/>
                <w:lang w:val="fr-FR"/>
                <w14:ligatures w14:val="none"/>
              </w:rPr>
              <w:t>Arménie</w:t>
            </w:r>
            <w:r w:rsidRPr="00C83DA9">
              <w:rPr>
                <w:rFonts w:eastAsia="Times New Roman" w:cs="Times New Roman"/>
                <w:kern w:val="0"/>
                <w:sz w:val="22"/>
                <w:lang w:val="fr-FR"/>
                <w14:ligatures w14:val="none"/>
              </w:rPr>
              <w:t xml:space="preserve">, aux </w:t>
            </w:r>
            <w:r w:rsidRPr="00C83DA9">
              <w:rPr>
                <w:rFonts w:eastAsia="Times New Roman" w:cs="Times New Roman"/>
                <w:b/>
                <w:kern w:val="0"/>
                <w:sz w:val="22"/>
                <w:lang w:val="fr-FR"/>
                <w14:ligatures w14:val="none"/>
              </w:rPr>
              <w:t>Bahamas</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Costa Rica</w:t>
            </w:r>
            <w:r w:rsidRPr="00C83DA9">
              <w:rPr>
                <w:rFonts w:eastAsia="Times New Roman" w:cs="Times New Roman"/>
                <w:kern w:val="0"/>
                <w:sz w:val="22"/>
                <w:lang w:val="fr-FR"/>
                <w14:ligatures w14:val="none"/>
              </w:rPr>
              <w:t xml:space="preserve">, en </w:t>
            </w:r>
            <w:r w:rsidRPr="00C83DA9">
              <w:rPr>
                <w:rFonts w:eastAsia="Times New Roman" w:cs="Times New Roman"/>
                <w:b/>
                <w:kern w:val="0"/>
                <w:sz w:val="22"/>
                <w:lang w:val="fr-FR"/>
                <w14:ligatures w14:val="none"/>
              </w:rPr>
              <w:t>Équateur</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Malawi</w:t>
            </w:r>
            <w:r w:rsidRPr="00C83DA9">
              <w:rPr>
                <w:rFonts w:eastAsia="Times New Roman" w:cs="Times New Roman"/>
                <w:kern w:val="0"/>
                <w:sz w:val="22"/>
                <w:lang w:val="fr-FR"/>
                <w14:ligatures w14:val="none"/>
              </w:rPr>
              <w:t xml:space="preserve">, aux </w:t>
            </w:r>
            <w:r w:rsidRPr="00C83DA9">
              <w:rPr>
                <w:rFonts w:eastAsia="Times New Roman" w:cs="Times New Roman"/>
                <w:b/>
                <w:kern w:val="0"/>
                <w:sz w:val="22"/>
                <w:lang w:val="fr-FR"/>
                <w14:ligatures w14:val="none"/>
              </w:rPr>
              <w:t>Maldives</w:t>
            </w:r>
            <w:r w:rsidRPr="00C83DA9">
              <w:rPr>
                <w:rFonts w:eastAsia="Times New Roman" w:cs="Times New Roman"/>
                <w:kern w:val="0"/>
                <w:sz w:val="22"/>
                <w:lang w:val="fr-FR"/>
                <w14:ligatures w14:val="none"/>
              </w:rPr>
              <w:t xml:space="preserve">, à </w:t>
            </w:r>
            <w:r w:rsidRPr="00C83DA9">
              <w:rPr>
                <w:rFonts w:eastAsia="Times New Roman" w:cs="Times New Roman"/>
                <w:b/>
                <w:kern w:val="0"/>
                <w:sz w:val="22"/>
                <w:lang w:val="fr-FR"/>
                <w14:ligatures w14:val="none"/>
              </w:rPr>
              <w:t>Malte</w:t>
            </w:r>
            <w:r w:rsidRPr="00C83DA9">
              <w:rPr>
                <w:rFonts w:eastAsia="Times New Roman" w:cs="Times New Roman"/>
                <w:kern w:val="0"/>
                <w:sz w:val="22"/>
                <w:lang w:val="fr-FR"/>
                <w14:ligatures w14:val="none"/>
              </w:rPr>
              <w:t xml:space="preserve">, en </w:t>
            </w:r>
            <w:r w:rsidRPr="00C83DA9">
              <w:rPr>
                <w:rFonts w:eastAsia="Times New Roman" w:cs="Times New Roman"/>
                <w:b/>
                <w:kern w:val="0"/>
                <w:sz w:val="22"/>
                <w:lang w:val="fr-FR"/>
                <w14:ligatures w14:val="none"/>
              </w:rPr>
              <w:t>Micronésie</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 xml:space="preserve">Suriname </w:t>
            </w:r>
            <w:r w:rsidRPr="00C83DA9">
              <w:rPr>
                <w:rFonts w:eastAsia="Times New Roman" w:cs="Times New Roman"/>
                <w:kern w:val="0"/>
                <w:sz w:val="22"/>
                <w:lang w:val="fr-FR"/>
                <w14:ligatures w14:val="none"/>
              </w:rPr>
              <w:t xml:space="preserve">et en </w:t>
            </w:r>
            <w:r w:rsidRPr="00C83DA9">
              <w:rPr>
                <w:rFonts w:eastAsia="Times New Roman" w:cs="Times New Roman"/>
                <w:b/>
                <w:kern w:val="0"/>
                <w:sz w:val="22"/>
                <w:lang w:val="fr-FR"/>
                <w14:ligatures w14:val="none"/>
              </w:rPr>
              <w:t>Ouzbékistan</w:t>
            </w:r>
            <w:r w:rsidRPr="00C83DA9">
              <w:rPr>
                <w:rFonts w:eastAsia="Times New Roman" w:cs="Times New Roman"/>
                <w:kern w:val="0"/>
                <w:sz w:val="22"/>
                <w:lang w:val="fr-FR"/>
                <w14:ligatures w14:val="none"/>
              </w:rPr>
              <w:t>, ce qui a eu un effet multiplicateur entre les régions.</w:t>
            </w:r>
          </w:p>
          <w:p w14:paraId="03CE26C9" w14:textId="77777777"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Outre les activités menées par un instructeur, l'UIT a mis en place </w:t>
            </w:r>
            <w:hyperlink r:id="rId203" w:history="1">
              <w:r w:rsidRPr="00C83DA9">
                <w:rPr>
                  <w:rFonts w:eastAsia="Times New Roman" w:cs="Times New Roman"/>
                  <w:b/>
                  <w:color w:val="0000FF"/>
                  <w:kern w:val="0"/>
                  <w:sz w:val="22"/>
                  <w:u w:val="single"/>
                  <w:lang w:val="fr-FR"/>
                  <w14:ligatures w14:val="none"/>
                </w:rPr>
                <w:t xml:space="preserve">10 modules de formation en ligne </w:t>
              </w:r>
              <w:r w:rsidRPr="00C83DA9">
                <w:rPr>
                  <w:rFonts w:eastAsia="Times New Roman" w:cs="Times New Roman"/>
                  <w:bCs/>
                  <w:color w:val="0000FF"/>
                  <w:kern w:val="0"/>
                  <w:sz w:val="22"/>
                  <w:u w:val="single"/>
                  <w:lang w:val="fr-FR"/>
                  <w14:ligatures w14:val="none"/>
                </w:rPr>
                <w:t>adaptés au rythme de chacun pour tous les publics</w:t>
              </w:r>
            </w:hyperlink>
            <w:r w:rsidRPr="00C83DA9">
              <w:rPr>
                <w:rFonts w:eastAsia="Times New Roman" w:cs="Times New Roman"/>
                <w:kern w:val="0"/>
                <w:sz w:val="22"/>
                <w:lang w:val="fr-FR"/>
                <w14:ligatures w14:val="none"/>
              </w:rPr>
              <w:t xml:space="preserve"> – parents ou personnes s'occupant d'enfants (niveau débutant et intermédiaire), éducateurs (niveau débutant et intermédiaire), décideurs, et professionnels des TIC – afin de toucher un public plus large, d'assurer un accès souple et de maintenir l'apprentissage au fil du temps.</w:t>
            </w:r>
            <w:hyperlink r:id="rId204"/>
          </w:p>
          <w:p w14:paraId="16B29F99" w14:textId="77777777"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Des </w:t>
            </w:r>
            <w:r w:rsidRPr="00C83DA9">
              <w:rPr>
                <w:rFonts w:eastAsia="Times New Roman" w:cs="Times New Roman"/>
                <w:b/>
                <w:kern w:val="0"/>
                <w:sz w:val="22"/>
                <w:lang w:val="fr-FR"/>
                <w14:ligatures w14:val="none"/>
              </w:rPr>
              <w:t>campagnes de sensibilisation</w:t>
            </w:r>
            <w:r w:rsidRPr="00C83DA9">
              <w:rPr>
                <w:rFonts w:eastAsia="Times New Roman" w:cs="Times New Roman"/>
                <w:kern w:val="0"/>
                <w:sz w:val="22"/>
                <w:lang w:val="fr-FR"/>
                <w14:ligatures w14:val="none"/>
              </w:rPr>
              <w:t xml:space="preserve"> ont été déployées dans cinq pays, à savoir l'</w:t>
            </w:r>
            <w:r w:rsidRPr="00C83DA9">
              <w:rPr>
                <w:rFonts w:eastAsia="Times New Roman" w:cs="Times New Roman"/>
                <w:b/>
                <w:kern w:val="0"/>
                <w:sz w:val="22"/>
                <w:lang w:val="fr-FR"/>
                <w14:ligatures w14:val="none"/>
              </w:rPr>
              <w:t>Albanie</w:t>
            </w:r>
            <w:r w:rsidRPr="00C83DA9">
              <w:rPr>
                <w:rFonts w:eastAsia="Times New Roman" w:cs="Times New Roman"/>
                <w:kern w:val="0"/>
                <w:sz w:val="22"/>
                <w:lang w:val="fr-FR"/>
                <w14:ligatures w14:val="none"/>
              </w:rPr>
              <w:t>, l'</w:t>
            </w:r>
            <w:r w:rsidRPr="00C83DA9">
              <w:rPr>
                <w:rFonts w:eastAsia="Times New Roman" w:cs="Times New Roman"/>
                <w:b/>
                <w:kern w:val="0"/>
                <w:sz w:val="22"/>
                <w:lang w:val="fr-FR"/>
                <w14:ligatures w14:val="none"/>
              </w:rPr>
              <w:t>Arménie</w:t>
            </w:r>
            <w:r w:rsidRPr="00C83DA9">
              <w:rPr>
                <w:rFonts w:eastAsia="Times New Roman" w:cs="Times New Roman"/>
                <w:kern w:val="0"/>
                <w:sz w:val="22"/>
                <w:lang w:val="fr-FR"/>
                <w14:ligatures w14:val="none"/>
              </w:rPr>
              <w:t xml:space="preserve">, le </w:t>
            </w:r>
            <w:r w:rsidRPr="00C83DA9">
              <w:rPr>
                <w:rFonts w:eastAsia="Times New Roman" w:cs="Times New Roman"/>
                <w:b/>
                <w:kern w:val="0"/>
                <w:sz w:val="22"/>
                <w:lang w:val="fr-FR"/>
                <w14:ligatures w14:val="none"/>
              </w:rPr>
              <w:t>Maroc</w:t>
            </w:r>
            <w:r w:rsidRPr="00C83DA9">
              <w:rPr>
                <w:rFonts w:eastAsia="Times New Roman" w:cs="Times New Roman"/>
                <w:kern w:val="0"/>
                <w:sz w:val="22"/>
                <w:lang w:val="fr-FR"/>
                <w14:ligatures w14:val="none"/>
              </w:rPr>
              <w:t>, l'</w:t>
            </w:r>
            <w:r w:rsidRPr="00C83DA9">
              <w:rPr>
                <w:rFonts w:eastAsia="Times New Roman" w:cs="Times New Roman"/>
                <w:b/>
                <w:kern w:val="0"/>
                <w:sz w:val="22"/>
                <w:lang w:val="fr-FR"/>
                <w14:ligatures w14:val="none"/>
              </w:rPr>
              <w:t>Ouzbékistan</w:t>
            </w:r>
            <w:r w:rsidRPr="00C83DA9">
              <w:rPr>
                <w:rFonts w:eastAsia="Times New Roman" w:cs="Times New Roman"/>
                <w:kern w:val="0"/>
                <w:sz w:val="22"/>
                <w:lang w:val="fr-FR"/>
                <w14:ligatures w14:val="none"/>
              </w:rPr>
              <w:t xml:space="preserve"> et la </w:t>
            </w:r>
            <w:r w:rsidRPr="00C83DA9">
              <w:rPr>
                <w:rFonts w:eastAsia="Times New Roman" w:cs="Times New Roman"/>
                <w:b/>
                <w:kern w:val="0"/>
                <w:sz w:val="22"/>
                <w:lang w:val="fr-FR"/>
                <w14:ligatures w14:val="none"/>
              </w:rPr>
              <w:t>Hongrie</w:t>
            </w:r>
            <w:r w:rsidRPr="00C83DA9">
              <w:rPr>
                <w:rFonts w:eastAsia="Times New Roman" w:cs="Times New Roman"/>
                <w:kern w:val="0"/>
                <w:sz w:val="22"/>
                <w:lang w:val="fr-FR"/>
                <w14:ligatures w14:val="none"/>
              </w:rPr>
              <w:t>. Les supports utilisés ont notamment pris la forme de documents adaptés aux enfants, de livres d'histoires, de dépliants et de vidéos (comme dans le cas de la campagne marocaine, qui présentait une mascotte appelée Sango).</w:t>
            </w:r>
          </w:p>
          <w:p w14:paraId="5DA17B5C" w14:textId="77777777"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Au </w:t>
            </w:r>
            <w:r w:rsidRPr="00C83DA9">
              <w:rPr>
                <w:rFonts w:eastAsia="Times New Roman" w:cs="Times New Roman"/>
                <w:b/>
                <w:kern w:val="0"/>
                <w:sz w:val="22"/>
                <w:lang w:val="fr-FR"/>
                <w14:ligatures w14:val="none"/>
              </w:rPr>
              <w:t>niveau mondial</w:t>
            </w:r>
            <w:r w:rsidRPr="00C83DA9">
              <w:rPr>
                <w:rFonts w:eastAsia="Times New Roman" w:cs="Times New Roman"/>
                <w:kern w:val="0"/>
                <w:sz w:val="22"/>
                <w:lang w:val="fr-FR"/>
                <w14:ligatures w14:val="none"/>
              </w:rPr>
              <w:t>, des ressources adaptées aux enfants ont été élaborées conjointement avec des enfants, notamment l'application web intitulée "</w:t>
            </w:r>
            <w:proofErr w:type="spellStart"/>
            <w:r>
              <w:fldChar w:fldCharType="begin"/>
            </w:r>
            <w:r w:rsidRPr="00CA734F">
              <w:rPr>
                <w:lang w:val="fr-FR"/>
              </w:rPr>
              <w:instrText>HYPERLINK "https://www.itu.int/cop/askme/"</w:instrText>
            </w:r>
            <w:r>
              <w:fldChar w:fldCharType="separate"/>
            </w:r>
            <w:r w:rsidRPr="00C83DA9">
              <w:rPr>
                <w:rFonts w:eastAsia="Times New Roman" w:cs="Times New Roman"/>
                <w:color w:val="0000FF"/>
                <w:kern w:val="0"/>
                <w:sz w:val="22"/>
                <w:u w:val="single"/>
                <w:lang w:val="fr-FR"/>
                <w14:ligatures w14:val="none"/>
              </w:rPr>
              <w:t>AskMe</w:t>
            </w:r>
            <w:proofErr w:type="spellEnd"/>
            <w:r w:rsidRPr="00C83DA9">
              <w:rPr>
                <w:rFonts w:eastAsia="Times New Roman" w:cs="Times New Roman"/>
                <w:color w:val="0000FF"/>
                <w:kern w:val="0"/>
                <w:sz w:val="22"/>
                <w:u w:val="single"/>
                <w:lang w:val="fr-FR"/>
                <w14:ligatures w14:val="none"/>
              </w:rPr>
              <w:t xml:space="preserve"> – </w:t>
            </w:r>
            <w:proofErr w:type="spellStart"/>
            <w:r w:rsidRPr="00C83DA9">
              <w:rPr>
                <w:rFonts w:eastAsia="Times New Roman" w:cs="Times New Roman"/>
                <w:color w:val="0000FF"/>
                <w:kern w:val="0"/>
                <w:sz w:val="22"/>
                <w:u w:val="single"/>
                <w:lang w:val="fr-FR"/>
                <w14:ligatures w14:val="none"/>
              </w:rPr>
              <w:t>Your</w:t>
            </w:r>
            <w:proofErr w:type="spellEnd"/>
            <w:r w:rsidRPr="00C83DA9">
              <w:rPr>
                <w:rFonts w:eastAsia="Times New Roman" w:cs="Times New Roman"/>
                <w:color w:val="0000FF"/>
                <w:kern w:val="0"/>
                <w:sz w:val="22"/>
                <w:u w:val="single"/>
                <w:lang w:val="fr-FR"/>
                <w14:ligatures w14:val="none"/>
              </w:rPr>
              <w:t xml:space="preserve"> Online Safety Friend</w:t>
            </w:r>
            <w:r>
              <w:fldChar w:fldCharType="end"/>
            </w:r>
            <w:r w:rsidRPr="00C83DA9">
              <w:rPr>
                <w:rFonts w:eastAsia="Times New Roman" w:cs="Times New Roman"/>
                <w:kern w:val="0"/>
                <w:sz w:val="22"/>
                <w:lang w:val="fr-FR"/>
                <w14:ligatures w14:val="none"/>
              </w:rPr>
              <w:t>" (Demande-moi – Parlons sécurité en ligne), le jeu "</w:t>
            </w:r>
            <w:proofErr w:type="spellStart"/>
            <w:r>
              <w:fldChar w:fldCharType="begin"/>
            </w:r>
            <w:r w:rsidRPr="00CA734F">
              <w:rPr>
                <w:lang w:val="fr-FR"/>
              </w:rPr>
              <w:instrText>HYPERLINK "https://www.itu.int/cop/sangosadventures/"</w:instrText>
            </w:r>
            <w:r>
              <w:fldChar w:fldCharType="separate"/>
            </w:r>
            <w:r w:rsidRPr="00C83DA9">
              <w:rPr>
                <w:rFonts w:eastAsia="Times New Roman" w:cs="Times New Roman"/>
                <w:color w:val="0000FF"/>
                <w:kern w:val="0"/>
                <w:sz w:val="22"/>
                <w:u w:val="single"/>
                <w:lang w:val="fr-FR"/>
                <w14:ligatures w14:val="none"/>
              </w:rPr>
              <w:t>Sango's</w:t>
            </w:r>
            <w:proofErr w:type="spellEnd"/>
            <w:r w:rsidRPr="00C83DA9">
              <w:rPr>
                <w:rFonts w:eastAsia="Times New Roman" w:cs="Times New Roman"/>
                <w:color w:val="0000FF"/>
                <w:kern w:val="0"/>
                <w:sz w:val="22"/>
                <w:u w:val="single"/>
                <w:lang w:val="fr-FR"/>
                <w14:ligatures w14:val="none"/>
              </w:rPr>
              <w:t xml:space="preserve"> Adventures: Discover Online Safety</w:t>
            </w:r>
            <w:r>
              <w:fldChar w:fldCharType="end"/>
            </w:r>
            <w:r w:rsidRPr="00C83DA9">
              <w:rPr>
                <w:rFonts w:eastAsia="Times New Roman" w:cs="Times New Roman"/>
                <w:kern w:val="0"/>
                <w:sz w:val="22"/>
                <w:lang w:val="fr-FR"/>
                <w14:ligatures w14:val="none"/>
              </w:rPr>
              <w:t>" (Les aventures de Sango: Découvre la sécurité en ligne) et le cours vidéo "</w:t>
            </w:r>
            <w:hyperlink r:id="rId205" w:history="1">
              <w:r w:rsidRPr="00C83DA9">
                <w:rPr>
                  <w:rFonts w:eastAsia="Times New Roman" w:cs="Times New Roman"/>
                  <w:color w:val="0000FF"/>
                  <w:kern w:val="0"/>
                  <w:sz w:val="22"/>
                  <w:u w:val="single"/>
                  <w:lang w:val="fr-FR"/>
                  <w14:ligatures w14:val="none"/>
                </w:rPr>
                <w:t>En ligne en sécurité avec Sango</w:t>
              </w:r>
            </w:hyperlink>
            <w:r w:rsidRPr="00C83DA9">
              <w:rPr>
                <w:rFonts w:eastAsia="Times New Roman" w:cs="Times New Roman"/>
                <w:kern w:val="0"/>
                <w:sz w:val="22"/>
                <w:lang w:val="fr-FR"/>
                <w14:ligatures w14:val="none"/>
              </w:rPr>
              <w:t>".</w:t>
            </w:r>
            <w:hyperlink r:id="rId206" w:tgtFrame="_blank" w:tooltip="https://www.itu.int/cop/askme/" w:history="1"/>
            <w:hyperlink r:id="rId207" w:tgtFrame="_blank" w:tooltip="https://www.itu.int/cop/sangosadventures/" w:history="1"/>
            <w:hyperlink r:id="rId208" w:tgtFrame="_blank" w:tooltip="https://www.itu.int/cop/sangosadventures/" w:history="1"/>
            <w:hyperlink r:id="rId209" w:tgtFrame="_blank" w:tooltip="https://www.youtube.com/watch?v=javimzqdvv4&amp;list=plpoipnlf8p2or11ls6orauzur7ajhwp0x&amp;index=1&amp;pp=iaqb" w:history="1"/>
          </w:p>
          <w:p w14:paraId="17065CE7" w14:textId="727F938B" w:rsidR="00224289" w:rsidRPr="00C83DA9" w:rsidRDefault="00224289" w:rsidP="00F01013">
            <w:pPr>
              <w:pStyle w:val="Tabletext"/>
              <w:widowControl w:val="0"/>
              <w:spacing w:before="120" w:after="120"/>
              <w:ind w:right="-85"/>
              <w:rPr>
                <w:rFonts w:ascii="Calibri" w:eastAsia="Times New Roman" w:hAnsi="Calibri" w:cs="Calibri"/>
                <w:kern w:val="0"/>
                <w:sz w:val="22"/>
                <w:lang w:val="fr-FR"/>
                <w14:ligatures w14:val="none"/>
              </w:rPr>
            </w:pPr>
            <w:r w:rsidRPr="00C83DA9">
              <w:rPr>
                <w:rFonts w:eastAsia="Times New Roman" w:cs="Times New Roman"/>
                <w:b/>
                <w:kern w:val="0"/>
                <w:sz w:val="22"/>
                <w:lang w:val="fr-FR"/>
                <w14:ligatures w14:val="none"/>
              </w:rPr>
              <w:t>Les enfants et les jeunes ont activement contribué à ces initiatives</w:t>
            </w:r>
            <w:r w:rsidRPr="00C83DA9">
              <w:rPr>
                <w:rFonts w:eastAsia="Times New Roman" w:cs="Times New Roman"/>
                <w:kern w:val="0"/>
                <w:sz w:val="22"/>
                <w:lang w:val="fr-FR"/>
                <w14:ligatures w14:val="none"/>
              </w:rPr>
              <w:t xml:space="preserve">. Un conseil consultatif de l'enfance à portée mondiale a </w:t>
            </w:r>
            <w:r w:rsidR="00174DF1" w:rsidRPr="00C83DA9">
              <w:rPr>
                <w:rFonts w:eastAsia="Times New Roman" w:cs="Times New Roman"/>
                <w:kern w:val="0"/>
                <w:sz w:val="22"/>
                <w:lang w:val="fr-FR"/>
                <w14:ligatures w14:val="none"/>
              </w:rPr>
              <w:t>cocréé</w:t>
            </w:r>
            <w:r w:rsidRPr="00C83DA9">
              <w:rPr>
                <w:rFonts w:eastAsia="Times New Roman" w:cs="Times New Roman"/>
                <w:kern w:val="0"/>
                <w:sz w:val="22"/>
                <w:lang w:val="fr-FR"/>
                <w14:ligatures w14:val="none"/>
              </w:rPr>
              <w:t xml:space="preserve"> des documents, tandis que des groupes d'action nationaux pour l'enfance et la jeunesse ont été mis sur pied en </w:t>
            </w:r>
            <w:r w:rsidRPr="00C83DA9">
              <w:rPr>
                <w:rFonts w:eastAsia="Times New Roman" w:cs="Times New Roman"/>
                <w:b/>
                <w:kern w:val="0"/>
                <w:sz w:val="22"/>
                <w:lang w:val="fr-FR"/>
                <w14:ligatures w14:val="none"/>
              </w:rPr>
              <w:t>Indonésie</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Liban</w:t>
            </w:r>
            <w:r w:rsidRPr="00C83DA9">
              <w:rPr>
                <w:rFonts w:eastAsia="Times New Roman" w:cs="Times New Roman"/>
                <w:kern w:val="0"/>
                <w:sz w:val="22"/>
                <w:lang w:val="fr-FR"/>
                <w14:ligatures w14:val="none"/>
              </w:rPr>
              <w:t xml:space="preserve"> et au</w:t>
            </w:r>
            <w:r w:rsidR="00D925BB">
              <w:rPr>
                <w:rFonts w:eastAsia="Times New Roman" w:cs="Times New Roman"/>
                <w:kern w:val="0"/>
                <w:sz w:val="22"/>
                <w:lang w:val="fr-FR"/>
                <w14:ligatures w14:val="none"/>
              </w:rPr>
              <w:t> </w:t>
            </w:r>
            <w:r w:rsidRPr="00C83DA9">
              <w:rPr>
                <w:rFonts w:eastAsia="Times New Roman" w:cs="Times New Roman"/>
                <w:b/>
                <w:kern w:val="0"/>
                <w:sz w:val="22"/>
                <w:lang w:val="fr-FR"/>
                <w14:ligatures w14:val="none"/>
              </w:rPr>
              <w:t>Malawi</w:t>
            </w:r>
            <w:r w:rsidRPr="00C83DA9">
              <w:rPr>
                <w:rFonts w:eastAsia="Times New Roman" w:cs="Times New Roman"/>
                <w:kern w:val="0"/>
                <w:sz w:val="22"/>
                <w:lang w:val="fr-FR"/>
                <w14:ligatures w14:val="none"/>
              </w:rPr>
              <w:t xml:space="preserve">. Plus de 500 possibilités de participation ont été proposées à l'intention des enfants et des jeunes, y compris des enquêtes, des hackathons, des consultations et des dialogues dans le cadre du programme </w:t>
            </w:r>
            <w:hyperlink r:id="rId210" w:history="1">
              <w:proofErr w:type="spellStart"/>
              <w:r w:rsidRPr="00C83DA9">
                <w:rPr>
                  <w:rFonts w:eastAsia="Times New Roman" w:cs="Times New Roman"/>
                  <w:color w:val="0000FF"/>
                  <w:kern w:val="0"/>
                  <w:sz w:val="22"/>
                  <w:u w:val="single"/>
                  <w:lang w:val="fr-FR"/>
                  <w14:ligatures w14:val="none"/>
                </w:rPr>
                <w:t>Industry</w:t>
              </w:r>
              <w:proofErr w:type="spellEnd"/>
              <w:r w:rsidRPr="00C83DA9">
                <w:rPr>
                  <w:rFonts w:eastAsia="Times New Roman" w:cs="Times New Roman"/>
                  <w:color w:val="0000FF"/>
                  <w:kern w:val="0"/>
                  <w:sz w:val="22"/>
                  <w:u w:val="single"/>
                  <w:lang w:val="fr-FR"/>
                  <w14:ligatures w14:val="none"/>
                </w:rPr>
                <w:t xml:space="preserve"> Connect</w:t>
              </w:r>
            </w:hyperlink>
            <w:r w:rsidRPr="00C83DA9">
              <w:rPr>
                <w:rFonts w:eastAsia="Times New Roman" w:cs="Times New Roman"/>
                <w:kern w:val="0"/>
                <w:sz w:val="22"/>
                <w:lang w:val="fr-FR"/>
                <w14:ligatures w14:val="none"/>
              </w:rPr>
              <w:t xml:space="preserve"> de l'UIT lancé en 2025. La série trimestrielle de dialogues en ligne offre un espace restreint et informel permettant au secteur privé et aux États Membres d'échanger des bonnes pratiques, des informations sur les défis et des priorités nationales, la société civile, des experts des Nations Unies et des enfants contribuant à encadrer les discussions. Les trois premières séries de dialogues ont porté sur l'IA, les médias sociaux et les jeux, tandis qu'une quatrième, prévue pour décembre 2025, portera sur l'éducation (</w:t>
            </w:r>
            <w:proofErr w:type="spellStart"/>
            <w:r w:rsidRPr="00C83DA9">
              <w:rPr>
                <w:rFonts w:eastAsia="Times New Roman" w:cs="Times New Roman"/>
                <w:kern w:val="0"/>
                <w:sz w:val="22"/>
                <w:lang w:val="fr-FR"/>
                <w14:ligatures w14:val="none"/>
              </w:rPr>
              <w:t>EdTech</w:t>
            </w:r>
            <w:proofErr w:type="spellEnd"/>
            <w:r w:rsidRPr="00C83DA9">
              <w:rPr>
                <w:rFonts w:eastAsia="Times New Roman" w:cs="Times New Roman"/>
                <w:kern w:val="0"/>
                <w:sz w:val="22"/>
                <w:lang w:val="fr-FR"/>
                <w14:ligatures w14:val="none"/>
              </w:rPr>
              <w:t>).</w:t>
            </w:r>
            <w:hyperlink r:id="rId211"/>
          </w:p>
          <w:p w14:paraId="6A26D3A5" w14:textId="77777777"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La </w:t>
            </w:r>
            <w:r w:rsidRPr="00C83DA9">
              <w:rPr>
                <w:rFonts w:eastAsia="Times New Roman" w:cs="Times New Roman"/>
                <w:b/>
                <w:kern w:val="0"/>
                <w:sz w:val="22"/>
                <w:lang w:val="fr-FR"/>
                <w14:ligatures w14:val="none"/>
              </w:rPr>
              <w:t>collaboration</w:t>
            </w:r>
            <w:r w:rsidRPr="00C83DA9">
              <w:rPr>
                <w:rFonts w:eastAsia="Times New Roman" w:cs="Times New Roman"/>
                <w:kern w:val="0"/>
                <w:sz w:val="22"/>
                <w:lang w:val="fr-FR"/>
                <w14:ligatures w14:val="none"/>
              </w:rPr>
              <w:t xml:space="preserve"> avec le Comité des droits de l'enfant des Nations Unies (créé en 2024), axée sur la </w:t>
            </w:r>
            <w:r w:rsidRPr="00C83DA9">
              <w:rPr>
                <w:rFonts w:eastAsia="Times New Roman" w:cs="Times New Roman"/>
                <w:b/>
                <w:kern w:val="0"/>
                <w:sz w:val="22"/>
                <w:lang w:val="fr-FR"/>
                <w14:ligatures w14:val="none"/>
              </w:rPr>
              <w:t>COP dans le contexte de l'IA</w:t>
            </w:r>
            <w:r w:rsidRPr="00C83DA9">
              <w:rPr>
                <w:rFonts w:eastAsia="Times New Roman" w:cs="Times New Roman"/>
                <w:kern w:val="0"/>
                <w:sz w:val="22"/>
                <w:lang w:val="fr-FR"/>
                <w14:ligatures w14:val="none"/>
              </w:rPr>
              <w:t xml:space="preserve">, a abouti à la rédaction d'une déclaration commune sur la protection des enfants dans le contexte de l'IA. En 2025, le BDT, en collaboration avec l'OMS et l'Université du New Hampshire (UNH), a lancé l'Alliance mondiale pour la sécurité en ligne à des fins </w:t>
            </w:r>
            <w:r w:rsidRPr="00C83DA9">
              <w:rPr>
                <w:rFonts w:eastAsia="Times New Roman" w:cs="Times New Roman"/>
                <w:kern w:val="0"/>
                <w:sz w:val="22"/>
                <w:lang w:val="fr-FR"/>
                <w14:ligatures w14:val="none"/>
              </w:rPr>
              <w:lastRenderedPageBreak/>
              <w:t>éducatives (</w:t>
            </w:r>
            <w:r w:rsidRPr="00C83DA9">
              <w:rPr>
                <w:rFonts w:eastAsia="Times New Roman" w:cs="Times New Roman"/>
                <w:b/>
                <w:kern w:val="0"/>
                <w:sz w:val="22"/>
                <w:lang w:val="fr-FR"/>
                <w14:ligatures w14:val="none"/>
              </w:rPr>
              <w:t>GO-SAFER</w:t>
            </w:r>
            <w:r w:rsidRPr="00C83DA9">
              <w:rPr>
                <w:rFonts w:eastAsia="Times New Roman" w:cs="Times New Roman"/>
                <w:kern w:val="0"/>
                <w:sz w:val="22"/>
                <w:lang w:val="fr-FR"/>
                <w14:ligatures w14:val="none"/>
              </w:rPr>
              <w:t>). Rendu possible grâce à l'appui du fonds mondial Safe Online, ce projet de deux ans (2025-2026) a permis de renforcer la prévention à l'échelle mondiale en ce qui concerne l'abus et l'exploitation sexuels des enfants en ligne. GO-SAFER amplifiera les actions afin de dispenser des programmes sur la sécurité en ligne fondés sur des données probantes, de mettre au point et de diffuser des outils et des programmes de qualité, et de créer un centre de ressources mondial centralisé.</w:t>
            </w:r>
          </w:p>
          <w:p w14:paraId="6E9256F3" w14:textId="77777777"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Faisant suite aux discussions du Groupe de travail du Conseil de l'UIT sur la protection en ligne des enfants, un </w:t>
            </w:r>
            <w:r w:rsidRPr="00C83DA9">
              <w:rPr>
                <w:rFonts w:eastAsia="Times New Roman" w:cs="Times New Roman"/>
                <w:b/>
                <w:kern w:val="0"/>
                <w:sz w:val="22"/>
                <w:lang w:val="fr-FR"/>
                <w14:ligatures w14:val="none"/>
              </w:rPr>
              <w:t>Groupe de travail par correspondance sur la protection en ligne des enfants (CG-COP)</w:t>
            </w:r>
            <w:r w:rsidRPr="00C83DA9">
              <w:rPr>
                <w:rFonts w:eastAsia="Times New Roman" w:cs="Times New Roman"/>
                <w:kern w:val="0"/>
                <w:sz w:val="22"/>
                <w:lang w:val="fr-FR"/>
                <w14:ligatures w14:val="none"/>
              </w:rPr>
              <w:t xml:space="preserve"> a été créé sous l'égide de la CE 2 de l'UIT-D, au titre des travaux sur la Question 3/2, qui a produit une analyse détaillée des lacunes afin d'éclairer les plans d'action nationaux.</w:t>
            </w:r>
          </w:p>
          <w:p w14:paraId="7F1EABB3" w14:textId="77777777"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Les </w:t>
            </w:r>
            <w:r w:rsidRPr="00C83DA9">
              <w:rPr>
                <w:rFonts w:eastAsia="Times New Roman" w:cs="Times New Roman"/>
                <w:b/>
                <w:kern w:val="0"/>
                <w:sz w:val="22"/>
                <w:lang w:val="fr-FR"/>
                <w14:ligatures w14:val="none"/>
              </w:rPr>
              <w:t>partenariats</w:t>
            </w:r>
            <w:r w:rsidRPr="00C83DA9">
              <w:rPr>
                <w:rFonts w:eastAsia="Times New Roman" w:cs="Times New Roman"/>
                <w:kern w:val="0"/>
                <w:sz w:val="22"/>
                <w:lang w:val="fr-FR"/>
                <w14:ligatures w14:val="none"/>
              </w:rPr>
              <w:t xml:space="preserve"> ont été considérablement étoffés, étant donné que plus de 50 partenaires issus du monde universitaire, du secteur privé, de l'administration, de la société civile et d'organisations internationales ont participé à l'élaboration conjointe et à la promotion de ressources et de campagnes, à l'échange de bonnes pratiques, à la dispense de formations communes, au renforcement des capacités, à la mise en place d'initiatives entre marques, ainsi qu'à la coordination aux niveaux mondial, régional et national. L'</w:t>
            </w:r>
            <w:r w:rsidRPr="00C83DA9">
              <w:rPr>
                <w:rFonts w:eastAsia="Times New Roman" w:cs="Times New Roman"/>
                <w:b/>
                <w:kern w:val="0"/>
                <w:sz w:val="22"/>
                <w:lang w:val="fr-FR"/>
                <w14:ligatures w14:val="none"/>
              </w:rPr>
              <w:t>Autorité nationale de cybersécurité (NCA) de l'Arabie saoudite</w:t>
            </w:r>
            <w:r w:rsidRPr="00C83DA9">
              <w:rPr>
                <w:rFonts w:eastAsia="Times New Roman" w:cs="Times New Roman"/>
                <w:kern w:val="0"/>
                <w:sz w:val="22"/>
                <w:lang w:val="fr-FR"/>
                <w14:ligatures w14:val="none"/>
              </w:rPr>
              <w:t xml:space="preserve"> et le </w:t>
            </w:r>
            <w:r w:rsidRPr="00C83DA9">
              <w:rPr>
                <w:rFonts w:eastAsia="Times New Roman" w:cs="Times New Roman"/>
                <w:b/>
                <w:kern w:val="0"/>
                <w:sz w:val="22"/>
                <w:lang w:val="fr-FR"/>
                <w14:ligatures w14:val="none"/>
              </w:rPr>
              <w:t>Forum mondial sur la cybersécurité (GCF)</w:t>
            </w:r>
            <w:r w:rsidRPr="00C83DA9">
              <w:rPr>
                <w:rFonts w:eastAsia="Times New Roman" w:cs="Times New Roman"/>
                <w:kern w:val="0"/>
                <w:sz w:val="22"/>
                <w:lang w:val="fr-FR"/>
                <w14:ligatures w14:val="none"/>
              </w:rPr>
              <w:t xml:space="preserve"> ont apporté un appui à la mise en place de cette </w:t>
            </w:r>
            <w:hyperlink r:id="rId212" w:history="1">
              <w:r w:rsidRPr="00C83DA9">
                <w:rPr>
                  <w:rFonts w:eastAsia="Times New Roman" w:cs="Times New Roman"/>
                  <w:color w:val="0000FF"/>
                  <w:kern w:val="0"/>
                  <w:sz w:val="22"/>
                  <w:u w:val="single"/>
                  <w:lang w:val="fr-FR"/>
                  <w14:ligatures w14:val="none"/>
                </w:rPr>
                <w:t>collaboration</w:t>
              </w:r>
            </w:hyperlink>
            <w:r w:rsidRPr="00C83DA9">
              <w:rPr>
                <w:rFonts w:eastAsia="Times New Roman" w:cs="Times New Roman"/>
                <w:kern w:val="0"/>
                <w:sz w:val="22"/>
                <w:lang w:val="fr-FR"/>
                <w14:ligatures w14:val="none"/>
              </w:rPr>
              <w:t xml:space="preserve"> et à la mise en œuvre globale des mesures de protection en ligne des enfants.</w:t>
            </w:r>
            <w:hyperlink r:id="rId213"/>
          </w:p>
          <w:p w14:paraId="56ADE2F1" w14:textId="77777777" w:rsidR="00224289" w:rsidRPr="00C83DA9" w:rsidRDefault="00224289" w:rsidP="004E5CF5">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La protection en ligne des enfants continue d'être prise en compte dans le GCI, ce qui renforce sa pertinence dans le cadre de mesures de sécurité numérique plus larges. D'autres données ont été recueillies dans le cadre de l'initiative sur la </w:t>
            </w:r>
            <w:hyperlink r:id="rId214" w:history="1">
              <w:r w:rsidRPr="00C83DA9">
                <w:rPr>
                  <w:rFonts w:eastAsia="Times New Roman" w:cs="Times New Roman"/>
                  <w:b/>
                  <w:color w:val="0000FF"/>
                  <w:kern w:val="0"/>
                  <w:sz w:val="22"/>
                  <w:u w:val="single"/>
                  <w:lang w:val="fr-FR"/>
                  <w14:ligatures w14:val="none"/>
                </w:rPr>
                <w:t>protection par la participation en ligne (PoP)</w:t>
              </w:r>
            </w:hyperlink>
            <w:r w:rsidRPr="00C83DA9">
              <w:rPr>
                <w:rFonts w:eastAsia="Times New Roman" w:cs="Times New Roman"/>
                <w:kern w:val="0"/>
                <w:sz w:val="22"/>
                <w:lang w:val="fr-FR"/>
                <w14:ligatures w14:val="none"/>
              </w:rPr>
              <w:t>, moyennant des enquêtes, des entretiens et des exercices de mise en correspondance, qui ont permis aux pouvoirs publics, aux professionnels de la protection de l'enfance et au secteur des TIC d'établir des principes mondiaux fondés sur des données factuelles concernant la manière de renforcer et d'améliorer les systèmes d'appui en ligne propres à aider les enfants à accéder efficacement à des moyens de protection et d'assistance sur Internet.</w:t>
            </w:r>
            <w:hyperlink r:id="rId215"/>
          </w:p>
          <w:p w14:paraId="67E82D90" w14:textId="3E67561A" w:rsidR="00224289" w:rsidRPr="00C83DA9" w:rsidRDefault="00224289" w:rsidP="009F710E">
            <w:pPr>
              <w:pStyle w:val="Tabletext"/>
              <w:keepNext/>
              <w:keepLines/>
              <w:spacing w:before="120" w:after="120"/>
              <w:ind w:right="-85"/>
              <w:rPr>
                <w:rFonts w:eastAsia="Times New Roman" w:cs="Times New Roman"/>
                <w:kern w:val="0"/>
                <w:sz w:val="22"/>
                <w:lang w:val="fr-FR"/>
                <w14:ligatures w14:val="none"/>
              </w:rPr>
            </w:pPr>
            <w:r w:rsidRPr="00C83DA9">
              <w:rPr>
                <w:rFonts w:eastAsia="Times New Roman" w:cs="Times New Roman"/>
                <w:kern w:val="0"/>
                <w:sz w:val="22"/>
                <w:lang w:val="fr-FR"/>
                <w14:ligatures w14:val="none"/>
              </w:rPr>
              <w:t xml:space="preserve">En </w:t>
            </w:r>
            <w:r w:rsidRPr="00C83DA9">
              <w:rPr>
                <w:rFonts w:eastAsia="Times New Roman" w:cs="Times New Roman"/>
                <w:b/>
                <w:kern w:val="0"/>
                <w:sz w:val="22"/>
                <w:lang w:val="fr-FR"/>
                <w14:ligatures w14:val="none"/>
              </w:rPr>
              <w:t>Afrique</w:t>
            </w:r>
            <w:r w:rsidRPr="00C83DA9">
              <w:rPr>
                <w:rFonts w:eastAsia="Times New Roman" w:cs="Times New Roman"/>
                <w:kern w:val="0"/>
                <w:sz w:val="22"/>
                <w:lang w:val="fr-FR"/>
                <w14:ligatures w14:val="none"/>
              </w:rPr>
              <w:t xml:space="preserve">, le BDT a organisé trois cyberexercices régionaux en </w:t>
            </w:r>
            <w:r w:rsidRPr="00C83DA9">
              <w:rPr>
                <w:rFonts w:eastAsia="Times New Roman" w:cs="Times New Roman"/>
                <w:b/>
                <w:kern w:val="0"/>
                <w:sz w:val="22"/>
                <w:lang w:val="fr-FR"/>
                <w14:ligatures w14:val="none"/>
              </w:rPr>
              <w:t>Rép</w:t>
            </w:r>
            <w:r w:rsidR="00A734FE" w:rsidRPr="00C83DA9">
              <w:rPr>
                <w:rFonts w:eastAsia="Times New Roman" w:cs="Times New Roman"/>
                <w:b/>
                <w:kern w:val="0"/>
                <w:sz w:val="22"/>
                <w:lang w:val="fr-FR"/>
                <w14:ligatures w14:val="none"/>
              </w:rPr>
              <w:t>ublique</w:t>
            </w:r>
            <w:r w:rsidRPr="00C83DA9">
              <w:rPr>
                <w:rFonts w:eastAsia="Times New Roman" w:cs="Times New Roman"/>
                <w:b/>
                <w:kern w:val="0"/>
                <w:sz w:val="22"/>
                <w:lang w:val="fr-FR"/>
                <w14:ligatures w14:val="none"/>
              </w:rPr>
              <w:t xml:space="preserve"> du Congo</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Ghana</w:t>
            </w:r>
            <w:r w:rsidRPr="00C83DA9">
              <w:rPr>
                <w:rFonts w:eastAsia="Times New Roman" w:cs="Times New Roman"/>
                <w:kern w:val="0"/>
                <w:sz w:val="22"/>
                <w:lang w:val="fr-FR"/>
                <w14:ligatures w14:val="none"/>
              </w:rPr>
              <w:t xml:space="preserve"> et au </w:t>
            </w:r>
            <w:r w:rsidRPr="00C83DA9">
              <w:rPr>
                <w:rFonts w:eastAsia="Times New Roman" w:cs="Times New Roman"/>
                <w:b/>
                <w:kern w:val="0"/>
                <w:sz w:val="22"/>
                <w:lang w:val="fr-FR"/>
                <w14:ligatures w14:val="none"/>
              </w:rPr>
              <w:t>Malawi</w:t>
            </w:r>
            <w:r w:rsidRPr="00C83DA9">
              <w:rPr>
                <w:rFonts w:eastAsia="Times New Roman" w:cs="Times New Roman"/>
                <w:kern w:val="0"/>
                <w:sz w:val="22"/>
                <w:lang w:val="fr-FR"/>
                <w14:ligatures w14:val="none"/>
              </w:rPr>
              <w:t xml:space="preserve">. La manifestation qui s'est tenue au Malawi a permis de renforcer la capacité des participants à communiquer et gérer les interventions en cas d'incident, et à favoriser la collaboration pour faire face aux cybermenaces. Plus de 350 participants de 20 pays africains ont pris part à des sessions consacrées à l'échange de bonnes pratiques et de données d'expérience. La manifestation tenue par le BDT, en collaboration avec INTERPOL, au </w:t>
            </w:r>
            <w:r w:rsidRPr="00C83DA9">
              <w:rPr>
                <w:rFonts w:eastAsia="Times New Roman" w:cs="Times New Roman"/>
                <w:b/>
                <w:kern w:val="0"/>
                <w:sz w:val="22"/>
                <w:lang w:val="fr-FR"/>
                <w14:ligatures w14:val="none"/>
              </w:rPr>
              <w:t>Ghana</w:t>
            </w:r>
            <w:r w:rsidRPr="00C83DA9">
              <w:rPr>
                <w:rFonts w:eastAsia="Times New Roman" w:cs="Times New Roman"/>
                <w:kern w:val="0"/>
                <w:sz w:val="22"/>
                <w:lang w:val="fr-FR"/>
                <w14:ligatures w14:val="none"/>
              </w:rPr>
              <w:t xml:space="preserve"> en 2024 a permis de renforcer la capacité des participants à communiquer et gérer les interventions en cas d'incident, et à favoriser la collaboration pour faire face aux cybermenaces. Plus de 210 participants de 29 pays africains ont pris part à une session d'une journée consacrée à l'échange de bonnes pratiques et de données d'expérience. En 2025, plus de 300 participants de</w:t>
            </w:r>
            <w:r w:rsidR="00D925BB">
              <w:rPr>
                <w:rFonts w:eastAsia="Times New Roman" w:cs="Times New Roman"/>
                <w:kern w:val="0"/>
                <w:sz w:val="22"/>
                <w:lang w:val="fr-FR"/>
                <w14:ligatures w14:val="none"/>
              </w:rPr>
              <w:t> </w:t>
            </w:r>
            <w:r w:rsidRPr="00C83DA9">
              <w:rPr>
                <w:rFonts w:eastAsia="Times New Roman" w:cs="Times New Roman"/>
                <w:kern w:val="0"/>
                <w:sz w:val="22"/>
                <w:lang w:val="fr-FR"/>
                <w14:ligatures w14:val="none"/>
              </w:rPr>
              <w:t xml:space="preserve">23 pays africains ont participé au cyberexercice organisé en </w:t>
            </w:r>
            <w:r w:rsidRPr="00C83DA9">
              <w:rPr>
                <w:rFonts w:eastAsia="Times New Roman" w:cs="Times New Roman"/>
                <w:b/>
                <w:kern w:val="0"/>
                <w:sz w:val="22"/>
                <w:lang w:val="fr-FR"/>
                <w14:ligatures w14:val="none"/>
              </w:rPr>
              <w:t>République du Congo</w:t>
            </w:r>
            <w:r w:rsidRPr="00C83DA9">
              <w:rPr>
                <w:rFonts w:eastAsia="Times New Roman" w:cs="Times New Roman"/>
                <w:kern w:val="0"/>
                <w:sz w:val="22"/>
                <w:lang w:val="fr-FR"/>
                <w14:ligatures w14:val="none"/>
              </w:rPr>
              <w:t>, ce qui a permis de renforcer les compétences ainsi que la coopération régionale.</w:t>
            </w:r>
          </w:p>
          <w:p w14:paraId="5128CA5F" w14:textId="77777777" w:rsidR="00224289" w:rsidRPr="00C83DA9" w:rsidRDefault="00224289" w:rsidP="00224289">
            <w:pPr>
              <w:pStyle w:val="Tabletext"/>
              <w:widowControl w:val="0"/>
              <w:spacing w:before="120"/>
              <w:ind w:right="-85"/>
              <w:rPr>
                <w:rFonts w:eastAsia="Aptos" w:cstheme="minorHAnsi"/>
                <w:kern w:val="0"/>
                <w:sz w:val="22"/>
                <w:lang w:val="fr-FR"/>
                <w14:ligatures w14:val="none"/>
              </w:rPr>
            </w:pPr>
            <w:r w:rsidRPr="00C83DA9">
              <w:rPr>
                <w:rFonts w:eastAsia="Times New Roman" w:cs="Times New Roman"/>
                <w:kern w:val="0"/>
                <w:sz w:val="22"/>
                <w:lang w:val="fr-FR"/>
                <w14:ligatures w14:val="none"/>
              </w:rPr>
              <w:t xml:space="preserve">Le BDT a collaboré avec les États Membres de la </w:t>
            </w:r>
            <w:r w:rsidRPr="00C83DA9">
              <w:rPr>
                <w:rFonts w:eastAsia="Times New Roman" w:cs="Times New Roman"/>
                <w:b/>
                <w:kern w:val="0"/>
                <w:sz w:val="22"/>
                <w:lang w:val="fr-FR"/>
                <w14:ligatures w14:val="none"/>
              </w:rPr>
              <w:t>région Asie-Pacifique</w:t>
            </w:r>
            <w:r w:rsidRPr="00C83DA9">
              <w:rPr>
                <w:rFonts w:eastAsia="Times New Roman" w:cs="Times New Roman"/>
                <w:kern w:val="0"/>
                <w:sz w:val="22"/>
                <w:lang w:val="fr-FR"/>
                <w14:ligatures w14:val="none"/>
              </w:rPr>
              <w:t xml:space="preserve"> en vue de renforcer les capacités institutionnelles et d'améliorer la coopération. Le </w:t>
            </w:r>
            <w:r w:rsidRPr="00C83DA9">
              <w:rPr>
                <w:rFonts w:eastAsia="Times New Roman" w:cs="Times New Roman"/>
                <w:b/>
                <w:kern w:val="0"/>
                <w:sz w:val="22"/>
                <w:lang w:val="fr-FR"/>
                <w14:ligatures w14:val="none"/>
              </w:rPr>
              <w:t>Bhoutan</w:t>
            </w:r>
            <w:r w:rsidRPr="00C83DA9">
              <w:rPr>
                <w:rFonts w:eastAsia="Times New Roman" w:cs="Times New Roman"/>
                <w:kern w:val="0"/>
                <w:sz w:val="22"/>
                <w:lang w:val="fr-FR"/>
                <w14:ligatures w14:val="none"/>
              </w:rPr>
              <w:t xml:space="preserve">, la </w:t>
            </w:r>
            <w:r w:rsidRPr="00C83DA9">
              <w:rPr>
                <w:rFonts w:eastAsia="Times New Roman" w:cs="Times New Roman"/>
                <w:b/>
                <w:kern w:val="0"/>
                <w:sz w:val="22"/>
                <w:lang w:val="fr-FR"/>
                <w14:ligatures w14:val="none"/>
              </w:rPr>
              <w:t>Mongolie</w:t>
            </w:r>
            <w:r w:rsidRPr="00C83DA9">
              <w:rPr>
                <w:rFonts w:eastAsia="Times New Roman" w:cs="Times New Roman"/>
                <w:kern w:val="0"/>
                <w:sz w:val="22"/>
                <w:lang w:val="fr-FR"/>
                <w14:ligatures w14:val="none"/>
              </w:rPr>
              <w:t xml:space="preserve"> et le </w:t>
            </w:r>
            <w:r w:rsidRPr="00C83DA9">
              <w:rPr>
                <w:rFonts w:eastAsia="Times New Roman" w:cs="Times New Roman"/>
                <w:b/>
                <w:kern w:val="0"/>
                <w:sz w:val="22"/>
                <w:lang w:val="fr-FR"/>
                <w14:ligatures w14:val="none"/>
              </w:rPr>
              <w:t>Timor-Leste</w:t>
            </w:r>
            <w:r w:rsidRPr="00C83DA9">
              <w:rPr>
                <w:rFonts w:eastAsia="Times New Roman" w:cs="Times New Roman"/>
                <w:kern w:val="0"/>
                <w:sz w:val="22"/>
                <w:lang w:val="fr-FR"/>
                <w14:ligatures w14:val="none"/>
              </w:rPr>
              <w:t xml:space="preserve"> ont mené à bien des </w:t>
            </w:r>
            <w:r w:rsidRPr="00C83DA9">
              <w:rPr>
                <w:rFonts w:eastAsia="Times New Roman" w:cs="Times New Roman"/>
                <w:b/>
                <w:kern w:val="0"/>
                <w:sz w:val="22"/>
                <w:lang w:val="fr-FR"/>
                <w14:ligatures w14:val="none"/>
              </w:rPr>
              <w:t>évaluations du niveau de maturité des CIRT</w:t>
            </w:r>
            <w:r w:rsidRPr="00C83DA9">
              <w:rPr>
                <w:rFonts w:eastAsia="Times New Roman" w:cs="Times New Roman"/>
                <w:kern w:val="0"/>
                <w:sz w:val="22"/>
                <w:lang w:val="fr-FR"/>
                <w14:ligatures w14:val="none"/>
              </w:rPr>
              <w:t xml:space="preserve">, à l'issue desquelles des diagnostics et des feuilles de route ont été élaborés, jetant ainsi les bases d'un travail de renforcement institutionnel. Dans le cadre du Fonds commun pour les ODD visant à accélérer la réalisation des ODD grâce à la transformation numérique afin de renforcer la résilience des communautés en Micronésie, des </w:t>
            </w:r>
            <w:r w:rsidRPr="00C83DA9">
              <w:rPr>
                <w:rFonts w:eastAsia="Times New Roman" w:cs="Times New Roman"/>
                <w:b/>
                <w:kern w:val="0"/>
                <w:sz w:val="22"/>
                <w:lang w:val="fr-FR"/>
                <w14:ligatures w14:val="none"/>
              </w:rPr>
              <w:t>évaluations de l'état de préparation des CIRT</w:t>
            </w:r>
            <w:r w:rsidRPr="00C83DA9">
              <w:rPr>
                <w:rFonts w:eastAsia="Times New Roman" w:cs="Times New Roman"/>
                <w:kern w:val="0"/>
                <w:sz w:val="22"/>
                <w:lang w:val="fr-FR"/>
                <w14:ligatures w14:val="none"/>
              </w:rPr>
              <w:t xml:space="preserve"> ont été menées à </w:t>
            </w:r>
            <w:r w:rsidRPr="00C83DA9">
              <w:rPr>
                <w:rFonts w:eastAsia="Times New Roman" w:cs="Times New Roman"/>
                <w:b/>
                <w:kern w:val="0"/>
                <w:sz w:val="22"/>
                <w:lang w:val="fr-FR"/>
                <w14:ligatures w14:val="none"/>
              </w:rPr>
              <w:t>Nauru</w:t>
            </w:r>
            <w:r w:rsidRPr="00C83DA9">
              <w:rPr>
                <w:rFonts w:eastAsia="Times New Roman" w:cs="Times New Roman"/>
                <w:kern w:val="0"/>
                <w:sz w:val="22"/>
                <w:lang w:val="fr-FR"/>
                <w14:ligatures w14:val="none"/>
              </w:rPr>
              <w:t xml:space="preserve"> et aux </w:t>
            </w:r>
            <w:r w:rsidRPr="00C83DA9">
              <w:rPr>
                <w:rFonts w:eastAsia="Times New Roman" w:cs="Times New Roman"/>
                <w:b/>
                <w:kern w:val="0"/>
                <w:sz w:val="22"/>
                <w:lang w:val="fr-FR"/>
                <w14:ligatures w14:val="none"/>
              </w:rPr>
              <w:t>Palaos</w:t>
            </w:r>
            <w:r w:rsidRPr="00C83DA9">
              <w:rPr>
                <w:rFonts w:eastAsia="Times New Roman" w:cs="Times New Roman"/>
                <w:kern w:val="0"/>
                <w:sz w:val="22"/>
                <w:lang w:val="fr-FR"/>
                <w14:ligatures w14:val="none"/>
              </w:rPr>
              <w:t xml:space="preserve">. Aux </w:t>
            </w:r>
            <w:r w:rsidRPr="00C83DA9">
              <w:rPr>
                <w:rFonts w:eastAsia="Times New Roman" w:cs="Times New Roman"/>
                <w:b/>
                <w:kern w:val="0"/>
                <w:sz w:val="22"/>
                <w:lang w:val="fr-FR"/>
                <w14:ligatures w14:val="none"/>
              </w:rPr>
              <w:t>Maldives</w:t>
            </w:r>
            <w:r w:rsidRPr="00C83DA9">
              <w:rPr>
                <w:rFonts w:eastAsia="Times New Roman" w:cs="Times New Roman"/>
                <w:kern w:val="0"/>
                <w:sz w:val="22"/>
                <w:lang w:val="fr-FR"/>
                <w14:ligatures w14:val="none"/>
              </w:rPr>
              <w:t xml:space="preserve">, une analyse des lacunes en matière de cybersécurité associée à une formation a montré comment améliorer </w:t>
            </w:r>
            <w:r w:rsidRPr="00C83DA9">
              <w:rPr>
                <w:rFonts w:eastAsia="Times New Roman" w:cs="Times New Roman"/>
                <w:kern w:val="0"/>
                <w:sz w:val="22"/>
                <w:lang w:val="fr-FR"/>
                <w14:ligatures w14:val="none"/>
              </w:rPr>
              <w:lastRenderedPageBreak/>
              <w:t xml:space="preserve">les capacités sur le plan technique et des politiques générales de façon simultanée. L'UIT a convoqué des parties prenantes aux </w:t>
            </w:r>
            <w:r w:rsidRPr="00C83DA9">
              <w:rPr>
                <w:rFonts w:eastAsia="Times New Roman" w:cs="Times New Roman"/>
                <w:b/>
                <w:kern w:val="0"/>
                <w:sz w:val="22"/>
                <w:lang w:val="fr-FR"/>
                <w14:ligatures w14:val="none"/>
              </w:rPr>
              <w:t>Palaos</w:t>
            </w:r>
            <w:r w:rsidRPr="00C83DA9">
              <w:rPr>
                <w:rFonts w:eastAsia="Times New Roman" w:cs="Times New Roman"/>
                <w:kern w:val="0"/>
                <w:sz w:val="22"/>
                <w:lang w:val="fr-FR"/>
                <w14:ligatures w14:val="none"/>
              </w:rPr>
              <w:t xml:space="preserve"> et a aidé le pays à élaborer sa stratégie nationale de cybersécurité. Dans le cadre du </w:t>
            </w:r>
            <w:r w:rsidRPr="00C83DA9">
              <w:rPr>
                <w:rFonts w:eastAsia="Times New Roman" w:cs="Times New Roman"/>
                <w:b/>
                <w:kern w:val="0"/>
                <w:sz w:val="22"/>
                <w:lang w:val="fr-FR"/>
                <w14:ligatures w14:val="none"/>
              </w:rPr>
              <w:t>projet "Stratégies pour la cybersécurité dans la région du Pacifique"</w:t>
            </w:r>
            <w:r w:rsidRPr="00C83DA9">
              <w:rPr>
                <w:rFonts w:eastAsia="Times New Roman" w:cs="Times New Roman"/>
                <w:kern w:val="0"/>
                <w:sz w:val="22"/>
                <w:lang w:val="fr-FR"/>
                <w14:ligatures w14:val="none"/>
              </w:rPr>
              <w:t xml:space="preserve">, qui a bénéficié de l'appui du </w:t>
            </w:r>
            <w:r w:rsidRPr="00C83DA9">
              <w:rPr>
                <w:rFonts w:eastAsia="Times New Roman" w:cs="Times New Roman"/>
                <w:b/>
                <w:kern w:val="0"/>
                <w:sz w:val="22"/>
                <w:lang w:val="fr-FR"/>
                <w14:ligatures w14:val="none"/>
              </w:rPr>
              <w:t>Japon</w:t>
            </w:r>
            <w:r w:rsidRPr="00C83DA9">
              <w:rPr>
                <w:rFonts w:eastAsia="Times New Roman" w:cs="Times New Roman"/>
                <w:kern w:val="0"/>
                <w:sz w:val="22"/>
                <w:lang w:val="fr-FR"/>
                <w14:ligatures w14:val="none"/>
              </w:rPr>
              <w:t xml:space="preserve">, les besoins particuliers des petits États insulaires ont été reconnus et des certificats adaptés leur ont été remis dans le cadre d'un programme pilote sur la cybersécurité. </w:t>
            </w:r>
          </w:p>
          <w:p w14:paraId="24E88F48" w14:textId="77777777" w:rsidR="00224289" w:rsidRPr="00C83DA9" w:rsidRDefault="00224289" w:rsidP="00224289">
            <w:pPr>
              <w:pStyle w:val="Tabletext"/>
              <w:widowControl w:val="0"/>
              <w:spacing w:before="120"/>
              <w:ind w:right="-85"/>
              <w:rPr>
                <w:rFonts w:eastAsia="Aptos" w:cstheme="minorHAnsi"/>
                <w:kern w:val="0"/>
                <w:sz w:val="22"/>
                <w:lang w:val="fr-FR"/>
                <w14:ligatures w14:val="none"/>
              </w:rPr>
            </w:pPr>
            <w:r w:rsidRPr="00C83DA9">
              <w:rPr>
                <w:rFonts w:eastAsia="Times New Roman" w:cs="Times New Roman"/>
                <w:kern w:val="0"/>
                <w:sz w:val="22"/>
                <w:lang w:val="fr-FR"/>
                <w14:ligatures w14:val="none"/>
              </w:rPr>
              <w:t xml:space="preserve">En partenariat avec l'Agence japonaise de coopération internationale (JICA), le BDT a dispensé des formations à la cybersécurité s'adressant au </w:t>
            </w:r>
            <w:r w:rsidRPr="00C83DA9">
              <w:rPr>
                <w:rFonts w:eastAsia="Times New Roman" w:cs="Times New Roman"/>
                <w:b/>
                <w:kern w:val="0"/>
                <w:sz w:val="22"/>
                <w:lang w:val="fr-FR"/>
                <w14:ligatures w14:val="none"/>
              </w:rPr>
              <w:t>Bhoutan</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 xml:space="preserve">Cambodge </w:t>
            </w:r>
            <w:r w:rsidRPr="00C83DA9">
              <w:rPr>
                <w:rFonts w:eastAsia="Times New Roman" w:cs="Times New Roman"/>
                <w:kern w:val="0"/>
                <w:sz w:val="22"/>
                <w:lang w:val="fr-FR"/>
                <w14:ligatures w14:val="none"/>
              </w:rPr>
              <w:t xml:space="preserve">et aux </w:t>
            </w:r>
            <w:r w:rsidRPr="00C83DA9">
              <w:rPr>
                <w:rFonts w:eastAsia="Times New Roman" w:cs="Times New Roman"/>
                <w:b/>
                <w:kern w:val="0"/>
                <w:sz w:val="22"/>
                <w:lang w:val="fr-FR"/>
                <w14:ligatures w14:val="none"/>
              </w:rPr>
              <w:t>Philippines</w:t>
            </w:r>
            <w:r w:rsidRPr="00C83DA9">
              <w:rPr>
                <w:rFonts w:eastAsia="Times New Roman" w:cs="Times New Roman"/>
                <w:kern w:val="0"/>
                <w:sz w:val="22"/>
                <w:lang w:val="fr-FR"/>
                <w14:ligatures w14:val="none"/>
              </w:rPr>
              <w:t xml:space="preserve">, notamment dans le cadre d'une formation organisée à Bangkok à l'intention des responsables gouvernementaux du </w:t>
            </w:r>
            <w:r w:rsidRPr="00C83DA9">
              <w:rPr>
                <w:rFonts w:eastAsia="Times New Roman" w:cs="Times New Roman"/>
                <w:b/>
                <w:kern w:val="0"/>
                <w:sz w:val="22"/>
                <w:lang w:val="fr-FR"/>
                <w14:ligatures w14:val="none"/>
              </w:rPr>
              <w:t>Bhoutan</w:t>
            </w:r>
            <w:r w:rsidRPr="00C83DA9">
              <w:rPr>
                <w:rFonts w:eastAsia="Times New Roman" w:cs="Times New Roman"/>
                <w:kern w:val="0"/>
                <w:sz w:val="22"/>
                <w:lang w:val="fr-FR"/>
                <w14:ligatures w14:val="none"/>
              </w:rPr>
              <w:t xml:space="preserve">. En partenariat avec l'Institut des Nations Unies pour la recherche sur le désarmement (UNIDIR), l'UIT a dispensé des formations à la cybersécurité à l'intention de la </w:t>
            </w:r>
            <w:r w:rsidRPr="00C83DA9">
              <w:rPr>
                <w:rFonts w:eastAsia="Times New Roman" w:cs="Times New Roman"/>
                <w:b/>
                <w:kern w:val="0"/>
                <w:sz w:val="22"/>
                <w:lang w:val="fr-FR"/>
                <w14:ligatures w14:val="none"/>
              </w:rPr>
              <w:t>Thaïlande</w:t>
            </w:r>
            <w:r w:rsidRPr="00C83DA9">
              <w:rPr>
                <w:rFonts w:eastAsia="Times New Roman" w:cs="Times New Roman"/>
                <w:kern w:val="0"/>
                <w:sz w:val="22"/>
                <w:lang w:val="fr-FR"/>
                <w14:ligatures w14:val="none"/>
              </w:rPr>
              <w:t>. Organisées par l'UIT, l'</w:t>
            </w:r>
            <w:r w:rsidRPr="00C83DA9">
              <w:rPr>
                <w:rFonts w:eastAsia="Times New Roman" w:cs="Times New Roman"/>
                <w:b/>
                <w:kern w:val="0"/>
                <w:sz w:val="22"/>
                <w:lang w:val="fr-FR"/>
                <w14:ligatures w14:val="none"/>
              </w:rPr>
              <w:t>édition 2024 du cyberexercice régional pour l'Asie</w:t>
            </w:r>
            <w:r w:rsidRPr="00C83DA9">
              <w:rPr>
                <w:rFonts w:eastAsia="Times New Roman" w:cs="Times New Roman"/>
                <w:b/>
                <w:kern w:val="0"/>
                <w:sz w:val="22"/>
                <w:lang w:val="fr-FR"/>
                <w14:ligatures w14:val="none"/>
              </w:rPr>
              <w:noBreakHyphen/>
              <w:t>Pacifique</w:t>
            </w:r>
            <w:r w:rsidRPr="00C83DA9">
              <w:rPr>
                <w:rFonts w:eastAsia="Times New Roman" w:cs="Times New Roman"/>
                <w:kern w:val="0"/>
                <w:sz w:val="22"/>
                <w:lang w:val="fr-FR"/>
                <w14:ligatures w14:val="none"/>
              </w:rPr>
              <w:t xml:space="preserve">, à l'aimable invitation du </w:t>
            </w:r>
            <w:r w:rsidRPr="00C83DA9">
              <w:rPr>
                <w:rFonts w:eastAsia="Times New Roman" w:cs="Times New Roman"/>
                <w:b/>
                <w:kern w:val="0"/>
                <w:sz w:val="22"/>
                <w:lang w:val="fr-FR"/>
                <w14:ligatures w14:val="none"/>
              </w:rPr>
              <w:t>Brunéi Darussalam</w:t>
            </w:r>
            <w:r w:rsidRPr="00C83DA9">
              <w:rPr>
                <w:rFonts w:eastAsia="Times New Roman" w:cs="Times New Roman"/>
                <w:kern w:val="0"/>
                <w:sz w:val="22"/>
                <w:lang w:val="fr-FR"/>
                <w14:ligatures w14:val="none"/>
              </w:rPr>
              <w:t>, et l'</w:t>
            </w:r>
            <w:r w:rsidRPr="00C83DA9">
              <w:rPr>
                <w:rFonts w:eastAsia="Times New Roman" w:cs="Times New Roman"/>
                <w:b/>
                <w:kern w:val="0"/>
                <w:sz w:val="22"/>
                <w:lang w:val="fr-FR"/>
                <w14:ligatures w14:val="none"/>
              </w:rPr>
              <w:t>édition 2023 du cyberexercice interrégional pour l'Europe et l'Asie-Pacifique</w:t>
            </w:r>
            <w:r w:rsidRPr="00C83DA9">
              <w:rPr>
                <w:rFonts w:eastAsia="Times New Roman" w:cs="Times New Roman"/>
                <w:kern w:val="0"/>
                <w:sz w:val="22"/>
                <w:lang w:val="fr-FR"/>
                <w14:ligatures w14:val="none"/>
              </w:rPr>
              <w:t xml:space="preserve"> sont venues confirmer le fait que la région dispose de capacités suffisantes pour organiser des exercices collectifs de renforcement de la résilience. Cette combinaison d'initiatives témoigne de l'approche adoptée par les pays de la région qui vise à tenir compte des priorités nationales dans un cadre de cybersécurité partagé.</w:t>
            </w:r>
          </w:p>
          <w:p w14:paraId="08CD7ECC" w14:textId="5ACD2B8D" w:rsidR="00224289" w:rsidRPr="00C83DA9" w:rsidRDefault="00224289" w:rsidP="009F710E">
            <w:pPr>
              <w:pStyle w:val="Tabletext"/>
              <w:widowControl w:val="0"/>
              <w:spacing w:before="120" w:after="120"/>
              <w:ind w:right="-85"/>
              <w:rPr>
                <w:rFonts w:eastAsia="Aptos" w:cs="Times New Roman"/>
                <w:kern w:val="0"/>
                <w:sz w:val="22"/>
                <w:lang w:val="fr-FR"/>
                <w14:ligatures w14:val="none"/>
              </w:rPr>
            </w:pPr>
            <w:r w:rsidRPr="00C83DA9">
              <w:rPr>
                <w:rFonts w:eastAsia="Times New Roman" w:cs="Times New Roman"/>
                <w:kern w:val="0"/>
                <w:sz w:val="22"/>
                <w:lang w:val="fr-FR"/>
                <w14:ligatures w14:val="none"/>
              </w:rPr>
              <w:t xml:space="preserve">Des cyberexercices de grande envergure ont été organisés dans la </w:t>
            </w:r>
            <w:r w:rsidRPr="00C83DA9">
              <w:rPr>
                <w:rFonts w:eastAsia="Times New Roman" w:cs="Times New Roman"/>
                <w:b/>
                <w:kern w:val="0"/>
                <w:sz w:val="22"/>
                <w:lang w:val="fr-FR"/>
                <w14:ligatures w14:val="none"/>
              </w:rPr>
              <w:t>région Amériques</w:t>
            </w:r>
            <w:r w:rsidRPr="00C83DA9">
              <w:rPr>
                <w:rFonts w:eastAsia="Times New Roman" w:cs="Times New Roman"/>
                <w:kern w:val="0"/>
                <w:sz w:val="22"/>
                <w:lang w:val="fr-FR"/>
                <w14:ligatures w14:val="none"/>
              </w:rPr>
              <w:t xml:space="preserve">. Les formations organisées au </w:t>
            </w:r>
            <w:r w:rsidRPr="00C83DA9">
              <w:rPr>
                <w:rFonts w:eastAsia="Times New Roman" w:cs="Times New Roman"/>
                <w:b/>
                <w:kern w:val="0"/>
                <w:sz w:val="22"/>
                <w:lang w:val="fr-FR"/>
                <w14:ligatures w14:val="none"/>
              </w:rPr>
              <w:t>Costa Rica</w:t>
            </w:r>
            <w:r w:rsidRPr="00C83DA9">
              <w:rPr>
                <w:rFonts w:eastAsia="Times New Roman" w:cs="Times New Roman"/>
                <w:kern w:val="0"/>
                <w:sz w:val="22"/>
                <w:lang w:val="fr-FR"/>
                <w14:ligatures w14:val="none"/>
              </w:rPr>
              <w:t xml:space="preserve">, en </w:t>
            </w:r>
            <w:r w:rsidRPr="00C83DA9">
              <w:rPr>
                <w:rFonts w:eastAsia="Times New Roman" w:cs="Times New Roman"/>
                <w:b/>
                <w:kern w:val="0"/>
                <w:sz w:val="22"/>
                <w:lang w:val="fr-FR"/>
                <w14:ligatures w14:val="none"/>
              </w:rPr>
              <w:t>République dominicaine</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Chili</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 xml:space="preserve">Pérou </w:t>
            </w:r>
            <w:r w:rsidRPr="00C83DA9">
              <w:rPr>
                <w:rFonts w:eastAsia="Times New Roman" w:cs="Times New Roman"/>
                <w:kern w:val="0"/>
                <w:sz w:val="22"/>
                <w:lang w:val="fr-FR"/>
                <w14:ligatures w14:val="none"/>
              </w:rPr>
              <w:t xml:space="preserve">et au </w:t>
            </w:r>
            <w:r w:rsidRPr="00C83DA9">
              <w:rPr>
                <w:rFonts w:eastAsia="Times New Roman" w:cs="Times New Roman"/>
                <w:b/>
                <w:kern w:val="0"/>
                <w:sz w:val="22"/>
                <w:lang w:val="fr-FR"/>
                <w14:ligatures w14:val="none"/>
              </w:rPr>
              <w:t>Venezuela</w:t>
            </w:r>
            <w:r w:rsidRPr="00C83DA9">
              <w:rPr>
                <w:rFonts w:eastAsia="Times New Roman" w:cs="Times New Roman"/>
                <w:kern w:val="0"/>
                <w:sz w:val="22"/>
                <w:lang w:val="fr-FR"/>
                <w14:ligatures w14:val="none"/>
              </w:rPr>
              <w:t xml:space="preserve">, qui ont rassemblé plus de </w:t>
            </w:r>
            <w:r w:rsidRPr="00C83DA9">
              <w:rPr>
                <w:rFonts w:eastAsia="Times New Roman" w:cs="Times New Roman"/>
                <w:b/>
                <w:kern w:val="0"/>
                <w:sz w:val="22"/>
                <w:lang w:val="fr-FR"/>
                <w14:ligatures w14:val="none"/>
              </w:rPr>
              <w:t>530 participants de 25 pays</w:t>
            </w:r>
            <w:r w:rsidRPr="00C83DA9">
              <w:rPr>
                <w:rFonts w:eastAsia="Times New Roman" w:cs="Times New Roman"/>
                <w:kern w:val="0"/>
                <w:sz w:val="22"/>
                <w:lang w:val="fr-FR"/>
                <w14:ligatures w14:val="none"/>
              </w:rPr>
              <w:t xml:space="preserve">, ont été les plus importantes de l'histoire de la région. Ces rencontres ont permis un renforcement des compétences techniques et de la collaboration entre les pouvoirs publics, les opérateurs privés et les établissements universitaires. La question de la protection en ligne des enfants a été intégrée aux cyberexercices. Le BDT a également mis en place des programmes de formation à l'intention des formateurs en matière de protection en ligne des enfants, qui s'adressaient aux éducateurs et aux travailleurs du système judiciaire aux </w:t>
            </w:r>
            <w:r w:rsidRPr="00C83DA9">
              <w:rPr>
                <w:rFonts w:eastAsia="Times New Roman" w:cs="Times New Roman"/>
                <w:b/>
                <w:kern w:val="0"/>
                <w:sz w:val="22"/>
                <w:lang w:val="fr-FR"/>
                <w14:ligatures w14:val="none"/>
              </w:rPr>
              <w:t>Bahamas</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Costa</w:t>
            </w:r>
            <w:r w:rsidR="009F710E" w:rsidRPr="00C83DA9">
              <w:rPr>
                <w:rFonts w:eastAsia="Times New Roman" w:cs="Times New Roman"/>
                <w:b/>
                <w:kern w:val="0"/>
                <w:sz w:val="22"/>
                <w:lang w:val="fr-FR"/>
                <w14:ligatures w14:val="none"/>
              </w:rPr>
              <w:t> </w:t>
            </w:r>
            <w:r w:rsidRPr="00C83DA9">
              <w:rPr>
                <w:rFonts w:eastAsia="Times New Roman" w:cs="Times New Roman"/>
                <w:b/>
                <w:kern w:val="0"/>
                <w:sz w:val="22"/>
                <w:lang w:val="fr-FR"/>
                <w14:ligatures w14:val="none"/>
              </w:rPr>
              <w:t>Rica</w:t>
            </w:r>
            <w:r w:rsidRPr="00C83DA9">
              <w:rPr>
                <w:rFonts w:eastAsia="Times New Roman" w:cs="Times New Roman"/>
                <w:kern w:val="0"/>
                <w:sz w:val="22"/>
                <w:lang w:val="fr-FR"/>
                <w14:ligatures w14:val="none"/>
              </w:rPr>
              <w:t xml:space="preserve">, en </w:t>
            </w:r>
            <w:r w:rsidRPr="00C83DA9">
              <w:rPr>
                <w:rFonts w:eastAsia="Times New Roman" w:cs="Times New Roman"/>
                <w:b/>
                <w:kern w:val="0"/>
                <w:sz w:val="22"/>
                <w:lang w:val="fr-FR"/>
                <w14:ligatures w14:val="none"/>
              </w:rPr>
              <w:t>Équateur</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 xml:space="preserve">Pérou </w:t>
            </w:r>
            <w:r w:rsidRPr="00C83DA9">
              <w:rPr>
                <w:rFonts w:eastAsia="Times New Roman" w:cs="Times New Roman"/>
                <w:kern w:val="0"/>
                <w:sz w:val="22"/>
                <w:lang w:val="fr-FR"/>
                <w14:ligatures w14:val="none"/>
              </w:rPr>
              <w:t xml:space="preserve">et au </w:t>
            </w:r>
            <w:r w:rsidRPr="00C83DA9">
              <w:rPr>
                <w:rFonts w:eastAsia="Times New Roman" w:cs="Times New Roman"/>
                <w:b/>
                <w:kern w:val="0"/>
                <w:sz w:val="22"/>
                <w:lang w:val="fr-FR"/>
                <w14:ligatures w14:val="none"/>
              </w:rPr>
              <w:t>Suriname</w:t>
            </w:r>
            <w:r w:rsidRPr="00C83DA9">
              <w:rPr>
                <w:rFonts w:eastAsia="Times New Roman" w:cs="Times New Roman"/>
                <w:kern w:val="0"/>
                <w:sz w:val="22"/>
                <w:lang w:val="fr-FR"/>
                <w14:ligatures w14:val="none"/>
              </w:rPr>
              <w:t xml:space="preserve">, en plus d'avoir assuré une traduction des lignes directrices de l'UIT en la matière en aymara, en quechua et en néerlandais. À la </w:t>
            </w:r>
            <w:r w:rsidRPr="00C83DA9">
              <w:rPr>
                <w:rFonts w:eastAsia="Times New Roman" w:cs="Times New Roman"/>
                <w:b/>
                <w:kern w:val="0"/>
                <w:sz w:val="22"/>
                <w:lang w:val="fr-FR"/>
                <w14:ligatures w14:val="none"/>
              </w:rPr>
              <w:t>Barbade</w:t>
            </w:r>
            <w:r w:rsidRPr="00C83DA9">
              <w:rPr>
                <w:rFonts w:eastAsia="Times New Roman" w:cs="Times New Roman"/>
                <w:kern w:val="0"/>
                <w:sz w:val="22"/>
                <w:lang w:val="fr-FR"/>
                <w14:ligatures w14:val="none"/>
              </w:rPr>
              <w:t xml:space="preserve">, un projet pilote a permis de connecter </w:t>
            </w:r>
            <w:r w:rsidRPr="00C83DA9">
              <w:rPr>
                <w:rFonts w:eastAsia="Times New Roman" w:cs="Times New Roman"/>
                <w:b/>
                <w:kern w:val="0"/>
                <w:sz w:val="22"/>
                <w:lang w:val="fr-FR"/>
                <w14:ligatures w14:val="none"/>
              </w:rPr>
              <w:t>27 écoles</w:t>
            </w:r>
            <w:r w:rsidRPr="00C83DA9">
              <w:rPr>
                <w:rFonts w:eastAsia="Times New Roman" w:cs="Times New Roman"/>
                <w:kern w:val="0"/>
                <w:sz w:val="22"/>
                <w:lang w:val="fr-FR"/>
                <w14:ligatures w14:val="none"/>
              </w:rPr>
              <w:t xml:space="preserve"> et d'atteindre </w:t>
            </w:r>
            <w:r w:rsidRPr="00C83DA9">
              <w:rPr>
                <w:rFonts w:eastAsia="Times New Roman" w:cs="Times New Roman"/>
                <w:b/>
                <w:kern w:val="0"/>
                <w:sz w:val="22"/>
                <w:lang w:val="fr-FR"/>
                <w14:ligatures w14:val="none"/>
              </w:rPr>
              <w:t>18 000 élèves</w:t>
            </w:r>
            <w:r w:rsidRPr="00C83DA9">
              <w:rPr>
                <w:rFonts w:eastAsia="Times New Roman" w:cs="Times New Roman"/>
                <w:kern w:val="0"/>
                <w:sz w:val="22"/>
                <w:lang w:val="fr-FR"/>
                <w14:ligatures w14:val="none"/>
              </w:rPr>
              <w:t xml:space="preserve">, intégrant ainsi le principe de protection en ligne des enfants dans les systèmes éducatifs. Les travaux préparatoires en vue d'un </w:t>
            </w:r>
            <w:hyperlink r:id="rId216" w:history="1">
              <w:r w:rsidRPr="00C83DA9">
                <w:rPr>
                  <w:rFonts w:eastAsia="Times New Roman" w:cs="Times New Roman"/>
                  <w:color w:val="0000FF"/>
                  <w:kern w:val="0"/>
                  <w:sz w:val="22"/>
                  <w:u w:val="single"/>
                  <w:lang w:val="fr-FR"/>
                  <w14:ligatures w14:val="none"/>
                </w:rPr>
                <w:t>séminaire régional sur la cybersécurité et la cyberdiplomatie</w:t>
              </w:r>
            </w:hyperlink>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Panama</w:t>
            </w:r>
            <w:r w:rsidRPr="00C83DA9">
              <w:rPr>
                <w:rFonts w:eastAsia="Times New Roman" w:cs="Times New Roman"/>
                <w:kern w:val="0"/>
                <w:sz w:val="22"/>
                <w:lang w:val="fr-FR"/>
                <w14:ligatures w14:val="none"/>
              </w:rPr>
              <w:t xml:space="preserve"> ont mis en évidence la nécessité d'aborder les questions de</w:t>
            </w:r>
            <w:r w:rsidR="009F710E" w:rsidRPr="00C83DA9">
              <w:rPr>
                <w:rFonts w:eastAsia="Times New Roman" w:cs="Times New Roman"/>
                <w:kern w:val="0"/>
                <w:sz w:val="22"/>
                <w:lang w:val="fr-FR"/>
                <w14:ligatures w14:val="none"/>
              </w:rPr>
              <w:t xml:space="preserve"> </w:t>
            </w:r>
            <w:r w:rsidRPr="00C83DA9">
              <w:rPr>
                <w:rFonts w:eastAsia="Times New Roman" w:cs="Times New Roman"/>
                <w:kern w:val="0"/>
                <w:sz w:val="22"/>
                <w:lang w:val="fr-FR"/>
                <w14:ligatures w14:val="none"/>
              </w:rPr>
              <w:t xml:space="preserve">cybersécurité sur le plan technique, de la gouvernance et de la diplomatie. Le BDT a aidé les </w:t>
            </w:r>
            <w:r w:rsidRPr="00C83DA9">
              <w:rPr>
                <w:rFonts w:eastAsia="Times New Roman" w:cs="Times New Roman"/>
                <w:b/>
                <w:kern w:val="0"/>
                <w:sz w:val="22"/>
                <w:lang w:val="fr-FR"/>
                <w14:ligatures w14:val="none"/>
              </w:rPr>
              <w:t>Bahamas</w:t>
            </w:r>
            <w:r w:rsidRPr="00C83DA9">
              <w:rPr>
                <w:rFonts w:eastAsia="Times New Roman" w:cs="Times New Roman"/>
                <w:kern w:val="0"/>
                <w:sz w:val="22"/>
                <w:lang w:val="fr-FR"/>
                <w14:ligatures w14:val="none"/>
              </w:rPr>
              <w:t xml:space="preserve"> à évaluer ses capacités en matière de cybersécurité, à élaborer une stratégie nationale de cybersécurité et à créer une CIRT nationale, devant servir en tant que point de coordination fiable pour les questions de cybersécurité. Il s'agissait notamment de renforcer les capacités techniques et d'assurer une formation continue, tout en intégrant la sécurité au cycle de vie. Le BDT a en outre appuyé la mise en place de CIRT nationales aux </w:t>
            </w:r>
            <w:r w:rsidRPr="00C83DA9">
              <w:rPr>
                <w:rFonts w:eastAsia="Times New Roman" w:cs="Times New Roman"/>
                <w:b/>
                <w:kern w:val="0"/>
                <w:sz w:val="22"/>
                <w:lang w:val="fr-FR"/>
                <w14:ligatures w14:val="none"/>
              </w:rPr>
              <w:t>Bermudes</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 xml:space="preserve">Honduras </w:t>
            </w:r>
            <w:r w:rsidRPr="00C83DA9">
              <w:rPr>
                <w:rFonts w:eastAsia="Times New Roman" w:cs="Times New Roman"/>
                <w:kern w:val="0"/>
                <w:sz w:val="22"/>
                <w:lang w:val="fr-FR"/>
                <w14:ligatures w14:val="none"/>
              </w:rPr>
              <w:t xml:space="preserve">et au </w:t>
            </w:r>
            <w:r w:rsidRPr="00C83DA9">
              <w:rPr>
                <w:rFonts w:eastAsia="Times New Roman" w:cs="Times New Roman"/>
                <w:b/>
                <w:kern w:val="0"/>
                <w:sz w:val="22"/>
                <w:lang w:val="fr-FR"/>
                <w14:ligatures w14:val="none"/>
              </w:rPr>
              <w:t>Suriname</w:t>
            </w:r>
            <w:r w:rsidRPr="00C83DA9">
              <w:rPr>
                <w:rFonts w:eastAsia="Times New Roman" w:cs="Times New Roman"/>
                <w:kern w:val="0"/>
                <w:sz w:val="22"/>
                <w:lang w:val="fr-FR"/>
                <w14:ligatures w14:val="none"/>
              </w:rPr>
              <w:t>.</w:t>
            </w:r>
            <w:hyperlink r:id="rId217" w:history="1"/>
          </w:p>
          <w:p w14:paraId="4E861015" w14:textId="60C00456" w:rsidR="00224289" w:rsidRPr="00C83DA9" w:rsidRDefault="00224289" w:rsidP="004E5CF5">
            <w:pPr>
              <w:pStyle w:val="Tabletext"/>
              <w:keepNext/>
              <w:keepLines/>
              <w:spacing w:before="120"/>
              <w:ind w:right="-85"/>
              <w:rPr>
                <w:rFonts w:eastAsia="Times New Roman" w:cs="Times New Roman"/>
                <w:kern w:val="0"/>
                <w:sz w:val="22"/>
                <w:lang w:val="fr-FR"/>
                <w14:ligatures w14:val="none"/>
              </w:rPr>
            </w:pPr>
            <w:r w:rsidRPr="00C83DA9">
              <w:rPr>
                <w:rFonts w:eastAsia="Times New Roman" w:cs="Times New Roman"/>
                <w:kern w:val="0"/>
                <w:sz w:val="22"/>
                <w:lang w:val="fr-FR"/>
                <w14:ligatures w14:val="none"/>
              </w:rPr>
              <w:t xml:space="preserve">Dans la </w:t>
            </w:r>
            <w:r w:rsidRPr="00C83DA9">
              <w:rPr>
                <w:rFonts w:eastAsia="Times New Roman" w:cs="Times New Roman"/>
                <w:b/>
                <w:kern w:val="0"/>
                <w:sz w:val="22"/>
                <w:lang w:val="fr-FR"/>
                <w14:ligatures w14:val="none"/>
              </w:rPr>
              <w:t>région des États arabes</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 xml:space="preserve">Djibouti </w:t>
            </w:r>
            <w:r w:rsidRPr="00C83DA9">
              <w:rPr>
                <w:rFonts w:eastAsia="Times New Roman" w:cs="Times New Roman"/>
                <w:kern w:val="0"/>
                <w:sz w:val="22"/>
                <w:lang w:val="fr-FR"/>
                <w14:ligatures w14:val="none"/>
              </w:rPr>
              <w:t xml:space="preserve">et la </w:t>
            </w:r>
            <w:r w:rsidRPr="00C83DA9">
              <w:rPr>
                <w:rFonts w:eastAsia="Times New Roman" w:cs="Times New Roman"/>
                <w:b/>
                <w:kern w:val="0"/>
                <w:sz w:val="22"/>
                <w:lang w:val="fr-FR"/>
                <w14:ligatures w14:val="none"/>
              </w:rPr>
              <w:t xml:space="preserve">Mauritanie </w:t>
            </w:r>
            <w:r w:rsidRPr="00C83DA9">
              <w:rPr>
                <w:rFonts w:eastAsia="Times New Roman" w:cs="Times New Roman"/>
                <w:kern w:val="0"/>
                <w:sz w:val="22"/>
                <w:lang w:val="fr-FR"/>
                <w14:ligatures w14:val="none"/>
              </w:rPr>
              <w:t xml:space="preserve">ont bénéficié d'évaluations dans le cadre du projet "La cybersécurité au service du bien social", tandis que le </w:t>
            </w:r>
            <w:r w:rsidRPr="00C83DA9">
              <w:rPr>
                <w:rFonts w:eastAsia="Times New Roman" w:cs="Times New Roman"/>
                <w:b/>
                <w:kern w:val="0"/>
                <w:sz w:val="22"/>
                <w:lang w:val="fr-FR"/>
                <w14:ligatures w14:val="none"/>
              </w:rPr>
              <w:t xml:space="preserve">Maroc </w:t>
            </w:r>
            <w:r w:rsidRPr="00C83DA9">
              <w:rPr>
                <w:rFonts w:eastAsia="Times New Roman" w:cs="Times New Roman"/>
                <w:kern w:val="0"/>
                <w:sz w:val="22"/>
                <w:lang w:val="fr-FR"/>
                <w14:ligatures w14:val="none"/>
              </w:rPr>
              <w:t xml:space="preserve">a élaboré la version finale de sa stratégie nationale avec l'appui du BDT. Il a été tenu compte des lignes directrices sur la sécurité en ligne des enfants dans les approches nationales, ce qui témoigne d'un ferme engagement en faveur de la protection des enfants. Les Émirats arabes unis ont joué un rôle central en organisant des </w:t>
            </w:r>
            <w:hyperlink r:id="rId218" w:history="1">
              <w:r w:rsidRPr="00C83DA9">
                <w:rPr>
                  <w:rFonts w:eastAsia="Times New Roman" w:cs="Times New Roman"/>
                  <w:b/>
                  <w:color w:val="0000FF"/>
                  <w:kern w:val="0"/>
                  <w:sz w:val="22"/>
                  <w:u w:val="single"/>
                  <w:lang w:val="fr-FR"/>
                  <w14:ligatures w14:val="none"/>
                </w:rPr>
                <w:t>cyberexercices à Abu Dhabi en</w:t>
              </w:r>
              <w:r w:rsidR="00D925BB">
                <w:rPr>
                  <w:rFonts w:eastAsia="Times New Roman" w:cs="Times New Roman"/>
                  <w:b/>
                  <w:color w:val="0000FF"/>
                  <w:kern w:val="0"/>
                  <w:sz w:val="22"/>
                  <w:u w:val="single"/>
                  <w:lang w:val="fr-FR"/>
                  <w14:ligatures w14:val="none"/>
                </w:rPr>
                <w:t> </w:t>
              </w:r>
              <w:r w:rsidRPr="00C83DA9">
                <w:rPr>
                  <w:rFonts w:eastAsia="Times New Roman" w:cs="Times New Roman"/>
                  <w:b/>
                  <w:color w:val="0000FF"/>
                  <w:kern w:val="0"/>
                  <w:sz w:val="22"/>
                  <w:u w:val="single"/>
                  <w:lang w:val="fr-FR"/>
                  <w14:ligatures w14:val="none"/>
                </w:rPr>
                <w:t>2023</w:t>
              </w:r>
            </w:hyperlink>
            <w:r w:rsidRPr="00C83DA9">
              <w:rPr>
                <w:rFonts w:eastAsia="Times New Roman" w:cs="Times New Roman"/>
                <w:kern w:val="0"/>
                <w:sz w:val="22"/>
                <w:lang w:val="fr-FR"/>
                <w14:ligatures w14:val="none"/>
              </w:rPr>
              <w:t xml:space="preserve">, qui ont rassemblé </w:t>
            </w:r>
            <w:r w:rsidRPr="00C83DA9">
              <w:rPr>
                <w:rFonts w:eastAsia="Times New Roman" w:cs="Times New Roman"/>
                <w:b/>
                <w:kern w:val="0"/>
                <w:sz w:val="22"/>
                <w:lang w:val="fr-FR"/>
                <w14:ligatures w14:val="none"/>
              </w:rPr>
              <w:t>500 participants de 60 pays</w:t>
            </w:r>
            <w:r w:rsidRPr="00C83DA9">
              <w:rPr>
                <w:rFonts w:eastAsia="Times New Roman" w:cs="Times New Roman"/>
                <w:kern w:val="0"/>
                <w:sz w:val="22"/>
                <w:lang w:val="fr-FR"/>
                <w14:ligatures w14:val="none"/>
              </w:rPr>
              <w:t xml:space="preserve">, faisant du pays un pôle de collaboration interrégionale. Des ateliers régionaux, visant à sensibiliser les décideuses et les femmes diplomates aux questions de sécurité, ont démontré que les pays de la région s'évertuaient à intégrer le principe d'inclusion au domaine de la cybersécurité. Dans le cadre du projet de protection en ligne des enfants dans le monde, et en partenariat avec l'Agence du développement du numérique (ADD), l'UIT a mis en œuvre les lignes </w:t>
            </w:r>
            <w:r w:rsidRPr="00C83DA9">
              <w:rPr>
                <w:rFonts w:eastAsia="Times New Roman" w:cs="Times New Roman"/>
                <w:kern w:val="0"/>
                <w:sz w:val="22"/>
                <w:lang w:val="fr-FR"/>
                <w14:ligatures w14:val="none"/>
              </w:rPr>
              <w:lastRenderedPageBreak/>
              <w:t xml:space="preserve">directrices sur la protection en ligne des enfants au Maroc au cours de la période 2023-2025, contribuant ainsi à renforcer les capacités nationales et à sensibiliser le public à la sécurité en ligne des enfants. Une série d'ateliers ciblés ont été organisés à l'intention des professionnels des TIC, des éducateurs, des jeunes parlementaires et des jeunes de manière générale afin de mieux comprendre les risques encourus en ligne et de promouvoir des pratiques numériques sûres. Pour assurer la viabilité de ces activités, l'UIT a appuyé l'élaboration de supports de sensibilisation, notamment quatre brochures destinées aux enfants et aux parents en arabe et en français, et deux vidéos éducatives d'animation graphique produites en arabe et sous-titrées en français. Parallèlement, l'UIT aide le </w:t>
            </w:r>
            <w:r w:rsidRPr="00C83DA9">
              <w:rPr>
                <w:rFonts w:eastAsia="Times New Roman" w:cs="Times New Roman"/>
                <w:b/>
                <w:kern w:val="0"/>
                <w:sz w:val="22"/>
                <w:lang w:val="fr-FR"/>
                <w14:ligatures w14:val="none"/>
              </w:rPr>
              <w:t>Liban</w:t>
            </w:r>
            <w:r w:rsidRPr="00C83DA9">
              <w:rPr>
                <w:rFonts w:eastAsia="Times New Roman" w:cs="Times New Roman"/>
                <w:kern w:val="0"/>
                <w:sz w:val="22"/>
                <w:lang w:val="fr-FR"/>
                <w14:ligatures w14:val="none"/>
              </w:rPr>
              <w:t xml:space="preserve"> à élaborer une stratégie nationale en matière de protection en ligne des enfants qui tienne compte du contexte social, politique et technologique particulier du pays, le rapport final correspondant étant attendu d'ici à décembre 2025. Ces initiatives contribuent à la mise en place d'écosystèmes numériques plus sûrs et au renforcement des cadres nationaux pour la protection en ligne des enfants.</w:t>
            </w:r>
            <w:hyperlink r:id="rId219"/>
          </w:p>
          <w:p w14:paraId="0823C369" w14:textId="77777777" w:rsidR="00224289" w:rsidRPr="00C83DA9" w:rsidRDefault="00224289" w:rsidP="00262321">
            <w:pPr>
              <w:pStyle w:val="Tabletext"/>
              <w:widowControl w:val="0"/>
              <w:spacing w:before="120" w:after="120"/>
              <w:ind w:right="-85"/>
              <w:rPr>
                <w:rFonts w:eastAsia="Times New Roman" w:cs="Times New Roman"/>
                <w:kern w:val="0"/>
                <w:sz w:val="22"/>
                <w:lang w:val="fr-FR"/>
                <w14:ligatures w14:val="none"/>
              </w:rPr>
            </w:pPr>
            <w:r w:rsidRPr="00C83DA9">
              <w:rPr>
                <w:rFonts w:eastAsia="Times New Roman" w:cs="Times New Roman"/>
                <w:kern w:val="0"/>
                <w:sz w:val="22"/>
                <w:lang w:val="fr-FR"/>
                <w14:ligatures w14:val="none"/>
              </w:rPr>
              <w:t xml:space="preserve">Dans la </w:t>
            </w:r>
            <w:r w:rsidRPr="00C83DA9">
              <w:rPr>
                <w:rFonts w:eastAsia="Times New Roman" w:cs="Times New Roman"/>
                <w:b/>
                <w:kern w:val="0"/>
                <w:sz w:val="22"/>
                <w:lang w:val="fr-FR"/>
                <w14:ligatures w14:val="none"/>
              </w:rPr>
              <w:t>région Europe</w:t>
            </w:r>
            <w:r w:rsidRPr="00C83DA9">
              <w:rPr>
                <w:rFonts w:eastAsia="Times New Roman" w:cs="Times New Roman"/>
                <w:kern w:val="0"/>
                <w:sz w:val="22"/>
                <w:lang w:val="fr-FR"/>
                <w14:ligatures w14:val="none"/>
              </w:rPr>
              <w:t xml:space="preserve">, les activités menées ont témoigné de la transition d'une approche fondée sur la sensibilisation à une approche fondée sur le renforcement des capacités opérationnelles. </w:t>
            </w:r>
            <w:r w:rsidRPr="00C83DA9">
              <w:rPr>
                <w:rFonts w:eastAsia="Times New Roman" w:cs="Times New Roman"/>
                <w:b/>
                <w:kern w:val="0"/>
                <w:sz w:val="22"/>
                <w:lang w:val="fr-FR"/>
                <w14:ligatures w14:val="none"/>
              </w:rPr>
              <w:t>Malte</w:t>
            </w:r>
            <w:r w:rsidRPr="00C83DA9">
              <w:rPr>
                <w:rFonts w:eastAsia="Times New Roman" w:cs="Times New Roman"/>
                <w:kern w:val="0"/>
                <w:sz w:val="22"/>
                <w:lang w:val="fr-FR"/>
                <w14:ligatures w14:val="none"/>
              </w:rPr>
              <w:t xml:space="preserve"> est devenue un chef de file en matière de COP en dispensant des formations aux éducateurs et aux agents chargés de l'application des lois. La </w:t>
            </w:r>
            <w:r w:rsidRPr="00C83DA9">
              <w:rPr>
                <w:rFonts w:eastAsia="Times New Roman" w:cs="Times New Roman"/>
                <w:b/>
                <w:kern w:val="0"/>
                <w:sz w:val="22"/>
                <w:lang w:val="fr-FR"/>
                <w14:ligatures w14:val="none"/>
              </w:rPr>
              <w:t xml:space="preserve">Serbie </w:t>
            </w:r>
            <w:r w:rsidRPr="00C83DA9">
              <w:rPr>
                <w:rFonts w:eastAsia="Times New Roman" w:cs="Times New Roman"/>
                <w:kern w:val="0"/>
                <w:sz w:val="22"/>
                <w:lang w:val="fr-FR"/>
                <w14:ligatures w14:val="none"/>
              </w:rPr>
              <w:t>et l'</w:t>
            </w:r>
            <w:r w:rsidRPr="00C83DA9">
              <w:rPr>
                <w:rFonts w:eastAsia="Times New Roman" w:cs="Times New Roman"/>
                <w:b/>
                <w:kern w:val="0"/>
                <w:sz w:val="22"/>
                <w:lang w:val="fr-FR"/>
                <w14:ligatures w14:val="none"/>
              </w:rPr>
              <w:t xml:space="preserve">Arménie </w:t>
            </w:r>
            <w:r w:rsidRPr="00C83DA9">
              <w:rPr>
                <w:rFonts w:eastAsia="Times New Roman" w:cs="Times New Roman"/>
                <w:kern w:val="0"/>
                <w:sz w:val="22"/>
                <w:lang w:val="fr-FR"/>
                <w14:ligatures w14:val="none"/>
              </w:rPr>
              <w:t xml:space="preserve">ont adapté les lignes directrices sur la sécurité en ligne des enfants pour les intégrer dans leurs systèmes éducatifs. L'organisation de l'Initiative COP en </w:t>
            </w:r>
            <w:r w:rsidRPr="00C83DA9">
              <w:rPr>
                <w:rFonts w:eastAsia="Times New Roman" w:cs="Times New Roman"/>
                <w:b/>
                <w:kern w:val="0"/>
                <w:sz w:val="22"/>
                <w:lang w:val="fr-FR"/>
                <w14:ligatures w14:val="none"/>
              </w:rPr>
              <w:t>Bulgarie</w:t>
            </w:r>
            <w:r w:rsidRPr="00C83DA9">
              <w:rPr>
                <w:rFonts w:eastAsia="Times New Roman" w:cs="Times New Roman"/>
                <w:kern w:val="0"/>
                <w:sz w:val="22"/>
                <w:lang w:val="fr-FR"/>
                <w14:ligatures w14:val="none"/>
              </w:rPr>
              <w:t xml:space="preserve"> a rassemblé des décideurs et des spécialistes qui se sont penchés collectivement sur les menaces émergentes. Les progrès accomplis en matière de protection en ligne des enfants, associés à un état de préparation technique avancé, ont démontré la capacité de l'Europe à aligner la question de la protection des groupes vulnérables sur la résilience institutionnelle.</w:t>
            </w:r>
          </w:p>
          <w:p w14:paraId="5F0C3516" w14:textId="77777777" w:rsidR="00224289" w:rsidRPr="00C83DA9" w:rsidRDefault="00224289" w:rsidP="00262321">
            <w:pPr>
              <w:pStyle w:val="Tabletext"/>
              <w:keepNext/>
              <w:keepLines/>
              <w:spacing w:before="120" w:after="120"/>
              <w:ind w:right="-85"/>
              <w:rPr>
                <w:rFonts w:eastAsia="Times New Roman" w:cs="Times New Roman"/>
                <w:kern w:val="0"/>
                <w:sz w:val="22"/>
                <w:lang w:val="fr-FR"/>
                <w14:ligatures w14:val="none"/>
              </w:rPr>
            </w:pPr>
            <w:r w:rsidRPr="00C83DA9">
              <w:rPr>
                <w:rFonts w:eastAsia="Times New Roman" w:cs="Times New Roman"/>
                <w:kern w:val="0"/>
                <w:sz w:val="22"/>
                <w:lang w:val="fr-FR"/>
                <w14:ligatures w14:val="none"/>
              </w:rPr>
              <w:t xml:space="preserve">Dans la </w:t>
            </w:r>
            <w:r w:rsidRPr="00C83DA9">
              <w:rPr>
                <w:rFonts w:eastAsia="Times New Roman" w:cs="Times New Roman"/>
                <w:b/>
                <w:kern w:val="0"/>
                <w:sz w:val="22"/>
                <w:lang w:val="fr-FR"/>
                <w14:ligatures w14:val="none"/>
              </w:rPr>
              <w:t>région de la CEI</w:t>
            </w:r>
            <w:r w:rsidRPr="00C83DA9">
              <w:rPr>
                <w:rFonts w:eastAsia="Times New Roman" w:cs="Times New Roman"/>
                <w:kern w:val="0"/>
                <w:sz w:val="22"/>
                <w:lang w:val="fr-FR"/>
                <w14:ligatures w14:val="none"/>
              </w:rPr>
              <w:t xml:space="preserve">, une </w:t>
            </w:r>
            <w:r w:rsidRPr="00C83DA9">
              <w:rPr>
                <w:rFonts w:eastAsia="Times New Roman" w:cs="Times New Roman"/>
                <w:b/>
                <w:kern w:val="0"/>
                <w:sz w:val="22"/>
                <w:lang w:val="fr-FR"/>
                <w14:ligatures w14:val="none"/>
              </w:rPr>
              <w:t>évaluation de l'état de préparation des CIRT en Azerbaïdjan</w:t>
            </w:r>
            <w:r w:rsidRPr="00C83DA9">
              <w:rPr>
                <w:rFonts w:eastAsia="Times New Roman" w:cs="Times New Roman"/>
                <w:kern w:val="0"/>
                <w:sz w:val="22"/>
                <w:lang w:val="fr-FR"/>
                <w14:ligatures w14:val="none"/>
              </w:rPr>
              <w:t xml:space="preserve"> a servi de référence nationale en matière de cybersécurité, et le </w:t>
            </w:r>
            <w:r w:rsidRPr="00C83DA9">
              <w:rPr>
                <w:rFonts w:eastAsia="Times New Roman" w:cs="Times New Roman"/>
                <w:b/>
                <w:kern w:val="0"/>
                <w:sz w:val="22"/>
                <w:lang w:val="fr-FR"/>
                <w14:ligatures w14:val="none"/>
              </w:rPr>
              <w:t>Kirghizistan</w:t>
            </w:r>
            <w:r w:rsidRPr="00C83DA9">
              <w:rPr>
                <w:rFonts w:eastAsia="Times New Roman" w:cs="Times New Roman"/>
                <w:kern w:val="0"/>
                <w:sz w:val="22"/>
                <w:lang w:val="fr-FR"/>
                <w14:ligatures w14:val="none"/>
              </w:rPr>
              <w:t xml:space="preserve"> a créé une CIRT dans le cadre d'un projet conjoint UIT-Banque mondiale. Des ateliers régionaux ont aidé à renforcer les compétences concernant l'application de pratiques cohérentes de cybersécurité, tandis qu'en </w:t>
            </w:r>
            <w:r w:rsidRPr="00C83DA9">
              <w:rPr>
                <w:rFonts w:eastAsia="Times New Roman" w:cs="Times New Roman"/>
                <w:b/>
                <w:kern w:val="0"/>
                <w:sz w:val="22"/>
                <w:lang w:val="fr-FR"/>
                <w14:ligatures w14:val="none"/>
              </w:rPr>
              <w:t>Arménie</w:t>
            </w:r>
            <w:r w:rsidRPr="00C83DA9">
              <w:rPr>
                <w:rFonts w:eastAsia="Times New Roman" w:cs="Times New Roman"/>
                <w:kern w:val="0"/>
                <w:sz w:val="22"/>
                <w:lang w:val="fr-FR"/>
                <w14:ligatures w14:val="none"/>
              </w:rPr>
              <w:t xml:space="preserve">, </w:t>
            </w:r>
            <w:hyperlink r:id="rId220" w:history="1">
              <w:r w:rsidRPr="00E046A5">
                <w:rPr>
                  <w:sz w:val="22"/>
                  <w:szCs w:val="24"/>
                  <w:lang w:val="fr-FR"/>
                </w:rPr>
                <w:t>l'</w:t>
              </w:r>
              <w:r w:rsidRPr="00C83DA9">
                <w:rPr>
                  <w:rFonts w:eastAsia="Times New Roman" w:cs="Times New Roman"/>
                  <w:color w:val="0000FF"/>
                  <w:kern w:val="0"/>
                  <w:sz w:val="22"/>
                  <w:u w:val="single"/>
                  <w:lang w:val="fr-FR"/>
                  <w14:ligatures w14:val="none"/>
                </w:rPr>
                <w:t>édition 2024 du cyberexercice national</w:t>
              </w:r>
            </w:hyperlink>
            <w:r w:rsidRPr="00C83DA9">
              <w:rPr>
                <w:rFonts w:eastAsia="Times New Roman" w:cs="Times New Roman"/>
                <w:kern w:val="0"/>
                <w:sz w:val="22"/>
                <w:lang w:val="fr-FR"/>
                <w14:ligatures w14:val="none"/>
              </w:rPr>
              <w:t xml:space="preserve"> a permis de tester les protocoles d'intervention et la coordination entre les organismes. Parallèlement, le </w:t>
            </w:r>
            <w:r w:rsidRPr="00C83DA9">
              <w:rPr>
                <w:rFonts w:eastAsia="Times New Roman" w:cs="Times New Roman"/>
                <w:b/>
                <w:kern w:val="0"/>
                <w:sz w:val="22"/>
                <w:lang w:val="fr-FR"/>
                <w14:ligatures w14:val="none"/>
              </w:rPr>
              <w:t>Bélarus</w:t>
            </w:r>
            <w:r w:rsidRPr="00C83DA9">
              <w:rPr>
                <w:rFonts w:eastAsia="Times New Roman" w:cs="Times New Roman"/>
                <w:kern w:val="0"/>
                <w:sz w:val="22"/>
                <w:lang w:val="fr-FR"/>
                <w14:ligatures w14:val="none"/>
              </w:rPr>
              <w:t xml:space="preserve"> et le </w:t>
            </w:r>
            <w:r w:rsidRPr="00C83DA9">
              <w:rPr>
                <w:rFonts w:eastAsia="Times New Roman" w:cs="Times New Roman"/>
                <w:b/>
                <w:kern w:val="0"/>
                <w:sz w:val="22"/>
                <w:lang w:val="fr-FR"/>
                <w14:ligatures w14:val="none"/>
              </w:rPr>
              <w:t>Kazakhstan</w:t>
            </w:r>
            <w:r w:rsidRPr="00C83DA9">
              <w:rPr>
                <w:rFonts w:eastAsia="Times New Roman" w:cs="Times New Roman"/>
                <w:kern w:val="0"/>
                <w:sz w:val="22"/>
                <w:lang w:val="fr-FR"/>
                <w14:ligatures w14:val="none"/>
              </w:rPr>
              <w:t xml:space="preserve"> ont renforcé leurs cadres nationaux en matière de cybersécurité. Il ressort de ces activités que des pays de la région ont non seulement été sensibilisés à ces questions, mais ont aussi développé leurs capacités opérationnelles à un niveau de maturité élevé, les rendant plus à même de faire face, de manière conjointe, aux risques transfrontaliers. Les lignes directrices en matière de protection en ligne des enfants ayant été appliquées en </w:t>
            </w:r>
            <w:r w:rsidRPr="00C83DA9">
              <w:rPr>
                <w:rFonts w:eastAsia="Times New Roman" w:cs="Times New Roman"/>
                <w:b/>
                <w:kern w:val="0"/>
                <w:sz w:val="22"/>
                <w:lang w:val="fr-FR"/>
                <w14:ligatures w14:val="none"/>
              </w:rPr>
              <w:t>Arménie</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 xml:space="preserve">Kirghizistan </w:t>
            </w:r>
            <w:r w:rsidRPr="00C83DA9">
              <w:rPr>
                <w:rFonts w:eastAsia="Times New Roman" w:cs="Times New Roman"/>
                <w:kern w:val="0"/>
                <w:sz w:val="22"/>
                <w:lang w:val="fr-FR"/>
                <w14:ligatures w14:val="none"/>
              </w:rPr>
              <w:t xml:space="preserve">et en </w:t>
            </w:r>
            <w:r w:rsidRPr="00C83DA9">
              <w:rPr>
                <w:rFonts w:eastAsia="Times New Roman" w:cs="Times New Roman"/>
                <w:b/>
                <w:kern w:val="0"/>
                <w:sz w:val="22"/>
                <w:lang w:val="fr-FR"/>
                <w14:ligatures w14:val="none"/>
              </w:rPr>
              <w:t>Ouzbékistan</w:t>
            </w:r>
            <w:r w:rsidRPr="00C83DA9">
              <w:rPr>
                <w:rFonts w:eastAsia="Times New Roman" w:cs="Times New Roman"/>
                <w:kern w:val="0"/>
                <w:sz w:val="22"/>
                <w:lang w:val="fr-FR"/>
                <w14:ligatures w14:val="none"/>
              </w:rPr>
              <w:t>, des ressources et des formations spécifiques ont pu être élaborées et mises en œuvre dans ces pays avec l'assistance du BDT.</w:t>
            </w:r>
            <w:hyperlink r:id="rId221"/>
          </w:p>
        </w:tc>
        <w:tc>
          <w:tcPr>
            <w:tcW w:w="2787" w:type="dxa"/>
            <w:tcBorders>
              <w:top w:val="dotted" w:sz="4" w:space="0" w:color="0070C0"/>
              <w:left w:val="dotted" w:sz="4" w:space="0" w:color="0070C0"/>
              <w:bottom w:val="dotted" w:sz="4" w:space="0" w:color="0070C0"/>
              <w:right w:val="dotted" w:sz="4" w:space="0" w:color="0070C0"/>
            </w:tcBorders>
          </w:tcPr>
          <w:p w14:paraId="725D71B1" w14:textId="77777777" w:rsidR="00224289" w:rsidRPr="00C83DA9" w:rsidRDefault="00224289" w:rsidP="0067293A">
            <w:pPr>
              <w:pStyle w:val="Tabletext"/>
              <w:keepNext/>
              <w:spacing w:before="120"/>
              <w:rPr>
                <w:rFonts w:eastAsia="Times New Roman" w:cs="Times New Roman"/>
                <w:b/>
                <w:bCs/>
                <w:color w:val="0070C0"/>
                <w:kern w:val="0"/>
                <w:sz w:val="22"/>
                <w:lang w:val="fr-FR"/>
                <w14:ligatures w14:val="none"/>
              </w:rPr>
            </w:pPr>
            <w:r w:rsidRPr="00C83DA9">
              <w:rPr>
                <w:rFonts w:eastAsia="Times New Roman" w:cs="Times New Roman"/>
                <w:b/>
                <w:bCs/>
                <w:color w:val="0070C0"/>
                <w:kern w:val="0"/>
                <w:sz w:val="22"/>
                <w:lang w:val="fr-FR"/>
                <w14:ligatures w14:val="none"/>
              </w:rPr>
              <w:lastRenderedPageBreak/>
              <w:t>Indice mondial de cybersécurité</w:t>
            </w:r>
          </w:p>
          <w:p w14:paraId="05DF984D" w14:textId="77777777" w:rsidR="00224289" w:rsidRPr="00C83DA9" w:rsidRDefault="00224289" w:rsidP="0067293A">
            <w:pPr>
              <w:pStyle w:val="Tabletext"/>
              <w:keepNext/>
              <w:spacing w:before="120"/>
              <w:rPr>
                <w:rFonts w:eastAsia="Times New Roman" w:cs="Times New Roman"/>
                <w:b/>
                <w:bCs/>
                <w:color w:val="0070C0"/>
                <w:kern w:val="0"/>
                <w:sz w:val="22"/>
                <w:lang w:val="fr-FR"/>
                <w14:ligatures w14:val="none"/>
              </w:rPr>
            </w:pPr>
            <w:r w:rsidRPr="00C83DA9">
              <w:rPr>
                <w:rFonts w:eastAsia="Times New Roman" w:cs="Times New Roman"/>
                <w:b/>
                <w:bCs/>
                <w:color w:val="0070C0"/>
                <w:kern w:val="0"/>
                <w:sz w:val="22"/>
                <w:lang w:val="fr-FR"/>
                <w14:ligatures w14:val="none"/>
              </w:rPr>
              <w:t>Programme d'intervention en cas d'incident:</w:t>
            </w:r>
          </w:p>
          <w:p w14:paraId="6DE28555" w14:textId="77777777" w:rsidR="00224289" w:rsidRPr="00C83DA9" w:rsidRDefault="00224289" w:rsidP="00202BFA">
            <w:pPr>
              <w:pStyle w:val="enumlev1"/>
              <w:tabs>
                <w:tab w:val="clear" w:pos="1134"/>
              </w:tabs>
              <w:spacing w:before="40" w:after="40"/>
              <w:ind w:left="386" w:right="-102" w:hanging="386"/>
              <w:rPr>
                <w:rFonts w:ascii="Calibri" w:eastAsia="Times New Roman" w:hAnsi="Calibri" w:cs="Calibri"/>
                <w:color w:val="1F497D" w:themeColor="text2"/>
                <w:kern w:val="0"/>
                <w:sz w:val="22"/>
                <w:lang w:val="fr-FR"/>
                <w14:ligatures w14:val="none"/>
              </w:rPr>
            </w:pPr>
            <w:r w:rsidRPr="00C83DA9">
              <w:rPr>
                <w:rFonts w:eastAsia="Times New Roman" w:cs="Times New Roman"/>
                <w:color w:val="1F497D" w:themeColor="text2"/>
                <w:kern w:val="0"/>
                <w:sz w:val="22"/>
                <w:lang w:val="fr-FR"/>
                <w14:ligatures w14:val="none"/>
              </w:rPr>
              <w:t>•</w:t>
            </w:r>
            <w:r w:rsidRPr="00C83DA9">
              <w:rPr>
                <w:rFonts w:eastAsia="Times New Roman" w:cs="Times New Roman"/>
                <w:color w:val="1F497D" w:themeColor="text2"/>
                <w:kern w:val="0"/>
                <w:sz w:val="22"/>
                <w:lang w:val="fr-FR"/>
                <w14:ligatures w14:val="none"/>
              </w:rPr>
              <w:tab/>
              <w:t xml:space="preserve">Quelque 160 pays ont </w:t>
            </w:r>
            <w:r w:rsidRPr="00C83DA9">
              <w:rPr>
                <w:rFonts w:eastAsiaTheme="minorEastAsia"/>
                <w:color w:val="1F497D" w:themeColor="text2"/>
                <w:sz w:val="22"/>
                <w:lang w:val="fr-FR"/>
              </w:rPr>
              <w:t>bénéficié</w:t>
            </w:r>
            <w:r w:rsidRPr="00C83DA9">
              <w:rPr>
                <w:rFonts w:eastAsia="Times New Roman" w:cs="Times New Roman"/>
                <w:color w:val="1F497D" w:themeColor="text2"/>
                <w:kern w:val="0"/>
                <w:sz w:val="22"/>
                <w:lang w:val="fr-FR"/>
                <w14:ligatures w14:val="none"/>
              </w:rPr>
              <w:t xml:space="preserve"> des </w:t>
            </w:r>
            <w:r w:rsidRPr="00C83DA9">
              <w:rPr>
                <w:rFonts w:eastAsia="Times New Roman" w:cs="Times New Roman"/>
                <w:b/>
                <w:bCs/>
                <w:color w:val="1F497D" w:themeColor="text2"/>
                <w:kern w:val="0"/>
                <w:sz w:val="22"/>
                <w:lang w:val="fr-FR"/>
                <w14:ligatures w14:val="none"/>
              </w:rPr>
              <w:t>cyberexercices</w:t>
            </w:r>
            <w:r w:rsidRPr="00C83DA9">
              <w:rPr>
                <w:rFonts w:eastAsia="Times New Roman" w:cs="Times New Roman"/>
                <w:color w:val="1F497D" w:themeColor="text2"/>
                <w:kern w:val="0"/>
                <w:sz w:val="22"/>
                <w:lang w:val="fr-FR"/>
                <w14:ligatures w14:val="none"/>
              </w:rPr>
              <w:t xml:space="preserve"> organisés dans toutes les régions.</w:t>
            </w:r>
          </w:p>
          <w:p w14:paraId="2621F309" w14:textId="77777777" w:rsidR="00224289" w:rsidRPr="00C83DA9" w:rsidRDefault="00224289" w:rsidP="0067293A">
            <w:pPr>
              <w:pStyle w:val="Tabletext"/>
              <w:keepNext/>
              <w:spacing w:before="120"/>
              <w:rPr>
                <w:rFonts w:eastAsia="Times New Roman" w:cs="Times New Roman"/>
                <w:b/>
                <w:bCs/>
                <w:color w:val="0070C0"/>
                <w:kern w:val="0"/>
                <w:sz w:val="22"/>
                <w:lang w:val="fr-FR"/>
                <w14:ligatures w14:val="none"/>
              </w:rPr>
            </w:pPr>
            <w:r w:rsidRPr="00C83DA9">
              <w:rPr>
                <w:rFonts w:eastAsia="Times New Roman" w:cs="Times New Roman"/>
                <w:b/>
                <w:bCs/>
                <w:color w:val="0070C0"/>
                <w:kern w:val="0"/>
                <w:sz w:val="22"/>
                <w:lang w:val="fr-FR"/>
                <w14:ligatures w14:val="none"/>
              </w:rPr>
              <w:t>Édition de 2025 du cyberexercice mondial:</w:t>
            </w:r>
          </w:p>
          <w:p w14:paraId="7F755C22" w14:textId="77777777" w:rsidR="00224289" w:rsidRPr="00C83DA9" w:rsidRDefault="00224289"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imes New Roman" w:cs="Times New Roman"/>
                <w:color w:val="1F497D" w:themeColor="text2"/>
                <w:kern w:val="0"/>
                <w:sz w:val="22"/>
                <w:lang w:val="fr-FR"/>
                <w14:ligatures w14:val="none"/>
              </w:rPr>
              <w:t>•</w:t>
            </w:r>
            <w:r w:rsidRPr="00C83DA9">
              <w:rPr>
                <w:rFonts w:eastAsia="Times New Roman" w:cs="Times New Roman"/>
                <w:color w:val="1F497D" w:themeColor="text2"/>
                <w:kern w:val="0"/>
                <w:sz w:val="22"/>
                <w:lang w:val="fr-FR"/>
                <w14:ligatures w14:val="none"/>
              </w:rPr>
              <w:tab/>
              <w:t>Des équipes CIRT de 126 </w:t>
            </w:r>
            <w:r w:rsidRPr="00C83DA9">
              <w:rPr>
                <w:rFonts w:eastAsiaTheme="minorEastAsia"/>
                <w:color w:val="1F497D" w:themeColor="text2"/>
                <w:sz w:val="22"/>
                <w:lang w:val="fr-FR"/>
              </w:rPr>
              <w:t>pays simulent des incidents.</w:t>
            </w:r>
          </w:p>
          <w:p w14:paraId="545C8993" w14:textId="77777777" w:rsidR="00224289" w:rsidRPr="00C83DA9" w:rsidRDefault="00224289" w:rsidP="00202BFA">
            <w:pPr>
              <w:pStyle w:val="enumlev1"/>
              <w:tabs>
                <w:tab w:val="clear" w:pos="1134"/>
              </w:tabs>
              <w:spacing w:before="40" w:after="40"/>
              <w:ind w:left="386" w:right="-102" w:hanging="386"/>
              <w:rPr>
                <w:rFonts w:eastAsia="Times New Roman" w:cs="Times New Roman"/>
                <w:color w:val="1F497D" w:themeColor="text2"/>
                <w:kern w:val="0"/>
                <w:sz w:val="22"/>
                <w:lang w:val="fr-FR"/>
                <w14:ligatures w14:val="none"/>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Les enseignements tirés ont été</w:t>
            </w:r>
            <w:r w:rsidRPr="00C83DA9">
              <w:rPr>
                <w:rFonts w:eastAsia="Times New Roman" w:cs="Times New Roman"/>
                <w:color w:val="1F497D" w:themeColor="text2"/>
                <w:kern w:val="0"/>
                <w:sz w:val="22"/>
                <w:lang w:val="fr-FR"/>
                <w14:ligatures w14:val="none"/>
              </w:rPr>
              <w:t xml:space="preserve"> partagés.</w:t>
            </w:r>
          </w:p>
          <w:p w14:paraId="7D16A4BD" w14:textId="77777777" w:rsidR="00224289" w:rsidRPr="00C83DA9" w:rsidRDefault="00224289" w:rsidP="0067293A">
            <w:pPr>
              <w:pStyle w:val="Tabletext"/>
              <w:keepNext/>
              <w:spacing w:before="120"/>
              <w:rPr>
                <w:rFonts w:eastAsia="Times New Roman" w:cs="Times New Roman"/>
                <w:b/>
                <w:bCs/>
                <w:color w:val="0070C0"/>
                <w:kern w:val="0"/>
                <w:sz w:val="22"/>
                <w:lang w:val="fr-FR"/>
                <w14:ligatures w14:val="none"/>
              </w:rPr>
            </w:pPr>
            <w:r w:rsidRPr="00C83DA9">
              <w:rPr>
                <w:rFonts w:eastAsia="Times New Roman" w:cs="Times New Roman"/>
                <w:b/>
                <w:bCs/>
                <w:color w:val="0070C0"/>
                <w:kern w:val="0"/>
                <w:sz w:val="22"/>
                <w:lang w:val="fr-FR"/>
                <w14:ligatures w14:val="none"/>
              </w:rPr>
              <w:t>PMA, PDSL et PEID mobilisés ou aidés:</w:t>
            </w:r>
          </w:p>
          <w:p w14:paraId="68BAECC8" w14:textId="14405332" w:rsidR="00224289" w:rsidRPr="00C83DA9" w:rsidRDefault="00224289"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imes New Roman" w:cs="Times New Roman"/>
                <w:color w:val="1F497D" w:themeColor="text2"/>
                <w:kern w:val="0"/>
                <w:sz w:val="22"/>
                <w:lang w:val="fr-FR"/>
                <w14:ligatures w14:val="none"/>
              </w:rPr>
              <w:t>•</w:t>
            </w:r>
            <w:r w:rsidRPr="00C83DA9">
              <w:rPr>
                <w:rFonts w:eastAsia="Times New Roman" w:cs="Times New Roman"/>
                <w:color w:val="1F497D" w:themeColor="text2"/>
                <w:kern w:val="0"/>
                <w:sz w:val="22"/>
                <w:lang w:val="fr-FR"/>
                <w14:ligatures w14:val="none"/>
              </w:rPr>
              <w:tab/>
              <w:t xml:space="preserve">Au total, </w:t>
            </w:r>
            <w:r w:rsidR="008D41F4" w:rsidRPr="00C83DA9">
              <w:rPr>
                <w:rFonts w:eastAsia="Times New Roman" w:cs="Times New Roman"/>
                <w:color w:val="1F497D" w:themeColor="text2"/>
                <w:kern w:val="0"/>
                <w:sz w:val="22"/>
                <w:lang w:val="fr-FR"/>
                <w14:ligatures w14:val="none"/>
              </w:rPr>
              <w:t xml:space="preserve">54 </w:t>
            </w:r>
            <w:r w:rsidRPr="00C83DA9">
              <w:rPr>
                <w:rFonts w:eastAsia="Times New Roman" w:cs="Times New Roman"/>
                <w:color w:val="1F497D" w:themeColor="text2"/>
                <w:kern w:val="0"/>
                <w:sz w:val="22"/>
                <w:lang w:val="fr-FR"/>
                <w14:ligatures w14:val="none"/>
              </w:rPr>
              <w:t xml:space="preserve">PMA, PDSL et </w:t>
            </w:r>
            <w:r w:rsidRPr="00C83DA9">
              <w:rPr>
                <w:rFonts w:eastAsiaTheme="minorEastAsia"/>
                <w:color w:val="1F497D" w:themeColor="text2"/>
                <w:sz w:val="22"/>
                <w:lang w:val="fr-FR"/>
              </w:rPr>
              <w:t>PEID ont bénéficié d'une assistance</w:t>
            </w:r>
            <w:r w:rsidR="00262321" w:rsidRPr="00C83DA9">
              <w:rPr>
                <w:rFonts w:eastAsiaTheme="minorEastAsia"/>
                <w:color w:val="1F497D" w:themeColor="text2"/>
                <w:sz w:val="22"/>
                <w:lang w:val="fr-FR"/>
              </w:rPr>
              <w:t>.</w:t>
            </w:r>
          </w:p>
          <w:p w14:paraId="661A93E3" w14:textId="02C4525A" w:rsidR="00224289" w:rsidRPr="00C83DA9" w:rsidRDefault="00224289"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r>
            <w:r w:rsidR="008D41F4" w:rsidRPr="00C83DA9">
              <w:rPr>
                <w:rFonts w:eastAsiaTheme="minorEastAsia"/>
                <w:color w:val="1F497D" w:themeColor="text2"/>
                <w:sz w:val="22"/>
                <w:lang w:val="fr-FR"/>
              </w:rPr>
              <w:t xml:space="preserve">23 </w:t>
            </w:r>
            <w:r w:rsidRPr="00C83DA9">
              <w:rPr>
                <w:rFonts w:eastAsiaTheme="minorEastAsia"/>
                <w:color w:val="1F497D" w:themeColor="text2"/>
                <w:sz w:val="22"/>
                <w:lang w:val="fr-FR"/>
              </w:rPr>
              <w:t>de ces pays ont bénéficié d'une assistance technique.</w:t>
            </w:r>
          </w:p>
          <w:p w14:paraId="4D196DA4" w14:textId="77777777" w:rsidR="00A734FE" w:rsidRPr="00C83DA9" w:rsidRDefault="00A734FE" w:rsidP="00202BFA">
            <w:pPr>
              <w:pStyle w:val="enumlev1"/>
              <w:tabs>
                <w:tab w:val="clear" w:pos="1134"/>
              </w:tabs>
              <w:spacing w:before="40" w:after="40"/>
              <w:ind w:left="386" w:right="-102" w:hanging="386"/>
              <w:rPr>
                <w:rFonts w:eastAsiaTheme="minorEastAsia"/>
                <w:color w:val="1F497D" w:themeColor="text2"/>
                <w:sz w:val="22"/>
                <w:lang w:val="fr-FR"/>
              </w:rPr>
            </w:pPr>
          </w:p>
          <w:p w14:paraId="24A86680" w14:textId="137FE335" w:rsidR="00224289" w:rsidRPr="00C83DA9" w:rsidRDefault="00224289" w:rsidP="00A734FE">
            <w:pPr>
              <w:pStyle w:val="enumlev1"/>
              <w:keepNext/>
              <w:keepLines/>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lastRenderedPageBreak/>
              <w:t>•</w:t>
            </w:r>
            <w:r w:rsidRPr="00C83DA9">
              <w:rPr>
                <w:rFonts w:eastAsiaTheme="minorEastAsia"/>
                <w:color w:val="1F497D" w:themeColor="text2"/>
                <w:sz w:val="22"/>
                <w:lang w:val="fr-FR"/>
              </w:rPr>
              <w:tab/>
              <w:t>Des ca</w:t>
            </w:r>
            <w:r w:rsidRPr="00C83DA9">
              <w:rPr>
                <w:rFonts w:eastAsia="Times New Roman" w:cs="Times New Roman"/>
                <w:color w:val="1F497D" w:themeColor="text2"/>
                <w:kern w:val="0"/>
                <w:sz w:val="22"/>
                <w:lang w:val="fr-FR"/>
                <w14:ligatures w14:val="none"/>
              </w:rPr>
              <w:t xml:space="preserve">dres politiques et des supports de </w:t>
            </w:r>
            <w:r w:rsidRPr="00C83DA9">
              <w:rPr>
                <w:rFonts w:eastAsiaTheme="minorEastAsia"/>
                <w:color w:val="1F497D" w:themeColor="text2"/>
                <w:sz w:val="22"/>
                <w:lang w:val="fr-FR"/>
              </w:rPr>
              <w:t>connaissance ont été élaborés dans 28 pays.</w:t>
            </w:r>
          </w:p>
          <w:p w14:paraId="6828CAAD" w14:textId="7364DCC5" w:rsidR="00224289" w:rsidRPr="00C83DA9" w:rsidRDefault="00224289"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r>
            <w:r w:rsidR="008D41F4" w:rsidRPr="00C83DA9">
              <w:rPr>
                <w:rFonts w:eastAsiaTheme="minorEastAsia"/>
                <w:color w:val="1F497D" w:themeColor="text2"/>
                <w:sz w:val="22"/>
                <w:lang w:val="fr-FR"/>
              </w:rPr>
              <w:t xml:space="preserve">37 </w:t>
            </w:r>
            <w:r w:rsidRPr="00C83DA9">
              <w:rPr>
                <w:rFonts w:eastAsiaTheme="minorEastAsia"/>
                <w:color w:val="1F497D" w:themeColor="text2"/>
                <w:sz w:val="22"/>
                <w:lang w:val="fr-FR"/>
              </w:rPr>
              <w:t>pays ont mis en place des plates-formes fédératrices.</w:t>
            </w:r>
          </w:p>
          <w:p w14:paraId="7FF44FF2" w14:textId="1534F9D3" w:rsidR="00224289" w:rsidRPr="00C83DA9" w:rsidRDefault="00224289" w:rsidP="00202BFA">
            <w:pPr>
              <w:pStyle w:val="enumlev1"/>
              <w:tabs>
                <w:tab w:val="clear" w:pos="1134"/>
              </w:tabs>
              <w:spacing w:before="40" w:after="40"/>
              <w:ind w:left="386" w:right="-102" w:hanging="386"/>
              <w:rPr>
                <w:rFonts w:eastAsia="Times New Roman" w:cs="Times New Roman"/>
                <w:color w:val="1F497D" w:themeColor="text2"/>
                <w:kern w:val="0"/>
                <w:sz w:val="22"/>
                <w:lang w:val="fr-FR"/>
                <w14:ligatures w14:val="none"/>
              </w:rPr>
            </w:pPr>
            <w:r w:rsidRPr="00C83DA9">
              <w:rPr>
                <w:rFonts w:eastAsiaTheme="minorEastAsia"/>
                <w:color w:val="1F497D" w:themeColor="text2"/>
                <w:sz w:val="22"/>
                <w:lang w:val="fr-FR"/>
              </w:rPr>
              <w:t>•</w:t>
            </w:r>
            <w:r w:rsidRPr="00C83DA9">
              <w:rPr>
                <w:rFonts w:eastAsiaTheme="minorEastAsia"/>
                <w:color w:val="1F497D" w:themeColor="text2"/>
                <w:sz w:val="22"/>
                <w:lang w:val="fr-FR"/>
              </w:rPr>
              <w:tab/>
            </w:r>
            <w:r w:rsidR="009F710E" w:rsidRPr="00C83DA9">
              <w:rPr>
                <w:rFonts w:eastAsiaTheme="minorEastAsia"/>
                <w:color w:val="1F497D" w:themeColor="text2"/>
                <w:sz w:val="22"/>
                <w:lang w:val="fr-FR"/>
              </w:rPr>
              <w:t>6</w:t>
            </w:r>
            <w:r w:rsidRPr="00C83DA9">
              <w:rPr>
                <w:rFonts w:eastAsiaTheme="minorEastAsia"/>
                <w:color w:val="1F497D" w:themeColor="text2"/>
                <w:sz w:val="22"/>
                <w:lang w:val="fr-FR"/>
              </w:rPr>
              <w:t xml:space="preserve"> projets sont en cours dans les PMA, les PDSL et les PEID</w:t>
            </w:r>
            <w:r w:rsidRPr="00C83DA9">
              <w:rPr>
                <w:rFonts w:eastAsia="Times New Roman" w:cs="Times New Roman"/>
                <w:color w:val="1F497D" w:themeColor="text2"/>
                <w:kern w:val="0"/>
                <w:sz w:val="22"/>
                <w:lang w:val="fr-FR"/>
                <w14:ligatures w14:val="none"/>
              </w:rPr>
              <w:t>.</w:t>
            </w:r>
          </w:p>
          <w:p w14:paraId="5AABF5D7" w14:textId="77777777" w:rsidR="00224289" w:rsidRPr="00C83DA9" w:rsidRDefault="00224289" w:rsidP="0067293A">
            <w:pPr>
              <w:pStyle w:val="Tabletext"/>
              <w:keepNext/>
              <w:spacing w:before="120"/>
              <w:rPr>
                <w:rFonts w:eastAsia="Times New Roman" w:cs="Times New Roman"/>
                <w:b/>
                <w:bCs/>
                <w:color w:val="0070C0"/>
                <w:kern w:val="0"/>
                <w:sz w:val="22"/>
                <w:lang w:val="fr-FR"/>
                <w14:ligatures w14:val="none"/>
              </w:rPr>
            </w:pPr>
            <w:r w:rsidRPr="00C83DA9">
              <w:rPr>
                <w:rFonts w:eastAsia="Times New Roman" w:cs="Times New Roman"/>
                <w:b/>
                <w:bCs/>
                <w:color w:val="0070C0"/>
                <w:kern w:val="0"/>
                <w:sz w:val="22"/>
                <w:lang w:val="fr-FR"/>
                <w14:ligatures w14:val="none"/>
              </w:rPr>
              <w:t>CE 2 de l'UIT-D, Question 3:</w:t>
            </w:r>
          </w:p>
          <w:p w14:paraId="12032DEC" w14:textId="7B1B9884" w:rsidR="00224289" w:rsidRPr="00C83DA9" w:rsidRDefault="00224289"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imes New Roman" w:cs="Times New Roman"/>
                <w:color w:val="1F497D" w:themeColor="text2"/>
                <w:kern w:val="0"/>
                <w:sz w:val="22"/>
                <w:lang w:val="fr-FR"/>
                <w14:ligatures w14:val="none"/>
              </w:rPr>
              <w:t>•</w:t>
            </w:r>
            <w:r w:rsidRPr="00C83DA9">
              <w:rPr>
                <w:rFonts w:eastAsia="Times New Roman" w:cs="Times New Roman"/>
                <w:color w:val="1F497D" w:themeColor="text2"/>
                <w:kern w:val="0"/>
                <w:sz w:val="22"/>
                <w:lang w:val="fr-FR"/>
                <w14:ligatures w14:val="none"/>
              </w:rPr>
              <w:tab/>
            </w:r>
            <w:r w:rsidR="0067293A" w:rsidRPr="00C83DA9">
              <w:rPr>
                <w:rFonts w:eastAsia="Times New Roman" w:cs="Times New Roman"/>
                <w:color w:val="1F497D" w:themeColor="text2"/>
                <w:kern w:val="0"/>
                <w:sz w:val="22"/>
                <w:lang w:val="fr-FR"/>
                <w14:ligatures w14:val="none"/>
              </w:rPr>
              <w:t>4</w:t>
            </w:r>
            <w:r w:rsidRPr="00C83DA9">
              <w:rPr>
                <w:rFonts w:eastAsia="Times New Roman" w:cs="Times New Roman"/>
                <w:color w:val="1F497D" w:themeColor="text2"/>
                <w:kern w:val="0"/>
                <w:sz w:val="22"/>
                <w:lang w:val="fr-FR"/>
                <w14:ligatures w14:val="none"/>
              </w:rPr>
              <w:t xml:space="preserve"> </w:t>
            </w:r>
            <w:r w:rsidRPr="00C83DA9">
              <w:rPr>
                <w:rFonts w:eastAsiaTheme="minorEastAsia"/>
                <w:color w:val="1F497D" w:themeColor="text2"/>
                <w:sz w:val="22"/>
                <w:lang w:val="fr-FR"/>
              </w:rPr>
              <w:t>réunions.</w:t>
            </w:r>
          </w:p>
          <w:p w14:paraId="1F057108" w14:textId="6389C32A" w:rsidR="00224289" w:rsidRPr="00C83DA9" w:rsidRDefault="00224289"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r>
            <w:r w:rsidR="0067293A" w:rsidRPr="00C83DA9">
              <w:rPr>
                <w:rFonts w:eastAsiaTheme="minorEastAsia"/>
                <w:color w:val="1F497D" w:themeColor="text2"/>
                <w:sz w:val="22"/>
                <w:lang w:val="fr-FR"/>
              </w:rPr>
              <w:t>1</w:t>
            </w:r>
            <w:r w:rsidRPr="00C83DA9">
              <w:rPr>
                <w:rFonts w:eastAsiaTheme="minorEastAsia"/>
                <w:color w:val="1F497D" w:themeColor="text2"/>
                <w:sz w:val="22"/>
                <w:lang w:val="fr-FR"/>
              </w:rPr>
              <w:t xml:space="preserve"> réunion du Groupe du Rapporteur.</w:t>
            </w:r>
          </w:p>
          <w:p w14:paraId="2ECDFF86" w14:textId="77777777" w:rsidR="00224289" w:rsidRPr="00C83DA9" w:rsidRDefault="00224289" w:rsidP="00202BFA">
            <w:pPr>
              <w:pStyle w:val="enumlev1"/>
              <w:tabs>
                <w:tab w:val="clear" w:pos="1134"/>
              </w:tabs>
              <w:spacing w:before="40" w:after="40"/>
              <w:ind w:left="386" w:right="-102" w:hanging="386"/>
              <w:rPr>
                <w:rFonts w:eastAsia="Aptos" w:cstheme="minorHAnsi"/>
                <w:color w:val="1F497D" w:themeColor="text2"/>
                <w:kern w:val="0"/>
                <w:sz w:val="22"/>
                <w:lang w:val="fr-FR"/>
                <w14:ligatures w14:val="none"/>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Quelque</w:t>
            </w:r>
            <w:r w:rsidRPr="00C83DA9">
              <w:rPr>
                <w:rFonts w:eastAsia="Times New Roman" w:cs="Times New Roman"/>
                <w:color w:val="1F497D" w:themeColor="text2"/>
                <w:kern w:val="0"/>
                <w:sz w:val="22"/>
                <w:lang w:val="fr-FR"/>
                <w14:ligatures w14:val="none"/>
              </w:rPr>
              <w:t xml:space="preserve"> 96 contributions.</w:t>
            </w:r>
          </w:p>
          <w:p w14:paraId="2FD07353" w14:textId="44D2A197" w:rsidR="00224289" w:rsidRPr="00C83DA9" w:rsidRDefault="00224289" w:rsidP="00202BFA">
            <w:pPr>
              <w:pStyle w:val="enumlev1"/>
              <w:tabs>
                <w:tab w:val="clear" w:pos="1134"/>
              </w:tabs>
              <w:spacing w:before="40" w:after="40"/>
              <w:ind w:left="386" w:right="-102" w:hanging="386"/>
              <w:rPr>
                <w:rFonts w:eastAsia="Aptos" w:cstheme="minorHAnsi"/>
                <w:kern w:val="0"/>
                <w:sz w:val="22"/>
                <w:lang w:val="fr-FR"/>
                <w14:ligatures w14:val="none"/>
              </w:rPr>
            </w:pPr>
            <w:r w:rsidRPr="00C83DA9">
              <w:rPr>
                <w:rFonts w:eastAsia="Times New Roman" w:cs="Times New Roman"/>
                <w:color w:val="1F497D" w:themeColor="text2"/>
                <w:kern w:val="0"/>
                <w:sz w:val="22"/>
                <w:lang w:val="fr-FR"/>
                <w14:ligatures w14:val="none"/>
              </w:rPr>
              <w:t>•</w:t>
            </w:r>
            <w:r w:rsidRPr="00C83DA9">
              <w:rPr>
                <w:rFonts w:eastAsia="Times New Roman" w:cs="Times New Roman"/>
                <w:color w:val="1F497D" w:themeColor="text2"/>
                <w:kern w:val="0"/>
                <w:sz w:val="22"/>
                <w:lang w:val="fr-FR"/>
                <w14:ligatures w14:val="none"/>
              </w:rPr>
              <w:tab/>
            </w:r>
            <w:r w:rsidR="0067293A" w:rsidRPr="00C83DA9">
              <w:rPr>
                <w:rFonts w:eastAsia="Times New Roman" w:cs="Times New Roman"/>
                <w:color w:val="1F497D" w:themeColor="text2"/>
                <w:kern w:val="0"/>
                <w:sz w:val="22"/>
                <w:lang w:val="fr-FR"/>
                <w14:ligatures w14:val="none"/>
              </w:rPr>
              <w:t>2</w:t>
            </w:r>
            <w:r w:rsidRPr="00C83DA9">
              <w:rPr>
                <w:rFonts w:eastAsia="Times New Roman" w:cs="Times New Roman"/>
                <w:color w:val="1F497D" w:themeColor="text2"/>
                <w:kern w:val="0"/>
                <w:sz w:val="22"/>
                <w:lang w:val="fr-FR"/>
                <w14:ligatures w14:val="none"/>
              </w:rPr>
              <w:t xml:space="preserve"> </w:t>
            </w:r>
            <w:hyperlink r:id="rId222" w:anchor="/fr" w:history="1">
              <w:r w:rsidRPr="00C83DA9">
                <w:rPr>
                  <w:rFonts w:eastAsia="Times New Roman" w:cs="Times New Roman"/>
                  <w:color w:val="0000FF"/>
                  <w:kern w:val="0"/>
                  <w:sz w:val="22"/>
                  <w:u w:val="single"/>
                  <w:lang w:val="fr-FR"/>
                  <w14:ligatures w14:val="none"/>
                </w:rPr>
                <w:t>ateliers</w:t>
              </w:r>
            </w:hyperlink>
            <w:r w:rsidRPr="00C83DA9">
              <w:rPr>
                <w:rFonts w:eastAsia="Times New Roman" w:cs="Times New Roman"/>
                <w:color w:val="1F497D" w:themeColor="text2"/>
                <w:kern w:val="0"/>
                <w:sz w:val="22"/>
                <w:lang w:val="fr-FR"/>
                <w14:ligatures w14:val="none"/>
              </w:rPr>
              <w:t xml:space="preserve"> et </w:t>
            </w:r>
            <w:r w:rsidRPr="00C83DA9">
              <w:rPr>
                <w:rFonts w:eastAsiaTheme="minorEastAsia"/>
                <w:color w:val="1F497D" w:themeColor="text2"/>
                <w:sz w:val="22"/>
                <w:lang w:val="fr-FR"/>
              </w:rPr>
              <w:t>élaboration</w:t>
            </w:r>
            <w:r w:rsidRPr="00C83DA9">
              <w:rPr>
                <w:rFonts w:eastAsia="Times New Roman" w:cs="Times New Roman"/>
                <w:color w:val="1F497D" w:themeColor="text2"/>
                <w:kern w:val="0"/>
                <w:sz w:val="22"/>
                <w:lang w:val="fr-FR"/>
                <w14:ligatures w14:val="none"/>
              </w:rPr>
              <w:t xml:space="preserve"> de </w:t>
            </w:r>
            <w:hyperlink r:id="rId223" w:history="1">
              <w:r w:rsidRPr="00C83DA9">
                <w:rPr>
                  <w:rFonts w:eastAsia="Times New Roman" w:cs="Times New Roman"/>
                  <w:color w:val="0000FF"/>
                  <w:kern w:val="0"/>
                  <w:sz w:val="22"/>
                  <w:u w:val="single"/>
                  <w:lang w:val="fr-FR"/>
                  <w14:ligatures w14:val="none"/>
                </w:rPr>
                <w:t>deux produits intérimaires</w:t>
              </w:r>
            </w:hyperlink>
            <w:r w:rsidRPr="00C83DA9">
              <w:rPr>
                <w:rFonts w:eastAsia="Times New Roman" w:cs="Times New Roman"/>
                <w:color w:val="1F497D" w:themeColor="text2"/>
                <w:kern w:val="0"/>
                <w:sz w:val="22"/>
                <w:lang w:val="fr-FR"/>
                <w14:ligatures w14:val="none"/>
              </w:rPr>
              <w:t xml:space="preserve"> et d'un </w:t>
            </w:r>
            <w:hyperlink r:id="rId224" w:history="1">
              <w:r w:rsidRPr="00C83DA9">
                <w:rPr>
                  <w:rFonts w:eastAsia="Times New Roman" w:cs="Times New Roman"/>
                  <w:color w:val="0000FF"/>
                  <w:kern w:val="0"/>
                  <w:sz w:val="22"/>
                  <w:u w:val="single"/>
                  <w:lang w:val="fr-FR"/>
                  <w14:ligatures w14:val="none"/>
                </w:rPr>
                <w:t>rapport final</w:t>
              </w:r>
            </w:hyperlink>
            <w:r w:rsidRPr="00C83DA9">
              <w:rPr>
                <w:rFonts w:eastAsia="Times New Roman" w:cs="Times New Roman"/>
                <w:color w:val="1F497D" w:themeColor="text2"/>
                <w:kern w:val="0"/>
                <w:sz w:val="22"/>
                <w:lang w:val="fr-FR"/>
                <w14:ligatures w14:val="none"/>
              </w:rPr>
              <w:t xml:space="preserve"> en cours de traitement.</w:t>
            </w:r>
            <w:hyperlink r:id="rId225" w:history="1"/>
            <w:hyperlink r:id="rId226" w:history="1"/>
            <w:hyperlink r:id="rId227" w:history="1"/>
          </w:p>
        </w:tc>
      </w:tr>
      <w:tr w:rsidR="00224289" w:rsidRPr="00C83DA9" w14:paraId="101A5565" w14:textId="77777777" w:rsidTr="009F710E">
        <w:trPr>
          <w:trHeight w:val="300"/>
        </w:trPr>
        <w:tc>
          <w:tcPr>
            <w:tcW w:w="4673" w:type="dxa"/>
            <w:tcBorders>
              <w:top w:val="dotted" w:sz="4" w:space="0" w:color="0070C0"/>
              <w:left w:val="dotted" w:sz="4" w:space="0" w:color="0070C0"/>
              <w:bottom w:val="dotted" w:sz="4" w:space="0" w:color="0070C0"/>
              <w:right w:val="dotted" w:sz="4" w:space="0" w:color="0070C0"/>
            </w:tcBorders>
          </w:tcPr>
          <w:p w14:paraId="6E684D5C" w14:textId="77777777" w:rsidR="00224289" w:rsidRPr="00C83DA9" w:rsidRDefault="00224289"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lastRenderedPageBreak/>
              <w:t>Contribution à la réalisation des cibles des ODD</w:t>
            </w:r>
          </w:p>
        </w:tc>
        <w:tc>
          <w:tcPr>
            <w:tcW w:w="10442" w:type="dxa"/>
            <w:gridSpan w:val="2"/>
            <w:tcBorders>
              <w:top w:val="dotted" w:sz="4" w:space="0" w:color="0070C0"/>
              <w:left w:val="dotted" w:sz="4" w:space="0" w:color="0070C0"/>
              <w:bottom w:val="dotted" w:sz="4" w:space="0" w:color="0070C0"/>
              <w:right w:val="dotted" w:sz="4" w:space="0" w:color="0070C0"/>
            </w:tcBorders>
          </w:tcPr>
          <w:p w14:paraId="326CB9A2" w14:textId="77777777" w:rsidR="00224289" w:rsidRPr="00C83DA9" w:rsidRDefault="00224289"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ODD 1, 3, 4, 5, 8, 9, 10, 11, 16, 17</w:t>
            </w:r>
          </w:p>
        </w:tc>
      </w:tr>
      <w:tr w:rsidR="00224289" w:rsidRPr="00C83DA9" w14:paraId="1954EF40" w14:textId="77777777" w:rsidTr="009F710E">
        <w:trPr>
          <w:trHeight w:val="300"/>
        </w:trPr>
        <w:tc>
          <w:tcPr>
            <w:tcW w:w="4673" w:type="dxa"/>
            <w:tcBorders>
              <w:top w:val="dotted" w:sz="4" w:space="0" w:color="0070C0"/>
              <w:left w:val="dotted" w:sz="4" w:space="0" w:color="0070C0"/>
              <w:bottom w:val="dotted" w:sz="4" w:space="0" w:color="0070C0"/>
              <w:right w:val="dotted" w:sz="4" w:space="0" w:color="0070C0"/>
            </w:tcBorders>
          </w:tcPr>
          <w:p w14:paraId="5D4AB97D" w14:textId="77777777" w:rsidR="00224289" w:rsidRPr="00C83DA9" w:rsidRDefault="00224289"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Grandes orientations du SMSI</w:t>
            </w:r>
          </w:p>
        </w:tc>
        <w:tc>
          <w:tcPr>
            <w:tcW w:w="10442" w:type="dxa"/>
            <w:gridSpan w:val="2"/>
            <w:tcBorders>
              <w:top w:val="dotted" w:sz="4" w:space="0" w:color="0070C0"/>
              <w:left w:val="dotted" w:sz="4" w:space="0" w:color="0070C0"/>
              <w:bottom w:val="dotted" w:sz="4" w:space="0" w:color="0070C0"/>
              <w:right w:val="dotted" w:sz="4" w:space="0" w:color="0070C0"/>
            </w:tcBorders>
          </w:tcPr>
          <w:p w14:paraId="16BADA49" w14:textId="77777777" w:rsidR="00224289" w:rsidRPr="00C83DA9" w:rsidRDefault="00224289"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C1, C2, C3, C4, C5, C6, C7, C11</w:t>
            </w:r>
          </w:p>
        </w:tc>
      </w:tr>
      <w:tr w:rsidR="00224289" w:rsidRPr="00CA734F" w14:paraId="48A735EA" w14:textId="77777777" w:rsidTr="009F710E">
        <w:trPr>
          <w:trHeight w:val="300"/>
        </w:trPr>
        <w:tc>
          <w:tcPr>
            <w:tcW w:w="4673" w:type="dxa"/>
            <w:tcBorders>
              <w:top w:val="dotted" w:sz="4" w:space="0" w:color="0070C0"/>
              <w:left w:val="dotted" w:sz="4" w:space="0" w:color="0070C0"/>
              <w:bottom w:val="dotted" w:sz="4" w:space="0" w:color="0070C0"/>
              <w:right w:val="dotted" w:sz="4" w:space="0" w:color="0070C0"/>
            </w:tcBorders>
          </w:tcPr>
          <w:p w14:paraId="6A6B1DB9" w14:textId="77777777" w:rsidR="00224289" w:rsidRPr="00C83DA9" w:rsidRDefault="00224289"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Résolutions</w:t>
            </w:r>
          </w:p>
        </w:tc>
        <w:tc>
          <w:tcPr>
            <w:tcW w:w="10442" w:type="dxa"/>
            <w:gridSpan w:val="2"/>
            <w:tcBorders>
              <w:top w:val="dotted" w:sz="4" w:space="0" w:color="0070C0"/>
              <w:left w:val="dotted" w:sz="4" w:space="0" w:color="0070C0"/>
              <w:bottom w:val="dotted" w:sz="4" w:space="0" w:color="0070C0"/>
              <w:right w:val="dotted" w:sz="4" w:space="0" w:color="0070C0"/>
            </w:tcBorders>
          </w:tcPr>
          <w:p w14:paraId="2A603A3E" w14:textId="77777777" w:rsidR="00224289" w:rsidRPr="00C83DA9" w:rsidRDefault="00224289"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130, 174 et 179 de la PP; 45 et 69 de la CMDT; 52 et 58 de l'AMNT</w:t>
            </w:r>
          </w:p>
        </w:tc>
      </w:tr>
      <w:tr w:rsidR="00224289" w:rsidRPr="00CA734F" w14:paraId="7AC71232" w14:textId="77777777" w:rsidTr="009F710E">
        <w:trPr>
          <w:trHeight w:val="300"/>
        </w:trPr>
        <w:tc>
          <w:tcPr>
            <w:tcW w:w="4673" w:type="dxa"/>
            <w:tcBorders>
              <w:top w:val="dotted" w:sz="4" w:space="0" w:color="0070C0"/>
              <w:left w:val="dotted" w:sz="4" w:space="0" w:color="0070C0"/>
              <w:bottom w:val="dotted" w:sz="4" w:space="0" w:color="0070C0"/>
              <w:right w:val="dotted" w:sz="4" w:space="0" w:color="0070C0"/>
            </w:tcBorders>
          </w:tcPr>
          <w:p w14:paraId="51CC203B" w14:textId="77777777" w:rsidR="00224289" w:rsidRPr="00C83DA9" w:rsidRDefault="00224289"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Questions confiées aux commissions d'études de l'UIT</w:t>
            </w:r>
            <w:r w:rsidRPr="00C83DA9">
              <w:rPr>
                <w:rFonts w:eastAsia="Times New Roman" w:cs="Times New Roman"/>
                <w:b/>
                <w:bCs/>
                <w:kern w:val="0"/>
                <w:sz w:val="22"/>
                <w:lang w:val="fr-FR"/>
                <w14:ligatures w14:val="none"/>
              </w:rPr>
              <w:noBreakHyphen/>
              <w:t xml:space="preserve">D </w:t>
            </w:r>
          </w:p>
        </w:tc>
        <w:tc>
          <w:tcPr>
            <w:tcW w:w="10442" w:type="dxa"/>
            <w:gridSpan w:val="2"/>
            <w:tcBorders>
              <w:top w:val="dotted" w:sz="4" w:space="0" w:color="0070C0"/>
              <w:left w:val="dotted" w:sz="4" w:space="0" w:color="0070C0"/>
              <w:bottom w:val="dotted" w:sz="4" w:space="0" w:color="0070C0"/>
              <w:right w:val="dotted" w:sz="4" w:space="0" w:color="0070C0"/>
            </w:tcBorders>
          </w:tcPr>
          <w:p w14:paraId="1EFD698D" w14:textId="77777777" w:rsidR="00224289" w:rsidRPr="00C83DA9" w:rsidRDefault="00224289"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Question 3/2 – Sécurisation des réseaux d'information et de communication: bonnes pratiques pour créer une culture de la cybersécurité</w:t>
            </w:r>
          </w:p>
        </w:tc>
      </w:tr>
    </w:tbl>
    <w:p w14:paraId="76BA01E9" w14:textId="77777777" w:rsidR="00224289" w:rsidRPr="00C83DA9" w:rsidRDefault="00224289">
      <w:pPr>
        <w:tabs>
          <w:tab w:val="clear" w:pos="1134"/>
          <w:tab w:val="clear" w:pos="1871"/>
          <w:tab w:val="clear" w:pos="2268"/>
        </w:tabs>
        <w:overflowPunct/>
        <w:autoSpaceDE/>
        <w:autoSpaceDN/>
        <w:adjustRightInd/>
        <w:spacing w:before="0"/>
        <w:textAlignment w:val="auto"/>
        <w:rPr>
          <w:lang w:val="fr-FR"/>
        </w:rPr>
      </w:pPr>
      <w:r w:rsidRPr="00C83DA9">
        <w:rPr>
          <w:lang w:val="fr-FR"/>
        </w:rPr>
        <w:br w:type="page"/>
      </w:r>
    </w:p>
    <w:tbl>
      <w:tblPr>
        <w:tblW w:w="14850" w:type="dxa"/>
        <w:tblLayout w:type="fixed"/>
        <w:tblLook w:val="04A0" w:firstRow="1" w:lastRow="0" w:firstColumn="1" w:lastColumn="0" w:noHBand="0" w:noVBand="1"/>
      </w:tblPr>
      <w:tblGrid>
        <w:gridCol w:w="4673"/>
        <w:gridCol w:w="7640"/>
        <w:gridCol w:w="2537"/>
      </w:tblGrid>
      <w:tr w:rsidR="004E5CF5" w:rsidRPr="00CA734F" w14:paraId="45ACCF86" w14:textId="77777777" w:rsidTr="00A90F81">
        <w:trPr>
          <w:trHeight w:val="640"/>
        </w:trPr>
        <w:tc>
          <w:tcPr>
            <w:tcW w:w="1485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hideMark/>
          </w:tcPr>
          <w:p w14:paraId="3C757E79" w14:textId="7087BB23" w:rsidR="004E5CF5" w:rsidRPr="00C83DA9" w:rsidRDefault="004E5CF5" w:rsidP="009B2988">
            <w:pPr>
              <w:pStyle w:val="Headingb"/>
              <w:spacing w:before="40"/>
              <w:jc w:val="center"/>
              <w:rPr>
                <w:color w:val="FFFFFF" w:themeColor="background1"/>
                <w:lang w:val="fr-FR"/>
              </w:rPr>
            </w:pPr>
            <w:bookmarkStart w:id="92" w:name="_Toc211258929"/>
            <w:bookmarkStart w:id="93" w:name="_Toc213307974"/>
            <w:r w:rsidRPr="00C83DA9">
              <w:rPr>
                <w:color w:val="FFFFFF" w:themeColor="background1"/>
                <w:lang w:val="fr-FR"/>
              </w:rPr>
              <w:lastRenderedPageBreak/>
              <w:t>Catalyseur 1 de l'UIT-D: Travaux reposant sur les contributions des membres</w:t>
            </w:r>
            <w:bookmarkEnd w:id="92"/>
            <w:bookmarkEnd w:id="93"/>
          </w:p>
          <w:p w14:paraId="0281B942" w14:textId="77777777" w:rsidR="004E5CF5" w:rsidRPr="00C83DA9" w:rsidRDefault="004E5CF5" w:rsidP="000F1176">
            <w:pPr>
              <w:pStyle w:val="Tablehead"/>
              <w:rPr>
                <w:b w:val="0"/>
                <w:i/>
                <w:iCs/>
                <w:color w:val="FFFFFF" w:themeColor="background1"/>
                <w:sz w:val="24"/>
                <w:lang w:val="fr-FR"/>
              </w:rPr>
            </w:pPr>
            <w:r w:rsidRPr="00C83DA9">
              <w:rPr>
                <w:i/>
                <w:iCs/>
                <w:color w:val="FFFFFF" w:themeColor="background1"/>
                <w:sz w:val="24"/>
                <w:lang w:val="fr-FR"/>
              </w:rPr>
              <w:t>Renforcer la mise en œuvre des décisions de la CMDT et le dialogue entre les membres de l'UIT</w:t>
            </w:r>
          </w:p>
        </w:tc>
      </w:tr>
      <w:tr w:rsidR="004E5CF5" w:rsidRPr="00CA734F" w14:paraId="1545C47A" w14:textId="77777777" w:rsidTr="00A90F81">
        <w:tc>
          <w:tcPr>
            <w:tcW w:w="1485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hideMark/>
          </w:tcPr>
          <w:p w14:paraId="11A22A84" w14:textId="77777777" w:rsidR="004E5CF5" w:rsidRPr="00C83DA9" w:rsidRDefault="004E5CF5" w:rsidP="000F1176">
            <w:pPr>
              <w:pStyle w:val="Tabletext"/>
              <w:rPr>
                <w:rFonts w:cstheme="minorHAnsi"/>
                <w:b/>
                <w:bCs/>
                <w:i/>
                <w:iCs/>
                <w:sz w:val="24"/>
                <w:lang w:val="fr-FR" w:eastAsia="zh-CN"/>
              </w:rPr>
            </w:pPr>
            <w:r w:rsidRPr="00C83DA9">
              <w:rPr>
                <w:rFonts w:eastAsiaTheme="minorEastAsia" w:cstheme="minorHAnsi"/>
                <w:b/>
                <w:bCs/>
                <w:i/>
                <w:color w:val="000000" w:themeColor="text1"/>
                <w:sz w:val="24"/>
                <w:lang w:val="fr-FR"/>
              </w:rPr>
              <w:t>Réalisation</w:t>
            </w:r>
            <w:r w:rsidRPr="00C83DA9">
              <w:rPr>
                <w:rFonts w:eastAsiaTheme="minorEastAsia" w:cstheme="minorHAnsi"/>
                <w:i/>
                <w:color w:val="000000" w:themeColor="text1"/>
                <w:sz w:val="24"/>
                <w:lang w:val="fr-FR"/>
              </w:rPr>
              <w:t>: renforcement de la mise en œuvre des Résolutions de la CMDT. Renforcement de l'échange de connaissances, de la recherche</w:t>
            </w:r>
            <w:r w:rsidRPr="00C83DA9">
              <w:rPr>
                <w:rFonts w:eastAsiaTheme="minorEastAsia" w:cstheme="minorHAnsi"/>
                <w:i/>
                <w:color w:val="000000" w:themeColor="text1"/>
                <w:sz w:val="24"/>
                <w:lang w:val="fr-FR"/>
              </w:rPr>
              <w:noBreakHyphen/>
              <w:t>développement, du dialogue et des partenariats entre les membres de l'UIT concernant les questions de télécommunication/TIC.</w:t>
            </w:r>
          </w:p>
        </w:tc>
      </w:tr>
      <w:tr w:rsidR="004E5CF5" w:rsidRPr="00C83DA9" w14:paraId="3C3751CF" w14:textId="77777777" w:rsidTr="001B1CF5">
        <w:tc>
          <w:tcPr>
            <w:tcW w:w="12313" w:type="dxa"/>
            <w:gridSpan w:val="2"/>
            <w:tcBorders>
              <w:top w:val="dotted" w:sz="4" w:space="0" w:color="0070C0"/>
              <w:left w:val="dotted" w:sz="4" w:space="0" w:color="0070C0"/>
              <w:bottom w:val="dotted" w:sz="4" w:space="0" w:color="0070C0"/>
              <w:right w:val="dotted" w:sz="4" w:space="0" w:color="0070C0"/>
            </w:tcBorders>
            <w:hideMark/>
          </w:tcPr>
          <w:p w14:paraId="308F2A7A" w14:textId="77777777" w:rsidR="004E5CF5" w:rsidRPr="00C83DA9" w:rsidRDefault="004E5CF5" w:rsidP="006B27DC">
            <w:pPr>
              <w:pStyle w:val="Tabletext"/>
              <w:jc w:val="center"/>
              <w:rPr>
                <w:b/>
                <w:bCs/>
                <w:color w:val="0070C0"/>
                <w:sz w:val="24"/>
                <w:lang w:val="fr-FR"/>
              </w:rPr>
            </w:pPr>
            <w:r w:rsidRPr="00C83DA9">
              <w:rPr>
                <w:b/>
                <w:bCs/>
                <w:color w:val="0070C0"/>
                <w:sz w:val="24"/>
                <w:lang w:val="fr-FR"/>
              </w:rPr>
              <w:t>Produits</w:t>
            </w:r>
          </w:p>
        </w:tc>
        <w:tc>
          <w:tcPr>
            <w:tcW w:w="2537" w:type="dxa"/>
            <w:tcBorders>
              <w:top w:val="dotted" w:sz="4" w:space="0" w:color="0070C0"/>
              <w:left w:val="dotted" w:sz="4" w:space="0" w:color="0070C0"/>
              <w:bottom w:val="dotted" w:sz="4" w:space="0" w:color="0070C0"/>
              <w:right w:val="dotted" w:sz="4" w:space="0" w:color="0070C0"/>
            </w:tcBorders>
            <w:hideMark/>
          </w:tcPr>
          <w:p w14:paraId="7F5D5FF6" w14:textId="77777777" w:rsidR="004E5CF5" w:rsidRPr="00C83DA9" w:rsidRDefault="004E5CF5" w:rsidP="006B27DC">
            <w:pPr>
              <w:pStyle w:val="Tabletext"/>
              <w:jc w:val="center"/>
              <w:rPr>
                <w:b/>
                <w:bCs/>
                <w:color w:val="0070C0"/>
                <w:sz w:val="24"/>
                <w:lang w:val="fr-FR"/>
              </w:rPr>
            </w:pPr>
            <w:r w:rsidRPr="00C83DA9">
              <w:rPr>
                <w:b/>
                <w:bCs/>
                <w:color w:val="0070C0"/>
                <w:sz w:val="24"/>
                <w:lang w:val="fr-FR"/>
              </w:rPr>
              <w:t>Points à retenir</w:t>
            </w:r>
          </w:p>
        </w:tc>
      </w:tr>
      <w:tr w:rsidR="004E5CF5" w:rsidRPr="00CA734F" w14:paraId="38240F6C" w14:textId="77777777" w:rsidTr="001B1CF5">
        <w:tc>
          <w:tcPr>
            <w:tcW w:w="12313" w:type="dxa"/>
            <w:gridSpan w:val="2"/>
            <w:tcBorders>
              <w:top w:val="dotted" w:sz="4" w:space="0" w:color="0070C0"/>
              <w:left w:val="dotted" w:sz="4" w:space="0" w:color="0070C0"/>
              <w:bottom w:val="dotted" w:sz="4" w:space="0" w:color="0070C0"/>
              <w:right w:val="dotted" w:sz="4" w:space="0" w:color="0070C0"/>
            </w:tcBorders>
          </w:tcPr>
          <w:p w14:paraId="314A4C57" w14:textId="77777777" w:rsidR="004E5CF5" w:rsidRPr="00C83DA9" w:rsidRDefault="004E5CF5" w:rsidP="004E5CF5">
            <w:pPr>
              <w:tabs>
                <w:tab w:val="left" w:pos="284"/>
                <w:tab w:val="left" w:pos="851"/>
                <w:tab w:val="left" w:pos="1418"/>
                <w:tab w:val="left" w:pos="1985"/>
                <w:tab w:val="left" w:pos="2552"/>
                <w:tab w:val="left" w:pos="3119"/>
                <w:tab w:val="left" w:pos="3402"/>
                <w:tab w:val="left" w:pos="3686"/>
                <w:tab w:val="left" w:pos="3969"/>
              </w:tabs>
              <w:spacing w:after="120"/>
              <w:rPr>
                <w:rFonts w:eastAsia="SimSun"/>
                <w:sz w:val="22"/>
                <w:szCs w:val="22"/>
                <w:lang w:val="fr-FR" w:eastAsia="zh-CN"/>
              </w:rPr>
            </w:pPr>
            <w:r w:rsidRPr="00C83DA9">
              <w:rPr>
                <w:color w:val="000000"/>
                <w:sz w:val="22"/>
                <w:szCs w:val="22"/>
                <w:lang w:val="fr-FR" w:eastAsia="zh-CN"/>
              </w:rPr>
              <w:t xml:space="preserve">De 2023 à 2025, l'UIT-D a confirmé son rôle de rassembleur des États Membres et de coordonnateur d'un dialogue inclusif entre les régulateurs, </w:t>
            </w:r>
            <w:r w:rsidRPr="00C83DA9">
              <w:rPr>
                <w:sz w:val="22"/>
                <w:szCs w:val="22"/>
                <w:lang w:val="fr-FR"/>
              </w:rPr>
              <w:t>le</w:t>
            </w:r>
            <w:r w:rsidRPr="00C83DA9">
              <w:rPr>
                <w:color w:val="000000"/>
                <w:sz w:val="22"/>
                <w:szCs w:val="22"/>
                <w:lang w:val="fr-FR" w:eastAsia="zh-CN"/>
              </w:rPr>
              <w:t xml:space="preserve"> secteur privé, les établissements universitaires, la société civile et les partenaires de développement, qui définissent ensemble le programme en faveur du numérique. Au cours de cette période, la composition de l'UIT-D s'est élargie et diversifiée, et de nouvelles plates-formes sont devenues des instruments efficaces au service de l'action collective. Des cadres bien établis tels que le Forum du Sommet mondial sur la société de l'information (SMSI), la plate-forme Partner2Connect (P2C) et les commissions d'études de l'UIT-D ont encore renforcé leur rôle de référent s'agissant de la collaboration multi-parties prenantes. Dans toutes les régions, l'accent a été mis sur la nécessité de garantir à tous les membres, des PMA aux PEID en passant par les principaux régulateurs et acteurs du secteur privé, la possibilité de contribuer véritablement aux travaux et de tirer équitablement parti des résultats qui en découlent.</w:t>
            </w:r>
          </w:p>
          <w:p w14:paraId="0A5F6CCA" w14:textId="77777777" w:rsidR="004E5CF5" w:rsidRPr="00C83DA9"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b/>
                <w:sz w:val="22"/>
                <w:szCs w:val="22"/>
                <w:lang w:val="fr-FR"/>
              </w:rPr>
            </w:pPr>
            <w:r w:rsidRPr="00C83DA9">
              <w:rPr>
                <w:b/>
                <w:sz w:val="22"/>
                <w:szCs w:val="22"/>
                <w:lang w:val="fr-FR"/>
              </w:rPr>
              <w:t>Membres</w:t>
            </w:r>
          </w:p>
          <w:p w14:paraId="09DD4A4B" w14:textId="77777777" w:rsidR="004E5CF5" w:rsidRPr="00C83DA9" w:rsidRDefault="004E5CF5" w:rsidP="00DE18D5">
            <w:pPr>
              <w:tabs>
                <w:tab w:val="left" w:pos="284"/>
                <w:tab w:val="left" w:pos="851"/>
                <w:tab w:val="left" w:pos="1418"/>
                <w:tab w:val="left" w:pos="1985"/>
                <w:tab w:val="left" w:pos="2552"/>
                <w:tab w:val="left" w:pos="3119"/>
                <w:tab w:val="left" w:pos="3402"/>
                <w:tab w:val="left" w:pos="3686"/>
                <w:tab w:val="left" w:pos="3969"/>
              </w:tabs>
              <w:spacing w:before="0"/>
              <w:rPr>
                <w:rFonts w:ascii="Calibri" w:eastAsia="Calibri" w:hAnsi="Calibri" w:cs="Calibri"/>
                <w:sz w:val="22"/>
                <w:szCs w:val="22"/>
                <w:lang w:val="fr-FR" w:eastAsia="zh-CN"/>
              </w:rPr>
            </w:pPr>
            <w:r w:rsidRPr="00C83DA9">
              <w:rPr>
                <w:color w:val="000000"/>
                <w:sz w:val="22"/>
                <w:szCs w:val="22"/>
                <w:lang w:val="fr-FR" w:eastAsia="zh-CN"/>
              </w:rPr>
              <w:t>L'UIT-D a consolidé et élargi sa base de membres en adoptant une approche volontariste mêlant sensibilisation, mobilisation et établissement de partenariats sur mesure dans l'ensemble de l'écosystème des TIC. Cette période de trois ans s'est traduite à la fois par une augmentation du nombre de membres et par un dialogue de meilleure qualité avec les membres. Le rythme de croissance, en nette hausse par rapport aux années précédentes, atteste de la capacité de l'UIT-D à conserver sa pertinence et son attrait pour les parties prenantes.</w:t>
            </w:r>
          </w:p>
          <w:p w14:paraId="76FF0948" w14:textId="7F7675E3" w:rsidR="00D87A4F" w:rsidRPr="00C83DA9" w:rsidRDefault="004E5CF5" w:rsidP="001B1CF5">
            <w:pPr>
              <w:tabs>
                <w:tab w:val="left" w:pos="284"/>
                <w:tab w:val="left" w:pos="851"/>
                <w:tab w:val="left" w:pos="1418"/>
                <w:tab w:val="left" w:pos="1985"/>
                <w:tab w:val="left" w:pos="2552"/>
                <w:tab w:val="left" w:pos="3119"/>
                <w:tab w:val="left" w:pos="3402"/>
                <w:tab w:val="left" w:pos="3686"/>
                <w:tab w:val="left" w:pos="3969"/>
              </w:tabs>
              <w:spacing w:before="40" w:after="120"/>
              <w:rPr>
                <w:color w:val="000000"/>
                <w:sz w:val="22"/>
                <w:szCs w:val="22"/>
                <w:lang w:val="fr-FR" w:eastAsia="zh-CN"/>
              </w:rPr>
            </w:pPr>
            <w:r w:rsidRPr="00C83DA9">
              <w:rPr>
                <w:color w:val="000000"/>
                <w:sz w:val="22"/>
                <w:szCs w:val="22"/>
                <w:lang w:val="fr-FR" w:eastAsia="zh-CN"/>
              </w:rPr>
              <w:t xml:space="preserve">Depuis janvier 2023, le BDT a accueilli </w:t>
            </w:r>
            <w:r w:rsidR="00D87A4F" w:rsidRPr="00C83DA9">
              <w:rPr>
                <w:color w:val="000000"/>
                <w:sz w:val="22"/>
                <w:szCs w:val="22"/>
                <w:lang w:val="fr-FR" w:eastAsia="zh-CN"/>
              </w:rPr>
              <w:t>126</w:t>
            </w:r>
            <w:r w:rsidRPr="00C83DA9">
              <w:rPr>
                <w:color w:val="000000"/>
                <w:sz w:val="22"/>
                <w:szCs w:val="22"/>
                <w:lang w:val="fr-FR" w:eastAsia="zh-CN"/>
              </w:rPr>
              <w:t xml:space="preserve"> nouveaux Membres de Secteur, Associés et établissements universitaires, atteignant ainsi le record du nombre total de membres des dix dernières années.</w:t>
            </w:r>
          </w:p>
          <w:p w14:paraId="6864BC57" w14:textId="7E957D46" w:rsidR="00D87A4F" w:rsidRPr="00C83DA9" w:rsidRDefault="00D87A4F" w:rsidP="005C6B96">
            <w:pPr>
              <w:tabs>
                <w:tab w:val="left" w:pos="284"/>
                <w:tab w:val="left" w:pos="851"/>
                <w:tab w:val="left" w:pos="1418"/>
                <w:tab w:val="left" w:pos="1985"/>
                <w:tab w:val="left" w:pos="2552"/>
                <w:tab w:val="left" w:pos="3119"/>
                <w:tab w:val="left" w:pos="3402"/>
                <w:tab w:val="left" w:pos="3686"/>
                <w:tab w:val="left" w:pos="3969"/>
              </w:tabs>
              <w:spacing w:before="40" w:after="120"/>
              <w:rPr>
                <w:b/>
                <w:bCs/>
                <w:color w:val="000000"/>
                <w:sz w:val="22"/>
                <w:szCs w:val="22"/>
                <w:lang w:val="fr-FR" w:eastAsia="zh-CN"/>
              </w:rPr>
            </w:pPr>
            <w:r w:rsidRPr="00C83DA9">
              <w:rPr>
                <w:color w:val="000000"/>
                <w:sz w:val="22"/>
                <w:szCs w:val="22"/>
                <w:lang w:val="fr-FR" w:eastAsia="zh-CN"/>
              </w:rPr>
              <w:t xml:space="preserve">En 2023 et en 2024, </w:t>
            </w:r>
            <w:r w:rsidRPr="00C83DA9">
              <w:rPr>
                <w:b/>
                <w:bCs/>
                <w:color w:val="000000"/>
                <w:sz w:val="22"/>
                <w:szCs w:val="22"/>
                <w:lang w:val="fr-FR" w:eastAsia="zh-CN"/>
              </w:rPr>
              <w:t>44 et 43</w:t>
            </w:r>
            <w:r w:rsidRPr="00C83DA9">
              <w:rPr>
                <w:color w:val="000000"/>
                <w:sz w:val="22"/>
                <w:szCs w:val="22"/>
                <w:lang w:val="fr-FR" w:eastAsia="zh-CN"/>
              </w:rPr>
              <w:t xml:space="preserve"> entités ont rejoint l'UIT-D en tant que nouveaux membres, respectivement. </w:t>
            </w:r>
            <w:r w:rsidR="00251BAB" w:rsidRPr="00C83DA9">
              <w:rPr>
                <w:color w:val="000000"/>
                <w:sz w:val="22"/>
                <w:szCs w:val="22"/>
                <w:lang w:val="fr-FR" w:eastAsia="zh-CN"/>
              </w:rPr>
              <w:t>Entre janvier et août 2025, le nombre de membres a encore augmenté</w:t>
            </w:r>
            <w:r w:rsidR="005E3BD5" w:rsidRPr="00C83DA9">
              <w:rPr>
                <w:color w:val="000000"/>
                <w:sz w:val="22"/>
                <w:szCs w:val="22"/>
                <w:lang w:val="fr-FR" w:eastAsia="zh-CN"/>
              </w:rPr>
              <w:t xml:space="preserve">: </w:t>
            </w:r>
            <w:r w:rsidR="00251BAB" w:rsidRPr="00C83DA9">
              <w:rPr>
                <w:b/>
                <w:bCs/>
                <w:color w:val="000000"/>
                <w:sz w:val="22"/>
                <w:szCs w:val="22"/>
                <w:lang w:val="fr-FR" w:eastAsia="zh-CN"/>
              </w:rPr>
              <w:t>39</w:t>
            </w:r>
            <w:r w:rsidR="00970377" w:rsidRPr="00C83DA9">
              <w:rPr>
                <w:b/>
                <w:bCs/>
                <w:color w:val="000000"/>
                <w:sz w:val="22"/>
                <w:szCs w:val="22"/>
                <w:lang w:val="fr-FR" w:eastAsia="zh-CN"/>
              </w:rPr>
              <w:t xml:space="preserve"> </w:t>
            </w:r>
            <w:r w:rsidR="005E3BD5" w:rsidRPr="00C83DA9">
              <w:rPr>
                <w:b/>
                <w:bCs/>
                <w:color w:val="000000"/>
                <w:sz w:val="22"/>
                <w:szCs w:val="22"/>
                <w:lang w:val="fr-FR" w:eastAsia="zh-CN"/>
              </w:rPr>
              <w:t>entités ont rejoint l'UIT-</w:t>
            </w:r>
            <w:r w:rsidR="00970377" w:rsidRPr="00C83DA9">
              <w:rPr>
                <w:b/>
                <w:bCs/>
                <w:color w:val="000000"/>
                <w:sz w:val="22"/>
                <w:szCs w:val="22"/>
                <w:lang w:val="fr-FR" w:eastAsia="zh-CN"/>
              </w:rPr>
              <w:t>D</w:t>
            </w:r>
            <w:r w:rsidR="00251BAB" w:rsidRPr="00C83DA9">
              <w:rPr>
                <w:color w:val="000000"/>
                <w:sz w:val="22"/>
                <w:szCs w:val="22"/>
                <w:lang w:val="fr-FR" w:eastAsia="zh-CN"/>
              </w:rPr>
              <w:t xml:space="preserve">. </w:t>
            </w:r>
            <w:r w:rsidR="00535D3F" w:rsidRPr="00C83DA9">
              <w:rPr>
                <w:color w:val="000000"/>
                <w:sz w:val="22"/>
                <w:szCs w:val="22"/>
                <w:lang w:val="fr-FR" w:eastAsia="zh-CN"/>
              </w:rPr>
              <w:t xml:space="preserve">Fin </w:t>
            </w:r>
            <w:r w:rsidR="00535D3F" w:rsidRPr="00C83DA9">
              <w:rPr>
                <w:b/>
                <w:bCs/>
                <w:color w:val="000000"/>
                <w:sz w:val="22"/>
                <w:szCs w:val="22"/>
                <w:lang w:val="fr-FR" w:eastAsia="zh-CN"/>
              </w:rPr>
              <w:t>août 2025, l'UIT-D comptait au total 542 membres</w:t>
            </w:r>
            <w:r w:rsidR="00535D3F" w:rsidRPr="00C83DA9">
              <w:rPr>
                <w:color w:val="000000"/>
                <w:sz w:val="22"/>
                <w:szCs w:val="22"/>
                <w:lang w:val="fr-FR" w:eastAsia="zh-CN"/>
              </w:rPr>
              <w:t xml:space="preserve">, dont </w:t>
            </w:r>
            <w:r w:rsidR="00535D3F" w:rsidRPr="00C83DA9">
              <w:rPr>
                <w:b/>
                <w:bCs/>
                <w:color w:val="000000"/>
                <w:sz w:val="22"/>
                <w:szCs w:val="22"/>
                <w:lang w:val="fr-FR" w:eastAsia="zh-CN"/>
              </w:rPr>
              <w:t>343 Membres de Secteur, 23 Associés et 176 établissements universitaires</w:t>
            </w:r>
            <w:r w:rsidR="00535D3F" w:rsidRPr="00C83DA9">
              <w:rPr>
                <w:color w:val="000000"/>
                <w:sz w:val="22"/>
                <w:szCs w:val="22"/>
                <w:lang w:val="fr-FR" w:eastAsia="zh-CN"/>
              </w:rPr>
              <w:t xml:space="preserve">. </w:t>
            </w:r>
            <w:r w:rsidR="00B96DDD" w:rsidRPr="00C83DA9">
              <w:rPr>
                <w:color w:val="000000"/>
                <w:sz w:val="22"/>
                <w:szCs w:val="22"/>
                <w:lang w:val="fr-FR" w:eastAsia="zh-CN"/>
              </w:rPr>
              <w:t>Ces chiffres témoignent de l'étendue et de la diversité de la composition des membres de l'UIT-D, l'une des plus larges au sein du système des Nations Unies, englobant des gouvernements, des autorités de régulation, des acteurs du secteur privé et des institutions académiques.</w:t>
            </w:r>
            <w:r w:rsidR="003D3ACD" w:rsidRPr="00C83DA9">
              <w:rPr>
                <w:color w:val="000000"/>
                <w:sz w:val="22"/>
                <w:szCs w:val="22"/>
                <w:lang w:val="fr-FR" w:eastAsia="zh-CN"/>
              </w:rPr>
              <w:t xml:space="preserve"> </w:t>
            </w:r>
          </w:p>
          <w:p w14:paraId="0977C89C" w14:textId="42A837C4" w:rsidR="004E5CF5" w:rsidRPr="00C83DA9" w:rsidRDefault="00B96DDD" w:rsidP="001B1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C83DA9">
              <w:rPr>
                <w:color w:val="000000"/>
                <w:sz w:val="22"/>
                <w:szCs w:val="22"/>
                <w:lang w:val="fr-FR" w:eastAsia="zh-CN"/>
              </w:rPr>
              <w:t>De plus, cela montre</w:t>
            </w:r>
            <w:r w:rsidR="004E5CF5" w:rsidRPr="00C83DA9">
              <w:rPr>
                <w:color w:val="000000"/>
                <w:sz w:val="22"/>
                <w:szCs w:val="22"/>
                <w:lang w:val="fr-FR" w:eastAsia="zh-CN"/>
              </w:rPr>
              <w:t xml:space="preserve"> l'intérêt que revêtent les plates-formes, produits et activités de l'UIT-D pour les parties prenantes. </w:t>
            </w:r>
            <w:r w:rsidRPr="00C83DA9">
              <w:rPr>
                <w:color w:val="000000"/>
                <w:sz w:val="22"/>
                <w:szCs w:val="22"/>
                <w:lang w:val="fr-FR" w:eastAsia="zh-CN"/>
              </w:rPr>
              <w:t xml:space="preserve">Cette augmentation du nombre de nouveaux membres </w:t>
            </w:r>
            <w:r w:rsidR="004E5CF5" w:rsidRPr="00C83DA9">
              <w:rPr>
                <w:color w:val="000000"/>
                <w:sz w:val="22"/>
                <w:szCs w:val="22"/>
                <w:lang w:val="fr-FR" w:eastAsia="zh-CN"/>
              </w:rPr>
              <w:t xml:space="preserve">montre également que les activités de sensibilisation du BDT trouvent un écho auprès d'un public plus large et que devenir membre du BDT est plus qu'un acte symbolique: c'est aussi tirer parti d'avantages concrets en ce qui concerne les connaissances, les réseaux et l'influence. Ces résultats ont été obtenus grâce à l'adoption de stratégies mûrement réfléchies. Parmi les actions menées en faveur de la mobilisation des membres en 2023, plus de </w:t>
            </w:r>
            <w:r w:rsidR="004E5CF5" w:rsidRPr="00C83DA9">
              <w:rPr>
                <w:b/>
                <w:bCs/>
                <w:color w:val="000000"/>
                <w:sz w:val="22"/>
                <w:szCs w:val="22"/>
                <w:lang w:val="fr-FR" w:eastAsia="zh-CN"/>
              </w:rPr>
              <w:t>150 interactions structurées</w:t>
            </w:r>
            <w:r w:rsidR="004E5CF5" w:rsidRPr="00C83DA9">
              <w:rPr>
                <w:color w:val="000000"/>
                <w:sz w:val="22"/>
                <w:szCs w:val="22"/>
                <w:lang w:val="fr-FR" w:eastAsia="zh-CN"/>
              </w:rPr>
              <w:t xml:space="preserve"> avec les membres ont été recensées, allant de visites de haut niveau à des manifestations ciblées en passant par des </w:t>
            </w:r>
            <w:r w:rsidR="004E5CF5" w:rsidRPr="00C83DA9">
              <w:rPr>
                <w:color w:val="000000"/>
                <w:sz w:val="22"/>
                <w:szCs w:val="22"/>
                <w:lang w:val="fr-FR" w:eastAsia="zh-CN"/>
              </w:rPr>
              <w:lastRenderedPageBreak/>
              <w:t xml:space="preserve">séances d'information adaptées. Dans le cadre de ces activités, les membres du personnel et la direction ont notamment présenté des exposés sur la gamme complète des services de l'UIT-D, mis en lumière les répercussions sur le terrain et répondu directement à l'évolution des besoins des membres. La participation de </w:t>
            </w:r>
            <w:r w:rsidR="004E5CF5" w:rsidRPr="00C83DA9">
              <w:rPr>
                <w:b/>
                <w:bCs/>
                <w:color w:val="000000"/>
                <w:sz w:val="22"/>
                <w:szCs w:val="22"/>
                <w:lang w:val="fr-FR" w:eastAsia="zh-CN"/>
              </w:rPr>
              <w:t xml:space="preserve">149 délégués </w:t>
            </w:r>
            <w:r w:rsidR="004E5CF5" w:rsidRPr="00C83DA9">
              <w:rPr>
                <w:color w:val="000000"/>
                <w:sz w:val="22"/>
                <w:szCs w:val="22"/>
                <w:lang w:val="fr-FR" w:eastAsia="zh-CN"/>
              </w:rPr>
              <w:t xml:space="preserve">aux travaux du </w:t>
            </w:r>
            <w:hyperlink r:id="rId228" w:anchor="/fr" w:history="1">
              <w:r w:rsidR="004E5CF5" w:rsidRPr="00C83DA9">
                <w:rPr>
                  <w:color w:val="0000FF"/>
                  <w:sz w:val="22"/>
                  <w:szCs w:val="22"/>
                  <w:u w:val="single"/>
                  <w:lang w:val="fr-FR" w:eastAsia="zh-CN"/>
                </w:rPr>
                <w:t>Groupe consultatif de professionnels chargé des questions de développement et des Directeurs de la réglementation du secteur privé (IAGDI-CRO)</w:t>
              </w:r>
            </w:hyperlink>
            <w:r w:rsidR="004E5CF5" w:rsidRPr="00C83DA9">
              <w:rPr>
                <w:color w:val="000000"/>
                <w:sz w:val="22"/>
                <w:szCs w:val="22"/>
                <w:lang w:val="fr-FR" w:eastAsia="zh-CN"/>
              </w:rPr>
              <w:t xml:space="preserve"> lors du </w:t>
            </w:r>
            <w:r w:rsidR="004E5CF5" w:rsidRPr="00C83DA9">
              <w:rPr>
                <w:b/>
                <w:bCs/>
                <w:color w:val="000000"/>
                <w:sz w:val="22"/>
                <w:szCs w:val="22"/>
                <w:lang w:val="fr-FR" w:eastAsia="zh-CN"/>
              </w:rPr>
              <w:t>GSR-23 à Charm el-Cheikh (Égypte)</w:t>
            </w:r>
            <w:r w:rsidR="002B744F" w:rsidRPr="00C83DA9">
              <w:rPr>
                <w:color w:val="000000"/>
                <w:sz w:val="22"/>
                <w:szCs w:val="22"/>
                <w:lang w:val="fr-FR" w:eastAsia="zh-CN"/>
              </w:rPr>
              <w:t>, un record à ce jour,</w:t>
            </w:r>
            <w:r w:rsidR="004E5CF5" w:rsidRPr="00C83DA9">
              <w:rPr>
                <w:color w:val="000000"/>
                <w:sz w:val="22"/>
                <w:szCs w:val="22"/>
                <w:lang w:val="fr-FR" w:eastAsia="zh-CN"/>
              </w:rPr>
              <w:t xml:space="preserve"> constitue un bel exemple de ce regain d'intérêt. Ces chiffres montrent que le secteur privé considère l'UIT-D comme une instance de premier plan pour orienter le dialogue sur le développement et la réglementation.</w:t>
            </w:r>
          </w:p>
          <w:p w14:paraId="3F6195D7" w14:textId="0F542F28" w:rsidR="004E5CF5" w:rsidRPr="00C83DA9"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C83DA9">
              <w:rPr>
                <w:color w:val="000000"/>
                <w:sz w:val="22"/>
                <w:szCs w:val="22"/>
                <w:lang w:val="fr-FR" w:eastAsia="zh-CN"/>
              </w:rPr>
              <w:t xml:space="preserve">Le Bureau a maintenu son engagement en faveur de la sensibilisation, en organisant plus de </w:t>
            </w:r>
            <w:r w:rsidRPr="00C83DA9">
              <w:rPr>
                <w:b/>
                <w:bCs/>
                <w:color w:val="000000"/>
                <w:sz w:val="22"/>
                <w:szCs w:val="22"/>
                <w:lang w:val="fr-FR" w:eastAsia="zh-CN"/>
              </w:rPr>
              <w:t>180 séances d'information</w:t>
            </w:r>
            <w:r w:rsidRPr="00C83DA9">
              <w:rPr>
                <w:color w:val="000000"/>
                <w:sz w:val="22"/>
                <w:szCs w:val="22"/>
                <w:lang w:val="fr-FR" w:eastAsia="zh-CN"/>
              </w:rPr>
              <w:t xml:space="preserve"> avec les membres sous diverses formes, notamment des réunions en présentiel, des consultations virtuelles et des visites de haut niveau. La sensibilisation du secteur privé a gagné en visibilité grâce au Groupe IAGDI-CRO, qui a organisé </w:t>
            </w:r>
            <w:r w:rsidRPr="00C83DA9">
              <w:rPr>
                <w:b/>
                <w:bCs/>
                <w:color w:val="000000"/>
                <w:sz w:val="22"/>
                <w:szCs w:val="22"/>
                <w:lang w:val="fr-FR" w:eastAsia="zh-CN"/>
              </w:rPr>
              <w:t>deux réunions en 2024</w:t>
            </w:r>
            <w:r w:rsidRPr="00C83DA9">
              <w:rPr>
                <w:color w:val="000000"/>
                <w:sz w:val="22"/>
                <w:szCs w:val="22"/>
                <w:lang w:val="fr-FR" w:eastAsia="zh-CN"/>
              </w:rPr>
              <w:t>. L'une de ces réunions, tenue à Kampala (</w:t>
            </w:r>
            <w:r w:rsidRPr="00C83DA9">
              <w:rPr>
                <w:b/>
                <w:bCs/>
                <w:color w:val="000000"/>
                <w:sz w:val="22"/>
                <w:szCs w:val="22"/>
                <w:lang w:val="fr-FR" w:eastAsia="zh-CN"/>
              </w:rPr>
              <w:t>Ouganda</w:t>
            </w:r>
            <w:r w:rsidRPr="00C83DA9">
              <w:rPr>
                <w:color w:val="000000"/>
                <w:sz w:val="22"/>
                <w:szCs w:val="22"/>
                <w:lang w:val="fr-FR" w:eastAsia="zh-CN"/>
              </w:rPr>
              <w:t>)</w:t>
            </w:r>
            <w:r w:rsidR="00D95BA3" w:rsidRPr="00C83DA9">
              <w:rPr>
                <w:color w:val="000000"/>
                <w:sz w:val="22"/>
                <w:szCs w:val="22"/>
                <w:lang w:val="fr-FR" w:eastAsia="zh-CN"/>
              </w:rPr>
              <w:t xml:space="preserve"> à l'occasion du GSR-24</w:t>
            </w:r>
            <w:r w:rsidRPr="00C83DA9">
              <w:rPr>
                <w:color w:val="000000"/>
                <w:sz w:val="22"/>
                <w:szCs w:val="22"/>
                <w:lang w:val="fr-FR" w:eastAsia="zh-CN"/>
              </w:rPr>
              <w:t xml:space="preserve">, a attiré </w:t>
            </w:r>
            <w:r w:rsidRPr="00C83DA9">
              <w:rPr>
                <w:b/>
                <w:bCs/>
                <w:color w:val="000000"/>
                <w:sz w:val="22"/>
                <w:szCs w:val="22"/>
                <w:lang w:val="fr-FR" w:eastAsia="zh-CN"/>
              </w:rPr>
              <w:t>plus de 200 participants</w:t>
            </w:r>
            <w:r w:rsidR="00CA1981" w:rsidRPr="00C83DA9">
              <w:rPr>
                <w:b/>
                <w:bCs/>
                <w:color w:val="000000"/>
                <w:sz w:val="22"/>
                <w:szCs w:val="22"/>
                <w:lang w:val="fr-FR" w:eastAsia="zh-CN"/>
              </w:rPr>
              <w:t>, soit le nombre le plus élevé depuis la création du Colloque</w:t>
            </w:r>
            <w:r w:rsidRPr="00C83DA9">
              <w:rPr>
                <w:color w:val="000000"/>
                <w:sz w:val="22"/>
                <w:szCs w:val="22"/>
                <w:lang w:val="fr-FR" w:eastAsia="zh-CN"/>
              </w:rPr>
              <w:t xml:space="preserve">. Ces réunions ont donné lieu à des contributions directes aux </w:t>
            </w:r>
            <w:hyperlink r:id="rId229" w:anchor="p=1" w:history="1">
              <w:r w:rsidRPr="00C83DA9">
                <w:rPr>
                  <w:color w:val="0000FF"/>
                  <w:sz w:val="22"/>
                  <w:szCs w:val="22"/>
                  <w:u w:val="single"/>
                  <w:lang w:val="fr-FR" w:eastAsia="zh-CN"/>
                </w:rPr>
                <w:t>Lignes directrices relatives aux bonnes pratiques du GSR-24</w:t>
              </w:r>
            </w:hyperlink>
            <w:r w:rsidRPr="00C83DA9">
              <w:rPr>
                <w:color w:val="000000"/>
                <w:sz w:val="22"/>
                <w:szCs w:val="22"/>
                <w:lang w:val="fr-FR" w:eastAsia="zh-CN"/>
              </w:rPr>
              <w:t>, mais aussi à des notes de liaison adressées aux commissions d'études de l'UIT-D, dans lesquelles les Membres ont proposé des formats innovants, comme les Tech Talks, qui visent à faire entendre de nouvelles voix et de nouveaux points de vue et qui ont montré que les activités axées sur la participation contribuaient dorénavant directement aux travaux préparatoires en vue de la CMDT-25.</w:t>
            </w:r>
          </w:p>
          <w:p w14:paraId="24DA9DE8" w14:textId="121C03F0" w:rsidR="004E5CF5" w:rsidRPr="00C83DA9" w:rsidRDefault="004E5CF5" w:rsidP="00DE18D5">
            <w:pPr>
              <w:tabs>
                <w:tab w:val="left" w:pos="284"/>
                <w:tab w:val="left" w:pos="851"/>
                <w:tab w:val="left" w:pos="1418"/>
                <w:tab w:val="left" w:pos="1985"/>
                <w:tab w:val="left" w:pos="2552"/>
                <w:tab w:val="left" w:pos="3119"/>
                <w:tab w:val="left" w:pos="3402"/>
                <w:tab w:val="left" w:pos="3686"/>
                <w:tab w:val="left" w:pos="3969"/>
              </w:tabs>
              <w:spacing w:before="40"/>
              <w:rPr>
                <w:rFonts w:ascii="Calibri" w:eastAsia="Calibri" w:hAnsi="Calibri" w:cs="Calibri"/>
                <w:sz w:val="22"/>
                <w:szCs w:val="22"/>
                <w:lang w:val="fr-FR" w:eastAsia="zh-CN"/>
              </w:rPr>
            </w:pPr>
            <w:r w:rsidRPr="00C83DA9">
              <w:rPr>
                <w:color w:val="000000"/>
                <w:sz w:val="22"/>
                <w:szCs w:val="22"/>
                <w:lang w:val="fr-FR" w:eastAsia="zh-CN"/>
              </w:rPr>
              <w:t>Des mécanismes de participation se sont développés parallèlement à cette expansion. Début 2025, le Groupe IAGDI-CRO a organisé deux </w:t>
            </w:r>
            <w:r w:rsidRPr="00C83DA9">
              <w:rPr>
                <w:b/>
                <w:bCs/>
                <w:color w:val="000000"/>
                <w:sz w:val="22"/>
                <w:szCs w:val="22"/>
                <w:lang w:val="fr-FR" w:eastAsia="zh-CN"/>
              </w:rPr>
              <w:t>Tech Talks</w:t>
            </w:r>
            <w:r w:rsidRPr="00C83DA9">
              <w:rPr>
                <w:color w:val="000000"/>
                <w:sz w:val="22"/>
                <w:szCs w:val="22"/>
                <w:lang w:val="fr-FR" w:eastAsia="zh-CN"/>
              </w:rPr>
              <w:t xml:space="preserve">, en collaboration avec les commissions d'études de l'UIT-D, au cours desquelles plus de </w:t>
            </w:r>
            <w:r w:rsidRPr="00C83DA9">
              <w:rPr>
                <w:b/>
                <w:bCs/>
                <w:color w:val="000000"/>
                <w:sz w:val="22"/>
                <w:szCs w:val="22"/>
                <w:lang w:val="fr-FR" w:eastAsia="zh-CN"/>
              </w:rPr>
              <w:t>200 participants</w:t>
            </w:r>
            <w:r w:rsidRPr="00C83DA9">
              <w:rPr>
                <w:color w:val="000000"/>
                <w:sz w:val="22"/>
                <w:szCs w:val="22"/>
                <w:lang w:val="fr-FR" w:eastAsia="zh-CN"/>
              </w:rPr>
              <w:t xml:space="preserve"> ont échangé sur la connectivité efficace et la transformation numérique. Ces sessions ont permis de confronter les points de vue des acteurs du secteur privé et ont servi de tremplin à la définition de nouvelles questions en vue de la CMDT-25; elles montrent ainsi que l'UIT-D n'est maintenant plus une simple plate-forme de partage d'informations, mais une plate-forme de cocréation de savoirs et d'établissement de programmes. Lors de la session de Kampala organisée dans le cadre du GSR-24 en Ouganda</w:t>
            </w:r>
            <w:r w:rsidR="00DB3D7E" w:rsidRPr="00C83DA9">
              <w:rPr>
                <w:color w:val="000000"/>
                <w:sz w:val="22"/>
                <w:szCs w:val="22"/>
                <w:lang w:val="fr-FR" w:eastAsia="zh-CN"/>
              </w:rPr>
              <w:t>, des discussions techniques (Tech Talks), de la session virtuelle du Groupe IAGDI-CRI en vue du GSR-25</w:t>
            </w:r>
            <w:r w:rsidRPr="00C83DA9">
              <w:rPr>
                <w:color w:val="000000"/>
                <w:sz w:val="22"/>
                <w:szCs w:val="22"/>
                <w:lang w:val="fr-FR" w:eastAsia="zh-CN"/>
              </w:rPr>
              <w:t xml:space="preserve"> et des sessions</w:t>
            </w:r>
            <w:r w:rsidR="00EA2CB0" w:rsidRPr="00C83DA9">
              <w:rPr>
                <w:color w:val="000000"/>
                <w:sz w:val="22"/>
                <w:szCs w:val="22"/>
                <w:lang w:val="fr-FR" w:eastAsia="zh-CN"/>
              </w:rPr>
              <w:t xml:space="preserve"> </w:t>
            </w:r>
            <w:r w:rsidRPr="00C83DA9">
              <w:rPr>
                <w:color w:val="000000"/>
                <w:sz w:val="22"/>
                <w:szCs w:val="22"/>
                <w:lang w:val="fr-FR" w:eastAsia="zh-CN"/>
              </w:rPr>
              <w:t>ultérieures, les membres issus du secteur privé ont été encouragés à participer plus activement à la rédaction de lignes directrices mondiales et aux consultations en la matière, ce qui prouve qu'être membre, ce n'est pas être passif, c'est participer à l'élaboration de contributions de fond.</w:t>
            </w:r>
          </w:p>
          <w:p w14:paraId="71E89775" w14:textId="77777777" w:rsidR="004E5CF5" w:rsidRPr="00C83DA9" w:rsidRDefault="004E5CF5" w:rsidP="001B1CF5">
            <w:pPr>
              <w:keepNext/>
              <w:keepLines/>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C83DA9">
              <w:rPr>
                <w:color w:val="000000"/>
                <w:sz w:val="22"/>
                <w:szCs w:val="22"/>
                <w:lang w:val="fr-FR" w:eastAsia="zh-CN"/>
              </w:rPr>
              <w:t>Prises ensemble, ces dynamiques montrent que la capacité de l'UIT-D à attirer plus de membres et à les fidéliser est liée à trois facteurs interdépendants: la pertinence de ses axes de travail, sa réactivité à l'évolution des besoins et la qualité des espaces de dialogue qu'elle offre. En faisant en sorte que les membres puissent percevoir l'intérêt de leur affiliation sur le plan quantitatif et qualitatif, l'UIT-D a renforcé son rôle de coordonnateur de l'une des bases de membres les plus diversifiées du système des Nations Unies.</w:t>
            </w:r>
          </w:p>
          <w:p w14:paraId="03075CF7" w14:textId="2EF83A65" w:rsidR="004E5CF5" w:rsidRPr="00C83DA9"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C83DA9">
              <w:rPr>
                <w:color w:val="000000"/>
                <w:sz w:val="22"/>
                <w:szCs w:val="22"/>
                <w:lang w:val="fr-FR" w:eastAsia="zh-CN"/>
              </w:rPr>
              <w:t xml:space="preserve">Conformément à la </w:t>
            </w:r>
            <w:r w:rsidRPr="00C83DA9">
              <w:rPr>
                <w:sz w:val="22"/>
                <w:szCs w:val="22"/>
                <w:lang w:val="fr-FR" w:eastAsia="zh-CN"/>
              </w:rPr>
              <w:t xml:space="preserve">Résolution </w:t>
            </w:r>
            <w:hyperlink r:id="rId230" w:history="1">
              <w:r w:rsidRPr="00C83DA9">
                <w:rPr>
                  <w:color w:val="0000FF"/>
                  <w:sz w:val="22"/>
                  <w:szCs w:val="22"/>
                  <w:u w:val="single"/>
                  <w:lang w:val="fr-FR" w:eastAsia="zh-CN"/>
                </w:rPr>
                <w:t>71 (Rév. Kigali, 2022)</w:t>
              </w:r>
            </w:hyperlink>
            <w:r w:rsidRPr="00C83DA9">
              <w:rPr>
                <w:sz w:val="22"/>
                <w:szCs w:val="22"/>
                <w:lang w:val="fr-FR" w:eastAsia="zh-CN"/>
              </w:rPr>
              <w:t xml:space="preserve"> de la CMDT</w:t>
            </w:r>
            <w:r w:rsidRPr="00C83DA9">
              <w:rPr>
                <w:color w:val="000000"/>
                <w:sz w:val="22"/>
                <w:szCs w:val="22"/>
                <w:lang w:val="fr-FR" w:eastAsia="zh-CN"/>
              </w:rPr>
              <w:t xml:space="preserve">, intitulée "Renforcement de la coopération entre les États Membres, les Membres de Secteur, les Associés et les établissements universitaires participant aux travaux du Secteur du développement des télécommunications de l'UIT et évolution du rôle du secteur privé au sein du Secteur du développement des télécommunications de l'UIT", un document d'information plus détaillé est </w:t>
            </w:r>
            <w:hyperlink r:id="rId231" w:history="1">
              <w:r w:rsidRPr="00C83DA9">
                <w:rPr>
                  <w:color w:val="0000FF"/>
                  <w:sz w:val="22"/>
                  <w:szCs w:val="22"/>
                  <w:u w:val="single"/>
                  <w:lang w:val="fr-FR" w:eastAsia="zh-CN"/>
                </w:rPr>
                <w:t>mis à disposition sous la cote WTDC-25/INF/1</w:t>
              </w:r>
            </w:hyperlink>
            <w:r w:rsidR="00DB3D7E" w:rsidRPr="00C83DA9">
              <w:rPr>
                <w:color w:val="000000"/>
                <w:sz w:val="22"/>
                <w:szCs w:val="22"/>
                <w:lang w:val="fr-FR" w:eastAsia="zh-CN"/>
              </w:rPr>
              <w:t>. Ce document vise à évaluer les</w:t>
            </w:r>
            <w:r w:rsidRPr="00C83DA9">
              <w:rPr>
                <w:color w:val="000000"/>
                <w:sz w:val="22"/>
                <w:szCs w:val="22"/>
                <w:lang w:val="fr-FR" w:eastAsia="zh-CN"/>
              </w:rPr>
              <w:t xml:space="preserve"> résultats obtenus par le Groupe des directeurs de la réglementation du secteur privé pendant la période considérée, et </w:t>
            </w:r>
            <w:r w:rsidR="00DB3D7E" w:rsidRPr="00C83DA9">
              <w:rPr>
                <w:color w:val="000000"/>
                <w:sz w:val="22"/>
                <w:szCs w:val="22"/>
                <w:lang w:val="fr-FR" w:eastAsia="zh-CN"/>
              </w:rPr>
              <w:t xml:space="preserve">à </w:t>
            </w:r>
            <w:r w:rsidRPr="00C83DA9">
              <w:rPr>
                <w:color w:val="000000"/>
                <w:sz w:val="22"/>
                <w:szCs w:val="22"/>
                <w:lang w:val="fr-FR" w:eastAsia="zh-CN"/>
              </w:rPr>
              <w:t>estimer s'il</w:t>
            </w:r>
            <w:r w:rsidR="00E046A5">
              <w:rPr>
                <w:color w:val="000000"/>
                <w:sz w:val="22"/>
                <w:szCs w:val="22"/>
                <w:lang w:val="fr-FR" w:eastAsia="zh-CN"/>
              </w:rPr>
              <w:t xml:space="preserve"> </w:t>
            </w:r>
            <w:r w:rsidRPr="00C83DA9">
              <w:rPr>
                <w:color w:val="000000"/>
                <w:sz w:val="22"/>
                <w:szCs w:val="22"/>
                <w:lang w:val="fr-FR" w:eastAsia="zh-CN"/>
              </w:rPr>
              <w:t>y</w:t>
            </w:r>
            <w:r w:rsidR="00E046A5">
              <w:rPr>
                <w:color w:val="000000"/>
                <w:sz w:val="22"/>
                <w:szCs w:val="22"/>
                <w:lang w:val="fr-FR" w:eastAsia="zh-CN"/>
              </w:rPr>
              <w:t xml:space="preserve"> </w:t>
            </w:r>
            <w:r w:rsidRPr="00C83DA9">
              <w:rPr>
                <w:color w:val="000000"/>
                <w:sz w:val="22"/>
                <w:szCs w:val="22"/>
                <w:lang w:val="fr-FR" w:eastAsia="zh-CN"/>
              </w:rPr>
              <w:t xml:space="preserve">a lieu de poursuivre les activités du Groupe. </w:t>
            </w:r>
            <w:r w:rsidR="00DB3D7E" w:rsidRPr="00C83DA9">
              <w:rPr>
                <w:color w:val="000000"/>
                <w:sz w:val="22"/>
                <w:szCs w:val="22"/>
                <w:lang w:val="fr-FR" w:eastAsia="zh-CN"/>
              </w:rPr>
              <w:t>Il</w:t>
            </w:r>
            <w:r w:rsidRPr="00C83DA9">
              <w:rPr>
                <w:color w:val="000000"/>
                <w:sz w:val="22"/>
                <w:szCs w:val="22"/>
                <w:lang w:val="fr-FR" w:eastAsia="zh-CN"/>
              </w:rPr>
              <w:t xml:space="preserve"> rend également compte des mesures prises pour renforcer la participation des membres </w:t>
            </w:r>
            <w:r w:rsidRPr="00C83DA9">
              <w:rPr>
                <w:color w:val="000000"/>
                <w:sz w:val="22"/>
                <w:szCs w:val="22"/>
                <w:lang w:val="fr-FR" w:eastAsia="zh-CN"/>
              </w:rPr>
              <w:lastRenderedPageBreak/>
              <w:t>de l'UIT-D encourager la conclusion de partenariats et la mise en œuvre de projets et faire en sorte que les contributions du secteur privé aux travaux de l'UIT-D soient toujours pertinentes.</w:t>
            </w:r>
          </w:p>
          <w:p w14:paraId="4C863424" w14:textId="77777777" w:rsidR="004E5CF5" w:rsidRPr="00C83DA9" w:rsidRDefault="004E5CF5" w:rsidP="004E5CF5">
            <w:pPr>
              <w:keepNext/>
              <w:keepLines/>
              <w:tabs>
                <w:tab w:val="left" w:pos="284"/>
                <w:tab w:val="left" w:pos="851"/>
                <w:tab w:val="left" w:pos="1418"/>
                <w:tab w:val="left" w:pos="1985"/>
                <w:tab w:val="left" w:pos="2552"/>
                <w:tab w:val="left" w:pos="3119"/>
                <w:tab w:val="left" w:pos="3402"/>
                <w:tab w:val="left" w:pos="3686"/>
                <w:tab w:val="left" w:pos="3969"/>
              </w:tabs>
              <w:spacing w:before="40" w:after="40"/>
              <w:rPr>
                <w:rFonts w:eastAsia="SimSun" w:cstheme="minorBidi"/>
                <w:b/>
                <w:sz w:val="22"/>
                <w:szCs w:val="22"/>
                <w:lang w:val="fr-FR" w:eastAsia="zh-CN"/>
              </w:rPr>
            </w:pPr>
            <w:r w:rsidRPr="00C83DA9">
              <w:rPr>
                <w:b/>
                <w:sz w:val="22"/>
                <w:szCs w:val="22"/>
                <w:lang w:val="fr-FR"/>
              </w:rPr>
              <w:t>Commissions d'études de l'UIT-D</w:t>
            </w:r>
          </w:p>
          <w:p w14:paraId="538B1CB3" w14:textId="57E4D026" w:rsidR="004E5CF5" w:rsidRPr="00C83DA9" w:rsidRDefault="004E5CF5" w:rsidP="00E046A5">
            <w:pPr>
              <w:tabs>
                <w:tab w:val="left" w:pos="284"/>
                <w:tab w:val="left" w:pos="851"/>
                <w:tab w:val="left" w:pos="1418"/>
                <w:tab w:val="left" w:pos="1985"/>
                <w:tab w:val="left" w:pos="2552"/>
                <w:tab w:val="left" w:pos="3119"/>
                <w:tab w:val="left" w:pos="3402"/>
                <w:tab w:val="left" w:pos="3686"/>
                <w:tab w:val="left" w:pos="3969"/>
              </w:tabs>
              <w:spacing w:after="40"/>
              <w:rPr>
                <w:rFonts w:ascii="Calibri" w:eastAsia="Calibri" w:hAnsi="Calibri" w:cs="Calibri"/>
                <w:sz w:val="22"/>
                <w:szCs w:val="22"/>
                <w:lang w:val="fr-FR" w:eastAsia="zh-CN"/>
              </w:rPr>
            </w:pPr>
            <w:r w:rsidRPr="00C83DA9">
              <w:rPr>
                <w:color w:val="000000"/>
                <w:sz w:val="22"/>
                <w:szCs w:val="22"/>
                <w:lang w:val="fr-FR" w:eastAsia="zh-CN"/>
              </w:rPr>
              <w:t xml:space="preserve">Les commissions d'études de l'UIT-D ont largement contribué à la création d'un environnement propice à une connectivité efficace (Commission d'études 1 – CE 1) et à l'accélération de la transformation numérique (Commission d'études 2 – CE 2). Elles constituent un cadre dans lequel tous les membres du Secteur partagent des visions et des expériences concordantes et néanmoins diverses. Leurs travaux visent à définir des mesures efficaces à prendre à l'ère numérique. Au cours de la période d'études 2022-2025, les deux commissions d'études de l'UIT-D ont examiné </w:t>
            </w:r>
            <w:hyperlink r:id="rId232" w:history="1">
              <w:r w:rsidR="002316E1" w:rsidRPr="00C83DA9">
                <w:rPr>
                  <w:rStyle w:val="Hyperlink"/>
                  <w:sz w:val="22"/>
                  <w:szCs w:val="22"/>
                  <w:lang w:val="fr-FR" w:eastAsia="zh-CN"/>
                </w:rPr>
                <w:t>14 Questions à l'étude</w:t>
              </w:r>
            </w:hyperlink>
            <w:r w:rsidR="002316E1" w:rsidRPr="00C83DA9">
              <w:rPr>
                <w:color w:val="000000"/>
                <w:sz w:val="22"/>
                <w:szCs w:val="22"/>
                <w:lang w:val="fr-FR" w:eastAsia="zh-CN"/>
              </w:rPr>
              <w:t xml:space="preserve"> </w:t>
            </w:r>
            <w:r w:rsidRPr="00C83DA9">
              <w:rPr>
                <w:color w:val="000000"/>
                <w:sz w:val="22"/>
                <w:szCs w:val="22"/>
                <w:lang w:val="fr-FR" w:eastAsia="zh-CN"/>
              </w:rPr>
              <w:t>– sept par commission d'études – dans l'objectif d'élaborer des lignes directrices efficaces sur les plans politique, réglementaire et technique. Entre 2023 et 2025, les commissions d'études de l'UIT-D ont élaboré des documents de fond</w:t>
            </w:r>
            <w:r w:rsidR="002316E1" w:rsidRPr="00C83DA9">
              <w:rPr>
                <w:color w:val="000000"/>
                <w:sz w:val="22"/>
                <w:szCs w:val="22"/>
                <w:lang w:val="fr-FR" w:eastAsia="zh-CN"/>
              </w:rPr>
              <w:t xml:space="preserve"> (</w:t>
            </w:r>
            <w:hyperlink r:id="rId233" w:history="1">
              <w:r w:rsidR="002316E1" w:rsidRPr="00C83DA9">
                <w:rPr>
                  <w:rStyle w:val="Hyperlink"/>
                  <w:sz w:val="22"/>
                  <w:szCs w:val="22"/>
                  <w:lang w:val="fr-FR" w:eastAsia="zh-CN"/>
                </w:rPr>
                <w:t>CE 1</w:t>
              </w:r>
            </w:hyperlink>
            <w:r w:rsidR="002316E1" w:rsidRPr="00C83DA9">
              <w:rPr>
                <w:color w:val="000000"/>
                <w:sz w:val="22"/>
                <w:szCs w:val="22"/>
                <w:lang w:val="fr-FR" w:eastAsia="zh-CN"/>
              </w:rPr>
              <w:t xml:space="preserve"> et </w:t>
            </w:r>
            <w:hyperlink r:id="rId234" w:history="1">
              <w:r w:rsidR="002316E1" w:rsidRPr="00C83DA9">
                <w:rPr>
                  <w:rStyle w:val="Hyperlink"/>
                  <w:sz w:val="22"/>
                  <w:szCs w:val="22"/>
                  <w:lang w:val="fr-FR" w:eastAsia="zh-CN"/>
                </w:rPr>
                <w:t>CE 2</w:t>
              </w:r>
            </w:hyperlink>
            <w:r w:rsidR="002316E1" w:rsidRPr="00C83DA9">
              <w:rPr>
                <w:color w:val="000000"/>
                <w:sz w:val="22"/>
                <w:szCs w:val="22"/>
                <w:lang w:val="fr-FR" w:eastAsia="zh-CN"/>
              </w:rPr>
              <w:t>)</w:t>
            </w:r>
            <w:r w:rsidRPr="00C83DA9">
              <w:rPr>
                <w:color w:val="000000"/>
                <w:sz w:val="22"/>
                <w:szCs w:val="22"/>
                <w:lang w:val="fr-FR" w:eastAsia="zh-CN"/>
              </w:rPr>
              <w:t xml:space="preserve">, organisé des </w:t>
            </w:r>
            <w:hyperlink r:id="rId235" w:history="1">
              <w:r w:rsidRPr="00C83DA9">
                <w:rPr>
                  <w:color w:val="0000FF"/>
                  <w:sz w:val="22"/>
                  <w:szCs w:val="22"/>
                  <w:u w:val="single"/>
                  <w:lang w:val="fr-FR" w:eastAsia="zh-CN"/>
                </w:rPr>
                <w:t>ateliers</w:t>
              </w:r>
            </w:hyperlink>
            <w:r w:rsidRPr="00C83DA9">
              <w:rPr>
                <w:color w:val="000000"/>
                <w:sz w:val="22"/>
                <w:szCs w:val="22"/>
                <w:lang w:val="fr-FR" w:eastAsia="zh-CN"/>
              </w:rPr>
              <w:t xml:space="preserve"> et établi des </w:t>
            </w:r>
            <w:hyperlink r:id="rId236" w:history="1">
              <w:r w:rsidRPr="00C83DA9">
                <w:rPr>
                  <w:color w:val="0000FF"/>
                  <w:sz w:val="22"/>
                  <w:szCs w:val="22"/>
                  <w:u w:val="single"/>
                  <w:lang w:val="fr-FR" w:eastAsia="zh-CN"/>
                </w:rPr>
                <w:t>produits intérimaires</w:t>
              </w:r>
            </w:hyperlink>
            <w:r w:rsidRPr="00C83DA9">
              <w:rPr>
                <w:color w:val="000000"/>
                <w:sz w:val="22"/>
                <w:szCs w:val="22"/>
                <w:lang w:val="fr-FR" w:eastAsia="zh-CN"/>
              </w:rPr>
              <w:t>, et montré ainsi comment des compétences spécialisées pouvaient être mobilisées pour répondre à des questions urgentes liées au développement des TIC.</w:t>
            </w:r>
          </w:p>
          <w:p w14:paraId="1AD8E4C8" w14:textId="77777777" w:rsidR="004E5CF5" w:rsidRPr="00C83DA9" w:rsidRDefault="004E5CF5" w:rsidP="00E046A5">
            <w:pPr>
              <w:tabs>
                <w:tab w:val="left" w:pos="284"/>
                <w:tab w:val="left" w:pos="851"/>
                <w:tab w:val="left" w:pos="1418"/>
                <w:tab w:val="left" w:pos="1985"/>
                <w:tab w:val="left" w:pos="2552"/>
                <w:tab w:val="left" w:pos="3119"/>
                <w:tab w:val="left" w:pos="3402"/>
                <w:tab w:val="left" w:pos="3686"/>
                <w:tab w:val="left" w:pos="3969"/>
              </w:tabs>
              <w:spacing w:after="40"/>
              <w:rPr>
                <w:rFonts w:ascii="Calibri" w:eastAsia="Calibri" w:hAnsi="Calibri" w:cs="Calibri"/>
                <w:sz w:val="22"/>
                <w:szCs w:val="22"/>
                <w:lang w:val="fr-FR" w:eastAsia="zh-CN"/>
              </w:rPr>
            </w:pPr>
            <w:r w:rsidRPr="00C83DA9">
              <w:rPr>
                <w:color w:val="000000"/>
                <w:sz w:val="22"/>
                <w:szCs w:val="22"/>
                <w:lang w:val="fr-FR" w:eastAsia="zh-CN"/>
              </w:rPr>
              <w:t xml:space="preserve">Les premières réunions des Groupes du Rapporteur de la Commission d'études 1 tenues en 2023 ont attiré </w:t>
            </w:r>
            <w:r w:rsidRPr="00C83DA9">
              <w:rPr>
                <w:b/>
                <w:bCs/>
                <w:color w:val="000000"/>
                <w:sz w:val="22"/>
                <w:szCs w:val="22"/>
                <w:lang w:val="fr-FR" w:eastAsia="zh-CN"/>
              </w:rPr>
              <w:t>257 participants</w:t>
            </w:r>
            <w:r w:rsidRPr="00C83DA9">
              <w:rPr>
                <w:color w:val="000000"/>
                <w:sz w:val="22"/>
                <w:szCs w:val="22"/>
                <w:lang w:val="fr-FR" w:eastAsia="zh-CN"/>
              </w:rPr>
              <w:t xml:space="preserve"> de </w:t>
            </w:r>
            <w:r w:rsidRPr="00C83DA9">
              <w:rPr>
                <w:b/>
                <w:bCs/>
                <w:color w:val="000000"/>
                <w:sz w:val="22"/>
                <w:szCs w:val="22"/>
                <w:lang w:val="fr-FR" w:eastAsia="zh-CN"/>
              </w:rPr>
              <w:t xml:space="preserve">59 États Membres </w:t>
            </w:r>
            <w:r w:rsidRPr="00C83DA9">
              <w:rPr>
                <w:color w:val="000000"/>
                <w:sz w:val="22"/>
                <w:szCs w:val="22"/>
                <w:lang w:val="fr-FR" w:eastAsia="zh-CN"/>
              </w:rPr>
              <w:t xml:space="preserve">qui ont examiné </w:t>
            </w:r>
            <w:r w:rsidRPr="00C83DA9">
              <w:rPr>
                <w:b/>
                <w:bCs/>
                <w:color w:val="000000"/>
                <w:sz w:val="22"/>
                <w:szCs w:val="22"/>
                <w:lang w:val="fr-FR" w:eastAsia="zh-CN"/>
              </w:rPr>
              <w:t>139 contributions</w:t>
            </w:r>
            <w:r w:rsidRPr="00C83DA9">
              <w:rPr>
                <w:color w:val="000000"/>
                <w:sz w:val="22"/>
                <w:szCs w:val="22"/>
                <w:lang w:val="fr-FR" w:eastAsia="zh-CN"/>
              </w:rPr>
              <w:t xml:space="preserve">; </w:t>
            </w:r>
            <w:r w:rsidRPr="00C83DA9">
              <w:rPr>
                <w:b/>
                <w:bCs/>
                <w:color w:val="000000"/>
                <w:sz w:val="22"/>
                <w:szCs w:val="22"/>
                <w:lang w:val="fr-FR" w:eastAsia="zh-CN"/>
              </w:rPr>
              <w:t xml:space="preserve">19 </w:t>
            </w:r>
            <w:r w:rsidRPr="00C83DA9">
              <w:rPr>
                <w:color w:val="000000"/>
                <w:sz w:val="22"/>
                <w:szCs w:val="22"/>
                <w:lang w:val="fr-FR" w:eastAsia="zh-CN"/>
              </w:rPr>
              <w:t>d'entre eux ont bénéficié d'une</w:t>
            </w:r>
            <w:r w:rsidRPr="00C83DA9">
              <w:rPr>
                <w:b/>
                <w:bCs/>
                <w:color w:val="000000"/>
                <w:sz w:val="22"/>
                <w:szCs w:val="22"/>
                <w:lang w:val="fr-FR" w:eastAsia="zh-CN"/>
              </w:rPr>
              <w:t xml:space="preserve"> bourse</w:t>
            </w:r>
            <w:r w:rsidRPr="00C83DA9">
              <w:rPr>
                <w:color w:val="000000"/>
                <w:sz w:val="22"/>
                <w:szCs w:val="22"/>
                <w:lang w:val="fr-FR" w:eastAsia="zh-CN"/>
              </w:rPr>
              <w:t xml:space="preserve">. Quant aux réunions des Groupes du Rapporteur de la Commission d'études 2 tenues en 2023, elles ont attiré </w:t>
            </w:r>
            <w:r w:rsidRPr="00C83DA9">
              <w:rPr>
                <w:b/>
                <w:bCs/>
                <w:color w:val="000000"/>
                <w:sz w:val="22"/>
                <w:szCs w:val="22"/>
                <w:lang w:val="fr-FR" w:eastAsia="zh-CN"/>
              </w:rPr>
              <w:t>214 participants</w:t>
            </w:r>
            <w:r w:rsidRPr="00C83DA9">
              <w:rPr>
                <w:color w:val="000000"/>
                <w:sz w:val="22"/>
                <w:szCs w:val="22"/>
                <w:lang w:val="fr-FR" w:eastAsia="zh-CN"/>
              </w:rPr>
              <w:t xml:space="preserve"> de </w:t>
            </w:r>
            <w:r w:rsidRPr="00C83DA9">
              <w:rPr>
                <w:b/>
                <w:bCs/>
                <w:color w:val="000000"/>
                <w:sz w:val="22"/>
                <w:szCs w:val="22"/>
                <w:lang w:val="fr-FR" w:eastAsia="zh-CN"/>
              </w:rPr>
              <w:t>45 États Membres</w:t>
            </w:r>
            <w:r w:rsidRPr="00C83DA9">
              <w:rPr>
                <w:color w:val="000000"/>
                <w:sz w:val="22"/>
                <w:szCs w:val="22"/>
                <w:lang w:val="fr-FR" w:eastAsia="zh-CN"/>
              </w:rPr>
              <w:t xml:space="preserve">, qui ont examiné </w:t>
            </w:r>
            <w:r w:rsidRPr="00C83DA9">
              <w:rPr>
                <w:b/>
                <w:bCs/>
                <w:color w:val="000000"/>
                <w:sz w:val="22"/>
                <w:szCs w:val="22"/>
                <w:lang w:val="fr-FR" w:eastAsia="zh-CN"/>
              </w:rPr>
              <w:t>72 contributions</w:t>
            </w:r>
            <w:r w:rsidRPr="00C83DA9">
              <w:rPr>
                <w:color w:val="000000"/>
                <w:sz w:val="22"/>
                <w:szCs w:val="22"/>
                <w:lang w:val="fr-FR" w:eastAsia="zh-CN"/>
              </w:rPr>
              <w:t xml:space="preserve">; </w:t>
            </w:r>
            <w:r w:rsidRPr="00C83DA9">
              <w:rPr>
                <w:b/>
                <w:bCs/>
                <w:color w:val="000000"/>
                <w:sz w:val="22"/>
                <w:szCs w:val="22"/>
                <w:lang w:val="fr-FR" w:eastAsia="zh-CN"/>
              </w:rPr>
              <w:t xml:space="preserve">18 </w:t>
            </w:r>
            <w:r w:rsidRPr="00C83DA9">
              <w:rPr>
                <w:color w:val="000000"/>
                <w:sz w:val="22"/>
                <w:szCs w:val="22"/>
                <w:lang w:val="fr-FR" w:eastAsia="zh-CN"/>
              </w:rPr>
              <w:t xml:space="preserve">d'entre eux ont bénéficié d'une </w:t>
            </w:r>
            <w:r w:rsidRPr="00C83DA9">
              <w:rPr>
                <w:b/>
                <w:bCs/>
                <w:color w:val="000000"/>
                <w:sz w:val="22"/>
                <w:szCs w:val="22"/>
                <w:lang w:val="fr-FR" w:eastAsia="zh-CN"/>
              </w:rPr>
              <w:t>bourse</w:t>
            </w:r>
            <w:r w:rsidRPr="00C83DA9">
              <w:rPr>
                <w:color w:val="000000"/>
                <w:sz w:val="22"/>
                <w:szCs w:val="22"/>
                <w:lang w:val="fr-FR" w:eastAsia="zh-CN"/>
              </w:rPr>
              <w:t>. Sept ateliers consacrés à plusieurs Questions et cinq ateliers portant sur une Question spécifique organisés dans le cadre des travaux de la Commission d'études 1 ont permis d'étudier la connectivité efficace sous plusieurs angles, à savoir l'innovation, la durabilité, l'action régionale, l'inclusion des femmes et des jeunes, les nouveaux services de radiodiffusion, la préparation aux situations d'urgence pour la gestion des catastrophes à l'aide de l'IA et de l'IoT, et les fonds pour le service universel visant à réduire la fracture numérique. Sept ateliers organisés sous l'égide de la Commission d'études 2 ont permis d'élargir le champ des discussions, qui ont porté sur les infrastructures publiques numériques, la cybersanté, le cyberapprentissage, l'assurance de la cybersécurité, les compétences numériques, les TIC vertes et les champs électromagnétiques. Des entités membres ou non de l'UIT ont apporté leur contribution aux ateliers, renforçant ainsi le caractère ouvert et tourné vers l'extérieur des commissions d'études.</w:t>
            </w:r>
          </w:p>
          <w:p w14:paraId="0DCD99C3" w14:textId="77777777" w:rsidR="004E5CF5" w:rsidRPr="00C83DA9" w:rsidRDefault="004E5CF5" w:rsidP="00E046A5">
            <w:pPr>
              <w:tabs>
                <w:tab w:val="left" w:pos="284"/>
                <w:tab w:val="left" w:pos="851"/>
                <w:tab w:val="left" w:pos="1418"/>
                <w:tab w:val="left" w:pos="1985"/>
                <w:tab w:val="left" w:pos="2552"/>
                <w:tab w:val="left" w:pos="3119"/>
                <w:tab w:val="left" w:pos="3402"/>
                <w:tab w:val="left" w:pos="3686"/>
                <w:tab w:val="left" w:pos="3969"/>
              </w:tabs>
              <w:spacing w:after="40"/>
              <w:rPr>
                <w:rFonts w:ascii="Calibri" w:eastAsia="Calibri" w:hAnsi="Calibri" w:cs="Calibri"/>
                <w:sz w:val="22"/>
                <w:szCs w:val="22"/>
                <w:lang w:val="fr-FR" w:eastAsia="zh-CN"/>
              </w:rPr>
            </w:pPr>
            <w:r w:rsidRPr="00C83DA9">
              <w:rPr>
                <w:color w:val="000000"/>
                <w:sz w:val="22"/>
                <w:szCs w:val="22"/>
                <w:lang w:val="fr-FR" w:eastAsia="zh-CN"/>
              </w:rPr>
              <w:t xml:space="preserve">Plus tard en 2023, la deuxième réunion annuelle de la CE 1 a rassemblé </w:t>
            </w:r>
            <w:r w:rsidRPr="00C83DA9">
              <w:rPr>
                <w:b/>
                <w:bCs/>
                <w:color w:val="000000"/>
                <w:sz w:val="22"/>
                <w:szCs w:val="22"/>
                <w:lang w:val="fr-FR" w:eastAsia="zh-CN"/>
              </w:rPr>
              <w:t>224 participants</w:t>
            </w:r>
            <w:r w:rsidRPr="00C83DA9">
              <w:rPr>
                <w:color w:val="000000"/>
                <w:sz w:val="22"/>
                <w:szCs w:val="22"/>
                <w:lang w:val="fr-FR" w:eastAsia="zh-CN"/>
              </w:rPr>
              <w:t xml:space="preserve"> de </w:t>
            </w:r>
            <w:r w:rsidRPr="00C83DA9">
              <w:rPr>
                <w:b/>
                <w:bCs/>
                <w:color w:val="000000"/>
                <w:sz w:val="22"/>
                <w:szCs w:val="22"/>
                <w:lang w:val="fr-FR" w:eastAsia="zh-CN"/>
              </w:rPr>
              <w:t>59 États Membres</w:t>
            </w:r>
            <w:r w:rsidRPr="00C83DA9">
              <w:rPr>
                <w:color w:val="000000"/>
                <w:sz w:val="22"/>
                <w:szCs w:val="22"/>
                <w:lang w:val="fr-FR" w:eastAsia="zh-CN"/>
              </w:rPr>
              <w:t xml:space="preserve">, dont </w:t>
            </w:r>
            <w:r w:rsidRPr="00C83DA9">
              <w:rPr>
                <w:b/>
                <w:bCs/>
                <w:color w:val="000000"/>
                <w:sz w:val="22"/>
                <w:szCs w:val="22"/>
                <w:lang w:val="fr-FR" w:eastAsia="zh-CN"/>
              </w:rPr>
              <w:t>13 ont bénéficié d'une bourse</w:t>
            </w:r>
            <w:r w:rsidRPr="00C83DA9">
              <w:rPr>
                <w:color w:val="000000"/>
                <w:sz w:val="22"/>
                <w:szCs w:val="22"/>
                <w:lang w:val="fr-FR" w:eastAsia="zh-CN"/>
              </w:rPr>
              <w:t xml:space="preserve">. Les participants ont examiné </w:t>
            </w:r>
            <w:r w:rsidRPr="00C83DA9">
              <w:rPr>
                <w:b/>
                <w:bCs/>
                <w:color w:val="000000"/>
                <w:sz w:val="22"/>
                <w:szCs w:val="22"/>
                <w:lang w:val="fr-FR" w:eastAsia="zh-CN"/>
              </w:rPr>
              <w:t>155 documents</w:t>
            </w:r>
            <w:r w:rsidRPr="00C83DA9">
              <w:rPr>
                <w:color w:val="000000"/>
                <w:sz w:val="22"/>
                <w:szCs w:val="22"/>
                <w:lang w:val="fr-FR" w:eastAsia="zh-CN"/>
              </w:rPr>
              <w:t xml:space="preserve">, dont cinq projets de rapport, et se sont mis d'accord sur huit notes de liaison à envoyer. Les </w:t>
            </w:r>
            <w:r w:rsidRPr="00C83DA9">
              <w:rPr>
                <w:b/>
                <w:bCs/>
                <w:color w:val="000000"/>
                <w:sz w:val="22"/>
                <w:szCs w:val="22"/>
                <w:lang w:val="fr-FR" w:eastAsia="zh-CN"/>
              </w:rPr>
              <w:t>195 participants de 54 États Membres</w:t>
            </w:r>
            <w:r w:rsidRPr="00C83DA9">
              <w:rPr>
                <w:color w:val="000000"/>
                <w:sz w:val="22"/>
                <w:szCs w:val="22"/>
                <w:lang w:val="fr-FR" w:eastAsia="zh-CN"/>
              </w:rPr>
              <w:t xml:space="preserve">, dont </w:t>
            </w:r>
            <w:r w:rsidRPr="00C83DA9">
              <w:rPr>
                <w:b/>
                <w:bCs/>
                <w:color w:val="000000"/>
                <w:sz w:val="22"/>
                <w:szCs w:val="22"/>
                <w:lang w:val="fr-FR" w:eastAsia="zh-CN"/>
              </w:rPr>
              <w:t>13 boursiers</w:t>
            </w:r>
            <w:r w:rsidRPr="00C83DA9">
              <w:rPr>
                <w:color w:val="000000"/>
                <w:sz w:val="22"/>
                <w:szCs w:val="22"/>
                <w:lang w:val="fr-FR" w:eastAsia="zh-CN"/>
              </w:rPr>
              <w:t xml:space="preserve">, à la réunion de la CE 2 ont approuvé le premier produit intérimaire de la Commission intitulé "Bonnes pratiques relatives aux outils de réglementation numériques adaptés à la protection des consommateurs", publié dans toutes les langues de l'ONU et accompagné d'un entretien vidéo. </w:t>
            </w:r>
            <w:r w:rsidRPr="00C83DA9">
              <w:rPr>
                <w:b/>
                <w:bCs/>
                <w:color w:val="000000"/>
                <w:sz w:val="22"/>
                <w:szCs w:val="22"/>
                <w:lang w:val="fr-FR" w:eastAsia="zh-CN"/>
              </w:rPr>
              <w:t>Cent-vingt documents</w:t>
            </w:r>
            <w:r w:rsidRPr="00C83DA9">
              <w:rPr>
                <w:color w:val="000000"/>
                <w:sz w:val="22"/>
                <w:szCs w:val="22"/>
                <w:lang w:val="fr-FR" w:eastAsia="zh-CN"/>
              </w:rPr>
              <w:t xml:space="preserve"> ont été examinés, et la publication d'un produit intérimaire sur les pratiques en matière d'assurance de la cybersécurité a été approuvée.</w:t>
            </w:r>
          </w:p>
          <w:p w14:paraId="23907DCC" w14:textId="77777777" w:rsidR="004E5CF5" w:rsidRPr="00C83DA9"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C83DA9">
              <w:rPr>
                <w:color w:val="000000"/>
                <w:sz w:val="22"/>
                <w:szCs w:val="22"/>
                <w:lang w:val="fr-FR" w:eastAsia="zh-CN"/>
              </w:rPr>
              <w:t xml:space="preserve">En 2024, le nombre de produits et services et de participants a encore augmenté. La deuxième réunion des Groupes du Rapporteur de la CE 1 a attiré </w:t>
            </w:r>
            <w:r w:rsidRPr="00C83DA9">
              <w:rPr>
                <w:b/>
                <w:bCs/>
                <w:color w:val="000000"/>
                <w:sz w:val="22"/>
                <w:szCs w:val="22"/>
                <w:lang w:val="fr-FR" w:eastAsia="zh-CN"/>
              </w:rPr>
              <w:t>271 participants</w:t>
            </w:r>
            <w:r w:rsidRPr="00C83DA9">
              <w:rPr>
                <w:color w:val="000000"/>
                <w:sz w:val="22"/>
                <w:szCs w:val="22"/>
                <w:lang w:val="fr-FR" w:eastAsia="zh-CN"/>
              </w:rPr>
              <w:t xml:space="preserve"> de </w:t>
            </w:r>
            <w:r w:rsidRPr="00C83DA9">
              <w:rPr>
                <w:b/>
                <w:bCs/>
                <w:color w:val="000000"/>
                <w:sz w:val="22"/>
                <w:szCs w:val="22"/>
                <w:lang w:val="fr-FR" w:eastAsia="zh-CN"/>
              </w:rPr>
              <w:t>56 États Membres</w:t>
            </w:r>
            <w:r w:rsidRPr="00C83DA9">
              <w:rPr>
                <w:color w:val="000000"/>
                <w:sz w:val="22"/>
                <w:szCs w:val="22"/>
                <w:lang w:val="fr-FR" w:eastAsia="zh-CN"/>
              </w:rPr>
              <w:t xml:space="preserve"> qui ont examiné </w:t>
            </w:r>
            <w:r w:rsidRPr="00C83DA9">
              <w:rPr>
                <w:b/>
                <w:bCs/>
                <w:color w:val="000000"/>
                <w:sz w:val="22"/>
                <w:szCs w:val="22"/>
                <w:lang w:val="fr-FR" w:eastAsia="zh-CN"/>
              </w:rPr>
              <w:t>111 contributions</w:t>
            </w:r>
            <w:r w:rsidRPr="00C83DA9">
              <w:rPr>
                <w:color w:val="000000"/>
                <w:sz w:val="22"/>
                <w:szCs w:val="22"/>
                <w:lang w:val="fr-FR" w:eastAsia="zh-CN"/>
              </w:rPr>
              <w:t xml:space="preserve">; </w:t>
            </w:r>
            <w:r w:rsidRPr="00C83DA9">
              <w:rPr>
                <w:b/>
                <w:bCs/>
                <w:color w:val="000000"/>
                <w:sz w:val="22"/>
                <w:szCs w:val="22"/>
                <w:lang w:val="fr-FR" w:eastAsia="zh-CN"/>
              </w:rPr>
              <w:t>16</w:t>
            </w:r>
            <w:r w:rsidRPr="00C83DA9">
              <w:rPr>
                <w:color w:val="000000"/>
                <w:sz w:val="22"/>
                <w:szCs w:val="22"/>
                <w:lang w:val="fr-FR" w:eastAsia="zh-CN"/>
              </w:rPr>
              <w:t xml:space="preserve"> d'entre eux ont bénéficié d'une </w:t>
            </w:r>
            <w:r w:rsidRPr="00C83DA9">
              <w:rPr>
                <w:b/>
                <w:bCs/>
                <w:color w:val="000000"/>
                <w:sz w:val="22"/>
                <w:szCs w:val="22"/>
                <w:lang w:val="fr-FR" w:eastAsia="zh-CN"/>
              </w:rPr>
              <w:t>bourse</w:t>
            </w:r>
            <w:r w:rsidRPr="00C83DA9">
              <w:rPr>
                <w:color w:val="000000"/>
                <w:sz w:val="22"/>
                <w:szCs w:val="22"/>
                <w:lang w:val="fr-FR" w:eastAsia="zh-CN"/>
              </w:rPr>
              <w:t xml:space="preserve">. La deuxième réunion des Groupes du Rapporteur de la CE 2 a attiré quant à elle </w:t>
            </w:r>
            <w:r w:rsidRPr="00C83DA9">
              <w:rPr>
                <w:b/>
                <w:bCs/>
                <w:color w:val="000000"/>
                <w:sz w:val="22"/>
                <w:szCs w:val="22"/>
                <w:lang w:val="fr-FR" w:eastAsia="zh-CN"/>
              </w:rPr>
              <w:t>221 participants</w:t>
            </w:r>
            <w:r w:rsidRPr="00C83DA9">
              <w:rPr>
                <w:color w:val="000000"/>
                <w:sz w:val="22"/>
                <w:szCs w:val="22"/>
                <w:lang w:val="fr-FR" w:eastAsia="zh-CN"/>
              </w:rPr>
              <w:t xml:space="preserve"> de </w:t>
            </w:r>
            <w:r w:rsidRPr="00C83DA9">
              <w:rPr>
                <w:b/>
                <w:bCs/>
                <w:color w:val="000000"/>
                <w:sz w:val="22"/>
                <w:szCs w:val="22"/>
                <w:lang w:val="fr-FR" w:eastAsia="zh-CN"/>
              </w:rPr>
              <w:t>52 États Membres</w:t>
            </w:r>
            <w:r w:rsidRPr="00C83DA9">
              <w:rPr>
                <w:color w:val="000000"/>
                <w:sz w:val="22"/>
                <w:szCs w:val="22"/>
                <w:lang w:val="fr-FR" w:eastAsia="zh-CN"/>
              </w:rPr>
              <w:t xml:space="preserve"> qui ont examiné </w:t>
            </w:r>
            <w:r w:rsidRPr="00C83DA9">
              <w:rPr>
                <w:b/>
                <w:bCs/>
                <w:color w:val="000000"/>
                <w:sz w:val="22"/>
                <w:szCs w:val="22"/>
                <w:lang w:val="fr-FR" w:eastAsia="zh-CN"/>
              </w:rPr>
              <w:t>104 contributions</w:t>
            </w:r>
            <w:r w:rsidRPr="00C83DA9">
              <w:rPr>
                <w:color w:val="000000"/>
                <w:sz w:val="22"/>
                <w:szCs w:val="22"/>
                <w:lang w:val="fr-FR" w:eastAsia="zh-CN"/>
              </w:rPr>
              <w:t xml:space="preserve">; </w:t>
            </w:r>
            <w:r w:rsidRPr="00C83DA9">
              <w:rPr>
                <w:b/>
                <w:bCs/>
                <w:color w:val="000000"/>
                <w:sz w:val="22"/>
                <w:szCs w:val="22"/>
                <w:lang w:val="fr-FR" w:eastAsia="zh-CN"/>
              </w:rPr>
              <w:t xml:space="preserve">17 </w:t>
            </w:r>
            <w:r w:rsidRPr="00C83DA9">
              <w:rPr>
                <w:color w:val="000000"/>
                <w:sz w:val="22"/>
                <w:szCs w:val="22"/>
                <w:lang w:val="fr-FR" w:eastAsia="zh-CN"/>
              </w:rPr>
              <w:t xml:space="preserve">d'entre eux ont bénéficié d'une </w:t>
            </w:r>
            <w:r w:rsidRPr="00C83DA9">
              <w:rPr>
                <w:b/>
                <w:bCs/>
                <w:color w:val="000000"/>
                <w:sz w:val="22"/>
                <w:szCs w:val="22"/>
                <w:lang w:val="fr-FR" w:eastAsia="zh-CN"/>
              </w:rPr>
              <w:t>bourse</w:t>
            </w:r>
            <w:r w:rsidRPr="00C83DA9">
              <w:rPr>
                <w:color w:val="000000"/>
                <w:sz w:val="22"/>
                <w:szCs w:val="22"/>
                <w:lang w:val="fr-FR" w:eastAsia="zh-CN"/>
              </w:rPr>
              <w:t xml:space="preserve">. La CE 1 a organisé six ateliers, dont un atelier d'une journée </w:t>
            </w:r>
            <w:r w:rsidRPr="00C83DA9">
              <w:rPr>
                <w:color w:val="000000"/>
                <w:sz w:val="22"/>
                <w:szCs w:val="22"/>
                <w:lang w:val="fr-FR" w:eastAsia="zh-CN"/>
              </w:rPr>
              <w:lastRenderedPageBreak/>
              <w:t>consacré à plusieurs Questions sur le thème de la connectivité par satellite porteuse de transformation. La CE 2, elle, a organisé sept ateliers. Les célébrations de l'édition de 2025 de la Journée internationale des jeunes filles dans le secteur des TIC organisées à l'initiative de l'UIT à Genève ont eu lieu dans le cadre du programme de gestion du temps pour les réunions des Groupes du Rapporteur de la CE 1 et avaient pour thème le rôle directeur des femmes dans le secteur des technologies.</w:t>
            </w:r>
          </w:p>
          <w:p w14:paraId="4344719C" w14:textId="22D429E5" w:rsidR="004E5CF5" w:rsidRPr="00C83DA9" w:rsidRDefault="004E5CF5" w:rsidP="00E046A5">
            <w:pPr>
              <w:tabs>
                <w:tab w:val="left" w:pos="284"/>
                <w:tab w:val="left" w:pos="851"/>
                <w:tab w:val="left" w:pos="1418"/>
                <w:tab w:val="left" w:pos="1985"/>
                <w:tab w:val="left" w:pos="2552"/>
                <w:tab w:val="left" w:pos="3119"/>
                <w:tab w:val="left" w:pos="3402"/>
                <w:tab w:val="left" w:pos="3686"/>
                <w:tab w:val="left" w:pos="3969"/>
              </w:tabs>
              <w:spacing w:after="40"/>
              <w:rPr>
                <w:rFonts w:ascii="Calibri" w:eastAsia="Calibri" w:hAnsi="Calibri" w:cs="Calibri"/>
                <w:sz w:val="22"/>
                <w:szCs w:val="22"/>
                <w:lang w:val="fr-FR" w:eastAsia="zh-CN"/>
              </w:rPr>
            </w:pPr>
            <w:r w:rsidRPr="00C83DA9">
              <w:rPr>
                <w:color w:val="000000"/>
                <w:sz w:val="22"/>
                <w:szCs w:val="22"/>
                <w:lang w:val="fr-FR" w:eastAsia="zh-CN"/>
              </w:rPr>
              <w:t xml:space="preserve">La troisième réunion annuelle de la CE 1 tenue en novembre 2024 a réuni </w:t>
            </w:r>
            <w:r w:rsidRPr="00C83DA9">
              <w:rPr>
                <w:b/>
                <w:bCs/>
                <w:color w:val="000000"/>
                <w:sz w:val="22"/>
                <w:szCs w:val="22"/>
                <w:lang w:val="fr-FR" w:eastAsia="zh-CN"/>
              </w:rPr>
              <w:t>240 participants</w:t>
            </w:r>
            <w:r w:rsidRPr="00C83DA9">
              <w:rPr>
                <w:color w:val="000000"/>
                <w:sz w:val="22"/>
                <w:szCs w:val="22"/>
                <w:lang w:val="fr-FR" w:eastAsia="zh-CN"/>
              </w:rPr>
              <w:t xml:space="preserve"> de </w:t>
            </w:r>
            <w:r w:rsidRPr="00C83DA9">
              <w:rPr>
                <w:b/>
                <w:bCs/>
                <w:color w:val="000000"/>
                <w:sz w:val="22"/>
                <w:szCs w:val="22"/>
                <w:lang w:val="fr-FR" w:eastAsia="zh-CN"/>
              </w:rPr>
              <w:t>65 États Membres</w:t>
            </w:r>
            <w:r w:rsidRPr="00C83DA9">
              <w:rPr>
                <w:color w:val="000000"/>
                <w:sz w:val="22"/>
                <w:szCs w:val="22"/>
                <w:lang w:val="fr-FR" w:eastAsia="zh-CN"/>
              </w:rPr>
              <w:t xml:space="preserve">, dont </w:t>
            </w:r>
            <w:r w:rsidRPr="00C83DA9">
              <w:rPr>
                <w:b/>
                <w:bCs/>
                <w:color w:val="000000"/>
                <w:sz w:val="22"/>
                <w:szCs w:val="22"/>
                <w:lang w:val="fr-FR" w:eastAsia="zh-CN"/>
              </w:rPr>
              <w:t xml:space="preserve">15 </w:t>
            </w:r>
            <w:r w:rsidRPr="00C83DA9">
              <w:rPr>
                <w:color w:val="000000"/>
                <w:sz w:val="22"/>
                <w:szCs w:val="22"/>
                <w:lang w:val="fr-FR" w:eastAsia="zh-CN"/>
              </w:rPr>
              <w:t xml:space="preserve">ont bénéficié d'une </w:t>
            </w:r>
            <w:r w:rsidRPr="00C83DA9">
              <w:rPr>
                <w:b/>
                <w:bCs/>
                <w:color w:val="000000"/>
                <w:sz w:val="22"/>
                <w:szCs w:val="22"/>
                <w:lang w:val="fr-FR" w:eastAsia="zh-CN"/>
              </w:rPr>
              <w:t>bourse</w:t>
            </w:r>
            <w:r w:rsidRPr="00C83DA9">
              <w:rPr>
                <w:color w:val="000000"/>
                <w:sz w:val="22"/>
                <w:szCs w:val="22"/>
                <w:lang w:val="fr-FR" w:eastAsia="zh-CN"/>
              </w:rPr>
              <w:t xml:space="preserve">. Au total, </w:t>
            </w:r>
            <w:r w:rsidRPr="00C83DA9">
              <w:rPr>
                <w:b/>
                <w:bCs/>
                <w:color w:val="000000"/>
                <w:sz w:val="22"/>
                <w:szCs w:val="22"/>
                <w:lang w:val="fr-FR" w:eastAsia="zh-CN"/>
              </w:rPr>
              <w:t>164 contributions</w:t>
            </w:r>
            <w:r w:rsidRPr="00C83DA9">
              <w:rPr>
                <w:color w:val="000000"/>
                <w:sz w:val="22"/>
                <w:szCs w:val="22"/>
                <w:lang w:val="fr-FR" w:eastAsia="zh-CN"/>
              </w:rPr>
              <w:t xml:space="preserve"> ont été examinées, et trois produits intérimaires sur les fonds de service universel, la connectivité par satellite porteuse de transformation et la sensibilisation des consommateurs ont été approuvés. La troisième réunion annuelle de la CE 2 a attiré </w:t>
            </w:r>
            <w:r w:rsidRPr="00C83DA9">
              <w:rPr>
                <w:b/>
                <w:bCs/>
                <w:color w:val="000000"/>
                <w:sz w:val="22"/>
                <w:szCs w:val="22"/>
                <w:lang w:val="fr-FR" w:eastAsia="zh-CN"/>
              </w:rPr>
              <w:t>186 participants</w:t>
            </w:r>
            <w:r w:rsidRPr="00C83DA9">
              <w:rPr>
                <w:color w:val="000000"/>
                <w:sz w:val="22"/>
                <w:szCs w:val="22"/>
                <w:lang w:val="fr-FR" w:eastAsia="zh-CN"/>
              </w:rPr>
              <w:t xml:space="preserve"> de </w:t>
            </w:r>
            <w:r w:rsidRPr="00C83DA9">
              <w:rPr>
                <w:b/>
                <w:bCs/>
                <w:color w:val="000000"/>
                <w:sz w:val="22"/>
                <w:szCs w:val="22"/>
                <w:lang w:val="fr-FR" w:eastAsia="zh-CN"/>
              </w:rPr>
              <w:t>54 États Membres</w:t>
            </w:r>
            <w:r w:rsidRPr="00C83DA9">
              <w:rPr>
                <w:color w:val="000000"/>
                <w:sz w:val="22"/>
                <w:szCs w:val="22"/>
                <w:lang w:val="fr-FR" w:eastAsia="zh-CN"/>
              </w:rPr>
              <w:t xml:space="preserve"> qui ont examiné </w:t>
            </w:r>
            <w:r w:rsidRPr="00C83DA9">
              <w:rPr>
                <w:b/>
                <w:bCs/>
                <w:color w:val="000000"/>
                <w:sz w:val="22"/>
                <w:szCs w:val="22"/>
                <w:lang w:val="fr-FR" w:eastAsia="zh-CN"/>
              </w:rPr>
              <w:t>110 contributions</w:t>
            </w:r>
            <w:r w:rsidRPr="00C83DA9">
              <w:rPr>
                <w:color w:val="000000"/>
                <w:sz w:val="22"/>
                <w:szCs w:val="22"/>
                <w:lang w:val="fr-FR" w:eastAsia="zh-CN"/>
              </w:rPr>
              <w:t xml:space="preserve">; </w:t>
            </w:r>
            <w:r w:rsidRPr="00C83DA9">
              <w:rPr>
                <w:b/>
                <w:bCs/>
                <w:color w:val="000000"/>
                <w:sz w:val="22"/>
                <w:szCs w:val="22"/>
                <w:lang w:val="fr-FR" w:eastAsia="zh-CN"/>
              </w:rPr>
              <w:t xml:space="preserve">12 </w:t>
            </w:r>
            <w:r w:rsidRPr="00C83DA9">
              <w:rPr>
                <w:color w:val="000000"/>
                <w:sz w:val="22"/>
                <w:szCs w:val="22"/>
                <w:lang w:val="fr-FR" w:eastAsia="zh-CN"/>
              </w:rPr>
              <w:t xml:space="preserve">d'entre eux ont bénéficié d'une </w:t>
            </w:r>
            <w:r w:rsidRPr="00C83DA9">
              <w:rPr>
                <w:b/>
                <w:bCs/>
                <w:color w:val="000000"/>
                <w:sz w:val="22"/>
                <w:szCs w:val="22"/>
                <w:lang w:val="fr-FR" w:eastAsia="zh-CN"/>
              </w:rPr>
              <w:t>bourse</w:t>
            </w:r>
            <w:r w:rsidRPr="00C83DA9">
              <w:rPr>
                <w:color w:val="000000"/>
                <w:sz w:val="22"/>
                <w:szCs w:val="22"/>
                <w:lang w:val="fr-FR" w:eastAsia="zh-CN"/>
              </w:rPr>
              <w:t xml:space="preserve">. Un rapport intérimaire sur la cybersécurité de la 5G a été approuvé. Les deux commissions d'études ont mis sur la table des propositions de collaboration associant les jeunes, les femmes, les statistiques, les synergies avec les projets du BDT et le SMSI. </w:t>
            </w:r>
          </w:p>
          <w:p w14:paraId="33C750CE" w14:textId="77777777" w:rsidR="004E5CF5" w:rsidRPr="00C83DA9" w:rsidRDefault="004E5CF5" w:rsidP="00E046A5">
            <w:pPr>
              <w:tabs>
                <w:tab w:val="left" w:pos="284"/>
                <w:tab w:val="left" w:pos="851"/>
                <w:tab w:val="left" w:pos="1418"/>
                <w:tab w:val="left" w:pos="1985"/>
                <w:tab w:val="left" w:pos="2552"/>
                <w:tab w:val="left" w:pos="3119"/>
                <w:tab w:val="left" w:pos="3402"/>
                <w:tab w:val="left" w:pos="3686"/>
                <w:tab w:val="left" w:pos="3969"/>
              </w:tabs>
              <w:spacing w:after="40"/>
              <w:rPr>
                <w:rFonts w:ascii="Calibri" w:eastAsia="Calibri" w:hAnsi="Calibri" w:cs="Calibri"/>
                <w:sz w:val="22"/>
                <w:szCs w:val="22"/>
                <w:lang w:val="fr-FR" w:eastAsia="zh-CN"/>
              </w:rPr>
            </w:pPr>
            <w:r w:rsidRPr="00C83DA9">
              <w:rPr>
                <w:color w:val="000000"/>
                <w:sz w:val="22"/>
                <w:szCs w:val="22"/>
                <w:lang w:val="fr-FR" w:eastAsia="zh-CN"/>
              </w:rPr>
              <w:t xml:space="preserve">Les commissions d'études ont également travaillé sur des </w:t>
            </w:r>
            <w:r w:rsidRPr="00C83DA9">
              <w:rPr>
                <w:b/>
                <w:bCs/>
                <w:color w:val="000000"/>
                <w:sz w:val="22"/>
                <w:szCs w:val="22"/>
                <w:lang w:val="fr-FR" w:eastAsia="zh-CN"/>
              </w:rPr>
              <w:t>contributions</w:t>
            </w:r>
            <w:r w:rsidRPr="00C83DA9">
              <w:rPr>
                <w:color w:val="000000"/>
                <w:sz w:val="22"/>
                <w:szCs w:val="22"/>
                <w:lang w:val="fr-FR" w:eastAsia="zh-CN"/>
              </w:rPr>
              <w:t xml:space="preserve"> concernant la </w:t>
            </w:r>
            <w:r w:rsidRPr="00C83DA9">
              <w:rPr>
                <w:sz w:val="22"/>
                <w:szCs w:val="22"/>
                <w:lang w:val="fr-FR" w:eastAsia="zh-CN"/>
              </w:rPr>
              <w:t xml:space="preserve">Résolution </w:t>
            </w:r>
            <w:hyperlink r:id="rId237" w:history="1">
              <w:r w:rsidRPr="00C83DA9">
                <w:rPr>
                  <w:color w:val="0000FF"/>
                  <w:sz w:val="22"/>
                  <w:szCs w:val="22"/>
                  <w:u w:val="single"/>
                  <w:lang w:val="fr-FR" w:eastAsia="zh-CN"/>
                </w:rPr>
                <w:t>9 (Rév. Kigali, 2022)</w:t>
              </w:r>
            </w:hyperlink>
            <w:r w:rsidRPr="00C83DA9">
              <w:rPr>
                <w:sz w:val="22"/>
                <w:szCs w:val="22"/>
                <w:lang w:val="fr-FR" w:eastAsia="zh-CN"/>
              </w:rPr>
              <w:t xml:space="preserve"> de la CMDT</w:t>
            </w:r>
            <w:r w:rsidRPr="00C83DA9">
              <w:rPr>
                <w:color w:val="000000"/>
                <w:sz w:val="22"/>
                <w:szCs w:val="22"/>
                <w:lang w:val="fr-FR" w:eastAsia="zh-CN"/>
              </w:rPr>
              <w:t xml:space="preserve">, sur les réponses à apporter aux notes de liaison (émanant d'autres Secteurs de l'UIT et d'autres organisations) et sur des </w:t>
            </w:r>
            <w:r w:rsidRPr="00C83DA9">
              <w:rPr>
                <w:b/>
                <w:bCs/>
                <w:color w:val="000000"/>
                <w:sz w:val="22"/>
                <w:szCs w:val="22"/>
                <w:lang w:val="fr-FR" w:eastAsia="zh-CN"/>
              </w:rPr>
              <w:t xml:space="preserve">propositions de futures Questions à étudier </w:t>
            </w:r>
            <w:r w:rsidRPr="00C83DA9">
              <w:rPr>
                <w:color w:val="000000"/>
                <w:sz w:val="22"/>
                <w:szCs w:val="22"/>
                <w:lang w:val="fr-FR" w:eastAsia="zh-CN"/>
              </w:rPr>
              <w:t>et de mandats pour ces Questions, qui ont été soumises au Groupe de travail du GCDT sur l'avenir des Questions confiées aux commissions d'études. Il a été pris note de deux projets de lignes directrices pratiques intitulés "Nomination et sélection des Rapporteurs et Vice-Rapporteurs" et "Mieux promouvoir les produits des commissions d'études", qui ont été transmis au GCDT.</w:t>
            </w:r>
          </w:p>
          <w:p w14:paraId="0073AE3B" w14:textId="0880B8E6" w:rsidR="004E5CF5" w:rsidRPr="00C83DA9" w:rsidRDefault="004E5CF5" w:rsidP="00E046A5">
            <w:pPr>
              <w:keepNext/>
              <w:keepLines/>
              <w:tabs>
                <w:tab w:val="left" w:pos="284"/>
                <w:tab w:val="left" w:pos="851"/>
                <w:tab w:val="left" w:pos="1418"/>
                <w:tab w:val="left" w:pos="1985"/>
                <w:tab w:val="left" w:pos="2552"/>
                <w:tab w:val="left" w:pos="3119"/>
                <w:tab w:val="left" w:pos="3402"/>
                <w:tab w:val="left" w:pos="3686"/>
                <w:tab w:val="left" w:pos="3969"/>
              </w:tabs>
              <w:spacing w:after="40"/>
              <w:rPr>
                <w:rFonts w:eastAsia="SimSun"/>
                <w:sz w:val="22"/>
                <w:szCs w:val="22"/>
                <w:lang w:val="fr-FR" w:eastAsia="zh-CN"/>
              </w:rPr>
            </w:pPr>
            <w:r w:rsidRPr="00C83DA9">
              <w:rPr>
                <w:color w:val="000000"/>
                <w:sz w:val="22"/>
                <w:szCs w:val="22"/>
                <w:lang w:val="fr-FR" w:eastAsia="zh-CN"/>
              </w:rPr>
              <w:t xml:space="preserve">En mai 2025, </w:t>
            </w:r>
            <w:hyperlink r:id="rId238" w:history="1">
              <w:r w:rsidRPr="00C83DA9">
                <w:rPr>
                  <w:rStyle w:val="Hyperlink"/>
                  <w:b/>
                  <w:bCs/>
                  <w:sz w:val="22"/>
                  <w:szCs w:val="22"/>
                  <w:lang w:val="fr-FR" w:eastAsia="zh-CN"/>
                </w:rPr>
                <w:t>15 rapports finals</w:t>
              </w:r>
            </w:hyperlink>
            <w:r w:rsidRPr="00C83DA9">
              <w:rPr>
                <w:color w:val="000000"/>
                <w:sz w:val="22"/>
                <w:szCs w:val="22"/>
                <w:lang w:val="fr-FR" w:eastAsia="zh-CN"/>
              </w:rPr>
              <w:t xml:space="preserve"> ont été approuvés. Ces rapports, qui doivent être publiés dans les six langues officielles et accompagnés de vidéos promotionnelles, constituent une base solide pour les travaux préparatoires des États Membres en vue de la CMDT-25. Ils ont marqué la fin de la période d'études 2022-2025 et mis en valeur la capacité de l'UIT-D à parvenir à un consensus et à produire des résultats concrets destinés à être adoptés et appliqués. En outre, 604 contributions ont été soumises à la Commission d'études 1 et 482 à la Commission d'études 2 entre 2022 et 2025. Le nombre croissant de contributions présentées par les membres de l'UIT-D témoigne de l'intérêt grandissant porté aux travaux des commissions d'études de l'UIT-D. En traduisant les orientations en politiques nationales, en encourageant les partenariats pour le renforcement des capacités et en favorisant la mise en œuvre sur le terrain, les pays peuvent accélérer les progrès vers la réalisation des ODD, tout en faisant progresser leurs actions prioritaires de développement.</w:t>
            </w:r>
          </w:p>
          <w:p w14:paraId="70EFB42B" w14:textId="77777777" w:rsidR="004E5CF5" w:rsidRPr="00C83DA9" w:rsidRDefault="004E5CF5" w:rsidP="00E046A5">
            <w:pPr>
              <w:tabs>
                <w:tab w:val="left" w:pos="284"/>
                <w:tab w:val="left" w:pos="851"/>
                <w:tab w:val="left" w:pos="1418"/>
                <w:tab w:val="left" w:pos="1985"/>
                <w:tab w:val="left" w:pos="2552"/>
                <w:tab w:val="left" w:pos="3119"/>
                <w:tab w:val="left" w:pos="3402"/>
                <w:tab w:val="left" w:pos="3686"/>
                <w:tab w:val="left" w:pos="3969"/>
              </w:tabs>
              <w:spacing w:after="120"/>
              <w:rPr>
                <w:rFonts w:eastAsia="Calibri" w:cstheme="minorHAnsi"/>
                <w:b/>
                <w:bCs/>
                <w:sz w:val="22"/>
                <w:szCs w:val="22"/>
                <w:lang w:val="fr-FR" w:eastAsia="zh-CN"/>
              </w:rPr>
            </w:pPr>
            <w:r w:rsidRPr="00C83DA9">
              <w:rPr>
                <w:b/>
                <w:bCs/>
                <w:color w:val="000000"/>
                <w:sz w:val="22"/>
                <w:szCs w:val="22"/>
                <w:lang w:val="fr-FR" w:eastAsia="zh-CN"/>
              </w:rPr>
              <w:t xml:space="preserve">Mise en œuvre et suivi des </w:t>
            </w:r>
            <w:r w:rsidRPr="00C83DA9">
              <w:rPr>
                <w:b/>
                <w:sz w:val="22"/>
                <w:szCs w:val="22"/>
                <w:lang w:val="fr-FR"/>
              </w:rPr>
              <w:t>résultats</w:t>
            </w:r>
            <w:r w:rsidRPr="00C83DA9">
              <w:rPr>
                <w:b/>
                <w:bCs/>
                <w:color w:val="000000"/>
                <w:sz w:val="22"/>
                <w:szCs w:val="22"/>
                <w:lang w:val="fr-FR" w:eastAsia="zh-CN"/>
              </w:rPr>
              <w:t xml:space="preserve"> du SMSI</w:t>
            </w:r>
          </w:p>
          <w:p w14:paraId="36DFD24E" w14:textId="77777777" w:rsidR="004E5CF5" w:rsidRPr="00C83DA9" w:rsidRDefault="004E5CF5" w:rsidP="00E046A5">
            <w:pPr>
              <w:tabs>
                <w:tab w:val="left" w:pos="284"/>
                <w:tab w:val="left" w:pos="851"/>
                <w:tab w:val="left" w:pos="1418"/>
                <w:tab w:val="left" w:pos="1985"/>
                <w:tab w:val="left" w:pos="2552"/>
                <w:tab w:val="left" w:pos="3119"/>
                <w:tab w:val="left" w:pos="3402"/>
                <w:tab w:val="left" w:pos="3686"/>
                <w:tab w:val="left" w:pos="3969"/>
              </w:tabs>
              <w:spacing w:after="40"/>
              <w:rPr>
                <w:rFonts w:ascii="Calibri" w:eastAsia="Calibri" w:hAnsi="Calibri" w:cs="Calibri"/>
                <w:sz w:val="22"/>
                <w:szCs w:val="22"/>
                <w:lang w:val="fr-FR" w:eastAsia="zh-CN"/>
              </w:rPr>
            </w:pPr>
            <w:r w:rsidRPr="00C83DA9">
              <w:rPr>
                <w:color w:val="000000"/>
                <w:sz w:val="22"/>
                <w:szCs w:val="22"/>
                <w:lang w:val="fr-FR" w:eastAsia="zh-CN"/>
              </w:rPr>
              <w:t xml:space="preserve">De 2023 à 2025, l'UIT-D a renforcé son rôle de coordonnateur principal de la mise en œuvre des résultats du SMSI conformément à la </w:t>
            </w:r>
            <w:r w:rsidRPr="00C83DA9">
              <w:rPr>
                <w:sz w:val="22"/>
                <w:szCs w:val="22"/>
                <w:lang w:val="fr-FR" w:eastAsia="zh-CN"/>
              </w:rPr>
              <w:t>Résolution </w:t>
            </w:r>
            <w:hyperlink r:id="rId239" w:history="1">
              <w:r w:rsidRPr="00C83DA9">
                <w:rPr>
                  <w:color w:val="0000FF"/>
                  <w:sz w:val="22"/>
                  <w:szCs w:val="22"/>
                  <w:u w:val="single"/>
                  <w:lang w:val="fr-FR" w:eastAsia="zh-CN"/>
                </w:rPr>
                <w:t>30 (Rév. Kigali, 2022)</w:t>
              </w:r>
            </w:hyperlink>
            <w:r w:rsidRPr="00C83DA9">
              <w:rPr>
                <w:sz w:val="22"/>
                <w:szCs w:val="22"/>
                <w:lang w:val="fr-FR" w:eastAsia="zh-CN"/>
              </w:rPr>
              <w:t xml:space="preserve"> de la CMDT</w:t>
            </w:r>
            <w:r w:rsidRPr="00C83DA9">
              <w:rPr>
                <w:color w:val="000000"/>
                <w:sz w:val="22"/>
                <w:szCs w:val="22"/>
                <w:lang w:val="fr-FR" w:eastAsia="zh-CN"/>
              </w:rPr>
              <w:t>, en veillant à ce que les grandes orientations pour le développement du numérique soient alignées sur le Programme 2030 dans son ensemble.</w:t>
            </w:r>
          </w:p>
          <w:p w14:paraId="4393C2F1" w14:textId="4D41FB2A" w:rsidR="004E5CF5" w:rsidRPr="00C83DA9" w:rsidRDefault="00467D2D" w:rsidP="00E046A5">
            <w:pPr>
              <w:keepLines/>
              <w:tabs>
                <w:tab w:val="left" w:pos="284"/>
                <w:tab w:val="left" w:pos="851"/>
                <w:tab w:val="left" w:pos="1418"/>
                <w:tab w:val="left" w:pos="1985"/>
                <w:tab w:val="left" w:pos="2552"/>
                <w:tab w:val="left" w:pos="3119"/>
                <w:tab w:val="left" w:pos="3402"/>
                <w:tab w:val="left" w:pos="3686"/>
                <w:tab w:val="left" w:pos="3969"/>
              </w:tabs>
              <w:spacing w:after="40"/>
              <w:rPr>
                <w:rFonts w:ascii="Calibri" w:eastAsia="Calibri" w:hAnsi="Calibri" w:cs="Calibri"/>
                <w:sz w:val="22"/>
                <w:szCs w:val="22"/>
                <w:lang w:val="fr-FR" w:eastAsia="zh-CN"/>
              </w:rPr>
            </w:pPr>
            <w:r w:rsidRPr="00C83DA9">
              <w:rPr>
                <w:color w:val="000000"/>
                <w:sz w:val="22"/>
                <w:szCs w:val="22"/>
                <w:lang w:val="fr-FR" w:eastAsia="zh-CN"/>
              </w:rPr>
              <w:lastRenderedPageBreak/>
              <w:t>Le BDT a continué de jouer le rôle de coordonnateur principal</w:t>
            </w:r>
            <w:r w:rsidR="004E5CF5" w:rsidRPr="00C83DA9">
              <w:rPr>
                <w:color w:val="000000"/>
                <w:sz w:val="22"/>
                <w:szCs w:val="22"/>
                <w:lang w:val="fr-FR" w:eastAsia="zh-CN"/>
              </w:rPr>
              <w:t xml:space="preserve"> pour les grandes orientations C2 (infrastructure), C4 (renforcement des capacités) et C6 (environnement propice), tout en contribuant aux travaux sur la grande orientation C5 (confiance dans les TIC). </w:t>
            </w:r>
            <w:r w:rsidR="00C3620A" w:rsidRPr="00C83DA9">
              <w:rPr>
                <w:color w:val="000000"/>
                <w:sz w:val="22"/>
                <w:szCs w:val="22"/>
                <w:lang w:val="fr-FR" w:eastAsia="zh-CN"/>
              </w:rPr>
              <w:t xml:space="preserve">Une série de réunions de coordination ont été organisées </w:t>
            </w:r>
            <w:r w:rsidR="001A618B" w:rsidRPr="00C83DA9">
              <w:rPr>
                <w:color w:val="000000"/>
                <w:sz w:val="22"/>
                <w:szCs w:val="22"/>
                <w:lang w:val="fr-FR" w:eastAsia="zh-CN"/>
              </w:rPr>
              <w:t>chaque année</w:t>
            </w:r>
            <w:r w:rsidR="00C3620A" w:rsidRPr="00C83DA9">
              <w:rPr>
                <w:color w:val="000000"/>
                <w:sz w:val="22"/>
                <w:szCs w:val="22"/>
                <w:lang w:val="fr-FR" w:eastAsia="zh-CN"/>
              </w:rPr>
              <w:t xml:space="preserve">. </w:t>
            </w:r>
            <w:r w:rsidR="004E5CF5" w:rsidRPr="00C83DA9">
              <w:rPr>
                <w:color w:val="000000"/>
                <w:sz w:val="22"/>
                <w:szCs w:val="22"/>
                <w:lang w:val="fr-FR" w:eastAsia="zh-CN"/>
              </w:rPr>
              <w:t>L'organisation de tables rondes lors du Forum du SMSI sur les thèmes de la réglementation de prochaine génération, de l'apprentissage fondé sur l'IA et de la durabilité numérique témoigne de l'existence d'interdépendances entre le SMSI et les objectifs mondiaux.</w:t>
            </w:r>
          </w:p>
          <w:p w14:paraId="16AA71C4" w14:textId="48B85341" w:rsidR="004E5CF5" w:rsidRPr="00C83DA9" w:rsidRDefault="004F7D98" w:rsidP="00E046A5">
            <w:pPr>
              <w:tabs>
                <w:tab w:val="left" w:pos="284"/>
                <w:tab w:val="left" w:pos="851"/>
                <w:tab w:val="left" w:pos="1418"/>
                <w:tab w:val="left" w:pos="1985"/>
                <w:tab w:val="left" w:pos="2552"/>
                <w:tab w:val="left" w:pos="3119"/>
                <w:tab w:val="left" w:pos="3402"/>
                <w:tab w:val="left" w:pos="3686"/>
                <w:tab w:val="left" w:pos="3969"/>
              </w:tabs>
              <w:spacing w:after="40"/>
              <w:rPr>
                <w:rFonts w:ascii="Calibri" w:eastAsia="Calibri" w:hAnsi="Calibri" w:cs="Calibri"/>
                <w:sz w:val="22"/>
                <w:szCs w:val="22"/>
                <w:lang w:val="fr-FR" w:eastAsia="zh-CN"/>
              </w:rPr>
            </w:pPr>
            <w:r w:rsidRPr="00C83DA9">
              <w:rPr>
                <w:color w:val="000000"/>
                <w:sz w:val="22"/>
                <w:szCs w:val="22"/>
                <w:lang w:val="fr-FR" w:eastAsia="zh-CN"/>
              </w:rPr>
              <w:t>En outre, le BDT a continué de jouer le rôle de</w:t>
            </w:r>
            <w:r w:rsidR="004E5CF5" w:rsidRPr="00C83DA9">
              <w:rPr>
                <w:color w:val="000000"/>
                <w:sz w:val="22"/>
                <w:szCs w:val="22"/>
                <w:lang w:val="fr-FR" w:eastAsia="zh-CN"/>
              </w:rPr>
              <w:t xml:space="preserve"> </w:t>
            </w:r>
            <w:r w:rsidRPr="00C83DA9">
              <w:rPr>
                <w:color w:val="000000"/>
                <w:sz w:val="22"/>
                <w:szCs w:val="22"/>
                <w:lang w:val="fr-FR" w:eastAsia="zh-CN"/>
              </w:rPr>
              <w:t>co-</w:t>
            </w:r>
            <w:r w:rsidR="004E5CF5" w:rsidRPr="00C83DA9">
              <w:rPr>
                <w:color w:val="000000"/>
                <w:sz w:val="22"/>
                <w:szCs w:val="22"/>
                <w:lang w:val="fr-FR" w:eastAsia="zh-CN"/>
              </w:rPr>
              <w:t xml:space="preserve">coordonnateur </w:t>
            </w:r>
            <w:r w:rsidRPr="00C83DA9">
              <w:rPr>
                <w:color w:val="000000"/>
                <w:sz w:val="22"/>
                <w:szCs w:val="22"/>
                <w:lang w:val="fr-FR" w:eastAsia="zh-CN"/>
              </w:rPr>
              <w:t xml:space="preserve">pour les </w:t>
            </w:r>
            <w:r w:rsidR="004E5CF5" w:rsidRPr="00C83DA9">
              <w:rPr>
                <w:color w:val="000000"/>
                <w:sz w:val="22"/>
                <w:szCs w:val="22"/>
                <w:lang w:val="fr-FR" w:eastAsia="zh-CN"/>
              </w:rPr>
              <w:t xml:space="preserve">grandes orientations C1, C3, C7, C9 et C11. Dans le même temps, </w:t>
            </w:r>
            <w:r w:rsidR="00ED0C12" w:rsidRPr="00C83DA9">
              <w:rPr>
                <w:color w:val="000000"/>
                <w:sz w:val="22"/>
                <w:szCs w:val="22"/>
                <w:lang w:val="fr-FR" w:eastAsia="zh-CN"/>
              </w:rPr>
              <w:t>il</w:t>
            </w:r>
            <w:r w:rsidR="002F01E3" w:rsidRPr="00C83DA9">
              <w:rPr>
                <w:color w:val="000000"/>
                <w:sz w:val="22"/>
                <w:szCs w:val="22"/>
                <w:lang w:val="fr-FR" w:eastAsia="zh-CN"/>
              </w:rPr>
              <w:t xml:space="preserve"> </w:t>
            </w:r>
            <w:r w:rsidR="004E5CF5" w:rsidRPr="00C83DA9">
              <w:rPr>
                <w:color w:val="000000"/>
                <w:sz w:val="22"/>
                <w:szCs w:val="22"/>
                <w:lang w:val="fr-FR" w:eastAsia="zh-CN"/>
              </w:rPr>
              <w:t xml:space="preserve">continue d'assumer la responsabilité de </w:t>
            </w:r>
            <w:r w:rsidR="004E5CF5" w:rsidRPr="00C83DA9">
              <w:rPr>
                <w:b/>
                <w:bCs/>
                <w:color w:val="000000"/>
                <w:sz w:val="22"/>
                <w:szCs w:val="22"/>
                <w:lang w:val="fr-FR" w:eastAsia="zh-CN"/>
              </w:rPr>
              <w:t>cinq des sept indicateurs des ODD relatifs aux TIC</w:t>
            </w:r>
            <w:r w:rsidR="004E5CF5" w:rsidRPr="00C83DA9">
              <w:rPr>
                <w:color w:val="000000"/>
                <w:sz w:val="22"/>
                <w:szCs w:val="22"/>
                <w:lang w:val="fr-FR" w:eastAsia="zh-CN"/>
              </w:rPr>
              <w:t xml:space="preserve"> s'inscrivant dans le cadre mondial de suivi et montre </w:t>
            </w:r>
            <w:r w:rsidR="00337708" w:rsidRPr="00C83DA9">
              <w:rPr>
                <w:color w:val="000000"/>
                <w:sz w:val="22"/>
                <w:szCs w:val="22"/>
                <w:lang w:val="fr-FR" w:eastAsia="zh-CN"/>
              </w:rPr>
              <w:t xml:space="preserve">qu'il </w:t>
            </w:r>
            <w:r w:rsidR="004E5CF5" w:rsidRPr="00C83DA9">
              <w:rPr>
                <w:color w:val="000000"/>
                <w:sz w:val="22"/>
                <w:szCs w:val="22"/>
                <w:lang w:val="fr-FR" w:eastAsia="zh-CN"/>
              </w:rPr>
              <w:t xml:space="preserve">joue un rôle essentiel dans l'évaluation des progrès accomplis. </w:t>
            </w:r>
            <w:r w:rsidR="00A87895" w:rsidRPr="00C83DA9">
              <w:rPr>
                <w:color w:val="000000"/>
                <w:sz w:val="22"/>
                <w:szCs w:val="22"/>
                <w:lang w:val="fr-FR" w:eastAsia="zh-CN"/>
              </w:rPr>
              <w:t>Le BDT a continué de codiriger le</w:t>
            </w:r>
            <w:r w:rsidR="004E5CF5" w:rsidRPr="00C83DA9">
              <w:rPr>
                <w:color w:val="000000"/>
                <w:sz w:val="22"/>
                <w:szCs w:val="22"/>
                <w:lang w:val="fr-FR" w:eastAsia="zh-CN"/>
              </w:rPr>
              <w:t xml:space="preserve"> </w:t>
            </w:r>
            <w:r w:rsidR="004E5CF5" w:rsidRPr="00C83DA9">
              <w:rPr>
                <w:i/>
                <w:iCs/>
                <w:color w:val="000000"/>
                <w:sz w:val="22"/>
                <w:szCs w:val="22"/>
                <w:lang w:val="fr-FR" w:eastAsia="zh-CN"/>
              </w:rPr>
              <w:t xml:space="preserve">Partenariat sur la mesure des TIC au service du développement, </w:t>
            </w:r>
            <w:r w:rsidR="0016469C" w:rsidRPr="00C83DA9">
              <w:rPr>
                <w:color w:val="000000"/>
                <w:sz w:val="22"/>
                <w:szCs w:val="22"/>
                <w:lang w:val="fr-FR" w:eastAsia="zh-CN"/>
              </w:rPr>
              <w:t xml:space="preserve">qui s'est élargi au fil du temps et qui </w:t>
            </w:r>
            <w:r w:rsidR="004E5CF5" w:rsidRPr="00C83DA9">
              <w:rPr>
                <w:color w:val="000000"/>
                <w:sz w:val="22"/>
                <w:szCs w:val="22"/>
                <w:lang w:val="fr-FR" w:eastAsia="zh-CN"/>
              </w:rPr>
              <w:t xml:space="preserve">inclut maintenant </w:t>
            </w:r>
            <w:r w:rsidR="004E5CF5" w:rsidRPr="00C83DA9">
              <w:rPr>
                <w:b/>
                <w:bCs/>
                <w:color w:val="000000"/>
                <w:sz w:val="22"/>
                <w:szCs w:val="22"/>
                <w:lang w:val="fr-FR" w:eastAsia="zh-CN"/>
              </w:rPr>
              <w:t>14 organisations</w:t>
            </w:r>
            <w:r w:rsidR="004E5CF5" w:rsidRPr="00C83DA9">
              <w:rPr>
                <w:color w:val="000000"/>
                <w:sz w:val="22"/>
                <w:szCs w:val="22"/>
                <w:lang w:val="fr-FR" w:eastAsia="zh-CN"/>
              </w:rPr>
              <w:t xml:space="preserve">, </w:t>
            </w:r>
            <w:r w:rsidR="0016469C" w:rsidRPr="00C83DA9">
              <w:rPr>
                <w:color w:val="000000"/>
                <w:sz w:val="22"/>
                <w:szCs w:val="22"/>
                <w:lang w:val="fr-FR" w:eastAsia="zh-CN"/>
              </w:rPr>
              <w:t xml:space="preserve">ce qui </w:t>
            </w:r>
            <w:r w:rsidR="004E5CF5" w:rsidRPr="00C83DA9">
              <w:rPr>
                <w:color w:val="000000"/>
                <w:sz w:val="22"/>
                <w:szCs w:val="22"/>
                <w:lang w:val="fr-FR" w:eastAsia="zh-CN"/>
              </w:rPr>
              <w:t>a permis de renforcer la collaboration dans le domaine des données et des statistiques.</w:t>
            </w:r>
          </w:p>
          <w:p w14:paraId="23DB3A5B" w14:textId="625ECBF0" w:rsidR="004E5CF5" w:rsidRPr="00C83DA9" w:rsidRDefault="004E5CF5" w:rsidP="00E046A5">
            <w:pPr>
              <w:tabs>
                <w:tab w:val="left" w:pos="284"/>
                <w:tab w:val="left" w:pos="851"/>
                <w:tab w:val="left" w:pos="1418"/>
                <w:tab w:val="left" w:pos="1985"/>
                <w:tab w:val="left" w:pos="2552"/>
                <w:tab w:val="left" w:pos="3119"/>
                <w:tab w:val="left" w:pos="3402"/>
                <w:tab w:val="left" w:pos="3686"/>
                <w:tab w:val="left" w:pos="3969"/>
              </w:tabs>
              <w:spacing w:after="40"/>
              <w:rPr>
                <w:color w:val="000000"/>
                <w:sz w:val="22"/>
                <w:szCs w:val="22"/>
                <w:lang w:val="fr-FR" w:eastAsia="zh-CN"/>
              </w:rPr>
            </w:pPr>
            <w:r w:rsidRPr="00C83DA9">
              <w:rPr>
                <w:color w:val="000000"/>
                <w:sz w:val="22"/>
                <w:szCs w:val="22"/>
                <w:lang w:val="fr-FR" w:eastAsia="zh-CN"/>
              </w:rPr>
              <w:t>Au niveau national, l'UIT-D a apporté sa contribution aux travaux des équipes de pays des Nations Unies, et ainsi aidé à intégrer la transformation numérique dans les cadres plus larges du développement durable. L'enveloppe du Fonds commun pour les ODD dédiée aux projets numériques, expérimentée en 2024, a montré que les résultats du SMSI pouvaient être mis en œuvre.</w:t>
            </w:r>
          </w:p>
          <w:p w14:paraId="2C5A79D8" w14:textId="77777777" w:rsidR="004E5CF5" w:rsidRPr="00C83DA9" w:rsidRDefault="004E5CF5" w:rsidP="00E046A5">
            <w:pPr>
              <w:tabs>
                <w:tab w:val="left" w:pos="284"/>
                <w:tab w:val="left" w:pos="851"/>
                <w:tab w:val="left" w:pos="1418"/>
                <w:tab w:val="left" w:pos="1985"/>
                <w:tab w:val="left" w:pos="2552"/>
                <w:tab w:val="left" w:pos="3119"/>
                <w:tab w:val="left" w:pos="3402"/>
                <w:tab w:val="left" w:pos="3686"/>
                <w:tab w:val="left" w:pos="3969"/>
              </w:tabs>
              <w:spacing w:after="40"/>
              <w:rPr>
                <w:rFonts w:ascii="Calibri" w:eastAsia="Calibri" w:hAnsi="Calibri" w:cs="Calibri"/>
                <w:sz w:val="22"/>
                <w:szCs w:val="22"/>
                <w:lang w:val="fr-FR" w:eastAsia="zh-CN"/>
              </w:rPr>
            </w:pPr>
            <w:r w:rsidRPr="00C83DA9">
              <w:rPr>
                <w:color w:val="000000"/>
                <w:sz w:val="22"/>
                <w:szCs w:val="22"/>
                <w:lang w:val="fr-FR" w:eastAsia="zh-CN"/>
              </w:rPr>
              <w:t>Enfin, le rôle de premier plan de l'UIT-D a été réaffirmé lors de la manifestation de haut niveau du SMSI+20 à Genève (mai 2024), et dans le cadre des actions menées dans son prolongement en 2025. Les bureaux régionaux ont veillé à ce que leurs travaux soient alignés sur ceux des instances des Nations Unies sur le développement durable, afin d'assurer une plus grande cohérence entre les politiques numériques et les programmes de développement au sens large.</w:t>
            </w:r>
          </w:p>
          <w:p w14:paraId="26012392" w14:textId="77777777" w:rsidR="004E5CF5" w:rsidRPr="00C83DA9" w:rsidRDefault="004E5CF5" w:rsidP="00E046A5">
            <w:pPr>
              <w:keepNext/>
              <w:keepLines/>
              <w:tabs>
                <w:tab w:val="left" w:pos="284"/>
                <w:tab w:val="left" w:pos="851"/>
                <w:tab w:val="left" w:pos="1418"/>
                <w:tab w:val="left" w:pos="1985"/>
                <w:tab w:val="left" w:pos="2552"/>
                <w:tab w:val="left" w:pos="3119"/>
                <w:tab w:val="left" w:pos="3402"/>
                <w:tab w:val="left" w:pos="3686"/>
                <w:tab w:val="left" w:pos="3969"/>
              </w:tabs>
              <w:spacing w:after="120"/>
              <w:rPr>
                <w:rFonts w:eastAsia="SimSun" w:cstheme="minorBidi"/>
                <w:b/>
                <w:bCs/>
                <w:sz w:val="22"/>
                <w:szCs w:val="22"/>
                <w:lang w:val="fr-FR" w:eastAsia="zh-CN"/>
              </w:rPr>
            </w:pPr>
            <w:r w:rsidRPr="00C83DA9">
              <w:rPr>
                <w:b/>
                <w:bCs/>
                <w:color w:val="000000"/>
                <w:sz w:val="22"/>
                <w:szCs w:val="22"/>
                <w:lang w:val="fr-FR" w:eastAsia="zh-CN"/>
              </w:rPr>
              <w:t xml:space="preserve">Coalition </w:t>
            </w:r>
            <w:r w:rsidRPr="00C83DA9">
              <w:rPr>
                <w:b/>
                <w:sz w:val="22"/>
                <w:szCs w:val="22"/>
                <w:lang w:val="fr-FR"/>
              </w:rPr>
              <w:t>pour</w:t>
            </w:r>
            <w:r w:rsidRPr="00C83DA9">
              <w:rPr>
                <w:b/>
                <w:bCs/>
                <w:color w:val="000000"/>
                <w:sz w:val="22"/>
                <w:szCs w:val="22"/>
                <w:lang w:val="fr-FR" w:eastAsia="zh-CN"/>
              </w:rPr>
              <w:t xml:space="preserve"> le numérique "Partner2Connect" (P2C) de l'UIT</w:t>
            </w:r>
          </w:p>
          <w:p w14:paraId="14BE5230" w14:textId="33BF125B" w:rsidR="004E5CF5" w:rsidRPr="00C83DA9" w:rsidRDefault="004E5CF5" w:rsidP="00E046A5">
            <w:pPr>
              <w:keepNext/>
              <w:keepLines/>
              <w:tabs>
                <w:tab w:val="left" w:pos="284"/>
                <w:tab w:val="left" w:pos="851"/>
                <w:tab w:val="left" w:pos="1418"/>
                <w:tab w:val="left" w:pos="1985"/>
                <w:tab w:val="left" w:pos="2552"/>
                <w:tab w:val="left" w:pos="3119"/>
                <w:tab w:val="left" w:pos="3402"/>
                <w:tab w:val="left" w:pos="3686"/>
                <w:tab w:val="left" w:pos="3969"/>
              </w:tabs>
              <w:spacing w:after="40"/>
              <w:rPr>
                <w:rFonts w:cstheme="minorBidi"/>
                <w:sz w:val="22"/>
                <w:szCs w:val="22"/>
                <w:lang w:val="fr-FR" w:eastAsia="zh-CN"/>
              </w:rPr>
            </w:pPr>
            <w:r w:rsidRPr="00C83DA9">
              <w:rPr>
                <w:color w:val="000000"/>
                <w:sz w:val="22"/>
                <w:szCs w:val="22"/>
                <w:lang w:val="fr-FR" w:eastAsia="zh-CN"/>
              </w:rPr>
              <w:t>Lancée par l'UIT, en étroite coopération avec le Bureau de l'Envoyé du Secrétaire général de l'ONU pour les technologies, et conformément au Plan d'action pour la coopération numérique du Secrétaire général de l'ONU, la Coalition P2C est une alliance multi</w:t>
            </w:r>
            <w:r w:rsidR="00917571" w:rsidRPr="00C83DA9">
              <w:rPr>
                <w:color w:val="000000"/>
                <w:sz w:val="22"/>
                <w:szCs w:val="22"/>
                <w:lang w:val="fr-FR" w:eastAsia="zh-CN"/>
              </w:rPr>
              <w:noBreakHyphen/>
            </w:r>
            <w:r w:rsidRPr="00C83DA9">
              <w:rPr>
                <w:color w:val="000000"/>
                <w:sz w:val="22"/>
                <w:szCs w:val="22"/>
                <w:lang w:val="fr-FR" w:eastAsia="zh-CN"/>
              </w:rPr>
              <w:t xml:space="preserve">parties prenantes visant à mobiliser des ressources et à encourager les partenariats en vue de parvenir à une connectivité universelle efficace et à une transformation numérique durable. Guidée par son </w:t>
            </w:r>
            <w:r w:rsidRPr="00C83DA9">
              <w:rPr>
                <w:b/>
                <w:bCs/>
                <w:color w:val="000000"/>
                <w:sz w:val="22"/>
                <w:szCs w:val="22"/>
                <w:lang w:val="fr-FR" w:eastAsia="zh-CN"/>
              </w:rPr>
              <w:t>cadre d'action</w:t>
            </w:r>
            <w:r w:rsidRPr="00C83DA9">
              <w:rPr>
                <w:color w:val="000000"/>
                <w:sz w:val="22"/>
                <w:szCs w:val="22"/>
                <w:lang w:val="fr-FR" w:eastAsia="zh-CN"/>
              </w:rPr>
              <w:t>, la Coalition réunit les gouvernements, le secteur privé, la société civile et les organisations internationales dans le but d'aligner les engagements sur les priorités nationales et le Plan d'action de Kigali.</w:t>
            </w:r>
          </w:p>
          <w:p w14:paraId="6463AD1D" w14:textId="69C2A288" w:rsidR="004E5CF5" w:rsidRPr="00C83DA9" w:rsidRDefault="004E5CF5" w:rsidP="00E046A5">
            <w:pPr>
              <w:keepNext/>
              <w:keepLines/>
              <w:tabs>
                <w:tab w:val="left" w:pos="284"/>
                <w:tab w:val="left" w:pos="851"/>
                <w:tab w:val="left" w:pos="1418"/>
                <w:tab w:val="left" w:pos="1985"/>
                <w:tab w:val="left" w:pos="2552"/>
                <w:tab w:val="left" w:pos="3119"/>
                <w:tab w:val="left" w:pos="3402"/>
                <w:tab w:val="left" w:pos="3686"/>
                <w:tab w:val="left" w:pos="3969"/>
              </w:tabs>
              <w:spacing w:after="40"/>
              <w:rPr>
                <w:rFonts w:ascii="Calibri" w:eastAsia="Calibri" w:hAnsi="Calibri" w:cs="Calibri"/>
                <w:sz w:val="22"/>
                <w:szCs w:val="22"/>
                <w:lang w:val="fr-FR" w:eastAsia="zh-CN"/>
              </w:rPr>
            </w:pPr>
            <w:r w:rsidRPr="00C83DA9">
              <w:rPr>
                <w:color w:val="000000"/>
                <w:sz w:val="22"/>
                <w:szCs w:val="22"/>
                <w:lang w:val="fr-FR" w:eastAsia="zh-CN"/>
              </w:rPr>
              <w:t xml:space="preserve">Conformément à la </w:t>
            </w:r>
            <w:r w:rsidRPr="00C83DA9">
              <w:rPr>
                <w:sz w:val="22"/>
                <w:szCs w:val="22"/>
                <w:lang w:val="fr-FR" w:eastAsia="zh-CN"/>
              </w:rPr>
              <w:t xml:space="preserve">Résolution </w:t>
            </w:r>
            <w:hyperlink r:id="rId240" w:history="1">
              <w:r w:rsidRPr="00C83DA9">
                <w:rPr>
                  <w:color w:val="0000FF"/>
                  <w:sz w:val="22"/>
                  <w:szCs w:val="22"/>
                  <w:u w:val="single"/>
                  <w:lang w:val="fr-FR" w:eastAsia="zh-CN"/>
                </w:rPr>
                <w:t>88 (Kigali, 2022)</w:t>
              </w:r>
            </w:hyperlink>
            <w:r w:rsidRPr="00C83DA9">
              <w:rPr>
                <w:sz w:val="22"/>
                <w:szCs w:val="22"/>
                <w:lang w:val="fr-FR" w:eastAsia="zh-CN"/>
              </w:rPr>
              <w:t xml:space="preserve"> de la CMDT</w:t>
            </w:r>
            <w:r w:rsidRPr="00C83DA9">
              <w:rPr>
                <w:color w:val="000000"/>
                <w:sz w:val="22"/>
                <w:szCs w:val="22"/>
                <w:lang w:val="fr-FR" w:eastAsia="zh-CN"/>
              </w:rPr>
              <w:t xml:space="preserve">, la Coalition P2C est devenue une plate-forme permettant de mobiliser des engagements en faveur du développement numérique. Les activités mondiales de la Coalition ont été complétées par des sessions de mise en relation organisées </w:t>
            </w:r>
            <w:r w:rsidR="005F6D0D" w:rsidRPr="00C83DA9">
              <w:rPr>
                <w:color w:val="000000"/>
                <w:sz w:val="22"/>
                <w:szCs w:val="22"/>
                <w:lang w:val="fr-FR" w:eastAsia="zh-CN"/>
              </w:rPr>
              <w:t xml:space="preserve">par le BDT </w:t>
            </w:r>
            <w:r w:rsidRPr="00C83DA9">
              <w:rPr>
                <w:color w:val="000000"/>
                <w:sz w:val="22"/>
                <w:szCs w:val="22"/>
                <w:lang w:val="fr-FR" w:eastAsia="zh-CN"/>
              </w:rPr>
              <w:t>lors des Forums régionaux sur le développement, au cours desquelles les pays ont exprimé des besoins concrets et les partenaires ont répondu en proposant des offres d'appui ciblées, afin que la mobilisation des ressources se traduise par des réalisations mesurables.</w:t>
            </w:r>
          </w:p>
          <w:p w14:paraId="5EF51BC8" w14:textId="77777777" w:rsidR="004E5CF5" w:rsidRPr="00C83DA9"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color w:val="000000"/>
                <w:sz w:val="22"/>
                <w:szCs w:val="22"/>
                <w:lang w:val="fr-FR" w:eastAsia="zh-CN"/>
              </w:rPr>
            </w:pPr>
            <w:r w:rsidRPr="00C83DA9">
              <w:rPr>
                <w:color w:val="000000"/>
                <w:sz w:val="22"/>
                <w:szCs w:val="22"/>
                <w:lang w:val="fr-FR" w:eastAsia="zh-CN"/>
              </w:rPr>
              <w:t>Chaque région a mis en avant des défis et des perspectives spécifiques allant des lacunes en matière d'infrastructures aux obstacles liés à l'accessibilité financière en passant par les compétences numériques, la cybersécurité et les technologies émergentes.</w:t>
            </w:r>
          </w:p>
          <w:p w14:paraId="7C37B739" w14:textId="77777777" w:rsidR="004E5CF5" w:rsidRPr="00C83DA9"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240"/>
              <w:rPr>
                <w:rFonts w:cstheme="minorBidi"/>
                <w:b/>
                <w:sz w:val="22"/>
                <w:szCs w:val="22"/>
                <w:lang w:val="fr-FR" w:eastAsia="zh-CN"/>
              </w:rPr>
            </w:pPr>
            <w:r w:rsidRPr="00C83DA9">
              <w:rPr>
                <w:color w:val="000000"/>
                <w:sz w:val="22"/>
                <w:szCs w:val="22"/>
                <w:lang w:val="fr-FR" w:eastAsia="zh-CN"/>
              </w:rPr>
              <w:lastRenderedPageBreak/>
              <w:t>Dans tous les forums, les participants ont réfléchi à des solutions fondées sur l'investissement conjoint et l'innovation dans le domaine politique pour réduire les fractures numériques persistantes et accélérer les progrès. Les différentes régions ont souligné l'importance de traduire les engagements en mesures concrètes et de tirer parti de la Coalition P2C pour accroître les retombées.</w:t>
            </w:r>
          </w:p>
        </w:tc>
        <w:tc>
          <w:tcPr>
            <w:tcW w:w="2537" w:type="dxa"/>
            <w:tcBorders>
              <w:top w:val="dotted" w:sz="4" w:space="0" w:color="0070C0"/>
              <w:left w:val="dotted" w:sz="4" w:space="0" w:color="0070C0"/>
              <w:bottom w:val="dotted" w:sz="4" w:space="0" w:color="0070C0"/>
              <w:right w:val="dotted" w:sz="4" w:space="0" w:color="0070C0"/>
            </w:tcBorders>
          </w:tcPr>
          <w:p w14:paraId="007CF14F" w14:textId="77777777" w:rsidR="004E5CF5" w:rsidRPr="00C83DA9" w:rsidRDefault="004E5CF5" w:rsidP="0067293A">
            <w:pPr>
              <w:pStyle w:val="Tabletext"/>
              <w:keepNext/>
              <w:spacing w:before="120"/>
              <w:rPr>
                <w:b/>
                <w:bCs/>
                <w:color w:val="0070C0"/>
                <w:sz w:val="22"/>
                <w:szCs w:val="22"/>
                <w:lang w:val="fr-FR"/>
              </w:rPr>
            </w:pPr>
            <w:r w:rsidRPr="00C83DA9">
              <w:rPr>
                <w:b/>
                <w:bCs/>
                <w:color w:val="0070C0"/>
                <w:sz w:val="22"/>
                <w:szCs w:val="22"/>
                <w:lang w:val="fr-FR"/>
              </w:rPr>
              <w:lastRenderedPageBreak/>
              <w:t>Membres:</w:t>
            </w:r>
          </w:p>
          <w:p w14:paraId="544210E1" w14:textId="0CCEA688" w:rsidR="004E5CF5" w:rsidRPr="00C83DA9" w:rsidRDefault="004E5CF5" w:rsidP="00202BFA">
            <w:pPr>
              <w:pStyle w:val="enumlev1"/>
              <w:tabs>
                <w:tab w:val="clear" w:pos="1134"/>
              </w:tabs>
              <w:spacing w:before="40" w:after="40"/>
              <w:ind w:left="386" w:right="-102" w:hanging="386"/>
              <w:rPr>
                <w:rFonts w:eastAsiaTheme="minorEastAsia" w:cstheme="minorBidi"/>
                <w:color w:val="1F497D" w:themeColor="text2"/>
                <w:sz w:val="22"/>
                <w:szCs w:val="22"/>
                <w:lang w:val="fr-FR"/>
              </w:rPr>
            </w:pPr>
            <w:r w:rsidRPr="00C83DA9">
              <w:rPr>
                <w:color w:val="1F497D" w:themeColor="text2"/>
                <w:sz w:val="22"/>
                <w:szCs w:val="22"/>
                <w:lang w:val="fr-FR"/>
              </w:rPr>
              <w:t>•</w:t>
            </w:r>
            <w:r w:rsidRPr="00C83DA9">
              <w:rPr>
                <w:color w:val="1F497D" w:themeColor="text2"/>
                <w:sz w:val="22"/>
                <w:szCs w:val="22"/>
                <w:lang w:val="fr-FR"/>
              </w:rPr>
              <w:tab/>
            </w:r>
            <w:r w:rsidR="00775887" w:rsidRPr="00C83DA9">
              <w:rPr>
                <w:color w:val="1F497D" w:themeColor="text2"/>
                <w:sz w:val="22"/>
                <w:szCs w:val="22"/>
                <w:lang w:val="fr-FR"/>
              </w:rPr>
              <w:t>126 </w:t>
            </w:r>
            <w:r w:rsidRPr="00C83DA9">
              <w:rPr>
                <w:color w:val="1F497D" w:themeColor="text2"/>
                <w:sz w:val="22"/>
                <w:szCs w:val="22"/>
                <w:lang w:val="fr-FR"/>
              </w:rPr>
              <w:t xml:space="preserve">nouveaux membres depuis 2023, </w:t>
            </w:r>
            <w:r w:rsidRPr="00C83DA9">
              <w:rPr>
                <w:rFonts w:eastAsiaTheme="minorEastAsia"/>
                <w:color w:val="1F497D" w:themeColor="text2"/>
                <w:sz w:val="22"/>
                <w:szCs w:val="22"/>
                <w:lang w:val="fr-FR"/>
              </w:rPr>
              <w:t>record des dix</w:t>
            </w:r>
            <w:r w:rsidR="00E046A5">
              <w:rPr>
                <w:rFonts w:eastAsiaTheme="minorEastAsia"/>
                <w:color w:val="1F497D" w:themeColor="text2"/>
                <w:sz w:val="22"/>
                <w:szCs w:val="22"/>
                <w:lang w:val="fr-FR"/>
              </w:rPr>
              <w:t> </w:t>
            </w:r>
            <w:r w:rsidRPr="00C83DA9">
              <w:rPr>
                <w:rFonts w:eastAsiaTheme="minorEastAsia"/>
                <w:color w:val="1F497D" w:themeColor="text2"/>
                <w:sz w:val="22"/>
                <w:szCs w:val="22"/>
                <w:lang w:val="fr-FR"/>
              </w:rPr>
              <w:t>dernières années.</w:t>
            </w:r>
          </w:p>
          <w:p w14:paraId="058E75E3" w14:textId="42FB0D5B" w:rsidR="004E5CF5" w:rsidRPr="00C83DA9" w:rsidRDefault="004E5CF5" w:rsidP="00202BFA">
            <w:pPr>
              <w:pStyle w:val="enumlev1"/>
              <w:tabs>
                <w:tab w:val="clear" w:pos="1134"/>
              </w:tabs>
              <w:spacing w:before="40" w:after="40"/>
              <w:ind w:left="386" w:right="-102" w:hanging="386"/>
              <w:rPr>
                <w:rFonts w:eastAsiaTheme="minorEastAsia" w:cstheme="minorBidi"/>
                <w:color w:val="1F497D" w:themeColor="text2"/>
                <w:sz w:val="22"/>
                <w:szCs w:val="22"/>
                <w:lang w:val="fr-FR"/>
              </w:rPr>
            </w:pPr>
            <w:r w:rsidRPr="00C83DA9">
              <w:rPr>
                <w:rFonts w:eastAsiaTheme="minorEastAsia"/>
                <w:color w:val="1F497D" w:themeColor="text2"/>
                <w:sz w:val="22"/>
                <w:szCs w:val="22"/>
                <w:lang w:val="fr-FR"/>
              </w:rPr>
              <w:t>•</w:t>
            </w:r>
            <w:r w:rsidRPr="00C83DA9">
              <w:rPr>
                <w:rFonts w:eastAsiaTheme="minorEastAsia"/>
                <w:color w:val="1F497D" w:themeColor="text2"/>
                <w:sz w:val="22"/>
                <w:szCs w:val="22"/>
                <w:lang w:val="fr-FR"/>
              </w:rPr>
              <w:tab/>
              <w:t>Plus de 200</w:t>
            </w:r>
            <w:r w:rsidR="001B1CF5" w:rsidRPr="00C83DA9">
              <w:rPr>
                <w:rFonts w:eastAsiaTheme="minorEastAsia"/>
                <w:color w:val="1F497D" w:themeColor="text2"/>
                <w:sz w:val="22"/>
                <w:szCs w:val="22"/>
                <w:lang w:val="fr-FR"/>
              </w:rPr>
              <w:t> </w:t>
            </w:r>
            <w:r w:rsidRPr="00C83DA9">
              <w:rPr>
                <w:rFonts w:eastAsiaTheme="minorEastAsia"/>
                <w:color w:val="1F497D" w:themeColor="text2"/>
                <w:sz w:val="22"/>
                <w:szCs w:val="22"/>
                <w:lang w:val="fr-FR"/>
              </w:rPr>
              <w:t>participants aux réunions du Groupe IAGDI-CRO.</w:t>
            </w:r>
          </w:p>
          <w:p w14:paraId="454D44DB" w14:textId="51AE818E" w:rsidR="004E5CF5" w:rsidRPr="00C83DA9" w:rsidRDefault="004E5CF5" w:rsidP="00202BFA">
            <w:pPr>
              <w:pStyle w:val="enumlev1"/>
              <w:tabs>
                <w:tab w:val="clear" w:pos="1134"/>
              </w:tabs>
              <w:spacing w:before="40" w:after="40"/>
              <w:ind w:left="386" w:right="-102" w:hanging="386"/>
              <w:rPr>
                <w:rFonts w:ascii="Calibri" w:eastAsia="Calibri" w:hAnsi="Calibri" w:cs="Calibri"/>
                <w:color w:val="1F497D" w:themeColor="text2"/>
                <w:sz w:val="22"/>
                <w:szCs w:val="22"/>
                <w:lang w:val="fr-FR" w:eastAsia="zh-CN"/>
              </w:rPr>
            </w:pPr>
            <w:r w:rsidRPr="00C83DA9">
              <w:rPr>
                <w:rFonts w:eastAsiaTheme="minorEastAsia"/>
                <w:color w:val="1F497D" w:themeColor="text2"/>
                <w:sz w:val="22"/>
                <w:szCs w:val="22"/>
                <w:lang w:val="fr-FR"/>
              </w:rPr>
              <w:t>•</w:t>
            </w:r>
            <w:r w:rsidRPr="00C83DA9">
              <w:rPr>
                <w:rFonts w:eastAsiaTheme="minorEastAsia"/>
                <w:color w:val="1F497D" w:themeColor="text2"/>
                <w:sz w:val="22"/>
                <w:szCs w:val="22"/>
                <w:lang w:val="fr-FR"/>
              </w:rPr>
              <w:tab/>
            </w:r>
            <w:r w:rsidR="00775887" w:rsidRPr="00C83DA9">
              <w:rPr>
                <w:rFonts w:eastAsiaTheme="minorEastAsia"/>
                <w:color w:val="1F497D" w:themeColor="text2"/>
                <w:sz w:val="22"/>
                <w:szCs w:val="22"/>
                <w:lang w:val="fr-FR"/>
              </w:rPr>
              <w:t xml:space="preserve">542 </w:t>
            </w:r>
            <w:r w:rsidRPr="00C83DA9">
              <w:rPr>
                <w:rFonts w:eastAsiaTheme="minorEastAsia"/>
                <w:color w:val="1F497D" w:themeColor="text2"/>
                <w:sz w:val="22"/>
                <w:szCs w:val="22"/>
                <w:lang w:val="fr-FR"/>
              </w:rPr>
              <w:t>membres</w:t>
            </w:r>
            <w:r w:rsidRPr="00C83DA9">
              <w:rPr>
                <w:color w:val="1F497D" w:themeColor="text2"/>
                <w:sz w:val="22"/>
                <w:szCs w:val="22"/>
                <w:lang w:val="fr-FR"/>
              </w:rPr>
              <w:t xml:space="preserve"> au total en août 2025.</w:t>
            </w:r>
          </w:p>
          <w:p w14:paraId="405752A9" w14:textId="77777777" w:rsidR="004E5CF5" w:rsidRPr="00C83DA9" w:rsidRDefault="004E5CF5" w:rsidP="0067293A">
            <w:pPr>
              <w:pStyle w:val="Tabletext"/>
              <w:keepNext/>
              <w:spacing w:before="120"/>
              <w:rPr>
                <w:b/>
                <w:bCs/>
                <w:color w:val="0070C0"/>
                <w:sz w:val="22"/>
                <w:szCs w:val="22"/>
                <w:lang w:val="fr-FR"/>
              </w:rPr>
            </w:pPr>
            <w:r w:rsidRPr="00C83DA9">
              <w:rPr>
                <w:b/>
                <w:bCs/>
                <w:color w:val="0070C0"/>
                <w:sz w:val="22"/>
                <w:szCs w:val="22"/>
                <w:lang w:val="fr-FR"/>
              </w:rPr>
              <w:t>Commissions d'études:</w:t>
            </w:r>
          </w:p>
          <w:p w14:paraId="710AF3B6"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szCs w:val="22"/>
                <w:lang w:val="fr-FR"/>
              </w:rPr>
            </w:pPr>
            <w:r w:rsidRPr="00C83DA9">
              <w:rPr>
                <w:color w:val="1F497D" w:themeColor="text2"/>
                <w:sz w:val="22"/>
                <w:szCs w:val="22"/>
                <w:lang w:val="fr-FR"/>
              </w:rPr>
              <w:t>•</w:t>
            </w:r>
            <w:r w:rsidRPr="00C83DA9">
              <w:rPr>
                <w:color w:val="1F497D" w:themeColor="text2"/>
                <w:sz w:val="22"/>
                <w:szCs w:val="22"/>
                <w:lang w:val="fr-FR"/>
              </w:rPr>
              <w:tab/>
              <w:t xml:space="preserve">3 produits </w:t>
            </w:r>
            <w:r w:rsidRPr="00C83DA9">
              <w:rPr>
                <w:rFonts w:eastAsiaTheme="minorEastAsia"/>
                <w:color w:val="1F497D" w:themeColor="text2"/>
                <w:sz w:val="22"/>
                <w:szCs w:val="22"/>
                <w:lang w:val="fr-FR"/>
              </w:rPr>
              <w:t>intérimaires approuvés à la réunion de la CE 1 de l'UIT-D.</w:t>
            </w:r>
          </w:p>
          <w:p w14:paraId="4C34708C"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szCs w:val="22"/>
                <w:lang w:val="fr-FR"/>
              </w:rPr>
            </w:pPr>
            <w:r w:rsidRPr="00C83DA9">
              <w:rPr>
                <w:rFonts w:eastAsiaTheme="minorEastAsia"/>
                <w:color w:val="1F497D" w:themeColor="text2"/>
                <w:sz w:val="22"/>
                <w:szCs w:val="22"/>
                <w:lang w:val="fr-FR"/>
              </w:rPr>
              <w:t>•</w:t>
            </w:r>
            <w:r w:rsidRPr="00C83DA9">
              <w:rPr>
                <w:rFonts w:eastAsiaTheme="minorEastAsia"/>
                <w:color w:val="1F497D" w:themeColor="text2"/>
                <w:sz w:val="22"/>
                <w:szCs w:val="22"/>
                <w:lang w:val="fr-FR"/>
              </w:rPr>
              <w:tab/>
              <w:t>185 documents examinés à la réunion de la CE 1 de l'UIT-D.</w:t>
            </w:r>
          </w:p>
          <w:p w14:paraId="12CE8633" w14:textId="77777777" w:rsidR="004E5CF5" w:rsidRPr="00C83DA9" w:rsidRDefault="004E5CF5" w:rsidP="00202BFA">
            <w:pPr>
              <w:pStyle w:val="enumlev1"/>
              <w:tabs>
                <w:tab w:val="clear" w:pos="1134"/>
              </w:tabs>
              <w:spacing w:before="40" w:after="40"/>
              <w:ind w:left="386" w:right="-102" w:hanging="386"/>
              <w:rPr>
                <w:color w:val="1F497D" w:themeColor="text2"/>
                <w:sz w:val="22"/>
                <w:szCs w:val="22"/>
                <w:lang w:val="fr-FR"/>
              </w:rPr>
            </w:pPr>
            <w:r w:rsidRPr="00C83DA9">
              <w:rPr>
                <w:rFonts w:eastAsiaTheme="minorEastAsia"/>
                <w:color w:val="1F497D" w:themeColor="text2"/>
                <w:sz w:val="22"/>
                <w:szCs w:val="22"/>
                <w:lang w:val="fr-FR"/>
              </w:rPr>
              <w:t>•</w:t>
            </w:r>
            <w:r w:rsidRPr="00C83DA9">
              <w:rPr>
                <w:rFonts w:eastAsiaTheme="minorEastAsia"/>
                <w:color w:val="1F497D" w:themeColor="text2"/>
                <w:sz w:val="22"/>
                <w:szCs w:val="22"/>
                <w:lang w:val="fr-FR"/>
              </w:rPr>
              <w:tab/>
              <w:t>1 produit</w:t>
            </w:r>
            <w:r w:rsidRPr="00C83DA9">
              <w:rPr>
                <w:color w:val="1F497D" w:themeColor="text2"/>
                <w:sz w:val="22"/>
                <w:szCs w:val="22"/>
                <w:lang w:val="fr-FR"/>
              </w:rPr>
              <w:t xml:space="preserve"> intérimaire approuvé à la réunion de la CE 2 de l'UIT-D.</w:t>
            </w:r>
          </w:p>
          <w:p w14:paraId="17FF161E" w14:textId="77777777" w:rsidR="004E5CF5" w:rsidRPr="00C83DA9" w:rsidRDefault="004E5CF5" w:rsidP="00202BFA">
            <w:pPr>
              <w:pStyle w:val="enumlev1"/>
              <w:tabs>
                <w:tab w:val="clear" w:pos="1134"/>
              </w:tabs>
              <w:spacing w:before="40" w:after="40"/>
              <w:ind w:left="386" w:right="-102" w:hanging="386"/>
              <w:rPr>
                <w:rFonts w:ascii="Calibri" w:eastAsia="Calibri" w:hAnsi="Calibri" w:cs="Calibri"/>
                <w:color w:val="1F497D" w:themeColor="text2"/>
                <w:sz w:val="22"/>
                <w:szCs w:val="22"/>
                <w:lang w:val="fr-FR" w:eastAsia="zh-CN"/>
              </w:rPr>
            </w:pPr>
            <w:r w:rsidRPr="00C83DA9">
              <w:rPr>
                <w:color w:val="1F497D" w:themeColor="text2"/>
                <w:sz w:val="22"/>
                <w:szCs w:val="22"/>
                <w:lang w:val="fr-FR"/>
              </w:rPr>
              <w:t>•</w:t>
            </w:r>
            <w:r w:rsidRPr="00C83DA9">
              <w:rPr>
                <w:color w:val="1F497D" w:themeColor="text2"/>
                <w:sz w:val="22"/>
                <w:szCs w:val="22"/>
                <w:lang w:val="fr-FR"/>
              </w:rPr>
              <w:tab/>
              <w:t xml:space="preserve">125 </w:t>
            </w:r>
            <w:r w:rsidRPr="00C83DA9">
              <w:rPr>
                <w:rFonts w:eastAsiaTheme="minorEastAsia"/>
                <w:color w:val="1F497D" w:themeColor="text2"/>
                <w:sz w:val="22"/>
                <w:szCs w:val="22"/>
                <w:lang w:val="fr-FR"/>
              </w:rPr>
              <w:t>documents</w:t>
            </w:r>
            <w:r w:rsidRPr="00C83DA9">
              <w:rPr>
                <w:color w:val="1F497D" w:themeColor="text2"/>
                <w:sz w:val="22"/>
                <w:szCs w:val="22"/>
                <w:lang w:val="fr-FR"/>
              </w:rPr>
              <w:t xml:space="preserve"> examinés à la réunion de la CE 2 de l'UIT-D.</w:t>
            </w:r>
          </w:p>
          <w:p w14:paraId="30002A3B" w14:textId="77777777" w:rsidR="004E5CF5" w:rsidRPr="00C83DA9" w:rsidRDefault="004E5CF5" w:rsidP="0067293A">
            <w:pPr>
              <w:pStyle w:val="Tabletext"/>
              <w:keepNext/>
              <w:spacing w:before="120"/>
              <w:rPr>
                <w:b/>
                <w:bCs/>
                <w:color w:val="0070C0"/>
                <w:sz w:val="22"/>
                <w:szCs w:val="22"/>
                <w:lang w:val="fr-FR"/>
              </w:rPr>
            </w:pPr>
            <w:r w:rsidRPr="00C83DA9">
              <w:rPr>
                <w:b/>
                <w:bCs/>
                <w:color w:val="0070C0"/>
                <w:sz w:val="22"/>
                <w:szCs w:val="22"/>
                <w:lang w:val="fr-FR"/>
              </w:rPr>
              <w:lastRenderedPageBreak/>
              <w:t>Mise en œuvre des résultats du SMSI:</w:t>
            </w:r>
          </w:p>
          <w:p w14:paraId="1160EF28"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szCs w:val="22"/>
                <w:lang w:val="fr-FR"/>
              </w:rPr>
            </w:pPr>
            <w:r w:rsidRPr="00C83DA9">
              <w:rPr>
                <w:color w:val="1F497D" w:themeColor="text2"/>
                <w:sz w:val="22"/>
                <w:szCs w:val="22"/>
                <w:lang w:val="fr-FR"/>
              </w:rPr>
              <w:t>•</w:t>
            </w:r>
            <w:r w:rsidRPr="00C83DA9">
              <w:rPr>
                <w:color w:val="1F497D" w:themeColor="text2"/>
                <w:sz w:val="22"/>
                <w:szCs w:val="22"/>
                <w:lang w:val="fr-FR"/>
              </w:rPr>
              <w:tab/>
              <w:t>7 grandes</w:t>
            </w:r>
            <w:r w:rsidRPr="00C83DA9">
              <w:rPr>
                <w:color w:val="000000"/>
                <w:sz w:val="22"/>
                <w:szCs w:val="22"/>
                <w:lang w:val="fr-FR" w:eastAsia="zh-CN"/>
              </w:rPr>
              <w:t xml:space="preserve"> </w:t>
            </w:r>
            <w:r w:rsidRPr="00C83DA9">
              <w:rPr>
                <w:rFonts w:eastAsiaTheme="minorEastAsia"/>
                <w:color w:val="1F497D" w:themeColor="text2"/>
                <w:sz w:val="22"/>
                <w:szCs w:val="22"/>
                <w:lang w:val="fr-FR"/>
              </w:rPr>
              <w:t>orientations coordonnées par l'UIT.</w:t>
            </w:r>
          </w:p>
          <w:p w14:paraId="4EC37D37"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szCs w:val="22"/>
                <w:lang w:val="fr-FR"/>
              </w:rPr>
            </w:pPr>
            <w:r w:rsidRPr="00C83DA9">
              <w:rPr>
                <w:rFonts w:eastAsiaTheme="minorEastAsia"/>
                <w:color w:val="1F497D" w:themeColor="text2"/>
                <w:sz w:val="22"/>
                <w:szCs w:val="22"/>
                <w:lang w:val="fr-FR"/>
              </w:rPr>
              <w:t>•</w:t>
            </w:r>
            <w:r w:rsidRPr="00C83DA9">
              <w:rPr>
                <w:rFonts w:eastAsiaTheme="minorEastAsia"/>
                <w:color w:val="1F497D" w:themeColor="text2"/>
                <w:sz w:val="22"/>
                <w:szCs w:val="22"/>
                <w:lang w:val="fr-FR"/>
              </w:rPr>
              <w:tab/>
              <w:t>5 indicateurs des ODD liés aux TIC maintenus sous la responsabilité de l'UIT.</w:t>
            </w:r>
          </w:p>
          <w:p w14:paraId="3CA77CD9"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szCs w:val="22"/>
                <w:lang w:val="fr-FR"/>
              </w:rPr>
            </w:pPr>
            <w:r w:rsidRPr="00C83DA9">
              <w:rPr>
                <w:rFonts w:eastAsiaTheme="minorEastAsia"/>
                <w:color w:val="1F497D" w:themeColor="text2"/>
                <w:sz w:val="22"/>
                <w:szCs w:val="22"/>
                <w:lang w:val="fr-FR"/>
              </w:rPr>
              <w:t>•</w:t>
            </w:r>
            <w:r w:rsidRPr="00C83DA9">
              <w:rPr>
                <w:rFonts w:eastAsiaTheme="minorEastAsia"/>
                <w:color w:val="1F497D" w:themeColor="text2"/>
                <w:sz w:val="22"/>
                <w:szCs w:val="22"/>
                <w:lang w:val="fr-FR"/>
              </w:rPr>
              <w:tab/>
              <w:t>12 forums régionaux sur</w:t>
            </w:r>
            <w:r w:rsidRPr="00C83DA9">
              <w:rPr>
                <w:color w:val="1F497D" w:themeColor="text2"/>
                <w:sz w:val="22"/>
                <w:szCs w:val="22"/>
                <w:lang w:val="fr-FR"/>
              </w:rPr>
              <w:t xml:space="preserve"> le développement ont rassemblé plus de 1 500 parties prenantes dans le cadre des réunions préparatoires en vue de la </w:t>
            </w:r>
            <w:r w:rsidRPr="00C83DA9">
              <w:rPr>
                <w:rFonts w:eastAsiaTheme="minorEastAsia"/>
                <w:color w:val="1F497D" w:themeColor="text2"/>
                <w:sz w:val="22"/>
                <w:szCs w:val="22"/>
                <w:lang w:val="fr-FR"/>
              </w:rPr>
              <w:t>CMDT-25.</w:t>
            </w:r>
          </w:p>
          <w:p w14:paraId="006D70D2" w14:textId="77777777" w:rsidR="004E5CF5" w:rsidRPr="00C83DA9" w:rsidRDefault="004E5CF5" w:rsidP="00202BFA">
            <w:pPr>
              <w:pStyle w:val="enumlev1"/>
              <w:tabs>
                <w:tab w:val="clear" w:pos="1134"/>
              </w:tabs>
              <w:spacing w:before="40" w:after="40"/>
              <w:ind w:left="386" w:right="-102" w:hanging="386"/>
              <w:rPr>
                <w:rFonts w:ascii="Calibri" w:eastAsia="Calibri" w:hAnsi="Calibri" w:cs="Calibri"/>
                <w:color w:val="1F497D" w:themeColor="text2"/>
                <w:sz w:val="22"/>
                <w:szCs w:val="22"/>
                <w:lang w:val="fr-FR" w:eastAsia="zh-CN"/>
              </w:rPr>
            </w:pPr>
            <w:r w:rsidRPr="00C83DA9">
              <w:rPr>
                <w:rFonts w:eastAsiaTheme="minorEastAsia"/>
                <w:color w:val="1F497D" w:themeColor="text2"/>
                <w:sz w:val="22"/>
                <w:szCs w:val="22"/>
                <w:lang w:val="fr-FR"/>
              </w:rPr>
              <w:t>•</w:t>
            </w:r>
            <w:r w:rsidRPr="00C83DA9">
              <w:rPr>
                <w:rFonts w:eastAsiaTheme="minorEastAsia"/>
                <w:color w:val="1F497D" w:themeColor="text2"/>
                <w:sz w:val="22"/>
                <w:szCs w:val="22"/>
                <w:lang w:val="fr-FR"/>
              </w:rPr>
              <w:tab/>
              <w:t>Renforcement du rôle de premier plan de l'UIT-D dans le développement du numérique à l'échelle mondiale lors de la manifestation</w:t>
            </w:r>
            <w:r w:rsidRPr="00C83DA9">
              <w:rPr>
                <w:color w:val="1F497D" w:themeColor="text2"/>
                <w:sz w:val="22"/>
                <w:szCs w:val="22"/>
                <w:lang w:val="fr-FR"/>
              </w:rPr>
              <w:t xml:space="preserve"> de haut niveau du SMSI+20 et des activités ultérieures.</w:t>
            </w:r>
          </w:p>
          <w:p w14:paraId="018DCF8E" w14:textId="77777777" w:rsidR="004E5CF5" w:rsidRPr="00C83DA9" w:rsidRDefault="004E5CF5" w:rsidP="0067293A">
            <w:pPr>
              <w:pStyle w:val="Tabletext"/>
              <w:keepNext/>
              <w:spacing w:before="120"/>
              <w:rPr>
                <w:b/>
                <w:bCs/>
                <w:color w:val="0070C0"/>
                <w:sz w:val="22"/>
                <w:szCs w:val="22"/>
                <w:lang w:val="fr-FR"/>
              </w:rPr>
            </w:pPr>
            <w:r w:rsidRPr="00C83DA9">
              <w:rPr>
                <w:b/>
                <w:bCs/>
                <w:color w:val="0070C0"/>
                <w:sz w:val="22"/>
                <w:szCs w:val="22"/>
                <w:lang w:val="fr-FR"/>
              </w:rPr>
              <w:t>Coalition Partner2Connect:</w:t>
            </w:r>
          </w:p>
          <w:p w14:paraId="386034F5" w14:textId="77777777" w:rsidR="004E5CF5" w:rsidRPr="00C83DA9" w:rsidRDefault="004E5CF5" w:rsidP="00202BFA">
            <w:pPr>
              <w:pStyle w:val="enumlev1"/>
              <w:tabs>
                <w:tab w:val="clear" w:pos="1134"/>
              </w:tabs>
              <w:spacing w:before="40" w:after="40"/>
              <w:ind w:left="386" w:right="-102" w:hanging="386"/>
              <w:rPr>
                <w:color w:val="1F497D" w:themeColor="text2"/>
                <w:sz w:val="22"/>
                <w:szCs w:val="22"/>
                <w:lang w:val="fr-FR"/>
              </w:rPr>
            </w:pPr>
            <w:r w:rsidRPr="00C83DA9">
              <w:rPr>
                <w:color w:val="1F497D" w:themeColor="text2"/>
                <w:sz w:val="22"/>
                <w:szCs w:val="22"/>
                <w:lang w:val="fr-FR"/>
              </w:rPr>
              <w:t>•</w:t>
            </w:r>
            <w:r w:rsidRPr="00C83DA9">
              <w:rPr>
                <w:color w:val="1F497D" w:themeColor="text2"/>
                <w:sz w:val="22"/>
                <w:szCs w:val="22"/>
                <w:lang w:val="fr-FR"/>
              </w:rPr>
              <w:tab/>
              <w:t xml:space="preserve">Plus de 1 030 engagements d'un </w:t>
            </w:r>
            <w:r w:rsidRPr="00C83DA9">
              <w:rPr>
                <w:rFonts w:eastAsiaTheme="minorEastAsia"/>
                <w:color w:val="1F497D" w:themeColor="text2"/>
                <w:sz w:val="22"/>
                <w:szCs w:val="22"/>
                <w:lang w:val="fr-FR"/>
              </w:rPr>
              <w:t>montant</w:t>
            </w:r>
            <w:r w:rsidRPr="00C83DA9">
              <w:rPr>
                <w:color w:val="1F497D" w:themeColor="text2"/>
                <w:sz w:val="22"/>
                <w:szCs w:val="22"/>
                <w:lang w:val="fr-FR"/>
              </w:rPr>
              <w:t xml:space="preserve"> de 73,7 milliards USD de la part d'entités de 149 pays.</w:t>
            </w:r>
          </w:p>
          <w:p w14:paraId="5DDC6D16"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szCs w:val="22"/>
                <w:lang w:val="fr-FR"/>
              </w:rPr>
            </w:pPr>
            <w:r w:rsidRPr="00C83DA9">
              <w:rPr>
                <w:color w:val="1F497D" w:themeColor="text2"/>
                <w:sz w:val="22"/>
                <w:szCs w:val="22"/>
                <w:lang w:val="fr-FR"/>
              </w:rPr>
              <w:lastRenderedPageBreak/>
              <w:t>•</w:t>
            </w:r>
            <w:r w:rsidRPr="00C83DA9">
              <w:rPr>
                <w:color w:val="1F497D" w:themeColor="text2"/>
                <w:sz w:val="22"/>
                <w:szCs w:val="22"/>
                <w:lang w:val="fr-FR"/>
              </w:rPr>
              <w:tab/>
              <w:t xml:space="preserve">Des progrès rapportés pour 37% des </w:t>
            </w:r>
            <w:r w:rsidRPr="00C83DA9">
              <w:rPr>
                <w:rFonts w:eastAsiaTheme="minorEastAsia"/>
                <w:color w:val="1F497D" w:themeColor="text2"/>
                <w:sz w:val="22"/>
                <w:szCs w:val="22"/>
                <w:lang w:val="fr-FR"/>
              </w:rPr>
              <w:t>engagements, avec 6,7 milliards USD dépensés pour la mise en œuvre.</w:t>
            </w:r>
          </w:p>
          <w:p w14:paraId="6C51BA8F" w14:textId="67A164A1"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szCs w:val="22"/>
                <w:lang w:val="fr-FR"/>
              </w:rPr>
            </w:pPr>
            <w:r w:rsidRPr="00C83DA9">
              <w:rPr>
                <w:rFonts w:eastAsiaTheme="minorEastAsia"/>
                <w:color w:val="1F497D" w:themeColor="text2"/>
                <w:sz w:val="22"/>
                <w:szCs w:val="22"/>
                <w:lang w:val="fr-FR"/>
              </w:rPr>
              <w:t>•</w:t>
            </w:r>
            <w:r w:rsidRPr="00C83DA9">
              <w:rPr>
                <w:rFonts w:eastAsiaTheme="minorEastAsia"/>
                <w:color w:val="1F497D" w:themeColor="text2"/>
                <w:sz w:val="22"/>
                <w:szCs w:val="22"/>
                <w:lang w:val="fr-FR"/>
              </w:rPr>
              <w:tab/>
            </w:r>
            <w:r w:rsidR="00D95BA3" w:rsidRPr="00C83DA9">
              <w:rPr>
                <w:rFonts w:eastAsiaTheme="minorEastAsia"/>
                <w:color w:val="1F497D" w:themeColor="text2"/>
                <w:sz w:val="22"/>
                <w:szCs w:val="22"/>
                <w:lang w:val="fr-FR"/>
              </w:rPr>
              <w:t xml:space="preserve">12 </w:t>
            </w:r>
            <w:r w:rsidRPr="00C83DA9">
              <w:rPr>
                <w:rFonts w:eastAsiaTheme="minorEastAsia"/>
                <w:color w:val="1F497D" w:themeColor="text2"/>
                <w:sz w:val="22"/>
                <w:szCs w:val="22"/>
                <w:lang w:val="fr-FR"/>
              </w:rPr>
              <w:t xml:space="preserve">tables rondes régionales </w:t>
            </w:r>
            <w:r w:rsidR="00D95BA3" w:rsidRPr="00C83DA9">
              <w:rPr>
                <w:rFonts w:eastAsiaTheme="minorEastAsia"/>
                <w:color w:val="1F497D" w:themeColor="text2"/>
                <w:sz w:val="22"/>
                <w:szCs w:val="22"/>
                <w:lang w:val="fr-FR"/>
              </w:rPr>
              <w:t xml:space="preserve">de mise en relation </w:t>
            </w:r>
            <w:r w:rsidRPr="00C83DA9">
              <w:rPr>
                <w:rFonts w:eastAsiaTheme="minorEastAsia"/>
                <w:color w:val="1F497D" w:themeColor="text2"/>
                <w:sz w:val="22"/>
                <w:szCs w:val="22"/>
                <w:lang w:val="fr-FR"/>
              </w:rPr>
              <w:t xml:space="preserve">et </w:t>
            </w:r>
            <w:r w:rsidR="001F7A92" w:rsidRPr="00C83DA9">
              <w:rPr>
                <w:rFonts w:eastAsiaTheme="minorEastAsia"/>
                <w:color w:val="1F497D" w:themeColor="text2"/>
                <w:sz w:val="22"/>
                <w:szCs w:val="22"/>
                <w:lang w:val="fr-FR"/>
              </w:rPr>
              <w:t>6</w:t>
            </w:r>
            <w:r w:rsidR="00630200" w:rsidRPr="00C83DA9">
              <w:rPr>
                <w:rFonts w:eastAsiaTheme="minorEastAsia"/>
                <w:color w:val="1F497D" w:themeColor="text2"/>
                <w:sz w:val="22"/>
                <w:szCs w:val="22"/>
                <w:lang w:val="fr-FR"/>
              </w:rPr>
              <w:t> </w:t>
            </w:r>
            <w:r w:rsidRPr="00C83DA9">
              <w:rPr>
                <w:rFonts w:eastAsiaTheme="minorEastAsia"/>
                <w:color w:val="1F497D" w:themeColor="text2"/>
                <w:sz w:val="22"/>
                <w:szCs w:val="22"/>
                <w:lang w:val="fr-FR"/>
              </w:rPr>
              <w:t>dialogues</w:t>
            </w:r>
            <w:r w:rsidR="001F7A92" w:rsidRPr="00C83DA9">
              <w:rPr>
                <w:rFonts w:eastAsiaTheme="minorEastAsia"/>
                <w:color w:val="1F497D" w:themeColor="text2"/>
                <w:sz w:val="22"/>
                <w:szCs w:val="22"/>
                <w:lang w:val="fr-FR"/>
              </w:rPr>
              <w:t>/tables rondes</w:t>
            </w:r>
            <w:r w:rsidRPr="00C83DA9">
              <w:rPr>
                <w:rFonts w:eastAsiaTheme="minorEastAsia"/>
                <w:color w:val="1F497D" w:themeColor="text2"/>
                <w:sz w:val="22"/>
                <w:szCs w:val="22"/>
                <w:lang w:val="fr-FR"/>
              </w:rPr>
              <w:t xml:space="preserve"> </w:t>
            </w:r>
            <w:r w:rsidR="00E5608C" w:rsidRPr="00C83DA9">
              <w:rPr>
                <w:rFonts w:eastAsiaTheme="minorEastAsia"/>
                <w:color w:val="1F497D" w:themeColor="text2"/>
                <w:sz w:val="22"/>
                <w:szCs w:val="22"/>
                <w:lang w:val="fr-FR"/>
              </w:rPr>
              <w:t>au niveau national</w:t>
            </w:r>
            <w:r w:rsidRPr="00C83DA9">
              <w:rPr>
                <w:rFonts w:eastAsiaTheme="minorEastAsia"/>
                <w:color w:val="1F497D" w:themeColor="text2"/>
                <w:sz w:val="22"/>
                <w:szCs w:val="22"/>
                <w:lang w:val="fr-FR"/>
              </w:rPr>
              <w:t>.</w:t>
            </w:r>
          </w:p>
          <w:p w14:paraId="166EEA6D" w14:textId="77777777" w:rsidR="004E5CF5" w:rsidRPr="00C83DA9" w:rsidRDefault="004E5CF5" w:rsidP="00202BFA">
            <w:pPr>
              <w:pStyle w:val="enumlev1"/>
              <w:tabs>
                <w:tab w:val="clear" w:pos="1134"/>
              </w:tabs>
              <w:spacing w:before="40" w:after="40"/>
              <w:ind w:left="386" w:right="-102" w:hanging="386"/>
              <w:rPr>
                <w:color w:val="1F497D" w:themeColor="text2"/>
                <w:sz w:val="22"/>
                <w:szCs w:val="22"/>
                <w:lang w:val="fr-FR"/>
              </w:rPr>
            </w:pPr>
            <w:r w:rsidRPr="00C83DA9">
              <w:rPr>
                <w:rFonts w:eastAsiaTheme="minorEastAsia"/>
                <w:color w:val="1F497D" w:themeColor="text2"/>
                <w:sz w:val="22"/>
                <w:szCs w:val="22"/>
                <w:lang w:val="fr-FR"/>
              </w:rPr>
              <w:t>•</w:t>
            </w:r>
            <w:r w:rsidRPr="00C83DA9">
              <w:rPr>
                <w:rFonts w:eastAsiaTheme="minorEastAsia"/>
                <w:color w:val="1F497D" w:themeColor="text2"/>
                <w:sz w:val="22"/>
                <w:szCs w:val="22"/>
                <w:lang w:val="fr-FR"/>
              </w:rPr>
              <w:tab/>
              <w:t>Participation</w:t>
            </w:r>
            <w:r w:rsidRPr="00C83DA9">
              <w:rPr>
                <w:color w:val="1F497D" w:themeColor="text2"/>
                <w:sz w:val="22"/>
                <w:szCs w:val="22"/>
                <w:lang w:val="fr-FR"/>
              </w:rPr>
              <w:t xml:space="preserve"> de 29 institutions des Nations Unies et grands partenaires privés.</w:t>
            </w:r>
          </w:p>
        </w:tc>
      </w:tr>
      <w:tr w:rsidR="004E5CF5" w:rsidRPr="00CA734F" w14:paraId="2A86C99D" w14:textId="77777777" w:rsidTr="00630200">
        <w:trPr>
          <w:trHeight w:val="292"/>
        </w:trPr>
        <w:tc>
          <w:tcPr>
            <w:tcW w:w="4673" w:type="dxa"/>
            <w:tcBorders>
              <w:top w:val="dotted" w:sz="4" w:space="0" w:color="0070C0"/>
              <w:left w:val="dotted" w:sz="4" w:space="0" w:color="0070C0"/>
              <w:bottom w:val="dotted" w:sz="4" w:space="0" w:color="0070C0"/>
              <w:right w:val="dotted" w:sz="4" w:space="0" w:color="0070C0"/>
            </w:tcBorders>
            <w:hideMark/>
          </w:tcPr>
          <w:p w14:paraId="5A706212" w14:textId="77777777" w:rsidR="004E5CF5" w:rsidRPr="00C83DA9" w:rsidRDefault="004E5CF5" w:rsidP="00917571">
            <w:pPr>
              <w:pStyle w:val="Tabletext"/>
              <w:keepNext/>
              <w:rPr>
                <w:b/>
                <w:bCs/>
                <w:sz w:val="22"/>
                <w:szCs w:val="22"/>
                <w:lang w:val="fr-FR"/>
              </w:rPr>
            </w:pPr>
            <w:r w:rsidRPr="00C83DA9">
              <w:rPr>
                <w:b/>
                <w:bCs/>
                <w:sz w:val="22"/>
                <w:szCs w:val="22"/>
                <w:lang w:val="fr-FR"/>
              </w:rPr>
              <w:lastRenderedPageBreak/>
              <w:t>Contribution à la réalisation des cibles des ODD</w:t>
            </w:r>
          </w:p>
        </w:tc>
        <w:tc>
          <w:tcPr>
            <w:tcW w:w="10177" w:type="dxa"/>
            <w:gridSpan w:val="2"/>
            <w:tcBorders>
              <w:top w:val="dotted" w:sz="4" w:space="0" w:color="0070C0"/>
              <w:left w:val="dotted" w:sz="4" w:space="0" w:color="0070C0"/>
              <w:bottom w:val="dotted" w:sz="4" w:space="0" w:color="0070C0"/>
              <w:right w:val="dotted" w:sz="4" w:space="0" w:color="0070C0"/>
            </w:tcBorders>
            <w:hideMark/>
          </w:tcPr>
          <w:p w14:paraId="246F4374" w14:textId="77777777" w:rsidR="004E5CF5" w:rsidRPr="00C83DA9" w:rsidRDefault="004E5CF5" w:rsidP="00917571">
            <w:pPr>
              <w:pStyle w:val="Tabletext"/>
              <w:keepNext/>
              <w:rPr>
                <w:sz w:val="22"/>
                <w:szCs w:val="22"/>
                <w:lang w:val="fr-FR"/>
              </w:rPr>
            </w:pPr>
            <w:r w:rsidRPr="00C83DA9">
              <w:rPr>
                <w:sz w:val="22"/>
                <w:szCs w:val="22"/>
                <w:lang w:val="fr-FR"/>
              </w:rPr>
              <w:t>ODD 1, 3, 4, 5, 8, 9, 10, 11, 16, 17</w:t>
            </w:r>
          </w:p>
          <w:p w14:paraId="5B7B76BB" w14:textId="037F774B" w:rsidR="004E5CF5" w:rsidRPr="00C83DA9" w:rsidRDefault="004E5CF5" w:rsidP="00917571">
            <w:pPr>
              <w:pStyle w:val="Tabletext"/>
              <w:keepNext/>
              <w:rPr>
                <w:sz w:val="22"/>
                <w:szCs w:val="22"/>
                <w:lang w:val="fr-FR"/>
              </w:rPr>
            </w:pPr>
            <w:r w:rsidRPr="00C83DA9">
              <w:rPr>
                <w:sz w:val="22"/>
                <w:szCs w:val="22"/>
                <w:lang w:val="fr-FR"/>
              </w:rPr>
              <w:t xml:space="preserve">Contribution à la réalisation des cibles des ODD et des grandes orientations du SMSI: voir le </w:t>
            </w:r>
            <w:hyperlink r:id="rId241" w:history="1">
              <w:r w:rsidRPr="00C83DA9">
                <w:rPr>
                  <w:rStyle w:val="Hyperlink"/>
                  <w:sz w:val="22"/>
                  <w:szCs w:val="22"/>
                  <w:lang w:val="fr-FR"/>
                </w:rPr>
                <w:t>tableau ici</w:t>
              </w:r>
            </w:hyperlink>
          </w:p>
        </w:tc>
      </w:tr>
      <w:tr w:rsidR="004E5CF5" w:rsidRPr="00C83DA9" w14:paraId="2A5D2082" w14:textId="77777777" w:rsidTr="00630200">
        <w:tc>
          <w:tcPr>
            <w:tcW w:w="4673" w:type="dxa"/>
            <w:tcBorders>
              <w:top w:val="dotted" w:sz="4" w:space="0" w:color="0070C0"/>
              <w:left w:val="dotted" w:sz="4" w:space="0" w:color="0070C0"/>
              <w:bottom w:val="dotted" w:sz="4" w:space="0" w:color="0070C0"/>
              <w:right w:val="dotted" w:sz="4" w:space="0" w:color="0070C0"/>
            </w:tcBorders>
            <w:hideMark/>
          </w:tcPr>
          <w:p w14:paraId="0FF1522C" w14:textId="77777777" w:rsidR="004E5CF5" w:rsidRPr="00C83DA9" w:rsidRDefault="004E5CF5" w:rsidP="00202BFA">
            <w:pPr>
              <w:pStyle w:val="Tabletext"/>
              <w:rPr>
                <w:b/>
                <w:bCs/>
                <w:sz w:val="22"/>
                <w:szCs w:val="22"/>
                <w:lang w:val="fr-FR"/>
              </w:rPr>
            </w:pPr>
            <w:r w:rsidRPr="00C83DA9">
              <w:rPr>
                <w:b/>
                <w:bCs/>
                <w:sz w:val="22"/>
                <w:szCs w:val="22"/>
                <w:lang w:val="fr-FR"/>
              </w:rPr>
              <w:t>Grandes orientations du SMSI</w:t>
            </w:r>
          </w:p>
        </w:tc>
        <w:tc>
          <w:tcPr>
            <w:tcW w:w="10177" w:type="dxa"/>
            <w:gridSpan w:val="2"/>
            <w:tcBorders>
              <w:top w:val="dotted" w:sz="4" w:space="0" w:color="0070C0"/>
              <w:left w:val="dotted" w:sz="4" w:space="0" w:color="0070C0"/>
              <w:bottom w:val="dotted" w:sz="4" w:space="0" w:color="0070C0"/>
              <w:right w:val="dotted" w:sz="4" w:space="0" w:color="0070C0"/>
            </w:tcBorders>
            <w:hideMark/>
          </w:tcPr>
          <w:p w14:paraId="37EA160F" w14:textId="77777777" w:rsidR="004E5CF5" w:rsidRPr="00C83DA9" w:rsidRDefault="004E5CF5" w:rsidP="00B71908">
            <w:pPr>
              <w:pStyle w:val="Tabletext"/>
              <w:rPr>
                <w:sz w:val="22"/>
                <w:szCs w:val="22"/>
                <w:lang w:val="fr-FR"/>
              </w:rPr>
            </w:pPr>
            <w:r w:rsidRPr="00C83DA9">
              <w:rPr>
                <w:sz w:val="22"/>
                <w:szCs w:val="22"/>
                <w:lang w:val="fr-FR"/>
              </w:rPr>
              <w:t>C1, C2, C3, C4, C5, C6, C7, C11</w:t>
            </w:r>
          </w:p>
        </w:tc>
      </w:tr>
      <w:tr w:rsidR="004E5CF5" w:rsidRPr="00CA734F" w14:paraId="23D908FD" w14:textId="77777777" w:rsidTr="00630200">
        <w:tc>
          <w:tcPr>
            <w:tcW w:w="4673" w:type="dxa"/>
            <w:tcBorders>
              <w:top w:val="dotted" w:sz="4" w:space="0" w:color="0070C0"/>
              <w:left w:val="dotted" w:sz="4" w:space="0" w:color="0070C0"/>
              <w:bottom w:val="dotted" w:sz="4" w:space="0" w:color="0070C0"/>
              <w:right w:val="dotted" w:sz="4" w:space="0" w:color="0070C0"/>
            </w:tcBorders>
            <w:hideMark/>
          </w:tcPr>
          <w:p w14:paraId="51B4D3A6" w14:textId="77777777" w:rsidR="004E5CF5" w:rsidRPr="00C83DA9" w:rsidRDefault="004E5CF5" w:rsidP="00202BFA">
            <w:pPr>
              <w:pStyle w:val="Tabletext"/>
              <w:rPr>
                <w:b/>
                <w:bCs/>
                <w:sz w:val="22"/>
                <w:szCs w:val="22"/>
                <w:lang w:val="fr-FR"/>
              </w:rPr>
            </w:pPr>
            <w:r w:rsidRPr="00C83DA9">
              <w:rPr>
                <w:b/>
                <w:bCs/>
                <w:sz w:val="22"/>
                <w:szCs w:val="22"/>
                <w:lang w:val="fr-FR"/>
              </w:rPr>
              <w:t>Résolutions</w:t>
            </w:r>
          </w:p>
        </w:tc>
        <w:tc>
          <w:tcPr>
            <w:tcW w:w="10177" w:type="dxa"/>
            <w:gridSpan w:val="2"/>
            <w:tcBorders>
              <w:top w:val="dotted" w:sz="4" w:space="0" w:color="0070C0"/>
              <w:left w:val="dotted" w:sz="4" w:space="0" w:color="0070C0"/>
              <w:bottom w:val="dotted" w:sz="4" w:space="0" w:color="0070C0"/>
              <w:right w:val="dotted" w:sz="4" w:space="0" w:color="0070C0"/>
            </w:tcBorders>
            <w:hideMark/>
          </w:tcPr>
          <w:p w14:paraId="21285887" w14:textId="03E4EE51" w:rsidR="004E5CF5" w:rsidRPr="00C83DA9" w:rsidRDefault="004E5CF5" w:rsidP="00B71908">
            <w:pPr>
              <w:pStyle w:val="Tabletext"/>
              <w:rPr>
                <w:sz w:val="22"/>
                <w:szCs w:val="22"/>
                <w:lang w:val="fr-FR"/>
              </w:rPr>
            </w:pPr>
            <w:r w:rsidRPr="00C83DA9">
              <w:rPr>
                <w:sz w:val="22"/>
                <w:szCs w:val="22"/>
                <w:lang w:val="fr-FR"/>
              </w:rPr>
              <w:t>1, 2 et 36 de la CMDT principalement; 208, 21, 70, 71, 77, 102, 123, 130, 131, 136, 139, 154, 167, 175, 177, 179, 180, 182, 188, 196, 197, 203, 204, 205 et 209 de la PP.</w:t>
            </w:r>
          </w:p>
        </w:tc>
      </w:tr>
      <w:tr w:rsidR="004E5CF5" w:rsidRPr="00CA734F" w14:paraId="2640C179" w14:textId="77777777" w:rsidTr="00630200">
        <w:trPr>
          <w:trHeight w:val="300"/>
        </w:trPr>
        <w:tc>
          <w:tcPr>
            <w:tcW w:w="4673" w:type="dxa"/>
            <w:tcBorders>
              <w:top w:val="dotted" w:sz="4" w:space="0" w:color="0070C0"/>
              <w:left w:val="dotted" w:sz="4" w:space="0" w:color="0070C0"/>
              <w:bottom w:val="dotted" w:sz="4" w:space="0" w:color="0070C0"/>
              <w:right w:val="dotted" w:sz="4" w:space="0" w:color="0070C0"/>
            </w:tcBorders>
            <w:hideMark/>
          </w:tcPr>
          <w:p w14:paraId="583A927F" w14:textId="77777777" w:rsidR="004E5CF5" w:rsidRPr="00C83DA9" w:rsidRDefault="004E5CF5" w:rsidP="00202BFA">
            <w:pPr>
              <w:pStyle w:val="Tabletext"/>
              <w:rPr>
                <w:b/>
                <w:bCs/>
                <w:sz w:val="22"/>
                <w:szCs w:val="22"/>
                <w:lang w:val="fr-FR"/>
              </w:rPr>
            </w:pPr>
            <w:r w:rsidRPr="00C83DA9">
              <w:rPr>
                <w:b/>
                <w:bCs/>
                <w:sz w:val="22"/>
                <w:szCs w:val="22"/>
                <w:lang w:val="fr-FR"/>
              </w:rPr>
              <w:t>Questions confiées aux commissions d'études de l'UIT-D</w:t>
            </w:r>
          </w:p>
        </w:tc>
        <w:tc>
          <w:tcPr>
            <w:tcW w:w="10177" w:type="dxa"/>
            <w:gridSpan w:val="2"/>
            <w:tcBorders>
              <w:top w:val="dotted" w:sz="4" w:space="0" w:color="0070C0"/>
              <w:left w:val="dotted" w:sz="4" w:space="0" w:color="0070C0"/>
              <w:bottom w:val="dotted" w:sz="4" w:space="0" w:color="0070C0"/>
              <w:right w:val="dotted" w:sz="4" w:space="0" w:color="0070C0"/>
            </w:tcBorders>
            <w:hideMark/>
          </w:tcPr>
          <w:p w14:paraId="5A130201" w14:textId="77777777" w:rsidR="004E5CF5" w:rsidRPr="00C83DA9" w:rsidRDefault="004E5CF5" w:rsidP="00B71908">
            <w:pPr>
              <w:pStyle w:val="Tabletext"/>
              <w:rPr>
                <w:sz w:val="22"/>
                <w:szCs w:val="22"/>
                <w:lang w:val="fr-FR"/>
              </w:rPr>
            </w:pPr>
            <w:r w:rsidRPr="00C83DA9">
              <w:rPr>
                <w:sz w:val="22"/>
                <w:szCs w:val="22"/>
                <w:lang w:val="fr-FR"/>
              </w:rPr>
              <w:t xml:space="preserve">Toutes les Questions de la CE 1 sur la mise en place d'un environnement propice à une connectivité efficace et de la CE 2 sur la transformation numérique. </w:t>
            </w:r>
          </w:p>
        </w:tc>
      </w:tr>
    </w:tbl>
    <w:p w14:paraId="345FDDA8" w14:textId="77777777" w:rsidR="004E5CF5" w:rsidRPr="00C83DA9" w:rsidRDefault="004E5CF5">
      <w:pPr>
        <w:tabs>
          <w:tab w:val="clear" w:pos="1134"/>
          <w:tab w:val="clear" w:pos="1871"/>
          <w:tab w:val="clear" w:pos="2268"/>
        </w:tabs>
        <w:overflowPunct/>
        <w:autoSpaceDE/>
        <w:autoSpaceDN/>
        <w:adjustRightInd/>
        <w:spacing w:before="0"/>
        <w:textAlignment w:val="auto"/>
        <w:rPr>
          <w:lang w:val="fr-FR"/>
        </w:rPr>
      </w:pPr>
      <w:r w:rsidRPr="00C83DA9">
        <w:rPr>
          <w:lang w:val="fr-FR"/>
        </w:rPr>
        <w:br w:type="page"/>
      </w:r>
    </w:p>
    <w:tbl>
      <w:tblPr>
        <w:tblStyle w:val="TableGrid8"/>
        <w:tblW w:w="15034"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4820"/>
        <w:gridCol w:w="7371"/>
        <w:gridCol w:w="2843"/>
      </w:tblGrid>
      <w:tr w:rsidR="004E5CF5" w:rsidRPr="00CA734F" w14:paraId="37E30A9E" w14:textId="77777777" w:rsidTr="00A90F81">
        <w:tc>
          <w:tcPr>
            <w:tcW w:w="15034"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hideMark/>
          </w:tcPr>
          <w:p w14:paraId="392CB061" w14:textId="09622529" w:rsidR="004E5CF5" w:rsidRPr="00C83DA9" w:rsidRDefault="004E5CF5" w:rsidP="009B2988">
            <w:pPr>
              <w:pStyle w:val="Headingb"/>
              <w:spacing w:before="40"/>
              <w:jc w:val="center"/>
              <w:rPr>
                <w:rFonts w:eastAsia="Times New Roman"/>
                <w:color w:val="FFFFFF" w:themeColor="background1"/>
                <w:kern w:val="0"/>
                <w:szCs w:val="20"/>
                <w:lang w:val="fr-FR"/>
                <w14:ligatures w14:val="none"/>
              </w:rPr>
            </w:pPr>
            <w:bookmarkStart w:id="94" w:name="_Toc211258930"/>
            <w:bookmarkStart w:id="95" w:name="_Toc213307975"/>
            <w:r w:rsidRPr="00C83DA9">
              <w:rPr>
                <w:rFonts w:eastAsia="Times New Roman"/>
                <w:color w:val="FFFFFF" w:themeColor="background1"/>
                <w:kern w:val="0"/>
                <w:szCs w:val="20"/>
                <w:lang w:val="fr-FR"/>
                <w14:ligatures w14:val="none"/>
              </w:rPr>
              <w:lastRenderedPageBreak/>
              <w:t>Catalyseur 2 de l'UIT-D: Présence régionale</w:t>
            </w:r>
            <w:bookmarkEnd w:id="94"/>
            <w:bookmarkEnd w:id="95"/>
          </w:p>
          <w:p w14:paraId="02775ACD" w14:textId="77777777" w:rsidR="004E5CF5" w:rsidRPr="00C83DA9" w:rsidRDefault="004E5CF5" w:rsidP="000F1176">
            <w:pPr>
              <w:pStyle w:val="Tablehead"/>
              <w:rPr>
                <w:rFonts w:cstheme="minorHAnsi"/>
                <w:b w:val="0"/>
                <w:bCs/>
                <w:i/>
                <w:iCs/>
                <w:color w:val="FFFFFF" w:themeColor="background1"/>
                <w:sz w:val="24"/>
                <w:szCs w:val="20"/>
                <w:lang w:val="fr-FR"/>
              </w:rPr>
            </w:pPr>
            <w:r w:rsidRPr="00C83DA9">
              <w:rPr>
                <w:rFonts w:eastAsia="Times New Roman"/>
                <w:i/>
                <w:iCs/>
                <w:color w:val="FFFFFF" w:themeColor="background1"/>
                <w:kern w:val="0"/>
                <w:sz w:val="24"/>
                <w:szCs w:val="20"/>
                <w:lang w:val="fr-FR"/>
                <w14:ligatures w14:val="none"/>
              </w:rPr>
              <w:t>Renforcer l'efficacité et l'incidence globales de l'UIT à l'échelle mondiale</w:t>
            </w:r>
          </w:p>
        </w:tc>
      </w:tr>
      <w:tr w:rsidR="004E5CF5" w:rsidRPr="00CA734F" w14:paraId="5899D6E1" w14:textId="77777777" w:rsidTr="00A90F81">
        <w:tc>
          <w:tcPr>
            <w:tcW w:w="15034"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hideMark/>
          </w:tcPr>
          <w:p w14:paraId="1C1B2652" w14:textId="77777777" w:rsidR="004E5CF5" w:rsidRPr="00C83DA9" w:rsidRDefault="004E5CF5" w:rsidP="000F1176">
            <w:pPr>
              <w:pStyle w:val="Tabletext"/>
              <w:rPr>
                <w:rFonts w:cstheme="minorHAnsi"/>
                <w:b/>
                <w:bCs/>
                <w:i/>
                <w:iCs/>
                <w:sz w:val="24"/>
                <w:szCs w:val="20"/>
                <w:lang w:val="fr-FR"/>
              </w:rPr>
            </w:pPr>
            <w:r w:rsidRPr="00C83DA9">
              <w:rPr>
                <w:rFonts w:eastAsiaTheme="minorEastAsia" w:cstheme="minorHAnsi"/>
                <w:b/>
                <w:bCs/>
                <w:i/>
                <w:color w:val="000000" w:themeColor="text1"/>
                <w:kern w:val="0"/>
                <w:sz w:val="24"/>
                <w:szCs w:val="20"/>
                <w:lang w:val="fr-FR"/>
                <w14:ligatures w14:val="none"/>
              </w:rPr>
              <w:t>Réalisation</w:t>
            </w:r>
            <w:r w:rsidRPr="00C83DA9">
              <w:rPr>
                <w:rFonts w:eastAsiaTheme="minorEastAsia" w:cstheme="minorHAnsi"/>
                <w:i/>
                <w:color w:val="000000" w:themeColor="text1"/>
                <w:kern w:val="0"/>
                <w:sz w:val="24"/>
                <w:szCs w:val="20"/>
                <w:lang w:val="fr-FR"/>
                <w14:ligatures w14:val="none"/>
              </w:rPr>
              <w:t>: renforcement de la collaboration et de la coopération entre les bureaux régionaux et avec l'Organisation des Nations Unies et ses institutions spécialisées, les organisations de télécommunication régionales ainsi que les organismes de financement et de développement pour atteindre les ODD à l'horizon 2030 se rapportant aux questions de développement de l'économie numérique.</w:t>
            </w:r>
          </w:p>
        </w:tc>
      </w:tr>
      <w:tr w:rsidR="004E5CF5" w:rsidRPr="00C83DA9" w14:paraId="703BE35B" w14:textId="77777777" w:rsidTr="00917571">
        <w:tc>
          <w:tcPr>
            <w:tcW w:w="12191" w:type="dxa"/>
            <w:gridSpan w:val="2"/>
            <w:tcBorders>
              <w:top w:val="dotted" w:sz="4" w:space="0" w:color="0070C0"/>
              <w:left w:val="dotted" w:sz="4" w:space="0" w:color="0070C0"/>
              <w:bottom w:val="dotted" w:sz="4" w:space="0" w:color="0070C0"/>
              <w:right w:val="dotted" w:sz="4" w:space="0" w:color="0070C0"/>
            </w:tcBorders>
            <w:hideMark/>
          </w:tcPr>
          <w:p w14:paraId="20D54D55" w14:textId="77777777" w:rsidR="004E5CF5" w:rsidRPr="00C83DA9" w:rsidRDefault="004E5CF5"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Produits</w:t>
            </w:r>
          </w:p>
        </w:tc>
        <w:tc>
          <w:tcPr>
            <w:tcW w:w="2843" w:type="dxa"/>
            <w:tcBorders>
              <w:top w:val="dotted" w:sz="4" w:space="0" w:color="0070C0"/>
              <w:left w:val="dotted" w:sz="4" w:space="0" w:color="0070C0"/>
              <w:bottom w:val="dotted" w:sz="4" w:space="0" w:color="0070C0"/>
              <w:right w:val="dotted" w:sz="4" w:space="0" w:color="0070C0"/>
            </w:tcBorders>
            <w:hideMark/>
          </w:tcPr>
          <w:p w14:paraId="32047652" w14:textId="77777777" w:rsidR="004E5CF5" w:rsidRPr="00C83DA9" w:rsidRDefault="004E5CF5"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 xml:space="preserve">Points à retenir </w:t>
            </w:r>
          </w:p>
        </w:tc>
      </w:tr>
      <w:tr w:rsidR="004E5CF5" w:rsidRPr="00CA734F" w14:paraId="7963DE2D" w14:textId="77777777" w:rsidTr="00917571">
        <w:trPr>
          <w:trHeight w:val="315"/>
        </w:trPr>
        <w:tc>
          <w:tcPr>
            <w:tcW w:w="12191" w:type="dxa"/>
            <w:gridSpan w:val="2"/>
            <w:tcBorders>
              <w:top w:val="dotted" w:sz="4" w:space="0" w:color="0070C0"/>
              <w:left w:val="dotted" w:sz="4" w:space="0" w:color="0070C0"/>
              <w:bottom w:val="dotted" w:sz="4" w:space="0" w:color="0070C0"/>
              <w:right w:val="dotted" w:sz="4" w:space="0" w:color="0070C0"/>
            </w:tcBorders>
          </w:tcPr>
          <w:p w14:paraId="448E0368" w14:textId="776E2A42"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Le BDT, en coordination avec le Bureau des radiocommunications (BR), le Bureau de la normalisation des télécommunications (TSB) et le Secrétariat général de l'UIT, s'est employé à renforcer la présence régionale, en vue d'améliorer la fourniture de services aux États</w:t>
            </w:r>
            <w:r w:rsidR="00E046A5">
              <w:rPr>
                <w:color w:val="000000"/>
                <w:sz w:val="22"/>
                <w:lang w:val="fr-FR"/>
              </w:rPr>
              <w:t> </w:t>
            </w:r>
            <w:r w:rsidRPr="00C83DA9">
              <w:rPr>
                <w:color w:val="000000"/>
                <w:sz w:val="22"/>
                <w:lang w:val="fr-FR"/>
              </w:rPr>
              <w:t>Membres, y compris la mise en œuvre de projets et d'autres activités relevant du plan opérationnel, de manière opportune, efficace et percutante. Des interventions bien planifiées et mises en œuvre ont attiré des fonds extrabudgétaires provenant de donateurs pour la mise en œuvre de projets, y compris d'initiatives régionales. Les bureaux régionaux continuent de jouer un rôle essentiel dans ce contexte, en leur qualité d'interface de première ligne entre l'UIT et les parties prenantes et administrations locales.</w:t>
            </w:r>
          </w:p>
          <w:p w14:paraId="1725959C" w14:textId="77777777"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Les bureaux régionaux de l'UIT appuient la coordination avec les Nations Unies en collaborant avec les coordonnateurs résidents et en contribuant au Plan-cadre de coopération des Nations Unies pour le développement durable, en veillant à ce que la transformation numérique soit intégrée dans les stratégies nationales. La collaboration entre les bureaux régionaux et les institutions des Nations Unies, les organismes régionaux, les gouvernements et les parties prenantes, favorise la cohérence et optimise les retombées.</w:t>
            </w:r>
          </w:p>
          <w:p w14:paraId="17E93992" w14:textId="0C08E6E3"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bCs/>
                <w:sz w:val="22"/>
                <w:lang w:val="fr-FR"/>
              </w:rPr>
            </w:pPr>
            <w:r w:rsidRPr="00C83DA9">
              <w:rPr>
                <w:color w:val="000000"/>
                <w:sz w:val="22"/>
                <w:lang w:val="fr-FR"/>
              </w:rPr>
              <w:t xml:space="preserve">Les </w:t>
            </w:r>
            <w:hyperlink r:id="rId242" w:anchor="/fr" w:history="1">
              <w:r w:rsidRPr="00C83DA9">
                <w:rPr>
                  <w:b/>
                  <w:bCs/>
                  <w:color w:val="0000FF"/>
                  <w:sz w:val="22"/>
                  <w:u w:val="single"/>
                  <w:lang w:val="fr-FR"/>
                </w:rPr>
                <w:t>Forums régionaux sur le développement</w:t>
              </w:r>
            </w:hyperlink>
            <w:r w:rsidRPr="00C83DA9">
              <w:rPr>
                <w:color w:val="000000"/>
                <w:sz w:val="22"/>
                <w:lang w:val="fr-FR"/>
              </w:rPr>
              <w:t>, qui ont réuni des parties prenantes de toutes les régions et débouché sur de nombreux nouveaux engagements, ont réaffirmé le rôle primordial des TIC en faveur du développement durable dans les différentes régions: Afrique, Amériques, États arabes, Asie-Pacifique, Communauté des États indépendants et Europe.</w:t>
            </w:r>
          </w:p>
          <w:p w14:paraId="69525CD8" w14:textId="77777777"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En 2025, ces forums ont été organisés juste avant ou juste après les réunions préparatoires régionales en vue de la CMDT-25. Des rapports sur l'état du développement du numérique et des documents thématiques établissant un lien entre le SMSI+20, les ODD et le Pacte pour l'avenir ont été publiés avant chacun de ces forums.</w:t>
            </w:r>
          </w:p>
          <w:p w14:paraId="17C0BD43" w14:textId="77777777"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En </w:t>
            </w:r>
            <w:r w:rsidRPr="00C83DA9">
              <w:rPr>
                <w:b/>
                <w:bCs/>
                <w:color w:val="000000"/>
                <w:sz w:val="22"/>
                <w:lang w:val="fr-FR"/>
              </w:rPr>
              <w:t>Afrique</w:t>
            </w:r>
            <w:r w:rsidRPr="00C83DA9">
              <w:rPr>
                <w:color w:val="000000"/>
                <w:sz w:val="22"/>
                <w:lang w:val="fr-FR"/>
              </w:rPr>
              <w:t>, le BDT a aidé les pays à faire progresser la transformation numérique grâce à une assistance technique ciblée et à la collaboration régionale. Des cas pratiques dans le domaine de la connectivité et des services communautaires ont été présentés dans le cadre de l'initiative "</w:t>
            </w:r>
            <w:r w:rsidRPr="00C83DA9">
              <w:rPr>
                <w:b/>
                <w:bCs/>
                <w:color w:val="000000"/>
                <w:sz w:val="22"/>
                <w:lang w:val="fr-FR"/>
              </w:rPr>
              <w:t>Villages intelligents et îles intelligentes</w:t>
            </w:r>
            <w:r w:rsidRPr="00C83DA9">
              <w:rPr>
                <w:color w:val="000000"/>
                <w:sz w:val="22"/>
                <w:lang w:val="fr-FR"/>
              </w:rPr>
              <w:t xml:space="preserve">", tandis que les sessions GovStack en </w:t>
            </w:r>
            <w:r w:rsidRPr="00C83DA9">
              <w:rPr>
                <w:b/>
                <w:bCs/>
                <w:color w:val="000000"/>
                <w:sz w:val="22"/>
                <w:lang w:val="fr-FR"/>
              </w:rPr>
              <w:t>Gambie</w:t>
            </w:r>
            <w:r w:rsidRPr="00C83DA9">
              <w:rPr>
                <w:color w:val="000000"/>
                <w:sz w:val="22"/>
                <w:lang w:val="fr-FR"/>
              </w:rPr>
              <w:t xml:space="preserve"> et au </w:t>
            </w:r>
            <w:r w:rsidRPr="00C83DA9">
              <w:rPr>
                <w:b/>
                <w:bCs/>
                <w:color w:val="000000"/>
                <w:sz w:val="22"/>
                <w:lang w:val="fr-FR"/>
              </w:rPr>
              <w:t xml:space="preserve">Lesotho </w:t>
            </w:r>
            <w:r w:rsidRPr="00C83DA9">
              <w:rPr>
                <w:color w:val="000000"/>
                <w:sz w:val="22"/>
                <w:lang w:val="fr-FR"/>
              </w:rPr>
              <w:t xml:space="preserve">ont permis de renforcer les capacités des gouvernements à concevoir des plates-formes numériques interopérables. Les politiques en faveur du développement durable des TIC ont été renforcées grâce à des stratégies de gestion des déchets d'équipements électriques et électroniques (DEEE) au </w:t>
            </w:r>
            <w:r w:rsidRPr="00C83DA9">
              <w:rPr>
                <w:b/>
                <w:bCs/>
                <w:color w:val="000000"/>
                <w:sz w:val="22"/>
                <w:lang w:val="fr-FR"/>
              </w:rPr>
              <w:t>Malawi</w:t>
            </w:r>
            <w:r w:rsidRPr="00C83DA9">
              <w:rPr>
                <w:color w:val="000000"/>
                <w:sz w:val="22"/>
                <w:lang w:val="fr-FR"/>
              </w:rPr>
              <w:t xml:space="preserve">, au </w:t>
            </w:r>
            <w:r w:rsidRPr="00C83DA9">
              <w:rPr>
                <w:b/>
                <w:bCs/>
                <w:color w:val="000000"/>
                <w:sz w:val="22"/>
                <w:lang w:val="fr-FR"/>
              </w:rPr>
              <w:t>Niger</w:t>
            </w:r>
            <w:r w:rsidRPr="00C83DA9">
              <w:rPr>
                <w:color w:val="000000"/>
                <w:sz w:val="22"/>
                <w:lang w:val="fr-FR"/>
              </w:rPr>
              <w:t xml:space="preserve">, au </w:t>
            </w:r>
            <w:r w:rsidRPr="00C83DA9">
              <w:rPr>
                <w:b/>
                <w:bCs/>
                <w:color w:val="000000"/>
                <w:sz w:val="22"/>
                <w:lang w:val="fr-FR"/>
              </w:rPr>
              <w:t xml:space="preserve">Rwanda </w:t>
            </w:r>
            <w:r w:rsidRPr="00C83DA9">
              <w:rPr>
                <w:color w:val="000000"/>
                <w:sz w:val="22"/>
                <w:lang w:val="fr-FR"/>
              </w:rPr>
              <w:t xml:space="preserve">et en </w:t>
            </w:r>
            <w:r w:rsidRPr="00C83DA9">
              <w:rPr>
                <w:b/>
                <w:bCs/>
                <w:color w:val="000000"/>
                <w:sz w:val="22"/>
                <w:lang w:val="fr-FR"/>
              </w:rPr>
              <w:t xml:space="preserve">Zambie, </w:t>
            </w:r>
            <w:r w:rsidRPr="00C83DA9">
              <w:rPr>
                <w:color w:val="000000"/>
                <w:sz w:val="22"/>
                <w:lang w:val="fr-FR"/>
              </w:rPr>
              <w:t>preuve que les</w:t>
            </w:r>
            <w:r w:rsidRPr="00C83DA9">
              <w:rPr>
                <w:b/>
                <w:bCs/>
                <w:color w:val="000000"/>
                <w:sz w:val="22"/>
                <w:lang w:val="fr-FR"/>
              </w:rPr>
              <w:t xml:space="preserve"> </w:t>
            </w:r>
            <w:r w:rsidRPr="00C83DA9">
              <w:rPr>
                <w:color w:val="000000"/>
                <w:sz w:val="22"/>
                <w:lang w:val="fr-FR"/>
              </w:rPr>
              <w:t>méthodes sont transposables</w:t>
            </w:r>
            <w:r w:rsidRPr="00C83DA9">
              <w:rPr>
                <w:b/>
                <w:bCs/>
                <w:color w:val="000000"/>
                <w:sz w:val="22"/>
                <w:lang w:val="fr-FR"/>
              </w:rPr>
              <w:t xml:space="preserve"> </w:t>
            </w:r>
            <w:r w:rsidRPr="00C83DA9">
              <w:rPr>
                <w:color w:val="000000"/>
                <w:sz w:val="22"/>
                <w:lang w:val="fr-FR"/>
              </w:rPr>
              <w:t>s'agissant des pratiques respectueuses de l'environnement.</w:t>
            </w:r>
          </w:p>
          <w:p w14:paraId="5829714E" w14:textId="7C822723" w:rsidR="004E5CF5" w:rsidRPr="00C83DA9" w:rsidRDefault="004E5CF5" w:rsidP="005D736D">
            <w:pPr>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lastRenderedPageBreak/>
              <w:t xml:space="preserve">Les activités de renforcement des capacités ont été vastes. </w:t>
            </w:r>
            <w:r w:rsidRPr="00C83DA9">
              <w:rPr>
                <w:b/>
                <w:bCs/>
                <w:color w:val="000000"/>
                <w:sz w:val="22"/>
                <w:lang w:val="fr-FR"/>
              </w:rPr>
              <w:t xml:space="preserve">La formation dispensée dans le cadre du projet PRIDA a permis d'améliorer la gestion du spectre dans </w:t>
            </w:r>
            <w:r w:rsidR="00693422" w:rsidRPr="00C83DA9">
              <w:rPr>
                <w:b/>
                <w:bCs/>
                <w:color w:val="000000"/>
                <w:sz w:val="22"/>
                <w:lang w:val="fr-FR"/>
              </w:rPr>
              <w:t xml:space="preserve">plus de 43 </w:t>
            </w:r>
            <w:r w:rsidRPr="00C83DA9">
              <w:rPr>
                <w:b/>
                <w:bCs/>
                <w:color w:val="000000"/>
                <w:sz w:val="22"/>
                <w:lang w:val="fr-FR"/>
              </w:rPr>
              <w:t>pays</w:t>
            </w:r>
            <w:r w:rsidRPr="00C83DA9">
              <w:rPr>
                <w:color w:val="000000"/>
                <w:sz w:val="22"/>
                <w:lang w:val="fr-FR"/>
              </w:rPr>
              <w:t xml:space="preserve">, et donc l'état de préparation de ces pays en matière réglementaire. Les évaluations de l'accessibilité économique du large bande menées en </w:t>
            </w:r>
            <w:r w:rsidRPr="00C83DA9">
              <w:rPr>
                <w:b/>
                <w:bCs/>
                <w:color w:val="000000"/>
                <w:sz w:val="22"/>
                <w:lang w:val="fr-FR"/>
              </w:rPr>
              <w:t>Zambie</w:t>
            </w:r>
            <w:r w:rsidRPr="00C83DA9">
              <w:rPr>
                <w:color w:val="000000"/>
                <w:sz w:val="22"/>
                <w:lang w:val="fr-FR"/>
              </w:rPr>
              <w:t xml:space="preserve"> constituent une base de données factuelles pour l'élaboration des politiques, tandis que les stratégies nationales de cybersécurité adoptées au </w:t>
            </w:r>
            <w:r w:rsidRPr="00C83DA9">
              <w:rPr>
                <w:b/>
                <w:bCs/>
                <w:color w:val="000000"/>
                <w:sz w:val="22"/>
                <w:lang w:val="fr-FR"/>
              </w:rPr>
              <w:t xml:space="preserve">Tchad </w:t>
            </w:r>
            <w:r w:rsidRPr="00C83DA9">
              <w:rPr>
                <w:color w:val="000000"/>
                <w:sz w:val="22"/>
                <w:lang w:val="fr-FR"/>
              </w:rPr>
              <w:t xml:space="preserve">et au </w:t>
            </w:r>
            <w:r w:rsidRPr="00C83DA9">
              <w:rPr>
                <w:b/>
                <w:bCs/>
                <w:color w:val="000000"/>
                <w:sz w:val="22"/>
                <w:lang w:val="fr-FR"/>
              </w:rPr>
              <w:t>Rwanda</w:t>
            </w:r>
            <w:r w:rsidRPr="00C83DA9">
              <w:rPr>
                <w:color w:val="000000"/>
                <w:sz w:val="22"/>
                <w:lang w:val="fr-FR"/>
              </w:rPr>
              <w:t xml:space="preserve">, combinées aux évaluations de l'état de préparation réalisées au </w:t>
            </w:r>
            <w:r w:rsidRPr="00C83DA9">
              <w:rPr>
                <w:b/>
                <w:bCs/>
                <w:color w:val="000000"/>
                <w:sz w:val="22"/>
                <w:lang w:val="fr-FR"/>
              </w:rPr>
              <w:t xml:space="preserve">Zimbabwe </w:t>
            </w:r>
            <w:r w:rsidRPr="00C83DA9">
              <w:rPr>
                <w:color w:val="000000"/>
                <w:sz w:val="22"/>
                <w:lang w:val="fr-FR"/>
              </w:rPr>
              <w:t xml:space="preserve">et au </w:t>
            </w:r>
            <w:r w:rsidRPr="00C83DA9">
              <w:rPr>
                <w:b/>
                <w:bCs/>
                <w:color w:val="000000"/>
                <w:sz w:val="22"/>
                <w:lang w:val="fr-FR"/>
              </w:rPr>
              <w:t>Lesotho</w:t>
            </w:r>
            <w:r w:rsidRPr="00C83DA9">
              <w:rPr>
                <w:color w:val="000000"/>
                <w:sz w:val="22"/>
                <w:lang w:val="fr-FR"/>
              </w:rPr>
              <w:t xml:space="preserve">, ont contribué à renforcer la résilience au niveau national. Dans le même temps, des écosystèmes d'innovation ont été développés grâce à l'établissement de profils d'innovation numérique, à la création de </w:t>
            </w:r>
            <w:r w:rsidRPr="00C83DA9">
              <w:rPr>
                <w:b/>
                <w:bCs/>
                <w:color w:val="000000"/>
                <w:sz w:val="22"/>
                <w:lang w:val="fr-FR"/>
              </w:rPr>
              <w:t>centres d'accélération dans six pays</w:t>
            </w:r>
            <w:r w:rsidRPr="00C83DA9">
              <w:rPr>
                <w:color w:val="000000"/>
                <w:sz w:val="22"/>
                <w:lang w:val="fr-FR"/>
              </w:rPr>
              <w:t xml:space="preserve"> et au lancement d'initiatives telles que VaMoz Digital! au </w:t>
            </w:r>
            <w:r w:rsidRPr="00C83DA9">
              <w:rPr>
                <w:b/>
                <w:bCs/>
                <w:color w:val="000000"/>
                <w:sz w:val="22"/>
                <w:lang w:val="fr-FR"/>
              </w:rPr>
              <w:t>Mozambique</w:t>
            </w:r>
            <w:r w:rsidRPr="00C83DA9">
              <w:rPr>
                <w:color w:val="000000"/>
                <w:sz w:val="22"/>
                <w:lang w:val="fr-FR"/>
              </w:rPr>
              <w:t>, qui vise à soutenir l'entrepreneuriat numérique et la définition de nouveaux modèles économiques.</w:t>
            </w:r>
          </w:p>
          <w:p w14:paraId="48EC9F7E" w14:textId="0979FC16"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L'engagement politique au niveau régional a permis d'améliorer ces résultats. La collaboration avec l'Union africaine a garanti l'intégration de priorités telles que l'identité numérique dans les cadres continentaux. Les systèmes d'alerte avancée et l'état de préparation en prévision des catastrophes ont été améliorés grâce au </w:t>
            </w:r>
            <w:r w:rsidRPr="00C83DA9">
              <w:rPr>
                <w:b/>
                <w:bCs/>
                <w:color w:val="000000"/>
                <w:sz w:val="22"/>
                <w:lang w:val="fr-FR"/>
              </w:rPr>
              <w:t>modèle de plan NETP de la SADC</w:t>
            </w:r>
            <w:r w:rsidRPr="00C83DA9">
              <w:rPr>
                <w:color w:val="000000"/>
                <w:sz w:val="22"/>
                <w:lang w:val="fr-FR"/>
              </w:rPr>
              <w:t xml:space="preserve"> et à la contribution du continent à l'</w:t>
            </w:r>
            <w:r w:rsidRPr="00C83DA9">
              <w:rPr>
                <w:b/>
                <w:bCs/>
                <w:color w:val="000000"/>
                <w:sz w:val="22"/>
                <w:lang w:val="fr-FR"/>
              </w:rPr>
              <w:t>Initiative mondiale "Alertes précoces pour tous"</w:t>
            </w:r>
            <w:r w:rsidRPr="00C83DA9">
              <w:rPr>
                <w:color w:val="000000"/>
                <w:sz w:val="22"/>
                <w:lang w:val="fr-FR"/>
              </w:rPr>
              <w:t>. En 2024, les efforts du BDT se sont encore intensifiés, puisque celui</w:t>
            </w:r>
            <w:r w:rsidR="00E046A5">
              <w:rPr>
                <w:color w:val="000000"/>
                <w:sz w:val="22"/>
                <w:lang w:val="fr-FR"/>
              </w:rPr>
              <w:noBreakHyphen/>
            </w:r>
            <w:r w:rsidRPr="00C83DA9">
              <w:rPr>
                <w:color w:val="000000"/>
                <w:sz w:val="22"/>
                <w:lang w:val="fr-FR"/>
              </w:rPr>
              <w:t>ci a aidé l'</w:t>
            </w:r>
            <w:r w:rsidRPr="00C83DA9">
              <w:rPr>
                <w:b/>
                <w:bCs/>
                <w:color w:val="000000"/>
                <w:sz w:val="22"/>
                <w:lang w:val="fr-FR"/>
              </w:rPr>
              <w:t xml:space="preserve">Éthiopie </w:t>
            </w:r>
            <w:r w:rsidRPr="00C83DA9">
              <w:rPr>
                <w:color w:val="000000"/>
                <w:sz w:val="22"/>
                <w:lang w:val="fr-FR"/>
              </w:rPr>
              <w:t>dans le cadre de ses activités</w:t>
            </w:r>
            <w:r w:rsidRPr="00C83DA9">
              <w:rPr>
                <w:b/>
                <w:bCs/>
                <w:color w:val="000000"/>
                <w:sz w:val="22"/>
                <w:lang w:val="fr-FR"/>
              </w:rPr>
              <w:t xml:space="preserve"> </w:t>
            </w:r>
            <w:r w:rsidRPr="00C83DA9">
              <w:rPr>
                <w:color w:val="000000"/>
                <w:sz w:val="22"/>
                <w:lang w:val="fr-FR"/>
              </w:rPr>
              <w:t>visant à bénéficier</w:t>
            </w:r>
            <w:r w:rsidRPr="00C83DA9">
              <w:rPr>
                <w:b/>
                <w:bCs/>
                <w:color w:val="000000"/>
                <w:sz w:val="22"/>
                <w:lang w:val="fr-FR"/>
              </w:rPr>
              <w:t xml:space="preserve"> </w:t>
            </w:r>
            <w:r w:rsidRPr="00C83DA9">
              <w:rPr>
                <w:color w:val="000000"/>
                <w:sz w:val="22"/>
                <w:lang w:val="fr-FR"/>
              </w:rPr>
              <w:t>du Plan-cadre de coopération des Nations Unies pour le développement durable</w:t>
            </w:r>
            <w:r w:rsidRPr="00C83DA9">
              <w:rPr>
                <w:rFonts w:ascii="Calibri" w:hAnsi="Calibri" w:cs="Calibri"/>
                <w:sz w:val="22"/>
                <w:lang w:val="fr-FR"/>
              </w:rPr>
              <w:t xml:space="preserve"> </w:t>
            </w:r>
            <w:r w:rsidRPr="00C83DA9">
              <w:rPr>
                <w:color w:val="000000"/>
                <w:sz w:val="22"/>
                <w:lang w:val="fr-FR"/>
              </w:rPr>
              <w:t xml:space="preserve">et mené des initiatives d'identification numérique au </w:t>
            </w:r>
            <w:r w:rsidRPr="00C83DA9">
              <w:rPr>
                <w:b/>
                <w:bCs/>
                <w:color w:val="000000"/>
                <w:sz w:val="22"/>
                <w:lang w:val="fr-FR"/>
              </w:rPr>
              <w:t xml:space="preserve">Nigéria </w:t>
            </w:r>
            <w:r w:rsidRPr="00C83DA9">
              <w:rPr>
                <w:color w:val="000000"/>
                <w:sz w:val="22"/>
                <w:lang w:val="fr-FR"/>
              </w:rPr>
              <w:t xml:space="preserve">et à </w:t>
            </w:r>
            <w:r w:rsidRPr="00C83DA9">
              <w:rPr>
                <w:b/>
                <w:bCs/>
                <w:color w:val="000000"/>
                <w:sz w:val="22"/>
                <w:lang w:val="fr-FR"/>
              </w:rPr>
              <w:t>Cabo Verde</w:t>
            </w:r>
            <w:r w:rsidRPr="00C83DA9">
              <w:rPr>
                <w:color w:val="000000"/>
                <w:sz w:val="22"/>
                <w:lang w:val="fr-FR"/>
              </w:rPr>
              <w:t xml:space="preserve">, ainsi que des activités de renforcement des capacités ciblées au </w:t>
            </w:r>
            <w:r w:rsidRPr="00C83DA9">
              <w:rPr>
                <w:b/>
                <w:bCs/>
                <w:color w:val="000000"/>
                <w:sz w:val="22"/>
                <w:lang w:val="fr-FR"/>
              </w:rPr>
              <w:t xml:space="preserve">Malawi </w:t>
            </w:r>
            <w:r w:rsidRPr="00C83DA9">
              <w:rPr>
                <w:color w:val="000000"/>
                <w:sz w:val="22"/>
                <w:lang w:val="fr-FR"/>
              </w:rPr>
              <w:t xml:space="preserve">et en </w:t>
            </w:r>
            <w:r w:rsidRPr="00C83DA9">
              <w:rPr>
                <w:b/>
                <w:bCs/>
                <w:color w:val="000000"/>
                <w:sz w:val="22"/>
                <w:lang w:val="fr-FR"/>
              </w:rPr>
              <w:t>République sudafricaine</w:t>
            </w:r>
            <w:r w:rsidRPr="00C83DA9">
              <w:rPr>
                <w:color w:val="000000"/>
                <w:sz w:val="22"/>
                <w:lang w:val="fr-FR"/>
              </w:rPr>
              <w:t>. Ces initiatives montrent que l'appui fourni au niveau des pays est aligné sur les priorités régionales et permet ainsi à l'Afrique de progresser sur la voie de la transformation numérique de manière durable.</w:t>
            </w:r>
          </w:p>
          <w:p w14:paraId="38AF7CAA" w14:textId="41F89F17"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Dans la </w:t>
            </w:r>
            <w:r w:rsidRPr="00C83DA9">
              <w:rPr>
                <w:b/>
                <w:bCs/>
                <w:color w:val="000000"/>
                <w:sz w:val="22"/>
                <w:lang w:val="fr-FR"/>
              </w:rPr>
              <w:t>région</w:t>
            </w:r>
            <w:r w:rsidRPr="00C83DA9">
              <w:rPr>
                <w:color w:val="000000"/>
                <w:sz w:val="22"/>
                <w:lang w:val="fr-FR"/>
              </w:rPr>
              <w:t xml:space="preserve"> </w:t>
            </w:r>
            <w:r w:rsidRPr="00C83DA9">
              <w:rPr>
                <w:b/>
                <w:bCs/>
                <w:color w:val="000000"/>
                <w:sz w:val="22"/>
                <w:lang w:val="fr-FR"/>
              </w:rPr>
              <w:t>Amériques</w:t>
            </w:r>
            <w:r w:rsidRPr="00C83DA9">
              <w:rPr>
                <w:color w:val="000000"/>
                <w:sz w:val="22"/>
                <w:lang w:val="fr-FR"/>
              </w:rPr>
              <w:t xml:space="preserve">, l'initiative "Alertes précoces pour tous" lancée au niveau régional permet aux pays des Caraïbes de renforcer leur état de préparation au niveau national. Conformément à la Résolution 87 de la CMDT, et pour appuyer </w:t>
            </w:r>
            <w:r w:rsidR="005E2C5D" w:rsidRPr="00C83DA9">
              <w:rPr>
                <w:color w:val="000000"/>
                <w:sz w:val="22"/>
                <w:lang w:val="fr-FR"/>
              </w:rPr>
              <w:t>les activités visant à connecter les écoles</w:t>
            </w:r>
            <w:r w:rsidRPr="00C83DA9">
              <w:rPr>
                <w:color w:val="000000"/>
                <w:sz w:val="22"/>
                <w:lang w:val="fr-FR"/>
              </w:rPr>
              <w:t xml:space="preserve">, </w:t>
            </w:r>
            <w:r w:rsidRPr="00C83DA9">
              <w:rPr>
                <w:b/>
                <w:bCs/>
                <w:color w:val="000000"/>
                <w:sz w:val="22"/>
                <w:lang w:val="fr-FR"/>
              </w:rPr>
              <w:t xml:space="preserve">des travaux de mise à niveau du large bande ont été effectués dans les écoles de la Barbade et ont profité à plus de 18 000 élèves et 1 300 enseignants, </w:t>
            </w:r>
            <w:r w:rsidRPr="00C83DA9">
              <w:rPr>
                <w:color w:val="000000"/>
                <w:sz w:val="22"/>
                <w:lang w:val="fr-FR"/>
              </w:rPr>
              <w:t>et ont ainsi contribué directement à l'éducation inclusive. Une formation complémentaire dans le domaine des télécommunications d'urgence a été dispensée pour faire en sorte que les institutions soient prêtes à faire face aux crises. La mise en place d'un accès amélioré à des services de soins de qualité pour les maladies non transmissibles dans le cadre d'un projet d'innovation numérique mené conjointement par l'UIT, l'OMS/OPS, le FNUAP et l'UNICEF a mobilisé directement 120</w:t>
            </w:r>
            <w:r w:rsidR="00BD2B33" w:rsidRPr="00C83DA9">
              <w:rPr>
                <w:color w:val="000000"/>
                <w:sz w:val="22"/>
                <w:lang w:val="fr-FR"/>
              </w:rPr>
              <w:t> </w:t>
            </w:r>
            <w:r w:rsidRPr="00C83DA9">
              <w:rPr>
                <w:color w:val="000000"/>
                <w:sz w:val="22"/>
                <w:lang w:val="fr-FR"/>
              </w:rPr>
              <w:t>professionnels de santé ainsi que tous les professionnels de santé du système public, et a profité directement à 1,5 million de personnes (amélioration de l'offre et de la demande de services de santé), et indirectement à la population du pays. Ce projet conjoint au service des ODD est inclusif et orienté spécifiquement vers les femmes et les enfants.</w:t>
            </w:r>
          </w:p>
          <w:p w14:paraId="3F4E6212" w14:textId="1644FCE3"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pacing w:val="-2"/>
                <w:sz w:val="22"/>
                <w:lang w:val="fr-FR"/>
              </w:rPr>
            </w:pPr>
            <w:r w:rsidRPr="00C83DA9">
              <w:rPr>
                <w:color w:val="000000"/>
                <w:spacing w:val="-2"/>
                <w:sz w:val="22"/>
                <w:lang w:val="fr-FR"/>
              </w:rPr>
              <w:t>Plus de 2 300 jeunes filles ont été formées dans le cadre de programmes tels que "Americas Girls Can Code", tandis que le projet "Inclusion numérique des jeunes" a soutenu les communautés autochtones. Les célébrations de la Journée internationale des jeunes filles dans le secteur des TIC ont attiré un grand nombre de participants et contribué à sensibiliser à l'importance de l'égalité hommes</w:t>
            </w:r>
            <w:r w:rsidR="001B1CF5" w:rsidRPr="00C83DA9">
              <w:rPr>
                <w:color w:val="000000"/>
                <w:spacing w:val="-2"/>
                <w:sz w:val="22"/>
                <w:lang w:val="fr-FR"/>
              </w:rPr>
              <w:noBreakHyphen/>
            </w:r>
            <w:r w:rsidRPr="00C83DA9">
              <w:rPr>
                <w:color w:val="000000"/>
                <w:spacing w:val="-2"/>
                <w:sz w:val="22"/>
                <w:lang w:val="fr-FR"/>
              </w:rPr>
              <w:t>femmes dans l'économie numérique. Grâce à des partenariats avec Huawei, la FAO et l'Union européenne, des ressources et des compétences spécialisées ont été mises à disposition au service de l'innovation axée sur l'agriculture et de la modernisation de la réglementation.</w:t>
            </w:r>
          </w:p>
          <w:p w14:paraId="3D151DFD" w14:textId="4AA9A327"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lastRenderedPageBreak/>
              <w:t xml:space="preserve">Le Forum régional sur le développement tenu en </w:t>
            </w:r>
            <w:r w:rsidRPr="00C83DA9">
              <w:rPr>
                <w:b/>
                <w:bCs/>
                <w:color w:val="000000"/>
                <w:sz w:val="22"/>
                <w:lang w:val="fr-FR"/>
              </w:rPr>
              <w:t xml:space="preserve">El Salvador </w:t>
            </w:r>
            <w:r w:rsidR="00AC7340" w:rsidRPr="00C83DA9">
              <w:rPr>
                <w:b/>
                <w:bCs/>
                <w:color w:val="000000"/>
                <w:sz w:val="22"/>
                <w:lang w:val="fr-FR"/>
              </w:rPr>
              <w:t xml:space="preserve">en 2023 </w:t>
            </w:r>
            <w:r w:rsidRPr="00C83DA9">
              <w:rPr>
                <w:b/>
                <w:bCs/>
                <w:color w:val="000000"/>
                <w:sz w:val="22"/>
                <w:lang w:val="fr-FR"/>
              </w:rPr>
              <w:t xml:space="preserve">a réuni 268 participants et a débouché sur 147 engagements </w:t>
            </w:r>
            <w:r w:rsidR="00DE7069" w:rsidRPr="00C83DA9">
              <w:rPr>
                <w:b/>
                <w:bCs/>
                <w:color w:val="000000"/>
                <w:sz w:val="22"/>
                <w:lang w:val="fr-FR"/>
              </w:rPr>
              <w:t xml:space="preserve">au titre de l'Initiative Partner2Connect </w:t>
            </w:r>
            <w:r w:rsidRPr="00C83DA9">
              <w:rPr>
                <w:b/>
                <w:bCs/>
                <w:color w:val="000000"/>
                <w:sz w:val="22"/>
                <w:lang w:val="fr-FR"/>
              </w:rPr>
              <w:t>d'un montant de près de 10 milliards USD</w:t>
            </w:r>
            <w:r w:rsidRPr="00C83DA9">
              <w:rPr>
                <w:color w:val="000000"/>
                <w:sz w:val="22"/>
                <w:lang w:val="fr-FR"/>
              </w:rPr>
              <w:t xml:space="preserve">, des chiffres révélateurs des atouts dont disposent les partenariats faire progresser la connectivité et l'inclusion. En 2024, des études sur le large bande ont été menées en </w:t>
            </w:r>
            <w:r w:rsidRPr="00C83DA9">
              <w:rPr>
                <w:b/>
                <w:bCs/>
                <w:color w:val="000000"/>
                <w:sz w:val="22"/>
                <w:lang w:val="fr-FR"/>
              </w:rPr>
              <w:t>Colombie</w:t>
            </w:r>
            <w:r w:rsidRPr="00C83DA9">
              <w:rPr>
                <w:color w:val="000000"/>
                <w:sz w:val="22"/>
                <w:lang w:val="fr-FR"/>
              </w:rPr>
              <w:t xml:space="preserve"> dans le cadre de projets relatifs à la télévision numérique de Terre pour l'Amérique latine,</w:t>
            </w:r>
            <w:r w:rsidRPr="00C83DA9">
              <w:rPr>
                <w:b/>
                <w:bCs/>
                <w:color w:val="000000"/>
                <w:sz w:val="22"/>
                <w:lang w:val="fr-FR"/>
              </w:rPr>
              <w:t xml:space="preserve"> </w:t>
            </w:r>
            <w:r w:rsidRPr="00C83DA9">
              <w:rPr>
                <w:color w:val="000000"/>
                <w:sz w:val="22"/>
                <w:lang w:val="fr-FR"/>
              </w:rPr>
              <w:t xml:space="preserve">et de nouvelles activités visant à améliorer l'identification numérique dans les </w:t>
            </w:r>
            <w:r w:rsidRPr="00C83DA9">
              <w:rPr>
                <w:b/>
                <w:bCs/>
                <w:color w:val="000000"/>
                <w:sz w:val="22"/>
                <w:lang w:val="fr-FR"/>
              </w:rPr>
              <w:t xml:space="preserve">Caraïbes </w:t>
            </w:r>
            <w:r w:rsidRPr="00C83DA9">
              <w:rPr>
                <w:color w:val="000000"/>
                <w:sz w:val="22"/>
                <w:lang w:val="fr-FR"/>
              </w:rPr>
              <w:t xml:space="preserve">ont été lancées. En 2025, le BDT a entrepris d'aider la </w:t>
            </w:r>
            <w:r w:rsidRPr="00C83DA9">
              <w:rPr>
                <w:b/>
                <w:bCs/>
                <w:color w:val="000000"/>
                <w:sz w:val="22"/>
                <w:lang w:val="fr-FR"/>
              </w:rPr>
              <w:t>Colombie</w:t>
            </w:r>
            <w:r w:rsidRPr="00C83DA9">
              <w:rPr>
                <w:color w:val="000000"/>
                <w:sz w:val="22"/>
                <w:lang w:val="fr-FR"/>
              </w:rPr>
              <w:t xml:space="preserve"> dans le cadre de ses travaux préparatoires en vue des changements concernant son nom de domaine de premier niveau de type code de pays (ccTLD), d'appuyer l'inclusion financière en </w:t>
            </w:r>
            <w:r w:rsidRPr="00C83DA9">
              <w:rPr>
                <w:b/>
                <w:bCs/>
                <w:color w:val="000000"/>
                <w:sz w:val="22"/>
                <w:lang w:val="fr-FR"/>
              </w:rPr>
              <w:t>République</w:t>
            </w:r>
            <w:r w:rsidR="001B1CF5" w:rsidRPr="00C83DA9">
              <w:rPr>
                <w:b/>
                <w:bCs/>
                <w:color w:val="000000"/>
                <w:sz w:val="22"/>
                <w:lang w:val="fr-FR"/>
              </w:rPr>
              <w:t> </w:t>
            </w:r>
            <w:r w:rsidRPr="00C83DA9">
              <w:rPr>
                <w:b/>
                <w:bCs/>
                <w:color w:val="000000"/>
                <w:sz w:val="22"/>
                <w:lang w:val="fr-FR"/>
              </w:rPr>
              <w:t>dominicaine</w:t>
            </w:r>
            <w:r w:rsidRPr="00C83DA9">
              <w:rPr>
                <w:color w:val="000000"/>
                <w:sz w:val="22"/>
                <w:lang w:val="fr-FR"/>
              </w:rPr>
              <w:t xml:space="preserve"> et de lancer un programme national de renforcement des compétences à </w:t>
            </w:r>
            <w:r w:rsidRPr="00C83DA9">
              <w:rPr>
                <w:b/>
                <w:bCs/>
                <w:color w:val="000000"/>
                <w:sz w:val="22"/>
                <w:lang w:val="fr-FR"/>
              </w:rPr>
              <w:t>Trinité-et-Tobago</w:t>
            </w:r>
            <w:r w:rsidRPr="00C83DA9">
              <w:rPr>
                <w:color w:val="000000"/>
                <w:sz w:val="22"/>
                <w:lang w:val="fr-FR"/>
              </w:rPr>
              <w:t>, qui devrait profiter à 10 000 personnes.</w:t>
            </w:r>
          </w:p>
          <w:p w14:paraId="6E2C3764" w14:textId="77777777"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Dans la </w:t>
            </w:r>
            <w:r w:rsidRPr="00C83DA9">
              <w:rPr>
                <w:b/>
                <w:bCs/>
                <w:color w:val="000000"/>
                <w:sz w:val="22"/>
                <w:lang w:val="fr-FR"/>
              </w:rPr>
              <w:t>région des États arabes</w:t>
            </w:r>
            <w:r w:rsidRPr="00C83DA9">
              <w:rPr>
                <w:color w:val="000000"/>
                <w:sz w:val="22"/>
                <w:lang w:val="fr-FR"/>
              </w:rPr>
              <w:t>, le BDT a renforcé son rôle de moteur de la transformation numérique en nouant des partenariats solides avec des organisations régionales et des institutions des Nations Unies. La collaboration avec la Ligue des États arabes et la Commission économique et sociale des Nations Unies pour l'Asie occidentale (CESAO) a consisté à appuyer les stratégies régionales dans le domaine des TIC, tandis que le Colloque mondial des régulateurs tenu en Égypte en 2023 a insisté sur l'importance des cadres de gouvernance.</w:t>
            </w:r>
          </w:p>
          <w:p w14:paraId="4A22ACDC" w14:textId="56FF35E7"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L'appui en faveur des stratégies nationales s'est élargi à divers domaines. L'</w:t>
            </w:r>
            <w:r w:rsidRPr="00C83DA9">
              <w:rPr>
                <w:b/>
                <w:bCs/>
                <w:color w:val="000000"/>
                <w:sz w:val="22"/>
                <w:lang w:val="fr-FR"/>
              </w:rPr>
              <w:t>Égypte</w:t>
            </w:r>
            <w:r w:rsidRPr="00C83DA9">
              <w:rPr>
                <w:color w:val="000000"/>
                <w:sz w:val="22"/>
                <w:lang w:val="fr-FR"/>
              </w:rPr>
              <w:t xml:space="preserve"> et la </w:t>
            </w:r>
            <w:r w:rsidRPr="00C83DA9">
              <w:rPr>
                <w:b/>
                <w:bCs/>
                <w:color w:val="000000"/>
                <w:sz w:val="22"/>
                <w:lang w:val="fr-FR"/>
              </w:rPr>
              <w:t>Jordanie</w:t>
            </w:r>
            <w:r w:rsidRPr="00C83DA9">
              <w:rPr>
                <w:color w:val="000000"/>
                <w:sz w:val="22"/>
                <w:lang w:val="fr-FR"/>
              </w:rPr>
              <w:t xml:space="preserve"> ont progressé dans la réalisation de leurs programmes de santé numérique et de cyberagriculture, tandis que les technologies immersives ont été intégrées dans le domaine éducatif et dans la fourniture de services. La cybersécurité a suscité un grand intérêt, puisque les cyberexercices et ateliers régionaux ont enregistré un nombre record</w:t>
            </w:r>
            <w:r w:rsidR="00BD2B33" w:rsidRPr="00C83DA9">
              <w:rPr>
                <w:color w:val="000000"/>
                <w:sz w:val="22"/>
                <w:lang w:val="fr-FR"/>
              </w:rPr>
              <w:t xml:space="preserve"> </w:t>
            </w:r>
            <w:r w:rsidRPr="00C83DA9">
              <w:rPr>
                <w:color w:val="000000"/>
                <w:sz w:val="22"/>
                <w:lang w:val="fr-FR"/>
              </w:rPr>
              <w:t xml:space="preserve">de participants, </w:t>
            </w:r>
            <w:r w:rsidRPr="00C83DA9">
              <w:rPr>
                <w:b/>
                <w:bCs/>
                <w:color w:val="000000"/>
                <w:sz w:val="22"/>
                <w:lang w:val="fr-FR"/>
              </w:rPr>
              <w:t>plus de 104 pays</w:t>
            </w:r>
            <w:r w:rsidRPr="00C83DA9">
              <w:rPr>
                <w:color w:val="000000"/>
                <w:sz w:val="22"/>
                <w:lang w:val="fr-FR"/>
              </w:rPr>
              <w:t xml:space="preserve"> ayant participé au </w:t>
            </w:r>
            <w:r w:rsidRPr="00C83DA9">
              <w:rPr>
                <w:b/>
                <w:bCs/>
                <w:color w:val="000000"/>
                <w:sz w:val="22"/>
                <w:lang w:val="fr-FR"/>
              </w:rPr>
              <w:t>cyberexercice mondial organisé à Dubaï en 2024</w:t>
            </w:r>
            <w:r w:rsidRPr="00C83DA9">
              <w:rPr>
                <w:color w:val="000000"/>
                <w:sz w:val="22"/>
                <w:lang w:val="fr-FR"/>
              </w:rPr>
              <w:t xml:space="preserve">. Des activités complémentaires menées au </w:t>
            </w:r>
            <w:r w:rsidRPr="00C83DA9">
              <w:rPr>
                <w:b/>
                <w:bCs/>
                <w:color w:val="000000"/>
                <w:sz w:val="22"/>
                <w:lang w:val="fr-FR"/>
              </w:rPr>
              <w:t xml:space="preserve">Maroc </w:t>
            </w:r>
            <w:r w:rsidRPr="00C83DA9">
              <w:rPr>
                <w:color w:val="000000"/>
                <w:sz w:val="22"/>
                <w:lang w:val="fr-FR"/>
              </w:rPr>
              <w:t xml:space="preserve">ont contribué à augmenter les capacités en matière de protection en ligne des enfants, tandis qu'un appui technique fourni au </w:t>
            </w:r>
            <w:r w:rsidRPr="00C83DA9">
              <w:rPr>
                <w:b/>
                <w:bCs/>
                <w:color w:val="000000"/>
                <w:sz w:val="22"/>
                <w:lang w:val="fr-FR"/>
              </w:rPr>
              <w:t xml:space="preserve">Liban </w:t>
            </w:r>
            <w:r w:rsidRPr="00C83DA9">
              <w:rPr>
                <w:color w:val="000000"/>
                <w:sz w:val="22"/>
                <w:lang w:val="fr-FR"/>
              </w:rPr>
              <w:t>a permis de renforcer les cadres nationaux de cybersécurité.</w:t>
            </w:r>
          </w:p>
          <w:p w14:paraId="2F4E516F" w14:textId="7734FFEB"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L'édification de villes intelligentes constituait un autre thème majeur, des initiatives en la matière étant en cours en </w:t>
            </w:r>
            <w:r w:rsidRPr="00C83DA9">
              <w:rPr>
                <w:b/>
                <w:bCs/>
                <w:color w:val="000000"/>
                <w:sz w:val="22"/>
                <w:lang w:val="fr-FR"/>
              </w:rPr>
              <w:t>Égypte</w:t>
            </w:r>
            <w:r w:rsidRPr="00C83DA9">
              <w:rPr>
                <w:color w:val="000000"/>
                <w:sz w:val="22"/>
                <w:lang w:val="fr-FR"/>
              </w:rPr>
              <w:t xml:space="preserve">, à </w:t>
            </w:r>
            <w:r w:rsidRPr="00C83DA9">
              <w:rPr>
                <w:b/>
                <w:bCs/>
                <w:color w:val="000000"/>
                <w:sz w:val="22"/>
                <w:lang w:val="fr-FR"/>
              </w:rPr>
              <w:t xml:space="preserve">Oman </w:t>
            </w:r>
            <w:r w:rsidRPr="00C83DA9">
              <w:rPr>
                <w:color w:val="000000"/>
                <w:sz w:val="22"/>
                <w:lang w:val="fr-FR"/>
              </w:rPr>
              <w:t xml:space="preserve">et en </w:t>
            </w:r>
            <w:r w:rsidRPr="00C83DA9">
              <w:rPr>
                <w:b/>
                <w:bCs/>
                <w:color w:val="000000"/>
                <w:sz w:val="22"/>
                <w:lang w:val="fr-FR"/>
              </w:rPr>
              <w:t>Jordanie</w:t>
            </w:r>
            <w:r w:rsidRPr="00C83DA9">
              <w:rPr>
                <w:color w:val="000000"/>
                <w:sz w:val="22"/>
                <w:lang w:val="fr-FR"/>
              </w:rPr>
              <w:t xml:space="preserve">. Dans le même temps, les écosystèmes de l'innovation ont été renforcés en </w:t>
            </w:r>
            <w:r w:rsidRPr="00C83DA9">
              <w:rPr>
                <w:b/>
                <w:bCs/>
                <w:color w:val="000000"/>
                <w:sz w:val="22"/>
                <w:lang w:val="fr-FR"/>
              </w:rPr>
              <w:t xml:space="preserve">Égypte </w:t>
            </w:r>
            <w:r w:rsidRPr="00C83DA9">
              <w:rPr>
                <w:color w:val="000000"/>
                <w:sz w:val="22"/>
                <w:lang w:val="fr-FR"/>
              </w:rPr>
              <w:t xml:space="preserve">et en </w:t>
            </w:r>
            <w:r w:rsidRPr="00C83DA9">
              <w:rPr>
                <w:b/>
                <w:bCs/>
                <w:color w:val="000000"/>
                <w:sz w:val="22"/>
                <w:lang w:val="fr-FR"/>
              </w:rPr>
              <w:t xml:space="preserve">Tunisie </w:t>
            </w:r>
            <w:r w:rsidRPr="00C83DA9">
              <w:rPr>
                <w:color w:val="000000"/>
                <w:sz w:val="22"/>
                <w:lang w:val="fr-FR"/>
              </w:rPr>
              <w:t xml:space="preserve">grâce à des "missions d'atterrissage en douceur", à des réseaux d'entrepreneuriat et à des ateliers d'idéation. Le Réseau de femmes </w:t>
            </w:r>
            <w:r w:rsidR="00AD2C7C" w:rsidRPr="00C83DA9">
              <w:rPr>
                <w:color w:val="000000"/>
                <w:sz w:val="22"/>
                <w:lang w:val="fr-FR"/>
              </w:rPr>
              <w:t xml:space="preserve">de l'UIT-D </w:t>
            </w:r>
            <w:r w:rsidRPr="00C83DA9">
              <w:rPr>
                <w:color w:val="000000"/>
                <w:sz w:val="22"/>
                <w:lang w:val="fr-FR"/>
              </w:rPr>
              <w:t xml:space="preserve">a mis en avant les perspectives d'accès à des fonctions de direction, tandis que </w:t>
            </w:r>
            <w:r w:rsidRPr="00C83DA9">
              <w:rPr>
                <w:b/>
                <w:bCs/>
                <w:color w:val="000000"/>
                <w:sz w:val="22"/>
                <w:lang w:val="fr-FR"/>
              </w:rPr>
              <w:t>l'initiative Generation Connect a donné l'occasion aux jeunes de faire entendre leur voix, et plus de 50 candidatures ont été prises en compte dans les consultations régionales et les rapports finals</w:t>
            </w:r>
            <w:r w:rsidRPr="00C83DA9">
              <w:rPr>
                <w:color w:val="000000"/>
                <w:sz w:val="22"/>
                <w:lang w:val="fr-FR"/>
              </w:rPr>
              <w:t>. La collaboration au niveau des pays</w:t>
            </w:r>
            <w:r w:rsidRPr="00C83DA9">
              <w:rPr>
                <w:b/>
                <w:bCs/>
                <w:color w:val="000000"/>
                <w:sz w:val="22"/>
                <w:lang w:val="fr-FR"/>
              </w:rPr>
              <w:t xml:space="preserve"> </w:t>
            </w:r>
            <w:r w:rsidRPr="00C83DA9">
              <w:rPr>
                <w:color w:val="000000"/>
                <w:sz w:val="22"/>
                <w:lang w:val="fr-FR"/>
              </w:rPr>
              <w:t>dans le domaine de la réglementation s'est poursuivie à</w:t>
            </w:r>
            <w:r w:rsidRPr="00C83DA9">
              <w:rPr>
                <w:b/>
                <w:bCs/>
                <w:color w:val="000000"/>
                <w:sz w:val="22"/>
                <w:lang w:val="fr-FR"/>
              </w:rPr>
              <w:t xml:space="preserve"> Oman </w:t>
            </w:r>
            <w:r w:rsidRPr="00C83DA9">
              <w:rPr>
                <w:color w:val="000000"/>
                <w:sz w:val="22"/>
                <w:lang w:val="fr-FR"/>
              </w:rPr>
              <w:t xml:space="preserve">et au </w:t>
            </w:r>
            <w:r w:rsidRPr="00C83DA9">
              <w:rPr>
                <w:b/>
                <w:bCs/>
                <w:color w:val="000000"/>
                <w:sz w:val="22"/>
                <w:lang w:val="fr-FR"/>
              </w:rPr>
              <w:t>Qatar</w:t>
            </w:r>
            <w:r w:rsidRPr="00C83DA9">
              <w:rPr>
                <w:color w:val="000000"/>
                <w:sz w:val="22"/>
                <w:lang w:val="fr-FR"/>
              </w:rPr>
              <w:t>; elle a été complétée par la fourniture de services de conseil à l'</w:t>
            </w:r>
            <w:r w:rsidRPr="00C83DA9">
              <w:rPr>
                <w:b/>
                <w:bCs/>
                <w:color w:val="000000"/>
                <w:sz w:val="22"/>
                <w:lang w:val="fr-FR"/>
              </w:rPr>
              <w:t>Arabie saoudite</w:t>
            </w:r>
            <w:r w:rsidRPr="00C83DA9">
              <w:rPr>
                <w:color w:val="000000"/>
                <w:sz w:val="22"/>
                <w:lang w:val="fr-FR"/>
              </w:rPr>
              <w:t>.</w:t>
            </w:r>
          </w:p>
          <w:p w14:paraId="6A96DD2C" w14:textId="1234A812" w:rsidR="004E5CF5" w:rsidRPr="005D736D"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iCs/>
                <w:sz w:val="22"/>
                <w:lang w:val="fr-FR"/>
              </w:rPr>
            </w:pPr>
            <w:r w:rsidRPr="00C83DA9">
              <w:rPr>
                <w:color w:val="000000"/>
                <w:spacing w:val="-2"/>
                <w:sz w:val="22"/>
                <w:lang w:val="fr-FR"/>
              </w:rPr>
              <w:t xml:space="preserve">Dans la </w:t>
            </w:r>
            <w:r w:rsidRPr="00C83DA9">
              <w:rPr>
                <w:b/>
                <w:bCs/>
                <w:color w:val="000000"/>
                <w:spacing w:val="-2"/>
                <w:sz w:val="22"/>
                <w:lang w:val="fr-FR"/>
              </w:rPr>
              <w:t>région Asie-Pacifique</w:t>
            </w:r>
            <w:r w:rsidRPr="00C83DA9">
              <w:rPr>
                <w:color w:val="000000"/>
                <w:spacing w:val="-2"/>
                <w:sz w:val="22"/>
                <w:lang w:val="fr-FR"/>
              </w:rPr>
              <w:t xml:space="preserve">, l'accès aux services numériques aux niveaux national et communautaire s'est accéléré grâce à des projets et à des programmes de transformation numérique de toutes les entités publiques, comme les </w:t>
            </w:r>
            <w:r w:rsidRPr="00C83DA9">
              <w:rPr>
                <w:b/>
                <w:bCs/>
                <w:color w:val="000000"/>
                <w:spacing w:val="-2"/>
                <w:sz w:val="22"/>
                <w:lang w:val="fr-FR"/>
              </w:rPr>
              <w:t>applications numériques</w:t>
            </w:r>
            <w:r w:rsidRPr="00C83DA9">
              <w:rPr>
                <w:color w:val="000000"/>
                <w:spacing w:val="-2"/>
                <w:sz w:val="22"/>
                <w:lang w:val="fr-FR"/>
              </w:rPr>
              <w:t xml:space="preserve"> et l'Initiative "</w:t>
            </w:r>
            <w:r w:rsidRPr="00C83DA9">
              <w:rPr>
                <w:b/>
                <w:bCs/>
                <w:color w:val="000000"/>
                <w:spacing w:val="-2"/>
                <w:sz w:val="22"/>
                <w:lang w:val="fr-FR"/>
              </w:rPr>
              <w:t>Villages intelligents et îles intelligentes</w:t>
            </w:r>
            <w:r w:rsidRPr="00C83DA9">
              <w:rPr>
                <w:color w:val="000000"/>
                <w:spacing w:val="-2"/>
                <w:sz w:val="22"/>
                <w:lang w:val="fr-FR"/>
              </w:rPr>
              <w:t xml:space="preserve">". Plus de 1 300 personnes ont renforcé leurs capacités à adopter une approche faisant intervenir toutes les entités publiques dans le cadre de GovStack. Le BDT a fourni une assistance technique au niveau national dans huit pays, à savoir </w:t>
            </w:r>
            <w:r w:rsidRPr="00C83DA9">
              <w:rPr>
                <w:b/>
                <w:bCs/>
                <w:color w:val="000000"/>
                <w:spacing w:val="-2"/>
                <w:sz w:val="22"/>
                <w:lang w:val="fr-FR"/>
              </w:rPr>
              <w:t xml:space="preserve">le Bangladesh, le Cambodge, Kiribati, la République démocratique populaire lao, Nauru, la Papouasie-Nouvelle-Guinée, les Tonga et Vanuatu; </w:t>
            </w:r>
            <w:r w:rsidRPr="00C83DA9">
              <w:rPr>
                <w:color w:val="000000"/>
                <w:spacing w:val="-2"/>
                <w:sz w:val="22"/>
                <w:lang w:val="fr-FR"/>
              </w:rPr>
              <w:t>des ateliers multinationaux ont été organisés en complément. Ces activités ont été menées en collaboration avec le Département des infrastructures, des transports, du développement régional, des communications et des arts de l'Australie, le Fonds</w:t>
            </w:r>
            <w:r w:rsidR="00E90E58">
              <w:rPr>
                <w:color w:val="000000"/>
                <w:spacing w:val="-2"/>
                <w:sz w:val="22"/>
                <w:lang w:val="fr-FR"/>
              </w:rPr>
              <w:t> </w:t>
            </w:r>
            <w:r w:rsidRPr="00C83DA9">
              <w:rPr>
                <w:color w:val="000000"/>
                <w:spacing w:val="-2"/>
                <w:sz w:val="22"/>
                <w:lang w:val="fr-FR"/>
              </w:rPr>
              <w:t>commun pour les ODD et l'Agence allemande de coopération internationale (</w:t>
            </w:r>
            <w:r w:rsidRPr="00C83DA9">
              <w:rPr>
                <w:i/>
                <w:iCs/>
                <w:color w:val="000000"/>
                <w:spacing w:val="-2"/>
                <w:sz w:val="22"/>
                <w:lang w:val="fr-FR"/>
              </w:rPr>
              <w:t xml:space="preserve">Deutsche Gesellschaft für Internationale </w:t>
            </w:r>
            <w:r w:rsidRPr="00C83DA9">
              <w:rPr>
                <w:i/>
                <w:iCs/>
                <w:color w:val="000000"/>
                <w:spacing w:val="-2"/>
                <w:sz w:val="22"/>
                <w:lang w:val="fr-FR"/>
              </w:rPr>
              <w:lastRenderedPageBreak/>
              <w:t>Zusammenarbeit</w:t>
            </w:r>
            <w:r w:rsidRPr="00C83DA9">
              <w:rPr>
                <w:color w:val="000000"/>
                <w:spacing w:val="-2"/>
                <w:sz w:val="22"/>
                <w:lang w:val="fr-FR"/>
              </w:rPr>
              <w:t xml:space="preserve">, GIZ). L'approche faisant intervenir toutes les entités publiques a également été adoptée dans le cadre de stratégies et de plans nationaux dans des pays comme la </w:t>
            </w:r>
            <w:r w:rsidRPr="00C83DA9">
              <w:rPr>
                <w:b/>
                <w:bCs/>
                <w:color w:val="000000"/>
                <w:spacing w:val="-2"/>
                <w:sz w:val="22"/>
                <w:lang w:val="fr-FR"/>
              </w:rPr>
              <w:t>Papouasie-Nouvelle-Guinée</w:t>
            </w:r>
            <w:r w:rsidRPr="00C83DA9">
              <w:rPr>
                <w:color w:val="000000"/>
                <w:spacing w:val="-2"/>
                <w:sz w:val="22"/>
                <w:lang w:val="fr-FR"/>
              </w:rPr>
              <w:t xml:space="preserve"> et </w:t>
            </w:r>
            <w:r w:rsidRPr="00C83DA9">
              <w:rPr>
                <w:b/>
                <w:bCs/>
                <w:color w:val="000000"/>
                <w:spacing w:val="-2"/>
                <w:sz w:val="22"/>
                <w:lang w:val="fr-FR"/>
              </w:rPr>
              <w:t xml:space="preserve">Vanuatu </w:t>
            </w:r>
            <w:r w:rsidRPr="00C83DA9">
              <w:rPr>
                <w:color w:val="000000"/>
                <w:spacing w:val="-2"/>
                <w:sz w:val="22"/>
                <w:lang w:val="fr-FR"/>
              </w:rPr>
              <w:t>et demeure une priorité pour les membres. Au niveau</w:t>
            </w:r>
            <w:r w:rsidR="001B1CF5" w:rsidRPr="00C83DA9">
              <w:rPr>
                <w:color w:val="000000"/>
                <w:spacing w:val="-2"/>
                <w:sz w:val="22"/>
                <w:lang w:val="fr-FR"/>
              </w:rPr>
              <w:t xml:space="preserve"> </w:t>
            </w:r>
            <w:r w:rsidRPr="00C83DA9">
              <w:rPr>
                <w:color w:val="000000"/>
                <w:spacing w:val="-2"/>
                <w:sz w:val="22"/>
                <w:lang w:val="fr-FR"/>
              </w:rPr>
              <w:t>sous</w:t>
            </w:r>
            <w:r w:rsidR="001B1CF5" w:rsidRPr="00C83DA9">
              <w:rPr>
                <w:color w:val="000000"/>
                <w:spacing w:val="-2"/>
                <w:sz w:val="22"/>
                <w:lang w:val="fr-FR"/>
              </w:rPr>
              <w:noBreakHyphen/>
            </w:r>
            <w:r w:rsidRPr="00C83DA9">
              <w:rPr>
                <w:color w:val="000000"/>
                <w:spacing w:val="-2"/>
                <w:sz w:val="22"/>
                <w:lang w:val="fr-FR"/>
              </w:rPr>
              <w:t>régional, les ministres du numérique des pays de l'ASEAN ont adopté un cadre d'interopérabilité des services publics numériques visant à améliorer l'accès aux services numériques dans les États membres de l'ASEAN, qui a été mis au point avec l'assistance technique du BDT.</w:t>
            </w:r>
          </w:p>
          <w:p w14:paraId="38AFD69F" w14:textId="36074BED" w:rsidR="004E5CF5" w:rsidRPr="00C83DA9" w:rsidRDefault="004E5CF5" w:rsidP="005D736D">
            <w:pPr>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Onze États Membres (</w:t>
            </w:r>
            <w:r w:rsidRPr="00C83DA9">
              <w:rPr>
                <w:b/>
                <w:bCs/>
                <w:color w:val="000000"/>
                <w:sz w:val="22"/>
                <w:lang w:val="fr-FR"/>
              </w:rPr>
              <w:t>Fidji, Kiribati, Micronésie, Îles Marshall, Nauru, Pakistan, Palaos, Papouasie-Nouvelle-Guinée, Samoa, Tonga</w:t>
            </w:r>
            <w:r w:rsidRPr="00C83DA9">
              <w:rPr>
                <w:color w:val="000000"/>
                <w:sz w:val="22"/>
                <w:lang w:val="fr-FR"/>
              </w:rPr>
              <w:t xml:space="preserve"> et </w:t>
            </w:r>
            <w:r w:rsidRPr="00C83DA9">
              <w:rPr>
                <w:b/>
                <w:bCs/>
                <w:color w:val="000000"/>
                <w:sz w:val="22"/>
                <w:lang w:val="fr-FR"/>
              </w:rPr>
              <w:t>Vanuatu</w:t>
            </w:r>
            <w:r w:rsidRPr="00C83DA9">
              <w:rPr>
                <w:color w:val="000000"/>
                <w:sz w:val="22"/>
                <w:lang w:val="fr-FR"/>
              </w:rPr>
              <w:t>) ont accéléré la fourniture de services numériques aux communautés rurales et isolées de la région, dans le cadre de l'initiative "Villages intelligents et îles intelligentes" et de programmes et projets STREIT de l'UE, appuyés par l'UIT, l'UE, l'Australie, le Japon, la Banque asiatique de développement, le Fonds conjoint pour les ODD et Huawei. Ces programmes et projets, mis en œuvre en collaboration avec les gouvernements nationaux, les institutions des Nations Unies, les établissements universitaires et le secteur privé, ont permis de renforcer les compétences numériques de plus de 6 700 membres de communautés entre janvier 2023 et août</w:t>
            </w:r>
            <w:r w:rsidR="00917571" w:rsidRPr="00C83DA9">
              <w:rPr>
                <w:color w:val="000000"/>
                <w:sz w:val="22"/>
                <w:lang w:val="fr-FR"/>
              </w:rPr>
              <w:t> </w:t>
            </w:r>
            <w:r w:rsidRPr="00C83DA9">
              <w:rPr>
                <w:color w:val="000000"/>
                <w:sz w:val="22"/>
                <w:lang w:val="fr-FR"/>
              </w:rPr>
              <w:t>2025, de créer des pôles numériques et d'améliorer l'accès des communautés à l'agriculture, aux soins de santé, à l'éducation, au commerce et aux services financiers.</w:t>
            </w:r>
          </w:p>
          <w:p w14:paraId="4CC97258" w14:textId="77777777"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sz w:val="22"/>
                <w:lang w:val="fr-FR"/>
              </w:rPr>
            </w:pPr>
            <w:r w:rsidRPr="00C83DA9">
              <w:rPr>
                <w:color w:val="000000"/>
                <w:sz w:val="22"/>
                <w:lang w:val="fr-FR"/>
              </w:rPr>
              <w:t xml:space="preserve">Les </w:t>
            </w:r>
            <w:r w:rsidRPr="00C83DA9">
              <w:rPr>
                <w:b/>
                <w:bCs/>
                <w:color w:val="000000"/>
                <w:sz w:val="22"/>
                <w:lang w:val="fr-FR"/>
              </w:rPr>
              <w:t>Dialogues ministériels sur les TIC pour le Pacifique</w:t>
            </w:r>
            <w:r w:rsidRPr="00C83DA9">
              <w:rPr>
                <w:color w:val="000000"/>
                <w:sz w:val="22"/>
                <w:lang w:val="fr-FR"/>
              </w:rPr>
              <w:t xml:space="preserve"> ont donné lieu à la Déclaration de Lagatoi, qui réaffirme l'importance de la transformation numérique. Dans le cadre d'un projet financé par le Département des infrastructures, des transports, du développement régional, des communications et des arts de l'Australie et l'UIT, une analyse de la situation a été effectuée pour recenser les besoins spécifiques des PEID du Pacifique et étudier les moyens de résoudre les problèmes de connectivité qui leur sont propres.</w:t>
            </w:r>
          </w:p>
          <w:p w14:paraId="673478FA" w14:textId="77777777"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sz w:val="22"/>
                <w:lang w:val="fr-FR"/>
              </w:rPr>
            </w:pPr>
            <w:r w:rsidRPr="00C83DA9">
              <w:rPr>
                <w:color w:val="000000"/>
                <w:sz w:val="22"/>
                <w:lang w:val="fr-FR"/>
              </w:rPr>
              <w:t xml:space="preserve">Les efforts visant à garantir l'inclusion numérique ont été notables, puisque </w:t>
            </w:r>
            <w:r w:rsidRPr="00C83DA9">
              <w:rPr>
                <w:b/>
                <w:bCs/>
                <w:color w:val="000000"/>
                <w:sz w:val="22"/>
                <w:lang w:val="fr-FR"/>
              </w:rPr>
              <w:t>plus de 2 200 personnes de 11 pays ont participé aux célébrations de la Journée internationale des jeunes filles dans le secteur des TIC, durant lesquelles 63 activités de formation ont été organisées</w:t>
            </w:r>
            <w:r w:rsidRPr="00C83DA9">
              <w:rPr>
                <w:color w:val="000000"/>
                <w:sz w:val="22"/>
                <w:lang w:val="fr-FR"/>
              </w:rPr>
              <w:t>. Cet éventail d'activités montre que la connectivité, l'innovation et le renforcement des compétences sont tout aussi importants l'un que l'autre pour répondre aux besoins d'inclusion numérique dans la région Asie-Pacifique.</w:t>
            </w:r>
          </w:p>
          <w:p w14:paraId="6311F4F2" w14:textId="77777777" w:rsidR="004E5CF5" w:rsidRPr="00C83DA9" w:rsidRDefault="004E5CF5" w:rsidP="005D736D">
            <w:pPr>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Dans la </w:t>
            </w:r>
            <w:r w:rsidRPr="00C83DA9">
              <w:rPr>
                <w:b/>
                <w:bCs/>
                <w:color w:val="000000"/>
                <w:sz w:val="22"/>
                <w:lang w:val="fr-FR"/>
              </w:rPr>
              <w:t>région de la CEI, plus de 700 fonctionnaires ont suivi une formation sur le déploiement de la 5G</w:t>
            </w:r>
            <w:r w:rsidRPr="00C83DA9">
              <w:rPr>
                <w:color w:val="000000"/>
                <w:sz w:val="22"/>
                <w:lang w:val="fr-FR"/>
              </w:rPr>
              <w:t xml:space="preserve">, tandis qu'un projet de réseaux communautaires a permis de connecter 1 500 foyers en </w:t>
            </w:r>
            <w:r w:rsidRPr="00C83DA9">
              <w:rPr>
                <w:b/>
                <w:bCs/>
                <w:color w:val="000000"/>
                <w:sz w:val="22"/>
                <w:lang w:val="fr-FR"/>
              </w:rPr>
              <w:t xml:space="preserve">Arménie </w:t>
            </w:r>
            <w:r w:rsidRPr="00C83DA9">
              <w:rPr>
                <w:color w:val="000000"/>
                <w:sz w:val="22"/>
                <w:lang w:val="fr-FR"/>
              </w:rPr>
              <w:t>et de fournir ainsi</w:t>
            </w:r>
            <w:r w:rsidRPr="00C83DA9">
              <w:rPr>
                <w:b/>
                <w:bCs/>
                <w:color w:val="000000"/>
                <w:sz w:val="22"/>
                <w:lang w:val="fr-FR"/>
              </w:rPr>
              <w:t xml:space="preserve"> </w:t>
            </w:r>
            <w:r w:rsidRPr="00C83DA9">
              <w:rPr>
                <w:color w:val="000000"/>
                <w:sz w:val="22"/>
                <w:lang w:val="fr-FR"/>
              </w:rPr>
              <w:t xml:space="preserve">des services essentiels aux populations isolées. Des initiatives en faveur de l'accessibilité ont ciblé les étudiants et les personnes en situation de handicap, et des équipements améliorés ont été mis à disposition dans des centres de formation en </w:t>
            </w:r>
            <w:r w:rsidRPr="00C83DA9">
              <w:rPr>
                <w:b/>
                <w:bCs/>
                <w:color w:val="000000"/>
                <w:sz w:val="22"/>
                <w:lang w:val="fr-FR"/>
              </w:rPr>
              <w:t>Arménie</w:t>
            </w:r>
            <w:r w:rsidRPr="00C83DA9">
              <w:rPr>
                <w:color w:val="000000"/>
                <w:sz w:val="22"/>
                <w:lang w:val="fr-FR"/>
              </w:rPr>
              <w:t xml:space="preserve">, au </w:t>
            </w:r>
            <w:r w:rsidRPr="00C83DA9">
              <w:rPr>
                <w:b/>
                <w:bCs/>
                <w:color w:val="000000"/>
                <w:sz w:val="22"/>
                <w:lang w:val="fr-FR"/>
              </w:rPr>
              <w:t>Bélarus</w:t>
            </w:r>
            <w:r w:rsidRPr="00C83DA9">
              <w:rPr>
                <w:color w:val="000000"/>
                <w:sz w:val="22"/>
                <w:lang w:val="fr-FR"/>
              </w:rPr>
              <w:t xml:space="preserve">, au </w:t>
            </w:r>
            <w:r w:rsidRPr="00C83DA9">
              <w:rPr>
                <w:b/>
                <w:bCs/>
                <w:color w:val="000000"/>
                <w:sz w:val="22"/>
                <w:lang w:val="fr-FR"/>
              </w:rPr>
              <w:t xml:space="preserve">Kirghizistan </w:t>
            </w:r>
            <w:r w:rsidRPr="00C83DA9">
              <w:rPr>
                <w:color w:val="000000"/>
                <w:sz w:val="22"/>
                <w:lang w:val="fr-FR"/>
              </w:rPr>
              <w:t xml:space="preserve">et en </w:t>
            </w:r>
            <w:r w:rsidRPr="00C83DA9">
              <w:rPr>
                <w:b/>
                <w:bCs/>
                <w:color w:val="000000"/>
                <w:sz w:val="22"/>
                <w:lang w:val="fr-FR"/>
              </w:rPr>
              <w:t>Ouzbékistan</w:t>
            </w:r>
            <w:r w:rsidRPr="00C83DA9">
              <w:rPr>
                <w:color w:val="000000"/>
                <w:sz w:val="22"/>
                <w:lang w:val="fr-FR"/>
              </w:rPr>
              <w:t>.</w:t>
            </w:r>
          </w:p>
          <w:p w14:paraId="42EED7DB" w14:textId="01CFDF2D"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Les systèmes de données sur les TIC ont été renforcés en </w:t>
            </w:r>
            <w:r w:rsidRPr="00C83DA9">
              <w:rPr>
                <w:b/>
                <w:bCs/>
                <w:color w:val="000000"/>
                <w:sz w:val="22"/>
                <w:lang w:val="fr-FR"/>
              </w:rPr>
              <w:t>Azerbaïdjan</w:t>
            </w:r>
            <w:r w:rsidRPr="00C83DA9">
              <w:rPr>
                <w:color w:val="000000"/>
                <w:sz w:val="22"/>
                <w:lang w:val="fr-FR"/>
              </w:rPr>
              <w:t xml:space="preserve">, où des études à grande échelle ont servi de base aux stratégies de maîtrise des outils numériques. Des évaluations analogues de la résilience et de la réglementation menées en </w:t>
            </w:r>
            <w:r w:rsidRPr="00C83DA9">
              <w:rPr>
                <w:b/>
                <w:bCs/>
                <w:color w:val="000000"/>
                <w:sz w:val="22"/>
                <w:lang w:val="fr-FR"/>
              </w:rPr>
              <w:t>Arménie</w:t>
            </w:r>
            <w:r w:rsidRPr="00C83DA9">
              <w:rPr>
                <w:color w:val="000000"/>
                <w:sz w:val="22"/>
                <w:lang w:val="fr-FR"/>
              </w:rPr>
              <w:t>, au</w:t>
            </w:r>
            <w:r w:rsidR="005D736D">
              <w:rPr>
                <w:color w:val="000000"/>
                <w:sz w:val="22"/>
                <w:lang w:val="fr-FR"/>
              </w:rPr>
              <w:t> </w:t>
            </w:r>
            <w:r w:rsidRPr="00C83DA9">
              <w:rPr>
                <w:b/>
                <w:bCs/>
                <w:color w:val="000000"/>
                <w:sz w:val="22"/>
                <w:lang w:val="fr-FR"/>
              </w:rPr>
              <w:t>Kazakhstan</w:t>
            </w:r>
            <w:r w:rsidRPr="00C83DA9">
              <w:rPr>
                <w:color w:val="000000"/>
                <w:sz w:val="22"/>
                <w:lang w:val="fr-FR"/>
              </w:rPr>
              <w:t xml:space="preserve">, au </w:t>
            </w:r>
            <w:r w:rsidRPr="00C83DA9">
              <w:rPr>
                <w:b/>
                <w:bCs/>
                <w:color w:val="000000"/>
                <w:sz w:val="22"/>
                <w:lang w:val="fr-FR"/>
              </w:rPr>
              <w:t>Kirghizistan</w:t>
            </w:r>
            <w:r w:rsidRPr="00C83DA9">
              <w:rPr>
                <w:color w:val="000000"/>
                <w:sz w:val="22"/>
                <w:lang w:val="fr-FR"/>
              </w:rPr>
              <w:t xml:space="preserve">, en </w:t>
            </w:r>
            <w:r w:rsidRPr="00C83DA9">
              <w:rPr>
                <w:b/>
                <w:bCs/>
                <w:color w:val="000000"/>
                <w:sz w:val="22"/>
                <w:lang w:val="fr-FR"/>
              </w:rPr>
              <w:t>Fédération de Russie</w:t>
            </w:r>
            <w:r w:rsidRPr="00C83DA9">
              <w:rPr>
                <w:color w:val="000000"/>
                <w:sz w:val="22"/>
                <w:lang w:val="fr-FR"/>
              </w:rPr>
              <w:t xml:space="preserve"> et en </w:t>
            </w:r>
            <w:r w:rsidRPr="00C83DA9">
              <w:rPr>
                <w:b/>
                <w:bCs/>
                <w:color w:val="000000"/>
                <w:sz w:val="22"/>
                <w:lang w:val="fr-FR"/>
              </w:rPr>
              <w:t xml:space="preserve">Ouzbékistan </w:t>
            </w:r>
            <w:r w:rsidRPr="00C83DA9">
              <w:rPr>
                <w:color w:val="000000"/>
                <w:sz w:val="22"/>
                <w:lang w:val="fr-FR"/>
              </w:rPr>
              <w:t xml:space="preserve">ont contribué à améliorer la planification. Les capacités en matière de cybersécurité ont été renforcées grâce à des évaluations de l'état de préparation, à la création d'équipes CIRT et à des cyberexercices régionaux. Les campagnes de protection en ligne des enfants en </w:t>
            </w:r>
            <w:r w:rsidRPr="00C83DA9">
              <w:rPr>
                <w:b/>
                <w:bCs/>
                <w:color w:val="000000"/>
                <w:sz w:val="22"/>
                <w:lang w:val="fr-FR"/>
              </w:rPr>
              <w:t>Arménie</w:t>
            </w:r>
            <w:r w:rsidRPr="00C83DA9">
              <w:rPr>
                <w:color w:val="000000"/>
                <w:sz w:val="22"/>
                <w:lang w:val="fr-FR"/>
              </w:rPr>
              <w:t xml:space="preserve">, en </w:t>
            </w:r>
            <w:r w:rsidRPr="00C83DA9">
              <w:rPr>
                <w:b/>
                <w:bCs/>
                <w:color w:val="000000"/>
                <w:sz w:val="22"/>
                <w:lang w:val="fr-FR"/>
              </w:rPr>
              <w:t xml:space="preserve">Ouzbékistan </w:t>
            </w:r>
            <w:r w:rsidRPr="00C83DA9">
              <w:rPr>
                <w:color w:val="000000"/>
                <w:sz w:val="22"/>
                <w:lang w:val="fr-FR"/>
              </w:rPr>
              <w:t xml:space="preserve">et au </w:t>
            </w:r>
            <w:r w:rsidRPr="00C83DA9">
              <w:rPr>
                <w:b/>
                <w:bCs/>
                <w:color w:val="000000"/>
                <w:sz w:val="22"/>
                <w:lang w:val="fr-FR"/>
              </w:rPr>
              <w:t xml:space="preserve">Kirghizistan </w:t>
            </w:r>
            <w:r w:rsidRPr="00C83DA9">
              <w:rPr>
                <w:color w:val="000000"/>
                <w:sz w:val="22"/>
                <w:lang w:val="fr-FR"/>
              </w:rPr>
              <w:t>ont touché les éducateurs, les parents et les élèves et garanti un renforcement des connaissances et des capacités à plusieurs niveaux.</w:t>
            </w:r>
          </w:p>
          <w:p w14:paraId="5FDBD4A2" w14:textId="2DC5B9CF" w:rsidR="004E5CF5" w:rsidRPr="00C83DA9" w:rsidRDefault="004E5CF5" w:rsidP="005D736D">
            <w:pPr>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lastRenderedPageBreak/>
              <w:t>L'édification de villes intelligentes a également suscité un intérêt particulier, puisque plus de 500 représentants ont été formés au Bélarus. Grâce à la collaboration avec les équipes de pays des Nations Unies, les projets ont pu être intégrés dans les exercices de planification nationaux, tandis que la coopération avec la Commission économique pour l'Europe dans le cadre des travaux du Groupe des Nations Unies sur la transformation numérique a contribué a apporté son concours aux forums régionaux sur le développement durable. L'</w:t>
            </w:r>
            <w:r w:rsidRPr="00C83DA9">
              <w:rPr>
                <w:b/>
                <w:bCs/>
                <w:color w:val="000000"/>
                <w:sz w:val="22"/>
                <w:lang w:val="fr-FR"/>
              </w:rPr>
              <w:t>édition de 2024 du Forum régional sur le développement de la CEI</w:t>
            </w:r>
            <w:r w:rsidRPr="00C83DA9">
              <w:rPr>
                <w:color w:val="000000"/>
                <w:sz w:val="22"/>
                <w:lang w:val="fr-FR"/>
              </w:rPr>
              <w:t xml:space="preserve"> a constitué un cadre pour examiner les progrès accomplis et susciter de nouveaux engagements grâce à des séances de mise en relation, et a confirmé ainsi le rôle de catalyseur du</w:t>
            </w:r>
            <w:r w:rsidR="00E90E58">
              <w:rPr>
                <w:color w:val="000000"/>
                <w:sz w:val="22"/>
                <w:lang w:val="fr-FR"/>
              </w:rPr>
              <w:t> </w:t>
            </w:r>
            <w:r w:rsidRPr="00C83DA9">
              <w:rPr>
                <w:color w:val="000000"/>
                <w:sz w:val="22"/>
                <w:lang w:val="fr-FR"/>
              </w:rPr>
              <w:t>BDT dans la transformation numérique dans la région.</w:t>
            </w:r>
          </w:p>
          <w:p w14:paraId="0F793028" w14:textId="42B5613F" w:rsidR="004E5CF5" w:rsidRPr="00C83DA9" w:rsidRDefault="004E5CF5" w:rsidP="005D736D">
            <w:pPr>
              <w:keepNext/>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En </w:t>
            </w:r>
            <w:r w:rsidRPr="00C83DA9">
              <w:rPr>
                <w:b/>
                <w:bCs/>
                <w:color w:val="000000"/>
                <w:sz w:val="22"/>
                <w:lang w:val="fr-FR"/>
              </w:rPr>
              <w:t>Europe</w:t>
            </w:r>
            <w:r w:rsidRPr="00C83DA9">
              <w:rPr>
                <w:color w:val="000000"/>
                <w:sz w:val="22"/>
                <w:lang w:val="fr-FR"/>
              </w:rPr>
              <w:t xml:space="preserve">, des partenariats solides avec la Conférence européenne des administrations des postes et des télécommunications (CEPT), </w:t>
            </w:r>
            <w:r w:rsidR="00AD2C7C" w:rsidRPr="00C83DA9">
              <w:rPr>
                <w:color w:val="000000"/>
                <w:sz w:val="22"/>
                <w:lang w:val="fr-FR"/>
              </w:rPr>
              <w:t xml:space="preserve">le Conseil de l'Europe, </w:t>
            </w:r>
            <w:r w:rsidRPr="00C83DA9">
              <w:rPr>
                <w:color w:val="000000"/>
                <w:sz w:val="22"/>
                <w:lang w:val="fr-FR"/>
              </w:rPr>
              <w:t>l'organe des régulateurs européens des communications électroniques (ORECE)</w:t>
            </w:r>
            <w:r w:rsidR="00935F4B" w:rsidRPr="00C83DA9">
              <w:rPr>
                <w:color w:val="000000"/>
                <w:sz w:val="22"/>
                <w:lang w:val="fr-FR"/>
              </w:rPr>
              <w:t>,</w:t>
            </w:r>
            <w:r w:rsidRPr="00C83DA9">
              <w:rPr>
                <w:color w:val="000000"/>
                <w:sz w:val="22"/>
                <w:lang w:val="fr-FR"/>
              </w:rPr>
              <w:t xml:space="preserve"> l'Union européenne</w:t>
            </w:r>
            <w:r w:rsidR="00935F4B" w:rsidRPr="00C83DA9">
              <w:rPr>
                <w:color w:val="000000"/>
                <w:sz w:val="22"/>
                <w:lang w:val="fr-FR"/>
              </w:rPr>
              <w:t xml:space="preserve"> et </w:t>
            </w:r>
            <w:r w:rsidR="004623F0" w:rsidRPr="00C83DA9">
              <w:rPr>
                <w:color w:val="000000"/>
                <w:sz w:val="22"/>
                <w:lang w:val="fr-FR"/>
              </w:rPr>
              <w:t>des</w:t>
            </w:r>
            <w:r w:rsidR="00935F4B" w:rsidRPr="00C83DA9">
              <w:rPr>
                <w:color w:val="000000"/>
                <w:sz w:val="22"/>
                <w:lang w:val="fr-FR"/>
              </w:rPr>
              <w:t xml:space="preserve"> institutions</w:t>
            </w:r>
            <w:r w:rsidRPr="00C83DA9">
              <w:rPr>
                <w:color w:val="000000"/>
                <w:sz w:val="22"/>
                <w:lang w:val="fr-FR"/>
              </w:rPr>
              <w:t xml:space="preserve"> ont été officialisés, et appuyés par </w:t>
            </w:r>
            <w:r w:rsidR="00FA77A8" w:rsidRPr="00C83DA9">
              <w:rPr>
                <w:color w:val="000000"/>
                <w:sz w:val="22"/>
                <w:lang w:val="fr-FR"/>
              </w:rPr>
              <w:t>une</w:t>
            </w:r>
            <w:r w:rsidR="00FA77A8" w:rsidRPr="00C83DA9">
              <w:rPr>
                <w:b/>
                <w:bCs/>
                <w:color w:val="000000"/>
                <w:sz w:val="22"/>
                <w:lang w:val="fr-FR"/>
              </w:rPr>
              <w:t xml:space="preserve"> série de grands projets</w:t>
            </w:r>
            <w:r w:rsidRPr="00C83DA9">
              <w:rPr>
                <w:b/>
                <w:bCs/>
                <w:color w:val="000000"/>
                <w:sz w:val="22"/>
                <w:lang w:val="fr-FR"/>
              </w:rPr>
              <w:t xml:space="preserve"> financé</w:t>
            </w:r>
            <w:r w:rsidR="00FA77A8" w:rsidRPr="00C83DA9">
              <w:rPr>
                <w:b/>
                <w:bCs/>
                <w:color w:val="000000"/>
                <w:sz w:val="22"/>
                <w:lang w:val="fr-FR"/>
              </w:rPr>
              <w:t>s</w:t>
            </w:r>
            <w:r w:rsidRPr="00C83DA9">
              <w:rPr>
                <w:b/>
                <w:bCs/>
                <w:color w:val="000000"/>
                <w:sz w:val="22"/>
                <w:lang w:val="fr-FR"/>
              </w:rPr>
              <w:t xml:space="preserve"> par l'UE d'un montant de 25</w:t>
            </w:r>
            <w:r w:rsidR="0085137E" w:rsidRPr="00C83DA9">
              <w:rPr>
                <w:b/>
                <w:bCs/>
                <w:color w:val="000000"/>
                <w:sz w:val="22"/>
                <w:lang w:val="fr-FR"/>
              </w:rPr>
              <w:t> </w:t>
            </w:r>
            <w:r w:rsidRPr="00C83DA9">
              <w:rPr>
                <w:b/>
                <w:bCs/>
                <w:color w:val="000000"/>
                <w:sz w:val="22"/>
                <w:lang w:val="fr-FR"/>
              </w:rPr>
              <w:t>millions d'euros</w:t>
            </w:r>
            <w:r w:rsidRPr="00C83DA9">
              <w:rPr>
                <w:color w:val="000000"/>
                <w:sz w:val="22"/>
                <w:lang w:val="fr-FR"/>
              </w:rPr>
              <w:t>. Le</w:t>
            </w:r>
            <w:r w:rsidR="0085137E" w:rsidRPr="00C83DA9">
              <w:rPr>
                <w:color w:val="000000"/>
                <w:sz w:val="22"/>
                <w:lang w:val="fr-FR"/>
              </w:rPr>
              <w:t>s</w:t>
            </w:r>
            <w:r w:rsidRPr="00C83DA9">
              <w:rPr>
                <w:color w:val="000000"/>
                <w:sz w:val="22"/>
                <w:lang w:val="fr-FR"/>
              </w:rPr>
              <w:t xml:space="preserve"> Forum</w:t>
            </w:r>
            <w:r w:rsidR="0085137E" w:rsidRPr="00C83DA9">
              <w:rPr>
                <w:color w:val="000000"/>
                <w:sz w:val="22"/>
                <w:lang w:val="fr-FR"/>
              </w:rPr>
              <w:t>s</w:t>
            </w:r>
            <w:r w:rsidRPr="00C83DA9">
              <w:rPr>
                <w:color w:val="000000"/>
                <w:sz w:val="22"/>
                <w:lang w:val="fr-FR"/>
              </w:rPr>
              <w:t xml:space="preserve"> </w:t>
            </w:r>
            <w:r w:rsidR="0085137E" w:rsidRPr="00C83DA9">
              <w:rPr>
                <w:color w:val="000000"/>
                <w:sz w:val="22"/>
                <w:lang w:val="fr-FR"/>
              </w:rPr>
              <w:t xml:space="preserve">régionaux </w:t>
            </w:r>
            <w:r w:rsidRPr="00C83DA9">
              <w:rPr>
                <w:color w:val="000000"/>
                <w:sz w:val="22"/>
                <w:lang w:val="fr-FR"/>
              </w:rPr>
              <w:t>sur le développement tenu</w:t>
            </w:r>
            <w:r w:rsidR="0085137E" w:rsidRPr="00C83DA9">
              <w:rPr>
                <w:color w:val="000000"/>
                <w:sz w:val="22"/>
                <w:lang w:val="fr-FR"/>
              </w:rPr>
              <w:t>s</w:t>
            </w:r>
            <w:r w:rsidRPr="00C83DA9">
              <w:rPr>
                <w:color w:val="000000"/>
                <w:sz w:val="22"/>
                <w:lang w:val="fr-FR"/>
              </w:rPr>
              <w:t xml:space="preserve"> en </w:t>
            </w:r>
            <w:r w:rsidRPr="00C83DA9">
              <w:rPr>
                <w:b/>
                <w:bCs/>
                <w:color w:val="000000"/>
                <w:sz w:val="22"/>
                <w:lang w:val="fr-FR"/>
              </w:rPr>
              <w:t xml:space="preserve">Roumanie </w:t>
            </w:r>
            <w:r w:rsidR="0085137E" w:rsidRPr="00C83DA9">
              <w:rPr>
                <w:color w:val="000000"/>
                <w:sz w:val="22"/>
                <w:lang w:val="fr-FR"/>
              </w:rPr>
              <w:t xml:space="preserve">et en </w:t>
            </w:r>
            <w:r w:rsidR="0085137E" w:rsidRPr="00C83DA9">
              <w:rPr>
                <w:b/>
                <w:bCs/>
                <w:color w:val="000000"/>
                <w:sz w:val="22"/>
                <w:lang w:val="fr-FR"/>
              </w:rPr>
              <w:t xml:space="preserve">Hongrie </w:t>
            </w:r>
            <w:r w:rsidR="0085137E" w:rsidRPr="00C83DA9">
              <w:rPr>
                <w:color w:val="000000"/>
                <w:sz w:val="22"/>
                <w:lang w:val="fr-FR"/>
              </w:rPr>
              <w:t xml:space="preserve">ont </w:t>
            </w:r>
            <w:r w:rsidRPr="00C83DA9">
              <w:rPr>
                <w:color w:val="000000"/>
                <w:sz w:val="22"/>
                <w:lang w:val="fr-FR"/>
              </w:rPr>
              <w:t>réuni plus de 200 participants et débouché sur de nouveaux engagements et de nouvelles initiatives, notamment des programmes sur la cybersécurité et le déploiement de la 5G.</w:t>
            </w:r>
          </w:p>
          <w:p w14:paraId="37393830" w14:textId="77777777"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Une assistance technique a été fournie à neuf pays dans les domaines de la connectivité, de la protection en ligne des enfants et de la résilience. Une aide spéciale a été fournie à l'</w:t>
            </w:r>
            <w:r w:rsidRPr="00C83DA9">
              <w:rPr>
                <w:b/>
                <w:bCs/>
                <w:color w:val="000000"/>
                <w:sz w:val="22"/>
                <w:lang w:val="fr-FR"/>
              </w:rPr>
              <w:t>Ukraine</w:t>
            </w:r>
            <w:r w:rsidRPr="00C83DA9">
              <w:rPr>
                <w:color w:val="000000"/>
                <w:sz w:val="22"/>
                <w:lang w:val="fr-FR"/>
              </w:rPr>
              <w:t xml:space="preserve"> pour rétablir l'infrastructure de radiodiffusion et permettre à </w:t>
            </w:r>
            <w:r w:rsidRPr="00C83DA9">
              <w:rPr>
                <w:b/>
                <w:bCs/>
                <w:color w:val="000000"/>
                <w:sz w:val="22"/>
                <w:lang w:val="fr-FR"/>
              </w:rPr>
              <w:t>plus de 10 millions de citoyens d'avoir accès à l'information</w:t>
            </w:r>
            <w:r w:rsidRPr="00C83DA9">
              <w:rPr>
                <w:color w:val="000000"/>
                <w:sz w:val="22"/>
                <w:lang w:val="fr-FR"/>
              </w:rPr>
              <w:t>, conformément à la Résolution 1408 du Conseil de l'UIT. Des plates-formes régionales, telles que la manifestation "Europe accessible" et les cyberexercices interrégionaux, ont donné lieu à des possibilités d'échange de connaissances entre l'Europe et la région Asie-Pacifique, et favorisent ainsi l'adoption de bonnes pratiques en matière d'inclusion et de sécurité.</w:t>
            </w:r>
          </w:p>
          <w:p w14:paraId="292D521F" w14:textId="2239ECA2"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La collaboration avec les institutions des Nations Unies a contribué à renforcer davantage la cohérence régionale, le BDT assurant la co</w:t>
            </w:r>
            <w:r w:rsidR="00BD2B33" w:rsidRPr="00C83DA9">
              <w:rPr>
                <w:color w:val="000000"/>
                <w:sz w:val="22"/>
                <w:lang w:val="fr-FR"/>
              </w:rPr>
              <w:noBreakHyphen/>
            </w:r>
            <w:r w:rsidRPr="00C83DA9">
              <w:rPr>
                <w:color w:val="000000"/>
                <w:sz w:val="22"/>
                <w:lang w:val="fr-FR"/>
              </w:rPr>
              <w:t xml:space="preserve">présidence des groupes d'action et mettant au point des outils tels que la boîte à outils pour le développement numérique des Nations Unies et les profils de pays. Des projets conjoints financés par le Fonds commun pour les ODD œuvrent en faveur de l'édification de villes intelligentes au </w:t>
            </w:r>
            <w:r w:rsidRPr="00C83DA9">
              <w:rPr>
                <w:b/>
                <w:bCs/>
                <w:color w:val="000000"/>
                <w:sz w:val="22"/>
                <w:lang w:val="fr-FR"/>
              </w:rPr>
              <w:t>Monténégro</w:t>
            </w:r>
            <w:r w:rsidRPr="00C83DA9">
              <w:rPr>
                <w:color w:val="000000"/>
                <w:sz w:val="22"/>
                <w:lang w:val="fr-FR"/>
              </w:rPr>
              <w:t xml:space="preserve">, de l'agriculture numérique en </w:t>
            </w:r>
            <w:r w:rsidRPr="00C83DA9">
              <w:rPr>
                <w:b/>
                <w:bCs/>
                <w:color w:val="000000"/>
                <w:sz w:val="22"/>
                <w:lang w:val="fr-FR"/>
              </w:rPr>
              <w:t xml:space="preserve">Albanie </w:t>
            </w:r>
            <w:r w:rsidRPr="00C83DA9">
              <w:rPr>
                <w:color w:val="000000"/>
                <w:sz w:val="22"/>
                <w:lang w:val="fr-FR"/>
              </w:rPr>
              <w:t xml:space="preserve">et des services publics numériques en </w:t>
            </w:r>
            <w:r w:rsidRPr="00C83DA9">
              <w:rPr>
                <w:b/>
                <w:bCs/>
                <w:color w:val="000000"/>
                <w:sz w:val="22"/>
                <w:lang w:val="fr-FR"/>
              </w:rPr>
              <w:t>Serbie</w:t>
            </w:r>
            <w:r w:rsidRPr="00C83DA9">
              <w:rPr>
                <w:color w:val="000000"/>
                <w:sz w:val="22"/>
                <w:lang w:val="fr-FR"/>
              </w:rPr>
              <w:t xml:space="preserve">. Les mécanismes de financement mis à l'essai dans les </w:t>
            </w:r>
            <w:r w:rsidRPr="00C83DA9">
              <w:rPr>
                <w:b/>
                <w:bCs/>
                <w:color w:val="000000"/>
                <w:sz w:val="22"/>
                <w:lang w:val="fr-FR"/>
              </w:rPr>
              <w:t>Balkans occidentaux</w:t>
            </w:r>
            <w:r w:rsidRPr="00C83DA9">
              <w:rPr>
                <w:color w:val="000000"/>
                <w:sz w:val="22"/>
                <w:lang w:val="fr-FR"/>
              </w:rPr>
              <w:t xml:space="preserve"> constituent un exemple d'approche novatrice en matière de mobilisation des ressources. Ces réalisations montrent que le BDT est capable de déployer aussi des actions immédiates de rétablissement que des stratégies de transformation à long terme.</w:t>
            </w:r>
          </w:p>
          <w:p w14:paraId="4AB42A15" w14:textId="77777777"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i/>
                <w:sz w:val="22"/>
                <w:lang w:val="fr-FR"/>
              </w:rPr>
            </w:pPr>
            <w:r w:rsidRPr="00C83DA9">
              <w:rPr>
                <w:color w:val="000000"/>
                <w:sz w:val="22"/>
                <w:lang w:val="fr-FR"/>
              </w:rPr>
              <w:t xml:space="preserve">Au cours de la période 2023-2025, l'importance cruciale de la présence régionale du BDT pour faire progresser la transformation numérique a été mise en évidence dans toutes les régions. Un appui technique ciblé, des partenariats solides et la coordination régionale ont permis de doter les États Membres des moyens de faire progresser la connectivité, de renforcer la sécurité, d'encourager l'innovation et de garantir l'inclusion. En mobilisant les gouvernements, le secteur privé, les établissements universitaires et la société civile, le BDT a conforté sa position de </w:t>
            </w:r>
            <w:r w:rsidRPr="00C83DA9">
              <w:rPr>
                <w:b/>
                <w:bCs/>
                <w:color w:val="000000"/>
                <w:sz w:val="22"/>
                <w:lang w:val="fr-FR"/>
              </w:rPr>
              <w:t xml:space="preserve">partenaire de confiance pour le développement </w:t>
            </w:r>
            <w:r w:rsidRPr="00C83DA9">
              <w:rPr>
                <w:color w:val="000000"/>
                <w:sz w:val="22"/>
                <w:lang w:val="fr-FR"/>
              </w:rPr>
              <w:t>agissant en faveur d'une connectivité efficace et d'une transformation numérique inclusive.</w:t>
            </w:r>
          </w:p>
        </w:tc>
        <w:tc>
          <w:tcPr>
            <w:tcW w:w="2843" w:type="dxa"/>
            <w:tcBorders>
              <w:top w:val="dotted" w:sz="4" w:space="0" w:color="0070C0"/>
              <w:left w:val="dotted" w:sz="4" w:space="0" w:color="0070C0"/>
              <w:bottom w:val="dotted" w:sz="4" w:space="0" w:color="0070C0"/>
              <w:right w:val="dotted" w:sz="4" w:space="0" w:color="0070C0"/>
            </w:tcBorders>
          </w:tcPr>
          <w:p w14:paraId="7CBF31A8" w14:textId="0AE0451B"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color w:val="1F497D" w:themeColor="text2"/>
                <w:sz w:val="22"/>
                <w:lang w:val="fr-FR"/>
              </w:rPr>
              <w:lastRenderedPageBreak/>
              <w:t>•</w:t>
            </w:r>
            <w:r w:rsidRPr="00C83DA9">
              <w:rPr>
                <w:color w:val="1F497D" w:themeColor="text2"/>
                <w:sz w:val="22"/>
                <w:lang w:val="fr-FR"/>
              </w:rPr>
              <w:tab/>
              <w:t xml:space="preserve">Forums régionaux sur le </w:t>
            </w:r>
            <w:r w:rsidRPr="00C83DA9">
              <w:rPr>
                <w:rFonts w:eastAsiaTheme="minorEastAsia"/>
                <w:color w:val="1F497D" w:themeColor="text2"/>
                <w:sz w:val="22"/>
                <w:lang w:val="fr-FR"/>
              </w:rPr>
              <w:t>développement</w:t>
            </w:r>
          </w:p>
          <w:p w14:paraId="4DE0E58E"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Appui aux cadres numériques nationaux</w:t>
            </w:r>
          </w:p>
          <w:p w14:paraId="47D3453D"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Formation GovStack</w:t>
            </w:r>
          </w:p>
          <w:p w14:paraId="0F140809"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Initiative "Villages intelligents et îles intelligentes"</w:t>
            </w:r>
          </w:p>
          <w:p w14:paraId="0E84F0B4"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Évaluations de l'état de préparation en matière de cybersécurité</w:t>
            </w:r>
          </w:p>
          <w:p w14:paraId="1D12DC0B"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Évaluations de la réglementation et de la résilience</w:t>
            </w:r>
          </w:p>
          <w:p w14:paraId="779063BD"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Appui en matière de renforcement des capacités</w:t>
            </w:r>
          </w:p>
          <w:p w14:paraId="794F5061" w14:textId="77777777" w:rsidR="004E5CF5" w:rsidRPr="00C83DA9" w:rsidRDefault="004E5CF5" w:rsidP="00202BFA">
            <w:pPr>
              <w:pStyle w:val="enumlev1"/>
              <w:tabs>
                <w:tab w:val="clear" w:pos="1134"/>
              </w:tabs>
              <w:spacing w:before="40" w:after="40"/>
              <w:ind w:left="386" w:right="-102" w:hanging="386"/>
              <w:rPr>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Rétablissement des infrastructures</w:t>
            </w:r>
            <w:r w:rsidRPr="00C83DA9">
              <w:rPr>
                <w:color w:val="1F497D" w:themeColor="text2"/>
                <w:sz w:val="22"/>
                <w:lang w:val="fr-FR"/>
              </w:rPr>
              <w:t xml:space="preserve"> de radiodiffusion</w:t>
            </w:r>
          </w:p>
          <w:p w14:paraId="72CB89DA" w14:textId="77D9F565" w:rsidR="004E5CF5" w:rsidRPr="00C83DA9" w:rsidRDefault="004E5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Pr="00C83DA9">
              <w:rPr>
                <w:b/>
                <w:bCs/>
                <w:sz w:val="22"/>
                <w:lang w:val="fr-FR"/>
              </w:rPr>
              <w:t>Afrique</w:t>
            </w:r>
            <w:r w:rsidRPr="00C83DA9">
              <w:rPr>
                <w:color w:val="1F497D" w:themeColor="text2"/>
                <w:sz w:val="22"/>
                <w:lang w:val="fr-FR"/>
              </w:rPr>
              <w:t>: Cabo Verde, Tchad, Éthiopie, Gambie, Lesotho, Malawi, Mozambique, Niger, Nigéria, Rwanda, République</w:t>
            </w:r>
            <w:r w:rsidR="00917571" w:rsidRPr="00C83DA9">
              <w:rPr>
                <w:color w:val="1F497D" w:themeColor="text2"/>
                <w:sz w:val="22"/>
                <w:lang w:val="fr-FR"/>
              </w:rPr>
              <w:t> </w:t>
            </w:r>
            <w:r w:rsidRPr="00C83DA9">
              <w:rPr>
                <w:color w:val="1F497D" w:themeColor="text2"/>
                <w:sz w:val="22"/>
                <w:lang w:val="fr-FR"/>
              </w:rPr>
              <w:t>sudafricaine, Zambie, Zimbabwe.</w:t>
            </w:r>
          </w:p>
          <w:p w14:paraId="057470B4" w14:textId="211613DC" w:rsidR="004E5CF5" w:rsidRPr="00C83DA9" w:rsidRDefault="004E5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lastRenderedPageBreak/>
              <w:t>•</w:t>
            </w:r>
            <w:r w:rsidRPr="00C83DA9">
              <w:rPr>
                <w:color w:val="1F497D" w:themeColor="text2"/>
                <w:sz w:val="22"/>
                <w:lang w:val="fr-FR"/>
              </w:rPr>
              <w:tab/>
            </w:r>
            <w:r w:rsidRPr="00C83DA9">
              <w:rPr>
                <w:b/>
                <w:bCs/>
                <w:sz w:val="22"/>
                <w:lang w:val="fr-FR"/>
              </w:rPr>
              <w:t>Amériques</w:t>
            </w:r>
            <w:r w:rsidRPr="00C83DA9">
              <w:rPr>
                <w:color w:val="1F497D" w:themeColor="text2"/>
                <w:sz w:val="22"/>
                <w:lang w:val="fr-FR"/>
              </w:rPr>
              <w:t>: Barbade, Colombie, République dominicaine, El</w:t>
            </w:r>
            <w:r w:rsidR="001B1CF5" w:rsidRPr="00C83DA9">
              <w:rPr>
                <w:color w:val="1F497D" w:themeColor="text2"/>
                <w:sz w:val="22"/>
                <w:lang w:val="fr-FR"/>
              </w:rPr>
              <w:t> </w:t>
            </w:r>
            <w:r w:rsidRPr="00C83DA9">
              <w:rPr>
                <w:color w:val="1F497D" w:themeColor="text2"/>
                <w:sz w:val="22"/>
                <w:lang w:val="fr-FR"/>
              </w:rPr>
              <w:t>Salvador, Trinité</w:t>
            </w:r>
            <w:r w:rsidR="001B1CF5" w:rsidRPr="00C83DA9">
              <w:rPr>
                <w:color w:val="1F497D" w:themeColor="text2"/>
                <w:sz w:val="22"/>
                <w:lang w:val="fr-FR"/>
              </w:rPr>
              <w:noBreakHyphen/>
            </w:r>
            <w:r w:rsidRPr="00C83DA9">
              <w:rPr>
                <w:color w:val="1F497D" w:themeColor="text2"/>
                <w:sz w:val="22"/>
                <w:lang w:val="fr-FR"/>
              </w:rPr>
              <w:t>et</w:t>
            </w:r>
            <w:r w:rsidR="001B1CF5" w:rsidRPr="00C83DA9">
              <w:rPr>
                <w:color w:val="1F497D" w:themeColor="text2"/>
                <w:sz w:val="22"/>
                <w:lang w:val="fr-FR"/>
              </w:rPr>
              <w:noBreakHyphen/>
            </w:r>
            <w:r w:rsidRPr="00C83DA9">
              <w:rPr>
                <w:color w:val="1F497D" w:themeColor="text2"/>
                <w:sz w:val="22"/>
                <w:lang w:val="fr-FR"/>
              </w:rPr>
              <w:t>Tobago.</w:t>
            </w:r>
          </w:p>
          <w:p w14:paraId="5F144A48" w14:textId="77777777" w:rsidR="004E5CF5" w:rsidRPr="00C83DA9" w:rsidRDefault="004E5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Pr="00C83DA9">
              <w:rPr>
                <w:b/>
                <w:bCs/>
                <w:sz w:val="22"/>
                <w:lang w:val="fr-FR"/>
              </w:rPr>
              <w:t>États arabes</w:t>
            </w:r>
            <w:r w:rsidRPr="00C83DA9">
              <w:rPr>
                <w:color w:val="1F497D" w:themeColor="text2"/>
                <w:sz w:val="22"/>
                <w:lang w:val="fr-FR"/>
              </w:rPr>
              <w:t>: Égypte, Jordanie, Liban, Maroc, Oman, Qatar, Arabie saoudite, Tunisie.</w:t>
            </w:r>
          </w:p>
          <w:p w14:paraId="2872A265" w14:textId="6D2A03A4" w:rsidR="004E5CF5" w:rsidRPr="00C83DA9" w:rsidRDefault="004E5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Pr="00C83DA9">
              <w:rPr>
                <w:b/>
                <w:bCs/>
                <w:sz w:val="22"/>
                <w:lang w:val="fr-FR"/>
              </w:rPr>
              <w:t>Asie-Pacifique</w:t>
            </w:r>
            <w:r w:rsidRPr="00C83DA9">
              <w:rPr>
                <w:color w:val="1F497D" w:themeColor="text2"/>
                <w:sz w:val="22"/>
                <w:lang w:val="fr-FR"/>
              </w:rPr>
              <w:t>: Bangladesh, Cambodge, États fédérés de Micronésie, Fidji, Kiribati, Lao (R.d.p.), Îles Marshall, Nauru, Palaos, Pakistan, Papouasie</w:t>
            </w:r>
            <w:r w:rsidR="00BD2B33" w:rsidRPr="00C83DA9">
              <w:rPr>
                <w:color w:val="1F497D" w:themeColor="text2"/>
                <w:sz w:val="22"/>
                <w:lang w:val="fr-FR"/>
              </w:rPr>
              <w:noBreakHyphen/>
            </w:r>
            <w:r w:rsidRPr="00C83DA9">
              <w:rPr>
                <w:color w:val="1F497D" w:themeColor="text2"/>
                <w:sz w:val="22"/>
                <w:lang w:val="fr-FR"/>
              </w:rPr>
              <w:t>Nouvelle</w:t>
            </w:r>
            <w:r w:rsidR="0067293A" w:rsidRPr="00C83DA9">
              <w:rPr>
                <w:color w:val="1F497D" w:themeColor="text2"/>
                <w:sz w:val="22"/>
                <w:lang w:val="fr-FR"/>
              </w:rPr>
              <w:t>-</w:t>
            </w:r>
            <w:r w:rsidRPr="00C83DA9">
              <w:rPr>
                <w:color w:val="1F497D" w:themeColor="text2"/>
                <w:sz w:val="22"/>
                <w:lang w:val="fr-FR"/>
              </w:rPr>
              <w:t>Guinée, Samoa, Tonga, Vanuatu.</w:t>
            </w:r>
          </w:p>
          <w:p w14:paraId="50CCC84B" w14:textId="40B47FF9" w:rsidR="004E5CF5" w:rsidRPr="00C83DA9" w:rsidRDefault="004E5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Pr="00C83DA9">
              <w:rPr>
                <w:b/>
                <w:bCs/>
                <w:sz w:val="22"/>
                <w:lang w:val="fr-FR"/>
              </w:rPr>
              <w:t>CEI</w:t>
            </w:r>
            <w:r w:rsidRPr="00C83DA9">
              <w:rPr>
                <w:color w:val="1F497D" w:themeColor="text2"/>
                <w:sz w:val="22"/>
                <w:lang w:val="fr-FR"/>
              </w:rPr>
              <w:t>: Arménie, Azerbaïdjan, Bélarus, Kazakhstan, Kirghizistan, Fédération</w:t>
            </w:r>
            <w:r w:rsidR="001B1CF5" w:rsidRPr="00C83DA9">
              <w:rPr>
                <w:color w:val="1F497D" w:themeColor="text2"/>
                <w:sz w:val="22"/>
                <w:lang w:val="fr-FR"/>
              </w:rPr>
              <w:t> </w:t>
            </w:r>
            <w:r w:rsidRPr="00C83DA9">
              <w:rPr>
                <w:color w:val="1F497D" w:themeColor="text2"/>
                <w:sz w:val="22"/>
                <w:lang w:val="fr-FR"/>
              </w:rPr>
              <w:t>de Russie, Ouzbékistan.</w:t>
            </w:r>
          </w:p>
          <w:p w14:paraId="5B2CC9A6" w14:textId="77777777" w:rsidR="004E5CF5" w:rsidRPr="00C83DA9" w:rsidRDefault="004E5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Pr="00C83DA9">
              <w:rPr>
                <w:b/>
                <w:bCs/>
                <w:sz w:val="22"/>
                <w:lang w:val="fr-FR"/>
              </w:rPr>
              <w:t>Europe</w:t>
            </w:r>
            <w:r w:rsidRPr="00C83DA9">
              <w:rPr>
                <w:color w:val="1F497D" w:themeColor="text2"/>
                <w:sz w:val="22"/>
                <w:lang w:val="fr-FR"/>
              </w:rPr>
              <w:t>: Albanie, Monténégro, Roumanie, Serbie, Ukraine.</w:t>
            </w:r>
          </w:p>
          <w:p w14:paraId="6040CE6D" w14:textId="77777777" w:rsidR="004E5CF5" w:rsidRPr="00C83DA9" w:rsidRDefault="004E5CF5" w:rsidP="0067293A">
            <w:pPr>
              <w:pStyle w:val="Tabletext"/>
              <w:keepNext/>
              <w:spacing w:before="120"/>
              <w:rPr>
                <w:rFonts w:eastAsia="Times New Roman" w:cs="Times New Roman"/>
                <w:b/>
                <w:bCs/>
                <w:color w:val="0070C0"/>
                <w:kern w:val="0"/>
                <w:sz w:val="22"/>
                <w:lang w:val="fr-FR"/>
                <w14:ligatures w14:val="none"/>
              </w:rPr>
            </w:pPr>
            <w:r w:rsidRPr="00C83DA9">
              <w:rPr>
                <w:rFonts w:eastAsia="Times New Roman" w:cs="Times New Roman"/>
                <w:b/>
                <w:bCs/>
                <w:color w:val="0070C0"/>
                <w:kern w:val="0"/>
                <w:sz w:val="22"/>
                <w:lang w:val="fr-FR"/>
                <w14:ligatures w14:val="none"/>
              </w:rPr>
              <w:t>PMA, PDSL et PEID mobilisés ou aidés:</w:t>
            </w:r>
          </w:p>
          <w:p w14:paraId="313C25BB" w14:textId="55057A82" w:rsidR="004E5CF5" w:rsidRPr="00C83DA9" w:rsidRDefault="004E5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00914AD2" w:rsidRPr="00C83DA9">
              <w:rPr>
                <w:color w:val="1F497D" w:themeColor="text2"/>
                <w:sz w:val="22"/>
                <w:lang w:val="fr-FR"/>
              </w:rPr>
              <w:t xml:space="preserve">22 </w:t>
            </w:r>
            <w:r w:rsidRPr="00C83DA9">
              <w:rPr>
                <w:color w:val="1F497D" w:themeColor="text2"/>
                <w:sz w:val="22"/>
                <w:lang w:val="fr-FR"/>
              </w:rPr>
              <w:t>pays ont été mobilisés.</w:t>
            </w:r>
          </w:p>
          <w:p w14:paraId="6B80539E" w14:textId="77777777" w:rsidR="004E5CF5" w:rsidRPr="00C83DA9" w:rsidRDefault="004E5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6 pays ont bénéficié d'une assistance technique.</w:t>
            </w:r>
          </w:p>
          <w:p w14:paraId="3514C8B0" w14:textId="4E39C03E" w:rsidR="004E5CF5" w:rsidRPr="00C83DA9" w:rsidRDefault="004E5CF5" w:rsidP="00202BFA">
            <w:pPr>
              <w:pStyle w:val="enumlev1"/>
              <w:tabs>
                <w:tab w:val="clear" w:pos="1134"/>
              </w:tabs>
              <w:spacing w:before="40" w:after="40"/>
              <w:ind w:left="386" w:right="-102" w:hanging="386"/>
              <w:rPr>
                <w:rFonts w:ascii="Calibri" w:hAnsi="Calibri" w:cs="Calibri"/>
                <w:color w:val="1F497D" w:themeColor="text2"/>
                <w:sz w:val="22"/>
                <w:lang w:val="fr-FR"/>
              </w:rPr>
            </w:pPr>
            <w:r w:rsidRPr="00C83DA9">
              <w:rPr>
                <w:color w:val="1F497D" w:themeColor="text2"/>
                <w:sz w:val="22"/>
                <w:lang w:val="fr-FR"/>
              </w:rPr>
              <w:t>•</w:t>
            </w:r>
            <w:r w:rsidRPr="00C83DA9">
              <w:rPr>
                <w:color w:val="1F497D" w:themeColor="text2"/>
                <w:sz w:val="22"/>
                <w:lang w:val="fr-FR"/>
              </w:rPr>
              <w:tab/>
            </w:r>
            <w:r w:rsidR="00914AD2" w:rsidRPr="00C83DA9">
              <w:rPr>
                <w:color w:val="1F497D" w:themeColor="text2"/>
                <w:sz w:val="22"/>
                <w:lang w:val="fr-FR"/>
              </w:rPr>
              <w:t xml:space="preserve">22 </w:t>
            </w:r>
            <w:r w:rsidRPr="00C83DA9">
              <w:rPr>
                <w:color w:val="1F497D" w:themeColor="text2"/>
                <w:sz w:val="22"/>
                <w:lang w:val="fr-FR"/>
              </w:rPr>
              <w:t>pays ont mis en place des plates-formes fédératrices.</w:t>
            </w:r>
          </w:p>
        </w:tc>
      </w:tr>
      <w:tr w:rsidR="004E5CF5" w:rsidRPr="00C83DA9" w14:paraId="0A3FD280" w14:textId="77777777" w:rsidTr="00BD2B33">
        <w:tc>
          <w:tcPr>
            <w:tcW w:w="4820" w:type="dxa"/>
            <w:tcBorders>
              <w:top w:val="dotted" w:sz="4" w:space="0" w:color="0070C0"/>
              <w:left w:val="dotted" w:sz="4" w:space="0" w:color="0070C0"/>
              <w:bottom w:val="dotted" w:sz="4" w:space="0" w:color="0070C0"/>
              <w:right w:val="dotted" w:sz="4" w:space="0" w:color="0070C0"/>
            </w:tcBorders>
            <w:hideMark/>
          </w:tcPr>
          <w:p w14:paraId="074F672D" w14:textId="77777777" w:rsidR="004E5CF5" w:rsidRPr="00C83DA9" w:rsidRDefault="004E5CF5" w:rsidP="005D736D">
            <w:pPr>
              <w:pStyle w:val="Tabletext"/>
              <w:keepNext/>
              <w:keepLines/>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lastRenderedPageBreak/>
              <w:t>Contribution à la réalisation des cibles des ODD</w:t>
            </w:r>
          </w:p>
        </w:tc>
        <w:tc>
          <w:tcPr>
            <w:tcW w:w="10214" w:type="dxa"/>
            <w:gridSpan w:val="2"/>
            <w:tcBorders>
              <w:top w:val="dotted" w:sz="4" w:space="0" w:color="0070C0"/>
              <w:left w:val="dotted" w:sz="4" w:space="0" w:color="0070C0"/>
              <w:bottom w:val="dotted" w:sz="4" w:space="0" w:color="0070C0"/>
              <w:right w:val="dotted" w:sz="4" w:space="0" w:color="0070C0"/>
            </w:tcBorders>
            <w:hideMark/>
          </w:tcPr>
          <w:p w14:paraId="0C35E285" w14:textId="77777777" w:rsidR="004E5CF5" w:rsidRPr="00C83DA9" w:rsidRDefault="004E5CF5" w:rsidP="005D736D">
            <w:pPr>
              <w:pStyle w:val="Tabletext"/>
              <w:keepNext/>
              <w:keepLines/>
              <w:rPr>
                <w:rFonts w:eastAsia="Times New Roman" w:cs="Times New Roman"/>
                <w:kern w:val="0"/>
                <w:sz w:val="22"/>
                <w:lang w:val="fr-FR"/>
                <w14:ligatures w14:val="none"/>
              </w:rPr>
            </w:pPr>
            <w:r w:rsidRPr="00C83DA9">
              <w:rPr>
                <w:rFonts w:eastAsia="Times New Roman" w:cs="Times New Roman"/>
                <w:kern w:val="0"/>
                <w:sz w:val="22"/>
                <w:lang w:val="fr-FR"/>
                <w14:ligatures w14:val="none"/>
              </w:rPr>
              <w:t>ODD 1, 3, 4, 5, 8, 9, 10, 11, 16, 17</w:t>
            </w:r>
          </w:p>
        </w:tc>
      </w:tr>
      <w:tr w:rsidR="004E5CF5" w:rsidRPr="00C83DA9" w14:paraId="07C66C02" w14:textId="77777777" w:rsidTr="00BD2B33">
        <w:tc>
          <w:tcPr>
            <w:tcW w:w="4820" w:type="dxa"/>
            <w:tcBorders>
              <w:top w:val="dotted" w:sz="4" w:space="0" w:color="0070C0"/>
              <w:left w:val="dotted" w:sz="4" w:space="0" w:color="0070C0"/>
              <w:bottom w:val="dotted" w:sz="4" w:space="0" w:color="0070C0"/>
              <w:right w:val="dotted" w:sz="4" w:space="0" w:color="0070C0"/>
            </w:tcBorders>
            <w:hideMark/>
          </w:tcPr>
          <w:p w14:paraId="4D7B253B" w14:textId="77777777" w:rsidR="004E5CF5" w:rsidRPr="00C83DA9" w:rsidRDefault="004E5CF5" w:rsidP="005D736D">
            <w:pPr>
              <w:pStyle w:val="Tabletext"/>
              <w:keepNext/>
              <w:keepLines/>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Grandes orientations du SMSI</w:t>
            </w:r>
          </w:p>
        </w:tc>
        <w:tc>
          <w:tcPr>
            <w:tcW w:w="10214" w:type="dxa"/>
            <w:gridSpan w:val="2"/>
            <w:tcBorders>
              <w:top w:val="dotted" w:sz="4" w:space="0" w:color="0070C0"/>
              <w:left w:val="dotted" w:sz="4" w:space="0" w:color="0070C0"/>
              <w:bottom w:val="dotted" w:sz="4" w:space="0" w:color="0070C0"/>
              <w:right w:val="dotted" w:sz="4" w:space="0" w:color="0070C0"/>
            </w:tcBorders>
            <w:hideMark/>
          </w:tcPr>
          <w:p w14:paraId="08503323" w14:textId="77777777" w:rsidR="004E5CF5" w:rsidRPr="00C83DA9" w:rsidRDefault="004E5CF5" w:rsidP="005D736D">
            <w:pPr>
              <w:pStyle w:val="Tabletext"/>
              <w:keepNext/>
              <w:keepLines/>
              <w:rPr>
                <w:rFonts w:eastAsia="Times New Roman" w:cs="Times New Roman"/>
                <w:kern w:val="0"/>
                <w:sz w:val="22"/>
                <w:lang w:val="fr-FR"/>
                <w14:ligatures w14:val="none"/>
              </w:rPr>
            </w:pPr>
            <w:r w:rsidRPr="00C83DA9">
              <w:rPr>
                <w:rFonts w:eastAsia="Times New Roman" w:cs="Times New Roman"/>
                <w:kern w:val="0"/>
                <w:sz w:val="22"/>
                <w:lang w:val="fr-FR"/>
                <w14:ligatures w14:val="none"/>
              </w:rPr>
              <w:t>C1, C2, C3, C4, C5, C6, C7, C11</w:t>
            </w:r>
          </w:p>
        </w:tc>
      </w:tr>
      <w:tr w:rsidR="004E5CF5" w:rsidRPr="00C83DA9" w14:paraId="76A7BDDE" w14:textId="77777777" w:rsidTr="00BD2B33">
        <w:tc>
          <w:tcPr>
            <w:tcW w:w="4820" w:type="dxa"/>
            <w:tcBorders>
              <w:top w:val="dotted" w:sz="4" w:space="0" w:color="0070C0"/>
              <w:left w:val="dotted" w:sz="4" w:space="0" w:color="0070C0"/>
              <w:bottom w:val="dotted" w:sz="4" w:space="0" w:color="0070C0"/>
              <w:right w:val="dotted" w:sz="4" w:space="0" w:color="0070C0"/>
            </w:tcBorders>
            <w:hideMark/>
          </w:tcPr>
          <w:p w14:paraId="622A353B" w14:textId="77777777" w:rsidR="004E5CF5" w:rsidRPr="00C83DA9" w:rsidRDefault="004E5CF5" w:rsidP="005D736D">
            <w:pPr>
              <w:pStyle w:val="Tabletext"/>
              <w:keepNext/>
              <w:keepLines/>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Résolutions</w:t>
            </w:r>
          </w:p>
        </w:tc>
        <w:tc>
          <w:tcPr>
            <w:tcW w:w="10214" w:type="dxa"/>
            <w:gridSpan w:val="2"/>
            <w:tcBorders>
              <w:top w:val="dotted" w:sz="4" w:space="0" w:color="0070C0"/>
              <w:left w:val="dotted" w:sz="4" w:space="0" w:color="0070C0"/>
              <w:bottom w:val="dotted" w:sz="4" w:space="0" w:color="0070C0"/>
              <w:right w:val="dotted" w:sz="4" w:space="0" w:color="0070C0"/>
            </w:tcBorders>
            <w:hideMark/>
          </w:tcPr>
          <w:p w14:paraId="08491498" w14:textId="77777777" w:rsidR="004E5CF5" w:rsidRPr="00C83DA9" w:rsidRDefault="004E5CF5" w:rsidP="005D736D">
            <w:pPr>
              <w:pStyle w:val="Tabletext"/>
              <w:keepNext/>
              <w:keepLines/>
              <w:rPr>
                <w:rFonts w:eastAsia="Times New Roman" w:cs="Times New Roman"/>
                <w:kern w:val="0"/>
                <w:sz w:val="22"/>
                <w:lang w:val="fr-FR"/>
                <w14:ligatures w14:val="none"/>
              </w:rPr>
            </w:pPr>
            <w:r w:rsidRPr="00C83DA9">
              <w:rPr>
                <w:rFonts w:eastAsia="Times New Roman" w:cs="Times New Roman"/>
                <w:kern w:val="0"/>
                <w:sz w:val="22"/>
                <w:lang w:val="fr-FR"/>
                <w14:ligatures w14:val="none"/>
              </w:rPr>
              <w:t>16 de la CMDT</w:t>
            </w:r>
          </w:p>
        </w:tc>
      </w:tr>
      <w:tr w:rsidR="004E5CF5" w:rsidRPr="00CA734F" w14:paraId="14E072B8" w14:textId="77777777" w:rsidTr="00BD2B33">
        <w:tc>
          <w:tcPr>
            <w:tcW w:w="4820" w:type="dxa"/>
            <w:tcBorders>
              <w:top w:val="dotted" w:sz="4" w:space="0" w:color="0070C0"/>
              <w:left w:val="dotted" w:sz="4" w:space="0" w:color="0070C0"/>
              <w:bottom w:val="dotted" w:sz="4" w:space="0" w:color="0070C0"/>
              <w:right w:val="dotted" w:sz="4" w:space="0" w:color="0070C0"/>
            </w:tcBorders>
            <w:hideMark/>
          </w:tcPr>
          <w:p w14:paraId="1C2BE5C3" w14:textId="77777777" w:rsidR="004E5CF5" w:rsidRPr="00C83DA9" w:rsidRDefault="004E5CF5" w:rsidP="005D736D">
            <w:pPr>
              <w:pStyle w:val="Tabletext"/>
              <w:keepNext/>
              <w:keepLines/>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Questions confiées aux commissions d'études de l'UIT</w:t>
            </w:r>
            <w:r w:rsidRPr="00C83DA9">
              <w:rPr>
                <w:rFonts w:eastAsia="Times New Roman" w:cs="Times New Roman"/>
                <w:b/>
                <w:bCs/>
                <w:kern w:val="0"/>
                <w:sz w:val="22"/>
                <w:lang w:val="fr-FR"/>
                <w14:ligatures w14:val="none"/>
              </w:rPr>
              <w:noBreakHyphen/>
              <w:t>D</w:t>
            </w:r>
          </w:p>
        </w:tc>
        <w:tc>
          <w:tcPr>
            <w:tcW w:w="10214" w:type="dxa"/>
            <w:gridSpan w:val="2"/>
            <w:tcBorders>
              <w:top w:val="dotted" w:sz="4" w:space="0" w:color="0070C0"/>
              <w:left w:val="dotted" w:sz="4" w:space="0" w:color="0070C0"/>
              <w:bottom w:val="dotted" w:sz="4" w:space="0" w:color="0070C0"/>
              <w:right w:val="dotted" w:sz="4" w:space="0" w:color="0070C0"/>
            </w:tcBorders>
            <w:hideMark/>
          </w:tcPr>
          <w:p w14:paraId="5B1A23E8" w14:textId="77777777" w:rsidR="004E5CF5" w:rsidRPr="00C83DA9" w:rsidRDefault="004E5CF5" w:rsidP="005D736D">
            <w:pPr>
              <w:pStyle w:val="Tabletext"/>
              <w:keepNext/>
              <w:keepLines/>
              <w:rPr>
                <w:rFonts w:eastAsia="Times New Roman" w:cs="Times New Roman"/>
                <w:kern w:val="0"/>
                <w:sz w:val="22"/>
                <w:lang w:val="fr-FR"/>
                <w14:ligatures w14:val="none"/>
              </w:rPr>
            </w:pPr>
            <w:r w:rsidRPr="00C83DA9">
              <w:rPr>
                <w:rFonts w:eastAsia="Times New Roman" w:cs="Times New Roman"/>
                <w:kern w:val="0"/>
                <w:sz w:val="22"/>
                <w:lang w:val="fr-FR"/>
                <w14:ligatures w14:val="none"/>
              </w:rPr>
              <w:t>Toutes les Questions de la CE 1 sur la mise en place d'un environnement propice à une connectivité efficace et de la CE 2 sur la transformation numérique.</w:t>
            </w:r>
          </w:p>
        </w:tc>
      </w:tr>
    </w:tbl>
    <w:p w14:paraId="59C07A17" w14:textId="77777777" w:rsidR="001B1CF5" w:rsidRPr="00C83DA9" w:rsidRDefault="001B1CF5">
      <w:pPr>
        <w:tabs>
          <w:tab w:val="clear" w:pos="1134"/>
          <w:tab w:val="clear" w:pos="1871"/>
          <w:tab w:val="clear" w:pos="2268"/>
        </w:tabs>
        <w:overflowPunct/>
        <w:autoSpaceDE/>
        <w:autoSpaceDN/>
        <w:adjustRightInd/>
        <w:spacing w:before="0"/>
        <w:textAlignment w:val="auto"/>
        <w:rPr>
          <w:lang w:val="fr-FR"/>
        </w:rPr>
      </w:pPr>
      <w:r w:rsidRPr="00C83DA9">
        <w:rPr>
          <w:lang w:val="fr-FR"/>
        </w:rPr>
        <w:br w:type="page"/>
      </w:r>
    </w:p>
    <w:tbl>
      <w:tblPr>
        <w:tblStyle w:val="TableGrid9"/>
        <w:tblW w:w="15030" w:type="dxa"/>
        <w:tblInd w:w="-5" w:type="dxa"/>
        <w:tblLayout w:type="fixed"/>
        <w:tblLook w:val="04A0" w:firstRow="1" w:lastRow="0" w:firstColumn="1" w:lastColumn="0" w:noHBand="0" w:noVBand="1"/>
      </w:tblPr>
      <w:tblGrid>
        <w:gridCol w:w="4820"/>
        <w:gridCol w:w="7512"/>
        <w:gridCol w:w="2698"/>
      </w:tblGrid>
      <w:tr w:rsidR="001B1CF5" w:rsidRPr="00CA734F" w14:paraId="17D95FD4" w14:textId="77777777" w:rsidTr="00A90F81">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hideMark/>
          </w:tcPr>
          <w:p w14:paraId="745FFCDE" w14:textId="09D5B00F" w:rsidR="001B1CF5" w:rsidRPr="00C83DA9" w:rsidRDefault="001B1CF5" w:rsidP="009B2988">
            <w:pPr>
              <w:pStyle w:val="Headingb"/>
              <w:spacing w:before="40"/>
              <w:jc w:val="center"/>
              <w:rPr>
                <w:rFonts w:eastAsia="Times New Roman"/>
                <w:color w:val="FFFFFF" w:themeColor="background1"/>
                <w:kern w:val="0"/>
                <w:szCs w:val="20"/>
                <w:lang w:val="fr-FR"/>
                <w14:ligatures w14:val="none"/>
              </w:rPr>
            </w:pPr>
            <w:bookmarkStart w:id="96" w:name="_Toc211258931"/>
            <w:bookmarkStart w:id="97" w:name="_Toc213307976"/>
            <w:r w:rsidRPr="00C83DA9">
              <w:rPr>
                <w:rFonts w:eastAsia="Times New Roman"/>
                <w:color w:val="FFFFFF" w:themeColor="background1"/>
                <w:kern w:val="0"/>
                <w:szCs w:val="20"/>
                <w:lang w:val="fr-FR"/>
                <w14:ligatures w14:val="none"/>
              </w:rPr>
              <w:lastRenderedPageBreak/>
              <w:t>Catalyseur 3 de l'UIT-D</w:t>
            </w:r>
            <w:r w:rsidR="00A63ECD" w:rsidRPr="00C83DA9">
              <w:rPr>
                <w:rFonts w:eastAsia="Times New Roman"/>
                <w:color w:val="FFFFFF" w:themeColor="background1"/>
                <w:kern w:val="0"/>
                <w:szCs w:val="20"/>
                <w:lang w:val="fr-FR"/>
                <w14:ligatures w14:val="none"/>
              </w:rPr>
              <w:t xml:space="preserve">: </w:t>
            </w:r>
            <w:r w:rsidRPr="00C83DA9">
              <w:rPr>
                <w:rFonts w:eastAsia="Times New Roman"/>
                <w:color w:val="FFFFFF" w:themeColor="background1"/>
                <w:kern w:val="0"/>
                <w:szCs w:val="20"/>
                <w:lang w:val="fr-FR"/>
                <w14:ligatures w14:val="none"/>
              </w:rPr>
              <w:t>Diversité et inclusion</w:t>
            </w:r>
            <w:bookmarkEnd w:id="96"/>
            <w:bookmarkEnd w:id="97"/>
          </w:p>
          <w:p w14:paraId="2174C5EA" w14:textId="77777777" w:rsidR="001B1CF5" w:rsidRPr="00C83DA9" w:rsidRDefault="001B1CF5" w:rsidP="000F1176">
            <w:pPr>
              <w:pStyle w:val="Tablehead"/>
              <w:rPr>
                <w:rFonts w:cstheme="minorHAnsi"/>
                <w:b w:val="0"/>
                <w:bCs/>
                <w:i/>
                <w:iCs/>
                <w:color w:val="FFFFFF" w:themeColor="background1"/>
                <w:sz w:val="24"/>
                <w:szCs w:val="20"/>
                <w:lang w:val="fr-FR"/>
              </w:rPr>
            </w:pPr>
            <w:r w:rsidRPr="00C83DA9">
              <w:rPr>
                <w:rFonts w:eastAsia="Times New Roman"/>
                <w:i/>
                <w:iCs/>
                <w:color w:val="FFFFFF" w:themeColor="background1"/>
                <w:kern w:val="0"/>
                <w:sz w:val="24"/>
                <w:szCs w:val="20"/>
                <w:lang w:val="fr-FR"/>
                <w14:ligatures w14:val="none"/>
              </w:rPr>
              <w:t>Élaborer des stratégies et des solutions en matière d'inclusion numérique</w:t>
            </w:r>
          </w:p>
        </w:tc>
      </w:tr>
      <w:tr w:rsidR="001B1CF5" w:rsidRPr="00CA734F" w14:paraId="290E4C25" w14:textId="77777777" w:rsidTr="00A90F81">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hideMark/>
          </w:tcPr>
          <w:p w14:paraId="093DF5E0" w14:textId="77777777" w:rsidR="001B1CF5" w:rsidRPr="00C83DA9" w:rsidRDefault="001B1CF5" w:rsidP="000F1176">
            <w:pPr>
              <w:pStyle w:val="Tabletext"/>
              <w:rPr>
                <w:rFonts w:cstheme="minorHAnsi"/>
                <w:b/>
                <w:bCs/>
                <w:color w:val="FFFFFF" w:themeColor="background1"/>
                <w:sz w:val="24"/>
                <w:szCs w:val="20"/>
                <w:lang w:val="fr-FR"/>
              </w:rPr>
            </w:pPr>
            <w:r w:rsidRPr="00C83DA9">
              <w:rPr>
                <w:rFonts w:eastAsiaTheme="minorEastAsia" w:cstheme="minorHAnsi"/>
                <w:b/>
                <w:bCs/>
                <w:i/>
                <w:color w:val="000000" w:themeColor="text1"/>
                <w:kern w:val="0"/>
                <w:sz w:val="24"/>
                <w:szCs w:val="20"/>
                <w:lang w:val="fr-FR"/>
                <w14:ligatures w14:val="none"/>
              </w:rPr>
              <w:t>Réalisation</w:t>
            </w:r>
            <w:r w:rsidRPr="00C83DA9">
              <w:rPr>
                <w:rFonts w:eastAsiaTheme="minorEastAsia" w:cstheme="minorHAnsi"/>
                <w:i/>
                <w:color w:val="000000" w:themeColor="text1"/>
                <w:kern w:val="0"/>
                <w:sz w:val="24"/>
                <w:szCs w:val="20"/>
                <w:lang w:val="fr-FR"/>
                <w14:ligatures w14:val="none"/>
              </w:rPr>
              <w:t>: renforcement de la capacité des membres de l'UIT à élaborer des stratégies, des politiques et des pratiques en faveur de l'inclusion et de l'équité numériques, en particulier pour l'autonomisation des femmes et des jeunes filles, des personnes handicapées, des personnes ayant des besoins particuliers ainsi que des ménages à faible revenu.</w:t>
            </w:r>
          </w:p>
        </w:tc>
      </w:tr>
      <w:tr w:rsidR="001B1CF5" w:rsidRPr="00C83DA9" w14:paraId="29BF39E4" w14:textId="77777777" w:rsidTr="006B27DC">
        <w:trPr>
          <w:trHeight w:val="224"/>
        </w:trPr>
        <w:tc>
          <w:tcPr>
            <w:tcW w:w="12332" w:type="dxa"/>
            <w:gridSpan w:val="2"/>
            <w:tcBorders>
              <w:top w:val="dotted" w:sz="4" w:space="0" w:color="0070C0"/>
              <w:left w:val="dotted" w:sz="4" w:space="0" w:color="0070C0"/>
              <w:bottom w:val="dotted" w:sz="4" w:space="0" w:color="0070C0"/>
              <w:right w:val="dotted" w:sz="4" w:space="0" w:color="0070C0"/>
            </w:tcBorders>
            <w:hideMark/>
          </w:tcPr>
          <w:p w14:paraId="248C0301" w14:textId="77777777" w:rsidR="001B1CF5" w:rsidRPr="00C83DA9" w:rsidRDefault="001B1CF5"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Produits</w:t>
            </w:r>
          </w:p>
        </w:tc>
        <w:tc>
          <w:tcPr>
            <w:tcW w:w="2698" w:type="dxa"/>
            <w:tcBorders>
              <w:top w:val="dotted" w:sz="4" w:space="0" w:color="0070C0"/>
              <w:left w:val="dotted" w:sz="4" w:space="0" w:color="0070C0"/>
              <w:bottom w:val="dotted" w:sz="4" w:space="0" w:color="0070C0"/>
              <w:right w:val="dotted" w:sz="4" w:space="0" w:color="0070C0"/>
            </w:tcBorders>
            <w:hideMark/>
          </w:tcPr>
          <w:p w14:paraId="2A5C15DB" w14:textId="77777777" w:rsidR="001B1CF5" w:rsidRPr="00C83DA9" w:rsidRDefault="001B1CF5"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Points à retenir</w:t>
            </w:r>
          </w:p>
        </w:tc>
      </w:tr>
      <w:tr w:rsidR="001B1CF5" w:rsidRPr="00CA734F" w14:paraId="01C8C938" w14:textId="77777777" w:rsidTr="001B1CF5">
        <w:tc>
          <w:tcPr>
            <w:tcW w:w="12332" w:type="dxa"/>
            <w:gridSpan w:val="2"/>
            <w:tcBorders>
              <w:top w:val="dotted" w:sz="4" w:space="0" w:color="0070C0"/>
              <w:left w:val="dotted" w:sz="4" w:space="0" w:color="0070C0"/>
              <w:bottom w:val="dotted" w:sz="4" w:space="0" w:color="0070C0"/>
              <w:right w:val="dotted" w:sz="4" w:space="0" w:color="0070C0"/>
            </w:tcBorders>
          </w:tcPr>
          <w:p w14:paraId="281CB6AC" w14:textId="0FEAE146"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sz w:val="22"/>
                <w:lang w:val="fr-FR"/>
              </w:rPr>
            </w:pPr>
            <w:r w:rsidRPr="00C83DA9">
              <w:rPr>
                <w:color w:val="000000"/>
                <w:sz w:val="22"/>
                <w:lang w:val="fr-FR"/>
              </w:rPr>
              <w:t xml:space="preserve">Entre 2023 et 2025, le BDT a accéléré la mise en œuvre de son engagement en faveur de l'intégration de la diversité et de l'inclusion au cœur du développement numérique, conformément à la </w:t>
            </w:r>
            <w:r w:rsidRPr="00C83DA9">
              <w:rPr>
                <w:sz w:val="22"/>
                <w:lang w:val="fr-FR"/>
              </w:rPr>
              <w:t xml:space="preserve">Résolution </w:t>
            </w:r>
            <w:hyperlink r:id="rId243" w:history="1">
              <w:r w:rsidRPr="00C83DA9">
                <w:rPr>
                  <w:color w:val="0000FF"/>
                  <w:sz w:val="22"/>
                  <w:u w:val="single"/>
                  <w:lang w:val="fr-FR"/>
                </w:rPr>
                <w:t>46 (Rév. Kigali, 2022)</w:t>
              </w:r>
            </w:hyperlink>
            <w:r w:rsidRPr="00C83DA9">
              <w:rPr>
                <w:sz w:val="22"/>
                <w:lang w:val="fr-FR"/>
              </w:rPr>
              <w:t xml:space="preserve"> de la CMDT</w:t>
            </w:r>
            <w:r w:rsidRPr="00C83DA9">
              <w:rPr>
                <w:color w:val="000000"/>
                <w:sz w:val="22"/>
                <w:lang w:val="fr-FR"/>
              </w:rPr>
              <w:t xml:space="preserve"> intitulée "Assistance en faveur des peuples et des communautés autochtones par le biais des technologies de l'information et de la communication", à la </w:t>
            </w:r>
            <w:r w:rsidRPr="00C83DA9">
              <w:rPr>
                <w:sz w:val="22"/>
                <w:lang w:val="fr-FR"/>
              </w:rPr>
              <w:t>Résolution</w:t>
            </w:r>
            <w:r w:rsidR="00E90E58">
              <w:rPr>
                <w:sz w:val="22"/>
                <w:lang w:val="fr-FR"/>
              </w:rPr>
              <w:t> </w:t>
            </w:r>
            <w:hyperlink r:id="rId244" w:history="1">
              <w:r w:rsidRPr="00C83DA9">
                <w:rPr>
                  <w:color w:val="0000FF"/>
                  <w:sz w:val="22"/>
                  <w:u w:val="single"/>
                  <w:lang w:val="fr-FR"/>
                </w:rPr>
                <w:t>55</w:t>
              </w:r>
              <w:r w:rsidR="00E90E58">
                <w:rPr>
                  <w:color w:val="0000FF"/>
                  <w:sz w:val="22"/>
                  <w:u w:val="single"/>
                  <w:lang w:val="fr-FR"/>
                </w:rPr>
                <w:t> </w:t>
              </w:r>
              <w:r w:rsidRPr="00C83DA9">
                <w:rPr>
                  <w:color w:val="0000FF"/>
                  <w:sz w:val="22"/>
                  <w:u w:val="single"/>
                  <w:lang w:val="fr-FR"/>
                </w:rPr>
                <w:t>(Rév. Kigali, 2022)</w:t>
              </w:r>
            </w:hyperlink>
            <w:r w:rsidRPr="00C83DA9">
              <w:rPr>
                <w:sz w:val="22"/>
                <w:lang w:val="fr-FR"/>
              </w:rPr>
              <w:t xml:space="preserve"> de la CMDT</w:t>
            </w:r>
            <w:r w:rsidRPr="00C83DA9">
              <w:rPr>
                <w:color w:val="000000"/>
                <w:sz w:val="22"/>
                <w:lang w:val="fr-FR"/>
              </w:rPr>
              <w:t xml:space="preserve"> intitulée "Intégration du principe de l'égalité entre les femmes et les hommes à l'UIT pour renforcer l'autonomisation des femmes grâce aux télécommunications/TIC", à la </w:t>
            </w:r>
            <w:r w:rsidRPr="00C83DA9">
              <w:rPr>
                <w:sz w:val="22"/>
                <w:lang w:val="fr-FR"/>
              </w:rPr>
              <w:t xml:space="preserve">Résolution </w:t>
            </w:r>
            <w:hyperlink r:id="rId245" w:history="1">
              <w:r w:rsidRPr="00C83DA9">
                <w:rPr>
                  <w:color w:val="0000FF"/>
                  <w:sz w:val="22"/>
                  <w:u w:val="single"/>
                  <w:lang w:val="fr-FR"/>
                </w:rPr>
                <w:t>58 (Rév. Kigali, 2022)</w:t>
              </w:r>
            </w:hyperlink>
            <w:r w:rsidRPr="00C83DA9">
              <w:rPr>
                <w:sz w:val="22"/>
                <w:lang w:val="fr-FR"/>
              </w:rPr>
              <w:t xml:space="preserve"> de la CMDT</w:t>
            </w:r>
            <w:r w:rsidRPr="00C83DA9">
              <w:rPr>
                <w:color w:val="000000"/>
                <w:sz w:val="22"/>
                <w:lang w:val="fr-FR"/>
              </w:rPr>
              <w:t xml:space="preserve"> intitulée "Accessibilité des télécommunications/technologies de l'information et de la communication pour les personnes handicapées et les personnes ayant des besoins particuliers", et à la </w:t>
            </w:r>
            <w:r w:rsidRPr="00C83DA9">
              <w:rPr>
                <w:sz w:val="22"/>
                <w:lang w:val="fr-FR"/>
              </w:rPr>
              <w:t>Résolution </w:t>
            </w:r>
            <w:hyperlink r:id="rId246" w:history="1">
              <w:r w:rsidRPr="00C83DA9">
                <w:rPr>
                  <w:color w:val="0000FF"/>
                  <w:sz w:val="22"/>
                  <w:u w:val="single"/>
                  <w:lang w:val="fr-FR"/>
                </w:rPr>
                <w:t>76 (Rév. Kigali, 2022)</w:t>
              </w:r>
            </w:hyperlink>
            <w:r w:rsidRPr="00C83DA9">
              <w:rPr>
                <w:sz w:val="22"/>
                <w:lang w:val="fr-FR"/>
              </w:rPr>
              <w:t xml:space="preserve"> de la CMDT</w:t>
            </w:r>
            <w:r w:rsidRPr="00C83DA9">
              <w:rPr>
                <w:color w:val="000000"/>
                <w:sz w:val="22"/>
                <w:lang w:val="fr-FR"/>
              </w:rPr>
              <w:t>, intitulée "Promouvoir l'utilisation des technologies de l'information et de la communication au service de l'autonomisation socio</w:t>
            </w:r>
            <w:r w:rsidRPr="00C83DA9">
              <w:rPr>
                <w:color w:val="000000"/>
                <w:sz w:val="22"/>
                <w:lang w:val="fr-FR"/>
              </w:rPr>
              <w:noBreakHyphen/>
              <w:t xml:space="preserve">économique des jeunes femmes et des jeunes hommes". Cette période a marqué un changement, puisque l'on est passé de projets concrets, improvisés ou créés selon les besoins, à des stratégies intégrées visant à faire en sorte que les femmes, les jeunes, les personnes en situation de handicap et les autres groupes marginalisés soient considérés à la fois comme des bénéficiaires des TIC et comme des dirigeants et des </w:t>
            </w:r>
            <w:r w:rsidR="00F96B80" w:rsidRPr="00C83DA9">
              <w:rPr>
                <w:color w:val="000000"/>
                <w:sz w:val="22"/>
                <w:lang w:val="fr-FR"/>
              </w:rPr>
              <w:t>cocréateurs</w:t>
            </w:r>
            <w:r w:rsidRPr="00C83DA9">
              <w:rPr>
                <w:color w:val="000000"/>
                <w:sz w:val="22"/>
                <w:lang w:val="fr-FR"/>
              </w:rPr>
              <w:t xml:space="preserve"> actifs. La diversité n'a pas été reconnue comme une priorité distincte, mais comme un catalyseur transversal qui sous-tend l'innovation, les politiques et le renforcement des capacités dans les régions. Des partenariats, des manifestations phares et des programmes sur mesure ont élevé l'inclusion du rang d'aspiration politique à celui d'élément moteur concret de la transformation.</w:t>
            </w:r>
          </w:p>
          <w:p w14:paraId="7098ABF7" w14:textId="6A774E67" w:rsidR="001B1CF5" w:rsidRPr="00C83DA9" w:rsidRDefault="001B1CF5" w:rsidP="005D736D">
            <w:pPr>
              <w:widowControl w:val="0"/>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Les travaux du BDT sur l'inclusion numérique ont produit des résultats tangibles grâce à des conseils d'experts et à des activités de renforcement des capacités qui ont favorisé l'élaboration de politiques et de stratégies numériques inclusives. Plus de </w:t>
            </w:r>
            <w:r w:rsidR="0085137E" w:rsidRPr="00C83DA9">
              <w:rPr>
                <w:color w:val="000000"/>
                <w:sz w:val="22"/>
                <w:lang w:val="fr-FR"/>
              </w:rPr>
              <w:t>14 000</w:t>
            </w:r>
            <w:r w:rsidRPr="00C83DA9">
              <w:rPr>
                <w:color w:val="000000"/>
                <w:sz w:val="22"/>
                <w:lang w:val="fr-FR"/>
              </w:rPr>
              <w:t xml:space="preserve"> décideurs et parties prenantes de plus de 120 pays de toutes les régions ont renforcé leurs capacités d'élaboration et de mise en œuvre de politiques numériques inclusives garantissant un accès équitable aux TIC pour les femmes, les jeunes filles, les personnes âgées, les personnes en situation de handicap et les communautés autochtones et isolées</w:t>
            </w:r>
            <w:r w:rsidR="00554E59" w:rsidRPr="00C83DA9">
              <w:rPr>
                <w:color w:val="000000"/>
                <w:sz w:val="22"/>
                <w:lang w:val="fr-FR"/>
              </w:rPr>
              <w:t xml:space="preserve">, y compris grâce à </w:t>
            </w:r>
            <w:r w:rsidR="0070415A" w:rsidRPr="00C83DA9">
              <w:rPr>
                <w:color w:val="000000"/>
                <w:sz w:val="22"/>
                <w:lang w:val="fr-FR"/>
              </w:rPr>
              <w:t>des cours en ligne gratuits, accessibles et multilingues adaptés au rythme de chacun sur la plate</w:t>
            </w:r>
            <w:r w:rsidR="0070415A" w:rsidRPr="00C83DA9">
              <w:rPr>
                <w:color w:val="000000"/>
                <w:sz w:val="22"/>
                <w:lang w:val="fr-FR"/>
              </w:rPr>
              <w:noBreakHyphen/>
              <w:t>forme de l'Académie de l'UIT</w:t>
            </w:r>
            <w:r w:rsidRPr="00C83DA9">
              <w:rPr>
                <w:color w:val="000000"/>
                <w:sz w:val="22"/>
                <w:lang w:val="fr-FR"/>
              </w:rPr>
              <w:t xml:space="preserve">. Le transfert de connaissances a été assuré grâce à des formations adaptées à l'intention des cadres, à des ateliers et à des plates-formes régionales et mondiales et des Nations Unies sur les questions relatives à l'égalité hommes-femmes, à l'accessibilité, au vieillissement et à la jeunesse. Le BDT a également fourni un appui spécialisé pour l'élaboration de plans stratégiques nationaux sur l'inclusion numérique, définis selon une approche globale et intersectionnelle, afin de garantir à tous les citoyens la possibilité d'utiliser la technologie et de participer à la société numérique. Le Burundi a mis en œuvre un projet pilote, qui sert de modèle à reproduire dans d'autres pays. </w:t>
            </w:r>
            <w:r w:rsidR="00E85949" w:rsidRPr="00C83DA9">
              <w:rPr>
                <w:color w:val="000000"/>
                <w:sz w:val="22"/>
                <w:lang w:val="fr-FR"/>
              </w:rPr>
              <w:t xml:space="preserve">En outre, une assistance technique relative aux politiques et stratégies en matière d'égalité hommes-femmes a été fournie </w:t>
            </w:r>
            <w:r w:rsidR="00DC465C" w:rsidRPr="00C83DA9">
              <w:rPr>
                <w:color w:val="000000"/>
                <w:sz w:val="22"/>
                <w:lang w:val="fr-FR"/>
              </w:rPr>
              <w:t xml:space="preserve">au Burundi, à l'Éthiopie, </w:t>
            </w:r>
            <w:r w:rsidR="00E85949" w:rsidRPr="00C83DA9">
              <w:rPr>
                <w:color w:val="000000"/>
                <w:sz w:val="22"/>
                <w:lang w:val="fr-FR"/>
              </w:rPr>
              <w:t>à</w:t>
            </w:r>
            <w:r w:rsidR="0032646C" w:rsidRPr="00C83DA9">
              <w:rPr>
                <w:color w:val="000000"/>
                <w:sz w:val="22"/>
                <w:lang w:val="fr-FR"/>
              </w:rPr>
              <w:t> </w:t>
            </w:r>
            <w:r w:rsidRPr="00C83DA9">
              <w:rPr>
                <w:color w:val="000000"/>
                <w:sz w:val="22"/>
                <w:lang w:val="fr-FR"/>
              </w:rPr>
              <w:t xml:space="preserve">Haïti, </w:t>
            </w:r>
            <w:r w:rsidR="00E85949" w:rsidRPr="00C83DA9">
              <w:rPr>
                <w:color w:val="000000"/>
                <w:sz w:val="22"/>
                <w:lang w:val="fr-FR"/>
              </w:rPr>
              <w:t xml:space="preserve">à </w:t>
            </w:r>
            <w:r w:rsidRPr="00C83DA9">
              <w:rPr>
                <w:color w:val="000000"/>
                <w:sz w:val="22"/>
                <w:lang w:val="fr-FR"/>
              </w:rPr>
              <w:t xml:space="preserve">la République dominicaine et </w:t>
            </w:r>
            <w:r w:rsidR="00E85949" w:rsidRPr="00C83DA9">
              <w:rPr>
                <w:color w:val="000000"/>
                <w:sz w:val="22"/>
                <w:lang w:val="fr-FR"/>
              </w:rPr>
              <w:t xml:space="preserve">à </w:t>
            </w:r>
            <w:r w:rsidRPr="00C83DA9">
              <w:rPr>
                <w:color w:val="000000"/>
                <w:sz w:val="22"/>
                <w:lang w:val="fr-FR"/>
              </w:rPr>
              <w:t>la Libye.</w:t>
            </w:r>
          </w:p>
          <w:p w14:paraId="2C0A0783" w14:textId="66F3571F" w:rsidR="001B1CF5" w:rsidRPr="00C83DA9" w:rsidRDefault="001B1CF5" w:rsidP="005D736D">
            <w:pPr>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lastRenderedPageBreak/>
              <w:t xml:space="preserve">Des initiatives et des projets essentiels ont été mis en œuvre pour renforcer les compétences des utilisateurs finals et autonomiser les communautés. Dans le cadre de l'Initiative </w:t>
            </w:r>
            <w:hyperlink r:id="rId247" w:history="1">
              <w:r w:rsidRPr="00C83DA9">
                <w:rPr>
                  <w:b/>
                  <w:bCs/>
                  <w:color w:val="0000FF"/>
                  <w:sz w:val="22"/>
                  <w:u w:val="single"/>
                  <w:lang w:val="fr-FR"/>
                </w:rPr>
                <w:t>Generation Connect concernant les représentants des groupes pour la jeunesse</w:t>
              </w:r>
            </w:hyperlink>
            <w:r w:rsidRPr="00C83DA9">
              <w:rPr>
                <w:color w:val="000000"/>
                <w:sz w:val="22"/>
                <w:lang w:val="fr-FR"/>
              </w:rPr>
              <w:t xml:space="preserve">, le BDT a renforcé la participation des jeunes dans toutes les régions, en nommant 184 représentants des groupes pour la jeunesse de 64 pays avec une quasi-parité hommes-femmes et une forte représentation des PMA, des PDSL et des PEID. Âgés de 18 à 24 ans, les représentants ont exposé les points de vue de la jeunesse dans les discussions nationales, régionales et mondiales sur les TIC, notamment dans le cadre des Forums régionaux sur le développement, de la Journée internationale des jeunes filles dans le secteur des TIC et des travaux des commissions d'études de l'UIT-D. Ces représentants ont pu améliorer leurs compétences dans le cadre d'un programme de développement des connaissances et de mentorat et de consultations régionales menées auprès des jeunes, à l'issue desquelles ils ont recensé les priorités et présenté des recommandations aux membres de l'UIT par l'intermédiaire du </w:t>
            </w:r>
            <w:hyperlink r:id="rId248" w:history="1">
              <w:r w:rsidRPr="00C83DA9">
                <w:rPr>
                  <w:color w:val="0000FF"/>
                  <w:sz w:val="22"/>
                  <w:u w:val="single"/>
                  <w:lang w:val="fr-FR"/>
                </w:rPr>
                <w:t>Groupe de coordination informelle sur le Sommet mondial de la jeunesse</w:t>
              </w:r>
            </w:hyperlink>
            <w:r w:rsidRPr="00C83DA9">
              <w:rPr>
                <w:color w:val="000000"/>
                <w:sz w:val="22"/>
                <w:lang w:val="fr-FR"/>
              </w:rPr>
              <w:t xml:space="preserve">. Ils ont ainsi renforcé leur rôle de </w:t>
            </w:r>
            <w:r w:rsidR="00F96B80" w:rsidRPr="00C83DA9">
              <w:rPr>
                <w:color w:val="000000"/>
                <w:sz w:val="22"/>
                <w:lang w:val="fr-FR"/>
              </w:rPr>
              <w:t>cocréateurs</w:t>
            </w:r>
            <w:r w:rsidRPr="00C83DA9">
              <w:rPr>
                <w:color w:val="000000"/>
                <w:sz w:val="22"/>
                <w:lang w:val="fr-FR"/>
              </w:rPr>
              <w:t xml:space="preserve"> dans le domaine de la transformation numérique inclusive.</w:t>
            </w:r>
          </w:p>
          <w:p w14:paraId="17CEEBE8" w14:textId="77777777"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cstheme="minorHAnsi"/>
                <w:sz w:val="22"/>
                <w:lang w:val="fr-FR"/>
              </w:rPr>
            </w:pPr>
            <w:r w:rsidRPr="00C83DA9">
              <w:rPr>
                <w:color w:val="000000"/>
                <w:sz w:val="22"/>
                <w:lang w:val="fr-FR"/>
              </w:rPr>
              <w:t xml:space="preserve">Dans le cadre du Programme </w:t>
            </w:r>
            <w:hyperlink r:id="rId249" w:history="1">
              <w:r w:rsidRPr="00C83DA9">
                <w:rPr>
                  <w:b/>
                  <w:bCs/>
                  <w:color w:val="0000FF"/>
                  <w:sz w:val="22"/>
                  <w:u w:val="single"/>
                  <w:lang w:val="fr-FR"/>
                </w:rPr>
                <w:t>"jeunes chefs de file" de l'Initiative Generation Connect</w:t>
              </w:r>
            </w:hyperlink>
            <w:r w:rsidRPr="00C83DA9">
              <w:rPr>
                <w:color w:val="000000"/>
                <w:sz w:val="22"/>
                <w:lang w:val="fr-FR"/>
              </w:rPr>
              <w:t>, 60 boursiers de 40 pays ont été sélectionnés parmi plus de 10 000 candidats répartis dans deux cohortes mondiales entre 2024 et 2025. Avec le soutien de Huawei, chaque boursier a bénéficié d'une subvention et d'activités de mentorat pour mettre en œuvre des projets locaux; plusieurs d'entre eux ont obtenu un financement supplémentaire pour déployer leurs initiatives. Les boursiers ont présenté leurs travaux lors de manifestations mondiales telles que le Forum de l'UIT sur les compétences numériques, le Forum mondial de l'innovation et la COP29, qui ont donné un aperçu concret de l'innovation dirigée par les jeunes.</w:t>
            </w:r>
          </w:p>
          <w:p w14:paraId="783CE969" w14:textId="084CB7EF"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cstheme="minorHAnsi"/>
                <w:sz w:val="22"/>
                <w:lang w:val="fr-FR"/>
              </w:rPr>
            </w:pPr>
            <w:r w:rsidRPr="00C83DA9">
              <w:rPr>
                <w:color w:val="000000"/>
                <w:sz w:val="22"/>
                <w:lang w:val="fr-FR"/>
              </w:rPr>
              <w:t xml:space="preserve">Le </w:t>
            </w:r>
            <w:hyperlink r:id="rId250" w:history="1">
              <w:r w:rsidRPr="00C83DA9">
                <w:rPr>
                  <w:b/>
                  <w:bCs/>
                  <w:color w:val="000000"/>
                  <w:sz w:val="22"/>
                  <w:lang w:val="fr-FR"/>
                </w:rPr>
                <w:t>Réseau de femmes à l'UIT-D</w:t>
              </w:r>
            </w:hyperlink>
            <w:r w:rsidRPr="00C83DA9">
              <w:rPr>
                <w:color w:val="000000"/>
                <w:sz w:val="22"/>
                <w:lang w:val="fr-FR"/>
              </w:rPr>
              <w:t xml:space="preserve"> a continué de promouvoir la participation des femmes aux processus de l'UIT-D et aux travaux préparatoires en vue de la CMDT-25. Plus de 400 femmes de toutes les régions ont bénéficié des activités de formation et de mentorat relevant du projet "Créer un réseau de femmes dirigeantes" soutenu par la Commission des communications, de l'espace et des technologies de l'Arabie saoudite. Le </w:t>
            </w:r>
            <w:hyperlink r:id="rId251" w:history="1">
              <w:r w:rsidRPr="00C83DA9">
                <w:rPr>
                  <w:color w:val="000000"/>
                  <w:sz w:val="22"/>
                  <w:lang w:val="fr-FR"/>
                </w:rPr>
                <w:t>programme de mentorat pour l'autonomisation des dirigeantes</w:t>
              </w:r>
            </w:hyperlink>
            <w:r w:rsidRPr="00C83DA9">
              <w:rPr>
                <w:color w:val="000000"/>
                <w:sz w:val="22"/>
                <w:lang w:val="fr-FR"/>
              </w:rPr>
              <w:t xml:space="preserve"> a mobilisé 150 participants de</w:t>
            </w:r>
            <w:r w:rsidR="0032646C" w:rsidRPr="00C83DA9">
              <w:rPr>
                <w:color w:val="000000"/>
                <w:sz w:val="22"/>
                <w:lang w:val="fr-FR"/>
              </w:rPr>
              <w:t> </w:t>
            </w:r>
            <w:r w:rsidR="00917571" w:rsidRPr="00C83DA9">
              <w:rPr>
                <w:color w:val="000000"/>
                <w:sz w:val="22"/>
                <w:lang w:val="fr-FR"/>
              </w:rPr>
              <w:t>6 </w:t>
            </w:r>
            <w:r w:rsidRPr="00C83DA9">
              <w:rPr>
                <w:color w:val="000000"/>
                <w:sz w:val="22"/>
                <w:lang w:val="fr-FR"/>
              </w:rPr>
              <w:t>régions, dont 30% de mentors masculins qui ont contribué à encourager la solidarité active en matière d'autonomisation des femmes. Lors du Colloque mondial des régulateurs qui s'est tenu en Arabie saoudite en 2025, 61 participants de 40 pays ont pris part à la masterclass "Confidence Booster" pour améliorer leurs compétences en matière d'encadrement et de communication. Les séances de mise en relation et les tables rondes organisées lors des grandes manifestations de l'UIT ont permis de renforcer la collaboration et de rendre les femmes plus visibles dans le domaine du développement du numérique.</w:t>
            </w:r>
          </w:p>
          <w:p w14:paraId="53D361F2" w14:textId="77777777"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cstheme="minorHAnsi"/>
                <w:sz w:val="22"/>
                <w:lang w:val="fr-FR"/>
              </w:rPr>
            </w:pPr>
            <w:r w:rsidRPr="00C83DA9">
              <w:rPr>
                <w:color w:val="000000"/>
                <w:sz w:val="22"/>
                <w:lang w:val="fr-FR"/>
              </w:rPr>
              <w:t xml:space="preserve">Au niveau communautaire, plus de 13 000 personnes issues de plus de 40 pays ont bénéficié des initiatives du BDT en matière d'inclusion numérique, notamment des femmes, des jeunes, des personnes âgées, des personnes en situation de handicap et des communautés autochtones. Le programme de formation mixte en Amérique latine et dans les Caraïbes a permis de former des gestionnaires de réseaux communautaires à la conception et à la gestion de solutions de connectivité locale: 28 participants de neuf pays ont été diplômés en 2023-2024 et 50 participants de 10 pays ont obtenu une certification en 2024. En 2025, ce programme a été déployé en Afrique pour la première fois et a enregistré la participation de 65 personnes de 18 pays, et contribue ainsi à faire émerger des décideurs au niveau local pour mener des initiatives numériques communautaires. </w:t>
            </w:r>
            <w:hyperlink r:id="rId252" w:history="1">
              <w:r w:rsidRPr="00C83DA9">
                <w:rPr>
                  <w:color w:val="0000FF"/>
                  <w:sz w:val="22"/>
                  <w:u w:val="single"/>
                  <w:lang w:val="fr-FR"/>
                </w:rPr>
                <w:t>En savoir plus</w:t>
              </w:r>
            </w:hyperlink>
            <w:r w:rsidRPr="00C83DA9">
              <w:rPr>
                <w:color w:val="000000"/>
                <w:sz w:val="22"/>
                <w:lang w:val="fr-FR"/>
              </w:rPr>
              <w:t>.</w:t>
            </w:r>
          </w:p>
          <w:p w14:paraId="6F61640B" w14:textId="4D65E67C"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cstheme="minorHAnsi"/>
                <w:sz w:val="22"/>
                <w:lang w:val="fr-FR"/>
              </w:rPr>
            </w:pPr>
            <w:r w:rsidRPr="00C83DA9">
              <w:rPr>
                <w:color w:val="000000"/>
                <w:sz w:val="22"/>
                <w:lang w:val="fr-FR"/>
              </w:rPr>
              <w:lastRenderedPageBreak/>
              <w:t>L'Initiative d'</w:t>
            </w:r>
            <w:hyperlink r:id="rId253" w:history="1">
              <w:r w:rsidRPr="00C83DA9">
                <w:rPr>
                  <w:b/>
                  <w:bCs/>
                  <w:color w:val="0000FF"/>
                  <w:sz w:val="22"/>
                  <w:u w:val="single"/>
                  <w:lang w:val="fr-FR"/>
                </w:rPr>
                <w:t>accélération des compétences dans le domaine de l'IA pour les jeunes filles</w:t>
              </w:r>
            </w:hyperlink>
            <w:r w:rsidRPr="00C83DA9">
              <w:rPr>
                <w:color w:val="000000"/>
                <w:sz w:val="22"/>
                <w:lang w:val="fr-FR"/>
              </w:rPr>
              <w:t>, lancée en partenariat avec Ernst &amp; Young, visait à combler les écarts entre les hommes et les femmes dans le domaine de l'IA en dotant les jeunes femmes de compétences éthiques, techniques et d'encadrement. Entre 2024 et 2025, elle a touché plus de 820 participants de différents pays, dont le Paraguay, Malte, le Kenya, l'Inde, le Kazakhstan, la Jordanie</w:t>
            </w:r>
            <w:r w:rsidR="007B020E" w:rsidRPr="00C83DA9">
              <w:rPr>
                <w:color w:val="000000"/>
                <w:sz w:val="22"/>
                <w:lang w:val="fr-FR"/>
              </w:rPr>
              <w:t xml:space="preserve"> et</w:t>
            </w:r>
            <w:r w:rsidRPr="00C83DA9">
              <w:rPr>
                <w:color w:val="000000"/>
                <w:sz w:val="22"/>
                <w:lang w:val="fr-FR"/>
              </w:rPr>
              <w:t xml:space="preserve"> l'Ouzbékistan.</w:t>
            </w:r>
          </w:p>
          <w:p w14:paraId="0647DFC1" w14:textId="77777777"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Des manifestations phares sur le thème "</w:t>
            </w:r>
            <w:r w:rsidRPr="00C83DA9">
              <w:rPr>
                <w:b/>
                <w:bCs/>
                <w:color w:val="000000"/>
                <w:sz w:val="22"/>
                <w:lang w:val="fr-FR"/>
              </w:rPr>
              <w:t>Les TIC accessibles à tous</w:t>
            </w:r>
            <w:r w:rsidRPr="00C83DA9">
              <w:rPr>
                <w:color w:val="000000"/>
                <w:sz w:val="22"/>
                <w:lang w:val="fr-FR"/>
              </w:rPr>
              <w:t xml:space="preserve">" ont été organisées à </w:t>
            </w:r>
            <w:hyperlink r:id="rId254" w:history="1">
              <w:r w:rsidRPr="00C83DA9">
                <w:rPr>
                  <w:color w:val="0000FF"/>
                  <w:sz w:val="22"/>
                  <w:u w:val="single"/>
                  <w:lang w:val="fr-FR"/>
                </w:rPr>
                <w:t>Cuba</w:t>
              </w:r>
            </w:hyperlink>
            <w:r w:rsidRPr="00C83DA9">
              <w:rPr>
                <w:color w:val="000000"/>
                <w:sz w:val="22"/>
                <w:lang w:val="fr-FR"/>
              </w:rPr>
              <w:t xml:space="preserve">, au </w:t>
            </w:r>
            <w:hyperlink r:id="rId255" w:history="1">
              <w:r w:rsidRPr="00C83DA9">
                <w:rPr>
                  <w:color w:val="0000FF"/>
                  <w:sz w:val="22"/>
                  <w:u w:val="single"/>
                  <w:lang w:val="fr-FR"/>
                </w:rPr>
                <w:t>Mexique</w:t>
              </w:r>
            </w:hyperlink>
            <w:r w:rsidRPr="00C83DA9">
              <w:rPr>
                <w:color w:val="000000"/>
                <w:sz w:val="22"/>
                <w:lang w:val="fr-FR"/>
              </w:rPr>
              <w:t xml:space="preserve">, en </w:t>
            </w:r>
            <w:hyperlink r:id="rId256" w:history="1">
              <w:r w:rsidRPr="00C83DA9">
                <w:rPr>
                  <w:color w:val="0000FF"/>
                  <w:sz w:val="22"/>
                  <w:u w:val="single"/>
                  <w:lang w:val="fr-FR"/>
                </w:rPr>
                <w:t>Espagne</w:t>
              </w:r>
            </w:hyperlink>
            <w:r w:rsidRPr="00C83DA9">
              <w:rPr>
                <w:color w:val="000000"/>
                <w:sz w:val="22"/>
                <w:lang w:val="fr-FR"/>
              </w:rPr>
              <w:t xml:space="preserve">, au </w:t>
            </w:r>
            <w:hyperlink r:id="rId257" w:history="1">
              <w:r w:rsidRPr="00C83DA9">
                <w:rPr>
                  <w:color w:val="0000FF"/>
                  <w:sz w:val="22"/>
                  <w:u w:val="single"/>
                  <w:lang w:val="fr-FR"/>
                </w:rPr>
                <w:t>Maroc</w:t>
              </w:r>
            </w:hyperlink>
            <w:r w:rsidRPr="00C83DA9">
              <w:rPr>
                <w:color w:val="000000"/>
                <w:sz w:val="22"/>
                <w:lang w:val="fr-FR"/>
              </w:rPr>
              <w:t xml:space="preserve"> et en </w:t>
            </w:r>
            <w:hyperlink r:id="rId258" w:history="1">
              <w:r w:rsidRPr="00C83DA9">
                <w:rPr>
                  <w:color w:val="0000FF"/>
                  <w:sz w:val="22"/>
                  <w:u w:val="single"/>
                  <w:lang w:val="fr-FR"/>
                </w:rPr>
                <w:t>Jordanie</w:t>
              </w:r>
            </w:hyperlink>
            <w:r w:rsidRPr="00C83DA9">
              <w:rPr>
                <w:color w:val="000000"/>
                <w:sz w:val="22"/>
                <w:lang w:val="fr-FR"/>
              </w:rPr>
              <w:t xml:space="preserve">, et deux autres manifestations régionales sont prévues au </w:t>
            </w:r>
            <w:hyperlink r:id="rId259" w:history="1">
              <w:r w:rsidRPr="00C83DA9">
                <w:rPr>
                  <w:color w:val="0000FF"/>
                  <w:sz w:val="22"/>
                  <w:u w:val="single"/>
                  <w:lang w:val="fr-FR"/>
                </w:rPr>
                <w:t>Guatemala</w:t>
              </w:r>
            </w:hyperlink>
            <w:r w:rsidRPr="00C83DA9">
              <w:rPr>
                <w:color w:val="000000"/>
                <w:sz w:val="22"/>
                <w:lang w:val="fr-FR"/>
              </w:rPr>
              <w:t xml:space="preserve"> et en </w:t>
            </w:r>
            <w:hyperlink r:id="rId260" w:history="1">
              <w:r w:rsidRPr="00C83DA9">
                <w:rPr>
                  <w:color w:val="0000FF"/>
                  <w:sz w:val="22"/>
                  <w:u w:val="single"/>
                  <w:lang w:val="fr-FR"/>
                </w:rPr>
                <w:t>Belgique</w:t>
              </w:r>
            </w:hyperlink>
            <w:r w:rsidRPr="00C83DA9">
              <w:rPr>
                <w:color w:val="000000"/>
                <w:sz w:val="22"/>
                <w:lang w:val="fr-FR"/>
              </w:rPr>
              <w:t xml:space="preserve"> avant la fin de 2025; 80% des pays de la région concernée et plus de 200 participants en moyenne étaient présents à chaque manifestation. À ces occasions, le BDT a mené des activités de renforcement des capacités et de partage des connaissances et renforcé la collaboration en matière d'accessibilité et d'inclusion numériques. En prenant part aux travaux d'instances mondiales telles que la Conférence des États Parties à la CDPH, les Forums régionaux sur l'inclusion numérique (par exemple en Asie-Pacifique), le Forum sur le vieillissement (Japon) et le Forum sur l'accessibilité numérique (Émirats arabes unis), le BDT a progressé dans l'élaboration de politiques inclusives dans le domaine des TIC et fait de l'UIT-D un chef de file mondial en matière de transformation numérique inclusive. Ces initiatives incitent à nouer des partenariats et à mettre au point des TIC inclusives dès la conception, de sorte que ces dernières puissent également être utilisées par les personnes en situation de handicap, les personnes âgées, les migrants, les personnes peu alphabétisées et les communautés rurales, isolées et autochtones, et que personne ne soit laissé pour compte.</w:t>
            </w:r>
          </w:p>
          <w:p w14:paraId="0E5F9601" w14:textId="5E930B0F"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La </w:t>
            </w:r>
            <w:hyperlink r:id="rId261" w:history="1">
              <w:r w:rsidRPr="00C83DA9">
                <w:rPr>
                  <w:b/>
                  <w:bCs/>
                  <w:color w:val="0000FF"/>
                  <w:sz w:val="22"/>
                  <w:u w:val="single"/>
                  <w:lang w:val="fr-FR"/>
                </w:rPr>
                <w:t>Journée internationale des jeunes filles dans le secteur des TIC</w:t>
              </w:r>
            </w:hyperlink>
            <w:r w:rsidRPr="00C83DA9">
              <w:rPr>
                <w:color w:val="000000"/>
                <w:sz w:val="22"/>
                <w:lang w:val="fr-FR"/>
              </w:rPr>
              <w:t>, fêtée chaque année, a été célébrée dans plusieurs régions</w:t>
            </w:r>
            <w:r w:rsidR="001951E3" w:rsidRPr="00C83DA9">
              <w:rPr>
                <w:color w:val="000000"/>
                <w:sz w:val="22"/>
                <w:lang w:val="fr-FR"/>
              </w:rPr>
              <w:t>.</w:t>
            </w:r>
            <w:r w:rsidRPr="00C83DA9">
              <w:rPr>
                <w:color w:val="000000"/>
                <w:sz w:val="22"/>
                <w:lang w:val="fr-FR"/>
              </w:rPr>
              <w:t xml:space="preserve"> </w:t>
            </w:r>
            <w:r w:rsidR="001078C7" w:rsidRPr="00C83DA9">
              <w:rPr>
                <w:color w:val="000000"/>
                <w:sz w:val="22"/>
                <w:lang w:val="fr-FR"/>
              </w:rPr>
              <w:t xml:space="preserve">La journée mondiale organisée par l'UIT a été célébrée </w:t>
            </w:r>
            <w:r w:rsidRPr="00C83DA9">
              <w:rPr>
                <w:color w:val="000000"/>
                <w:sz w:val="22"/>
                <w:lang w:val="fr-FR"/>
              </w:rPr>
              <w:t xml:space="preserve">au Zimbabwe </w:t>
            </w:r>
            <w:r w:rsidR="001078C7" w:rsidRPr="00C83DA9">
              <w:rPr>
                <w:color w:val="000000"/>
                <w:sz w:val="22"/>
                <w:lang w:val="fr-FR"/>
              </w:rPr>
              <w:t>en 2023</w:t>
            </w:r>
            <w:r w:rsidRPr="00C83DA9">
              <w:rPr>
                <w:color w:val="000000"/>
                <w:sz w:val="22"/>
                <w:lang w:val="fr-FR"/>
              </w:rPr>
              <w:t>, aux Philippines</w:t>
            </w:r>
            <w:r w:rsidR="001951E3" w:rsidRPr="00C83DA9">
              <w:rPr>
                <w:color w:val="000000"/>
                <w:sz w:val="22"/>
                <w:lang w:val="fr-FR"/>
              </w:rPr>
              <w:t xml:space="preserve"> et de manière conjointe</w:t>
            </w:r>
            <w:r w:rsidRPr="00C83DA9">
              <w:rPr>
                <w:color w:val="000000"/>
                <w:sz w:val="22"/>
                <w:lang w:val="fr-FR"/>
              </w:rPr>
              <w:t xml:space="preserve"> au Kirghizistan (CEI) et en Mauritanie. Les participants ont pu notamment prendre part à des dialogues hybrides, à des sessions de mentorat et à des ateliers pratiques.</w:t>
            </w:r>
            <w:r w:rsidR="0032646C" w:rsidRPr="00C83DA9">
              <w:rPr>
                <w:color w:val="000000"/>
                <w:sz w:val="22"/>
                <w:lang w:val="fr-FR"/>
              </w:rPr>
              <w:t xml:space="preserve"> </w:t>
            </w:r>
            <w:r w:rsidRPr="00C83DA9">
              <w:rPr>
                <w:color w:val="000000"/>
                <w:sz w:val="22"/>
                <w:lang w:val="fr-FR"/>
              </w:rPr>
              <w:t>En trois ans, l'initiative a touché plus de 76 000 jeunes filles et jeunes femmes dans le cadre de 472 manifestations organisées dans les six régions de l'UIT et a renforcé l'engagement mondial en faveur de l'inclusion des femmes dans l'écosystème numérique.</w:t>
            </w:r>
          </w:p>
          <w:p w14:paraId="040A6242" w14:textId="2CB652C3"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L'</w:t>
            </w:r>
            <w:hyperlink r:id="rId262" w:history="1">
              <w:r w:rsidRPr="00C83DA9">
                <w:rPr>
                  <w:b/>
                  <w:bCs/>
                  <w:color w:val="0000FF"/>
                  <w:sz w:val="22"/>
                  <w:u w:val="single"/>
                  <w:lang w:val="fr-FR"/>
                </w:rPr>
                <w:t>édition de 2025 du Sommet mondial de la jeunesse</w:t>
              </w:r>
            </w:hyperlink>
            <w:r w:rsidRPr="00C83DA9">
              <w:rPr>
                <w:color w:val="000000"/>
                <w:sz w:val="22"/>
                <w:lang w:val="fr-FR"/>
              </w:rPr>
              <w:t xml:space="preserve"> organisée à Varadero (Cuba) du 11 au 13 mars 2025, placée sous le thème "Faire entendre la voix des jeunes dans le domaine des TIC en vue de bâtir un avenir inclusif et connecté", a réuni </w:t>
            </w:r>
            <w:r w:rsidRPr="00C83DA9">
              <w:rPr>
                <w:b/>
                <w:bCs/>
                <w:color w:val="000000"/>
                <w:sz w:val="22"/>
                <w:lang w:val="fr-FR"/>
              </w:rPr>
              <w:t>400 participants</w:t>
            </w:r>
            <w:r w:rsidRPr="00C83DA9">
              <w:rPr>
                <w:color w:val="000000"/>
                <w:sz w:val="22"/>
                <w:lang w:val="fr-FR"/>
              </w:rPr>
              <w:t xml:space="preserve"> issus de</w:t>
            </w:r>
            <w:r w:rsidR="00E90E58">
              <w:rPr>
                <w:color w:val="000000"/>
                <w:sz w:val="22"/>
                <w:lang w:val="fr-FR"/>
              </w:rPr>
              <w:t> </w:t>
            </w:r>
            <w:r w:rsidRPr="00C83DA9">
              <w:rPr>
                <w:b/>
                <w:bCs/>
                <w:color w:val="000000"/>
                <w:sz w:val="22"/>
                <w:lang w:val="fr-FR"/>
              </w:rPr>
              <w:t>31 pays</w:t>
            </w:r>
            <w:r w:rsidRPr="00C83DA9">
              <w:rPr>
                <w:color w:val="000000"/>
                <w:sz w:val="22"/>
                <w:lang w:val="fr-FR"/>
              </w:rPr>
              <w:t xml:space="preserve"> de toutes les régions et garanti un équilibre entre les hommes et les femmes et une forte représentation des PMA, des PDSL et des PEID.</w:t>
            </w:r>
          </w:p>
          <w:p w14:paraId="1D6832CE" w14:textId="3AAAB04C"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Pour aider les États Membres de l'UIT à progresser dans la réalisation de leurs programmes nationaux et régionaux d'inclusion numérique, le BDT a mis au point</w:t>
            </w:r>
            <w:r w:rsidR="00BB4BF4" w:rsidRPr="00C83DA9">
              <w:rPr>
                <w:color w:val="000000"/>
                <w:sz w:val="22"/>
                <w:lang w:val="fr-FR"/>
              </w:rPr>
              <w:t>, pendant la période considérée,</w:t>
            </w:r>
            <w:r w:rsidRPr="00C83DA9">
              <w:rPr>
                <w:color w:val="000000"/>
                <w:sz w:val="22"/>
                <w:lang w:val="fr-FR"/>
              </w:rPr>
              <w:t xml:space="preserve"> </w:t>
            </w:r>
            <w:r w:rsidR="001D43A7" w:rsidRPr="00C83DA9">
              <w:rPr>
                <w:color w:val="000000"/>
                <w:sz w:val="22"/>
                <w:lang w:val="fr-FR"/>
              </w:rPr>
              <w:t xml:space="preserve">22 </w:t>
            </w:r>
            <w:r w:rsidRPr="00C83DA9">
              <w:rPr>
                <w:color w:val="000000"/>
                <w:sz w:val="22"/>
                <w:lang w:val="fr-FR"/>
              </w:rPr>
              <w:t>nouveaux outils et nouvelles ressources, notamment des rapports</w:t>
            </w:r>
            <w:r w:rsidR="001D43A7" w:rsidRPr="00C83DA9">
              <w:rPr>
                <w:color w:val="000000"/>
                <w:sz w:val="22"/>
                <w:lang w:val="fr-FR"/>
              </w:rPr>
              <w:t xml:space="preserve"> thématiques</w:t>
            </w:r>
            <w:r w:rsidRPr="00C83DA9">
              <w:rPr>
                <w:color w:val="000000"/>
                <w:sz w:val="22"/>
                <w:lang w:val="fr-FR"/>
              </w:rPr>
              <w:t xml:space="preserve">, des lignes directrices, des kits pratiques et des formations, et disposait ainsi </w:t>
            </w:r>
            <w:r w:rsidR="001D43A7" w:rsidRPr="00C83DA9">
              <w:rPr>
                <w:color w:val="000000"/>
                <w:sz w:val="22"/>
                <w:lang w:val="fr-FR"/>
              </w:rPr>
              <w:t xml:space="preserve">d'un ensemble de </w:t>
            </w:r>
            <w:r w:rsidRPr="00C83DA9">
              <w:rPr>
                <w:color w:val="000000"/>
                <w:sz w:val="22"/>
                <w:lang w:val="fr-FR"/>
              </w:rPr>
              <w:t>92 ressources à la fin août</w:t>
            </w:r>
            <w:r w:rsidR="00C074D6" w:rsidRPr="00C83DA9">
              <w:rPr>
                <w:color w:val="000000"/>
                <w:sz w:val="22"/>
                <w:lang w:val="fr-FR"/>
              </w:rPr>
              <w:t> </w:t>
            </w:r>
            <w:r w:rsidRPr="00C83DA9">
              <w:rPr>
                <w:color w:val="000000"/>
                <w:sz w:val="22"/>
                <w:lang w:val="fr-FR"/>
              </w:rPr>
              <w:t>2025.</w:t>
            </w:r>
          </w:p>
          <w:p w14:paraId="4171BE7C" w14:textId="77777777" w:rsidR="001B1CF5" w:rsidRPr="00C83DA9" w:rsidRDefault="001B1CF5" w:rsidP="005D736D">
            <w:pPr>
              <w:keepNext/>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lastRenderedPageBreak/>
              <w:t>Les principales ressources sont les suivantes:</w:t>
            </w:r>
          </w:p>
          <w:p w14:paraId="43A576FC" w14:textId="77777777" w:rsidR="001B1CF5" w:rsidRPr="00C83DA9" w:rsidRDefault="001B1CF5" w:rsidP="0032646C">
            <w:pPr>
              <w:pStyle w:val="enumlev1"/>
              <w:keepNext/>
              <w:keepLines/>
              <w:rPr>
                <w:rFonts w:ascii="Calibri" w:hAnsi="Calibri" w:cs="Calibri"/>
                <w:sz w:val="22"/>
                <w:lang w:val="fr-FR"/>
              </w:rPr>
            </w:pPr>
            <w:r w:rsidRPr="00C83DA9">
              <w:rPr>
                <w:color w:val="000000"/>
                <w:sz w:val="22"/>
                <w:lang w:val="fr-FR"/>
              </w:rPr>
              <w:t>•</w:t>
            </w:r>
            <w:r w:rsidRPr="00C83DA9">
              <w:rPr>
                <w:color w:val="000000"/>
                <w:sz w:val="22"/>
                <w:lang w:val="fr-FR"/>
              </w:rPr>
              <w:tab/>
              <w:t xml:space="preserve">Le </w:t>
            </w:r>
            <w:hyperlink r:id="rId263" w:history="1">
              <w:r w:rsidRPr="00C83DA9">
                <w:rPr>
                  <w:color w:val="0000FF"/>
                  <w:sz w:val="22"/>
                  <w:u w:val="single"/>
                  <w:lang w:val="fr-FR"/>
                </w:rPr>
                <w:t>kit pratique sur la mise en œuvre des services de télésanté accessibles</w:t>
              </w:r>
            </w:hyperlink>
            <w:r w:rsidRPr="00C83DA9">
              <w:rPr>
                <w:color w:val="000000"/>
                <w:sz w:val="22"/>
                <w:lang w:val="fr-FR"/>
              </w:rPr>
              <w:t xml:space="preserve"> (élaboré avec l'OMS), qui donne des indications étape par étape pour rendre les services de santé numériques inclusifs et accessibles.</w:t>
            </w:r>
          </w:p>
          <w:p w14:paraId="3DD27684" w14:textId="77777777" w:rsidR="001B1CF5" w:rsidRPr="00C83DA9" w:rsidRDefault="001B1CF5" w:rsidP="00B71908">
            <w:pPr>
              <w:pStyle w:val="enumlev1"/>
              <w:rPr>
                <w:rFonts w:ascii="Calibri" w:hAnsi="Calibri" w:cs="Calibri"/>
                <w:sz w:val="22"/>
                <w:lang w:val="fr-FR"/>
              </w:rPr>
            </w:pPr>
            <w:r w:rsidRPr="00C83DA9">
              <w:rPr>
                <w:color w:val="000000"/>
                <w:sz w:val="22"/>
                <w:lang w:val="fr-FR"/>
              </w:rPr>
              <w:t>•</w:t>
            </w:r>
            <w:r w:rsidRPr="00C83DA9">
              <w:rPr>
                <w:color w:val="000000"/>
                <w:sz w:val="22"/>
                <w:lang w:val="fr-FR"/>
              </w:rPr>
              <w:tab/>
              <w:t xml:space="preserve">Le </w:t>
            </w:r>
            <w:hyperlink r:id="rId264" w:history="1">
              <w:r w:rsidRPr="00C83DA9">
                <w:rPr>
                  <w:color w:val="0000FF"/>
                  <w:sz w:val="22"/>
                  <w:u w:val="single"/>
                  <w:lang w:val="fr-FR"/>
                </w:rPr>
                <w:t>Manuel UIT-OIT et une formation à suivre à son rythme sur l'accessibilité des systèmes de candidature</w:t>
              </w:r>
            </w:hyperlink>
            <w:r w:rsidRPr="00C83DA9">
              <w:rPr>
                <w:color w:val="000000"/>
                <w:sz w:val="22"/>
                <w:lang w:val="fr-FR"/>
              </w:rPr>
              <w:t>, disponibles gratuitement, dans des formats accessibles et dans plusieurs langues des Nations Unies.</w:t>
            </w:r>
          </w:p>
          <w:p w14:paraId="4E197F0B" w14:textId="51894BBB" w:rsidR="001B1CF5" w:rsidRPr="00C83DA9" w:rsidRDefault="001B1CF5" w:rsidP="00B71908">
            <w:pPr>
              <w:pStyle w:val="enumlev1"/>
              <w:rPr>
                <w:rFonts w:ascii="Calibri" w:hAnsi="Calibri" w:cs="Calibri"/>
                <w:sz w:val="22"/>
                <w:lang w:val="fr-FR"/>
              </w:rPr>
            </w:pPr>
            <w:r w:rsidRPr="00C83DA9">
              <w:rPr>
                <w:color w:val="000000"/>
                <w:sz w:val="22"/>
                <w:lang w:val="fr-FR"/>
              </w:rPr>
              <w:t>•</w:t>
            </w:r>
            <w:r w:rsidRPr="00C83DA9">
              <w:rPr>
                <w:color w:val="000000"/>
                <w:sz w:val="22"/>
                <w:lang w:val="fr-FR"/>
              </w:rPr>
              <w:tab/>
              <w:t>Le Manuel sur l'</w:t>
            </w:r>
            <w:hyperlink r:id="rId265" w:anchor="/fr" w:history="1">
              <w:r w:rsidRPr="00C83DA9">
                <w:rPr>
                  <w:color w:val="0000FF"/>
                  <w:sz w:val="22"/>
                  <w:u w:val="single"/>
                  <w:lang w:val="fr-FR"/>
                </w:rPr>
                <w:t>intégration du principe de l'égalité hommes-femmes dans les politiques numériques</w:t>
              </w:r>
            </w:hyperlink>
            <w:r w:rsidRPr="00C83DA9">
              <w:rPr>
                <w:color w:val="000000"/>
                <w:sz w:val="22"/>
                <w:lang w:val="fr-FR"/>
              </w:rPr>
              <w:t xml:space="preserve"> (2023), qui présente des bonnes pratiques et des indications étape par étape pour intégrer l'égalité hommes-femmes et l'inclusion dans les politiques et réglementations relatives aux TIC. </w:t>
            </w:r>
          </w:p>
          <w:p w14:paraId="432BA1B6" w14:textId="77777777" w:rsidR="001B1CF5" w:rsidRPr="00C83DA9" w:rsidRDefault="001B1CF5" w:rsidP="00B71908">
            <w:pPr>
              <w:pStyle w:val="enumlev1"/>
              <w:rPr>
                <w:rFonts w:ascii="Calibri" w:hAnsi="Calibri" w:cs="Calibri"/>
                <w:sz w:val="22"/>
                <w:lang w:val="fr-FR"/>
              </w:rPr>
            </w:pPr>
            <w:r w:rsidRPr="00C83DA9">
              <w:rPr>
                <w:color w:val="000000"/>
                <w:sz w:val="22"/>
                <w:lang w:val="fr-FR"/>
              </w:rPr>
              <w:t>•</w:t>
            </w:r>
            <w:r w:rsidRPr="00C83DA9">
              <w:rPr>
                <w:color w:val="000000"/>
                <w:sz w:val="22"/>
                <w:lang w:val="fr-FR"/>
              </w:rPr>
              <w:tab/>
              <w:t xml:space="preserve">Le manuel intitulé </w:t>
            </w:r>
            <w:hyperlink r:id="rId266" w:history="1">
              <w:r w:rsidRPr="00C83DA9">
                <w:rPr>
                  <w:color w:val="0000FF"/>
                  <w:sz w:val="22"/>
                  <w:u w:val="single"/>
                  <w:lang w:val="fr-FR"/>
                </w:rPr>
                <w:t>"Her Digital Skills: Towards a Gender Transformative Approach"</w:t>
              </w:r>
            </w:hyperlink>
            <w:r w:rsidRPr="00C83DA9">
              <w:rPr>
                <w:color w:val="000000"/>
                <w:sz w:val="22"/>
                <w:lang w:val="fr-FR"/>
              </w:rPr>
              <w:t xml:space="preserve"> (2024), qui constitue un cadre de référence et un </w:t>
            </w:r>
            <w:r w:rsidRPr="00C83DA9">
              <w:rPr>
                <w:rFonts w:eastAsia="Times New Roman" w:cs="Times New Roman"/>
                <w:color w:val="000000" w:themeColor="text1"/>
                <w:kern w:val="0"/>
                <w:sz w:val="22"/>
                <w:lang w:val="fr-FR"/>
              </w:rPr>
              <w:t>guide</w:t>
            </w:r>
            <w:r w:rsidRPr="00C83DA9">
              <w:rPr>
                <w:color w:val="000000"/>
                <w:sz w:val="22"/>
                <w:lang w:val="fr-FR"/>
              </w:rPr>
              <w:t xml:space="preserve"> à l'usage des professionnels pour une éducation numérique inclusive et axée sur les compétences intégrant la théorie du changement des normes de genre. En outre, </w:t>
            </w:r>
            <w:hyperlink r:id="rId267" w:history="1">
              <w:r w:rsidRPr="00C83DA9">
                <w:rPr>
                  <w:color w:val="0000FF"/>
                  <w:sz w:val="22"/>
                  <w:u w:val="single"/>
                  <w:lang w:val="fr-FR"/>
                </w:rPr>
                <w:t>huit (8) cours adaptés au rythme de chacun</w:t>
              </w:r>
            </w:hyperlink>
            <w:r w:rsidRPr="00C83DA9">
              <w:rPr>
                <w:color w:val="000000"/>
                <w:sz w:val="22"/>
                <w:lang w:val="fr-FR"/>
              </w:rPr>
              <w:t xml:space="preserve"> ont été créés pour renforcer les compétences numériques nécessaires à l'emploi.</w:t>
            </w:r>
          </w:p>
          <w:p w14:paraId="7BE79F5A" w14:textId="6D8A21FE"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L'inclusion numérique a été prônée et appuyée dans toutes les régions. En </w:t>
            </w:r>
            <w:r w:rsidRPr="00C83DA9">
              <w:rPr>
                <w:b/>
                <w:bCs/>
                <w:color w:val="000000"/>
                <w:sz w:val="22"/>
                <w:lang w:val="fr-FR"/>
              </w:rPr>
              <w:t>Afrique</w:t>
            </w:r>
            <w:r w:rsidRPr="00C83DA9">
              <w:rPr>
                <w:color w:val="000000"/>
                <w:sz w:val="22"/>
                <w:lang w:val="fr-FR"/>
              </w:rPr>
              <w:t>, on est passé de la stratégie à l'action sur le plan de l'inclusion. Avec l'appui du BDT, le Burundi a élaboré son premier projet de stratégie nationale pour l'inclusion numérique, un processus dirigé par le pays lui</w:t>
            </w:r>
            <w:r w:rsidRPr="00C83DA9">
              <w:rPr>
                <w:color w:val="000000"/>
                <w:sz w:val="22"/>
                <w:lang w:val="fr-FR"/>
              </w:rPr>
              <w:noBreakHyphen/>
              <w:t>même qui a contribué à renforcer le dialogue entre les pouvoirs publics, la société civile et le secteur privé. Le programme de formation mixte à l'intention des gestionnaires de réseaux TIC dans les communautés autochtones et rurales a réuni 99</w:t>
            </w:r>
            <w:r w:rsidR="00C074D6" w:rsidRPr="00C83DA9">
              <w:rPr>
                <w:color w:val="000000"/>
                <w:sz w:val="22"/>
                <w:lang w:val="fr-FR"/>
              </w:rPr>
              <w:t> </w:t>
            </w:r>
            <w:r w:rsidRPr="00C83DA9">
              <w:rPr>
                <w:color w:val="000000"/>
                <w:sz w:val="22"/>
                <w:lang w:val="fr-FR"/>
              </w:rPr>
              <w:t xml:space="preserve">participants de 21 pays, dont un tiers étaient des femmes, qui ont renforcé leurs compétences de conception, d'exploitation et d'entretien des réseaux dans des contextes de faible connectivité et pendant les crises. Les sessions de mentorat et les consultations organisées dans le cadre de la manifestation de </w:t>
            </w:r>
            <w:r w:rsidRPr="00C83DA9">
              <w:rPr>
                <w:b/>
                <w:bCs/>
                <w:color w:val="000000"/>
                <w:sz w:val="22"/>
                <w:lang w:val="fr-FR"/>
              </w:rPr>
              <w:t xml:space="preserve">passage de témoin </w:t>
            </w:r>
            <w:r w:rsidRPr="00C83DA9">
              <w:rPr>
                <w:color w:val="000000"/>
                <w:sz w:val="22"/>
                <w:lang w:val="fr-FR"/>
              </w:rPr>
              <w:t>ont permis de renforcer les compétences de direction des jeunes et d'enrichir les dialogues régionaux et les travaux préparatoires en vue de la CMDT de recommandations concrètes. L'Afrique a également accueilli en 2023 les célébrations de la Journée internationale des jeunes filles dans le secteur des TIC au Zimbabwe, durant lesquelles des milliers de jeunes filles ont participé à des activités de codage, de mentorat et de mise en relation qui ont dynamisé l'intérêt à l'égard des filières STEM.</w:t>
            </w:r>
          </w:p>
          <w:p w14:paraId="4A27E6E3" w14:textId="510207F3"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720"/>
              <w:rPr>
                <w:rFonts w:ascii="Calibri" w:hAnsi="Calibri" w:cs="Calibri"/>
                <w:sz w:val="22"/>
                <w:lang w:val="fr-FR"/>
              </w:rPr>
            </w:pPr>
            <w:r w:rsidRPr="00C83DA9">
              <w:rPr>
                <w:color w:val="000000"/>
                <w:sz w:val="22"/>
                <w:lang w:val="fr-FR"/>
              </w:rPr>
              <w:t xml:space="preserve">Dans la région </w:t>
            </w:r>
            <w:r w:rsidRPr="00C83DA9">
              <w:rPr>
                <w:b/>
                <w:bCs/>
                <w:color w:val="000000"/>
                <w:sz w:val="22"/>
                <w:lang w:val="fr-FR"/>
              </w:rPr>
              <w:t>Asie-Pacifique</w:t>
            </w:r>
            <w:r w:rsidRPr="00C83DA9">
              <w:rPr>
                <w:color w:val="000000"/>
                <w:sz w:val="22"/>
                <w:lang w:val="fr-FR"/>
              </w:rPr>
              <w:t>, les célébrations de la Journée internationale des jeunes filles dans le secteur des TIC et les activités de renforcement des capacités ont réuni plus de 9 400 participants au Cambodge, en Micronésie, en Inde, en Indonésie, à Kiribati, en</w:t>
            </w:r>
            <w:r w:rsidR="00E90E58">
              <w:rPr>
                <w:color w:val="000000"/>
                <w:sz w:val="22"/>
                <w:lang w:val="fr-FR"/>
              </w:rPr>
              <w:t> </w:t>
            </w:r>
            <w:r w:rsidRPr="00C83DA9">
              <w:rPr>
                <w:color w:val="000000"/>
                <w:sz w:val="22"/>
                <w:lang w:val="fr-FR"/>
              </w:rPr>
              <w:t>Malaisie, à Nauru, au Népal, au Pakistan, en Papouasie-Nouvelle-Guinée, aux Philippines, au Samoa, en Thaïlande, au Timor-Leste, aux Tonga et au Vanuatu. En 2025, les pôles numériques de l'Initiative "Villages intelligents et îles intelligentes" œuvrant en Micronésie, à Fidji, à Kiribati, à Nauru, aux Îles Marshall, en Papouasie-Nouvelle-Guinée, aux Tonga et à Vanuatu, ont célébré la Journée internationale des jeunes filles dans le secteur des TIC en proposant des activités axées sur les rôles de direction, la maîtrise des outils numériques, les difficultés liées au codage et les compétences dans des domaines émergents comme l'IA et la cybersécurité.</w:t>
            </w:r>
          </w:p>
          <w:p w14:paraId="77D17AB0" w14:textId="77777777" w:rsidR="001B1CF5" w:rsidRPr="00C83DA9" w:rsidRDefault="001B1CF5" w:rsidP="005D736D">
            <w:pPr>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lastRenderedPageBreak/>
              <w:t xml:space="preserve">Les personnes âgées ont tiré des avantages par le biais d'une séance d'information sur le thème "Vieillir en bonne santé grâce aux TIC", organisée en Thaïlande en 2024 en collaboration avec le Ministère de l'économie et de la société numériques, l'Université Juntendo et l'OMS, et d'une réunion régionale tenue en 2024 à Beijing sur la maîtrise des outils numériques par les personnes âgées qui a mis en avant les obstacles auxquels sont confrontées les femmes âgées ainsi que des données locales issues du Centre de données de l'UIT. </w:t>
            </w:r>
          </w:p>
          <w:p w14:paraId="3A5CA52E" w14:textId="7FBF2528" w:rsidR="001B1CF5" w:rsidRPr="00C83DA9" w:rsidRDefault="001B1CF5" w:rsidP="00917571">
            <w:pPr>
              <w:keepLines/>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C83DA9">
              <w:rPr>
                <w:color w:val="000000"/>
                <w:sz w:val="22"/>
                <w:lang w:val="fr-FR"/>
              </w:rPr>
              <w:t>Parmi les actions axées sur le handicap, on peut citer des exposés présentés lors du Colloque international sur l'inclusion numérique de</w:t>
            </w:r>
            <w:r w:rsidR="00E90E58">
              <w:rPr>
                <w:color w:val="000000"/>
                <w:sz w:val="22"/>
                <w:lang w:val="fr-FR"/>
              </w:rPr>
              <w:t> </w:t>
            </w:r>
            <w:r w:rsidRPr="00C83DA9">
              <w:rPr>
                <w:color w:val="000000"/>
                <w:sz w:val="22"/>
                <w:lang w:val="fr-FR"/>
              </w:rPr>
              <w:t xml:space="preserve">2023 en Thaïlande, une </w:t>
            </w:r>
            <w:hyperlink r:id="rId268" w:anchor="/fr" w:history="1">
              <w:r w:rsidRPr="00C83DA9">
                <w:rPr>
                  <w:color w:val="0000FF"/>
                  <w:sz w:val="22"/>
                  <w:u w:val="single"/>
                  <w:lang w:val="fr-FR"/>
                </w:rPr>
                <w:t>formation des formateurs sur les bases de l'informatique pour les personnes malvoyantes organisée au Pakistan</w:t>
              </w:r>
            </w:hyperlink>
            <w:r w:rsidRPr="00C83DA9">
              <w:rPr>
                <w:color w:val="000000"/>
                <w:sz w:val="22"/>
                <w:lang w:val="fr-FR"/>
              </w:rPr>
              <w:t xml:space="preserve"> en 2024 et dispensée en collaboration avec la Fondation STMicroelectronics, la formation sur l'accessibilité des TIC pour les personnes malvoyantes organisée à Nauru en 2025 et les célébrations de la Journée internationale des jeunes filles dans le secteur des</w:t>
            </w:r>
            <w:r w:rsidR="00E90E58">
              <w:rPr>
                <w:color w:val="000000"/>
                <w:sz w:val="22"/>
                <w:lang w:val="fr-FR"/>
              </w:rPr>
              <w:t> </w:t>
            </w:r>
            <w:r w:rsidRPr="00C83DA9">
              <w:rPr>
                <w:color w:val="000000"/>
                <w:sz w:val="22"/>
                <w:lang w:val="fr-FR"/>
              </w:rPr>
              <w:t>TIC au Népal. Afin de produire des répercussions durables, le BDT a mis au point, à l'intention des formateurs, 10 modules de maîtrise des outils numériques pour les débutants aveugles ou malvoyants, appliqués dans un premier temps à Nauru avant d'être déployés dans tout le Pacifique.</w:t>
            </w:r>
          </w:p>
          <w:p w14:paraId="0F399747" w14:textId="75297CFC"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Dans la région </w:t>
            </w:r>
            <w:r w:rsidRPr="00C83DA9">
              <w:rPr>
                <w:b/>
                <w:bCs/>
                <w:color w:val="000000"/>
                <w:sz w:val="22"/>
                <w:lang w:val="fr-FR"/>
              </w:rPr>
              <w:t>Amériques</w:t>
            </w:r>
            <w:r w:rsidRPr="00C83DA9">
              <w:rPr>
                <w:color w:val="000000"/>
                <w:sz w:val="22"/>
                <w:lang w:val="fr-FR"/>
              </w:rPr>
              <w:t>, la manifestation "Amériques accessibles", qui s'est tenue à Cuba en 2023 et au Mexique en 2024, a consolidé son statut de cadre incontournable réunissant depuis 2013 les parties prenantes pour échanger des bonnes pratiques, renforcer les politiques et assurer une collaboration intersectorielle. La formation à l'intention des communautés autochtones et isolées, qui porte sur la gestion de projets et les activités techniques et qui vise à moins dépendre des ressources spécialisées extérieures, accueillait 37 participants de 10 pays en 2023, contre 133 participants de 11 pays en 2024. Le projet Gran Chaco a permis à plus de 300 jeunes autochtones d'acquérir des compétences numériques utiles pour l'éducation et l'emploi. En 2025, 101 participants, dont 65 ont obtenu leur diplôme, ont pris part à un programme de formation pouvant être suivi hors ligne et adapté aux dispositifs mobiles s'adressant aux gestionnaires de réseaux TIC dans les communautés rurales, isolées et autochtones en Amérique latine. 55%</w:t>
            </w:r>
            <w:r w:rsidR="00C074D6" w:rsidRPr="00C83DA9">
              <w:rPr>
                <w:color w:val="000000"/>
                <w:sz w:val="22"/>
                <w:lang w:val="fr-FR"/>
              </w:rPr>
              <w:t> </w:t>
            </w:r>
            <w:r w:rsidRPr="00C83DA9">
              <w:rPr>
                <w:color w:val="000000"/>
                <w:sz w:val="22"/>
                <w:lang w:val="fr-FR"/>
              </w:rPr>
              <w:t>des participants étaient des femmes, ce qui constitue un bel exemple concret d'inclusion.</w:t>
            </w:r>
          </w:p>
          <w:p w14:paraId="2F6D2FCC" w14:textId="146FA3DA"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Dans la région des </w:t>
            </w:r>
            <w:r w:rsidRPr="00C83DA9">
              <w:rPr>
                <w:b/>
                <w:bCs/>
                <w:color w:val="000000"/>
                <w:sz w:val="22"/>
                <w:lang w:val="fr-FR"/>
              </w:rPr>
              <w:t>États arabes</w:t>
            </w:r>
            <w:r w:rsidRPr="00C83DA9">
              <w:rPr>
                <w:color w:val="000000"/>
                <w:sz w:val="22"/>
                <w:lang w:val="fr-FR"/>
              </w:rPr>
              <w:t>, les manifestations régionales sur le thème des jeunes filles dans le secteur des TIC ont permis de présenter aux participantes les perspectives de carrière dans le secteur des TIC et de les doter de compétences dirigeantes. Au Liban, en 2024, 35 écolières ont visité les départements techniques de l'entreprise OGERO; en Mauritanie (24-26 avril 2025), plus de 100 participants, dont 31 jeunes filles âgées de 15 à 18 ans, se sont retrouvés à l'Institut supérieur du numérique (SupNum) pour une formation pratique et une session de mentorat de deux jours. L'Égypte a fait participer 250 jeunes filles à des ateliers sur la citoyenneté numérique, tandis que l'État de Palestine a mené une campagne sur les rôles de direction et l'entrepreneuriat pendant un an. Les représentants des groupes pour la jeunesse de l'initiative Generation Connect ont tenu des consultations régionales et une manifestation de passage de témoin pour 20 représentants, garantissant ainsi la poursuite de la prise en compte du point de vue des jeunes dans les processus régionaux et mondiaux. La série de manifestations "Région des États arabes accessible – Les TIC pour tous" est devenue un cadre incontournable: la première édition en présentiel tenue à Amman (novembre 2023) a permis de renforcer les compétences spécialisées régionales, et la manifestation organisée en Jordanie (avril 2025) a réuni des membres de l'UIT et des participants de 25 pays dans le but de coordonner les actions en faveur d'une accessibilité plus large et de renforcer l'engagement à ne laisser personne de côté.</w:t>
            </w:r>
          </w:p>
          <w:p w14:paraId="0ACF7702" w14:textId="4235E0B4" w:rsidR="001B1CF5" w:rsidRPr="00C83DA9" w:rsidRDefault="001B1CF5" w:rsidP="005D736D">
            <w:pPr>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lastRenderedPageBreak/>
              <w:t xml:space="preserve">En </w:t>
            </w:r>
            <w:r w:rsidRPr="00C83DA9">
              <w:rPr>
                <w:b/>
                <w:bCs/>
                <w:color w:val="000000"/>
                <w:sz w:val="22"/>
                <w:lang w:val="fr-FR"/>
              </w:rPr>
              <w:t>Europe</w:t>
            </w:r>
            <w:r w:rsidRPr="00C83DA9">
              <w:rPr>
                <w:color w:val="000000"/>
                <w:sz w:val="22"/>
                <w:lang w:val="fr-FR"/>
              </w:rPr>
              <w:t xml:space="preserve">, </w:t>
            </w:r>
            <w:r w:rsidR="008F428A" w:rsidRPr="00C83DA9">
              <w:rPr>
                <w:color w:val="000000"/>
                <w:sz w:val="22"/>
                <w:lang w:val="fr-FR"/>
              </w:rPr>
              <w:t xml:space="preserve">les </w:t>
            </w:r>
            <w:r w:rsidRPr="00C83DA9">
              <w:rPr>
                <w:color w:val="000000"/>
                <w:sz w:val="22"/>
                <w:lang w:val="fr-FR"/>
              </w:rPr>
              <w:t>manifestation</w:t>
            </w:r>
            <w:r w:rsidR="008F428A" w:rsidRPr="00C83DA9">
              <w:rPr>
                <w:color w:val="000000"/>
                <w:sz w:val="22"/>
                <w:lang w:val="fr-FR"/>
              </w:rPr>
              <w:t>s</w:t>
            </w:r>
            <w:r w:rsidRPr="00C83DA9">
              <w:rPr>
                <w:color w:val="000000"/>
                <w:sz w:val="22"/>
                <w:lang w:val="fr-FR"/>
              </w:rPr>
              <w:t xml:space="preserve"> "Europe accessible", organisée</w:t>
            </w:r>
            <w:r w:rsidR="008F428A" w:rsidRPr="00C83DA9">
              <w:rPr>
                <w:color w:val="000000"/>
                <w:sz w:val="22"/>
                <w:lang w:val="fr-FR"/>
              </w:rPr>
              <w:t>s</w:t>
            </w:r>
            <w:r w:rsidRPr="00C83DA9">
              <w:rPr>
                <w:color w:val="000000"/>
                <w:sz w:val="22"/>
                <w:lang w:val="fr-FR"/>
              </w:rPr>
              <w:t xml:space="preserve"> en partenariat avec la Commission européenne, </w:t>
            </w:r>
            <w:r w:rsidR="008F428A" w:rsidRPr="00C83DA9">
              <w:rPr>
                <w:color w:val="000000"/>
                <w:sz w:val="22"/>
                <w:lang w:val="fr-FR"/>
              </w:rPr>
              <w:t>ont</w:t>
            </w:r>
            <w:r w:rsidRPr="00C83DA9">
              <w:rPr>
                <w:color w:val="000000"/>
                <w:sz w:val="22"/>
                <w:lang w:val="fr-FR"/>
              </w:rPr>
              <w:t xml:space="preserve"> rassemblé </w:t>
            </w:r>
            <w:r w:rsidR="008F428A" w:rsidRPr="00C83DA9">
              <w:rPr>
                <w:color w:val="000000"/>
                <w:sz w:val="22"/>
                <w:lang w:val="fr-FR"/>
              </w:rPr>
              <w:t xml:space="preserve">chaque année environ </w:t>
            </w:r>
            <w:r w:rsidRPr="00C83DA9">
              <w:rPr>
                <w:color w:val="000000"/>
                <w:sz w:val="22"/>
                <w:lang w:val="fr-FR"/>
              </w:rPr>
              <w:t>400 parties prenantes de 50 pays pour trouver des solutions concrètes permettant de généraliser le principe d'accessibilité, allant de la conception universelle dans les services numériques aux marchés publics inclusifs, et pour encourager la coopération entre les pays. L'édition de</w:t>
            </w:r>
            <w:r w:rsidR="00C57D56" w:rsidRPr="00C83DA9">
              <w:rPr>
                <w:color w:val="000000"/>
                <w:sz w:val="22"/>
                <w:lang w:val="fr-FR"/>
              </w:rPr>
              <w:t> </w:t>
            </w:r>
            <w:r w:rsidRPr="00C83DA9">
              <w:rPr>
                <w:color w:val="000000"/>
                <w:sz w:val="22"/>
                <w:lang w:val="fr-FR"/>
              </w:rPr>
              <w:t>2024 de la Journée internationale des jeunes filles dans le secteur des TIC, qui s'est tenue au format virtuel, a permis de mettre en</w:t>
            </w:r>
            <w:r w:rsidR="00CF2433" w:rsidRPr="00C83DA9">
              <w:rPr>
                <w:color w:val="000000"/>
                <w:sz w:val="22"/>
                <w:lang w:val="fr-FR"/>
              </w:rPr>
              <w:t xml:space="preserve"> </w:t>
            </w:r>
            <w:r w:rsidRPr="00C83DA9">
              <w:rPr>
                <w:color w:val="000000"/>
                <w:sz w:val="22"/>
                <w:lang w:val="fr-FR"/>
              </w:rPr>
              <w:t>relation des jeunes filles avec des modèles qui ont partagé des informations sur les carrières dans les STEM et les voies d'accès aux rôles de direction. Le Réseau de femmes de l'UIT-D a organisé une manifestation parallèle à la séance plénière du Comité des politiques de l'UIT (Com-UIT) de la CEPT et favorise ainsi une plus grande représentation des femmes dans les délégations et une plus grande</w:t>
            </w:r>
            <w:r w:rsidR="006F0DA5" w:rsidRPr="00C83DA9">
              <w:rPr>
                <w:color w:val="000000"/>
                <w:sz w:val="22"/>
                <w:lang w:val="fr-FR"/>
              </w:rPr>
              <w:t xml:space="preserve"> </w:t>
            </w:r>
            <w:r w:rsidRPr="00C83DA9">
              <w:rPr>
                <w:color w:val="000000"/>
                <w:sz w:val="22"/>
                <w:lang w:val="fr-FR"/>
              </w:rPr>
              <w:t>participation de celles-ci à l'élaboration des politiques. Les représentants des groupes pour la jeunesse ont contribué directement à l'élaboration des politiques nationales en Albanie en définissant la stratégie sur l'agriculture numérique, et montrent ainsi que les dialogues mondiaux produisent des effets au niveau national.</w:t>
            </w:r>
          </w:p>
          <w:p w14:paraId="54154FA8" w14:textId="77777777"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Dans la région de la </w:t>
            </w:r>
            <w:r w:rsidRPr="00C83DA9">
              <w:rPr>
                <w:b/>
                <w:bCs/>
                <w:color w:val="000000"/>
                <w:sz w:val="22"/>
                <w:lang w:val="fr-FR"/>
              </w:rPr>
              <w:t>CEI</w:t>
            </w:r>
            <w:r w:rsidRPr="00C83DA9">
              <w:rPr>
                <w:color w:val="000000"/>
                <w:sz w:val="22"/>
                <w:lang w:val="fr-FR"/>
              </w:rPr>
              <w:t>, l'atelier régional de 2024 sur les technologies évoluées pour des sociétés inclusives tenu à Minsk a permis aux décideurs, aux éducateurs et aux professionnels d'échanger des bonnes pratiques en matière d'accessibilité et d'adapter des programmes pédagogiques éprouvés aux personnes en situation de handicap. En 2024 et 2025, les Forums TechnoWomen pour l'Asie centrale organisés au Kazakhstan et au Kirghizistan ont célébré la Journée internationale des jeunes filles dans le secteur des TIC en proposant des masterclasses sur la sécurité en ligne, l'entrepreneuriat numérique et les relations publiques visant à allier renforcement des compétences, mentorat et mise en réseau pour instaurer un climat de confiance et améliorer la visibilité des femmes. Les consultations auprès des jeunes ont réuni des représentants de l'initiative Generation Connect et des étudiants dans le but de définir les priorités en matière d'éducation et d'emploi, lesquelles ont été intégrées dans les travaux préparatoires en vue du Sommet mondial de la jeunesse.</w:t>
            </w:r>
          </w:p>
        </w:tc>
        <w:tc>
          <w:tcPr>
            <w:tcW w:w="2698" w:type="dxa"/>
            <w:tcBorders>
              <w:top w:val="dotted" w:sz="4" w:space="0" w:color="0070C0"/>
              <w:left w:val="dotted" w:sz="4" w:space="0" w:color="0070C0"/>
              <w:bottom w:val="dotted" w:sz="4" w:space="0" w:color="0070C0"/>
              <w:right w:val="dotted" w:sz="4" w:space="0" w:color="0070C0"/>
            </w:tcBorders>
          </w:tcPr>
          <w:p w14:paraId="509DC841" w14:textId="77777777" w:rsidR="001B1CF5" w:rsidRPr="00C83DA9" w:rsidRDefault="001B1CF5" w:rsidP="0067293A">
            <w:pPr>
              <w:pStyle w:val="Tabletext"/>
              <w:keepNext/>
              <w:spacing w:before="120"/>
              <w:rPr>
                <w:rFonts w:eastAsia="Times New Roman" w:cs="Times New Roman"/>
                <w:b/>
                <w:bCs/>
                <w:color w:val="0070C0"/>
                <w:kern w:val="0"/>
                <w:sz w:val="22"/>
                <w:lang w:val="fr-FR"/>
                <w14:ligatures w14:val="none"/>
              </w:rPr>
            </w:pPr>
            <w:r w:rsidRPr="00C83DA9">
              <w:rPr>
                <w:rFonts w:eastAsia="Times New Roman" w:cs="Times New Roman"/>
                <w:b/>
                <w:bCs/>
                <w:color w:val="0070C0"/>
                <w:kern w:val="0"/>
                <w:sz w:val="22"/>
                <w:lang w:val="fr-FR"/>
                <w14:ligatures w14:val="none"/>
              </w:rPr>
              <w:lastRenderedPageBreak/>
              <w:t>Les jeunes filles dans le secteur des TIC</w:t>
            </w:r>
          </w:p>
          <w:p w14:paraId="501858DA" w14:textId="77777777" w:rsidR="001B1CF5" w:rsidRPr="00C83DA9" w:rsidRDefault="001B1CF5" w:rsidP="00202BFA">
            <w:pPr>
              <w:pStyle w:val="enumlev1"/>
              <w:tabs>
                <w:tab w:val="clear" w:pos="1134"/>
              </w:tabs>
              <w:spacing w:before="40" w:after="40"/>
              <w:ind w:left="386" w:right="-102" w:hanging="386"/>
              <w:rPr>
                <w:color w:val="1F497D" w:themeColor="text2"/>
                <w:spacing w:val="-2"/>
                <w:sz w:val="22"/>
                <w:lang w:val="fr-FR"/>
              </w:rPr>
            </w:pPr>
            <w:r w:rsidRPr="00C83DA9">
              <w:rPr>
                <w:color w:val="1F497D" w:themeColor="text2"/>
                <w:spacing w:val="-2"/>
                <w:sz w:val="22"/>
                <w:lang w:val="fr-FR"/>
              </w:rPr>
              <w:t>•</w:t>
            </w:r>
            <w:r w:rsidRPr="00C83DA9">
              <w:rPr>
                <w:color w:val="1F497D" w:themeColor="text2"/>
                <w:spacing w:val="-2"/>
                <w:sz w:val="22"/>
                <w:lang w:val="fr-FR"/>
              </w:rPr>
              <w:tab/>
              <w:t xml:space="preserve">Des milliers de jeunes filles ont participé à des </w:t>
            </w:r>
            <w:r w:rsidRPr="00C83DA9">
              <w:rPr>
                <w:color w:val="1F497D" w:themeColor="text2"/>
                <w:sz w:val="22"/>
                <w:lang w:val="fr-FR"/>
              </w:rPr>
              <w:t>activités</w:t>
            </w:r>
            <w:r w:rsidRPr="00C83DA9">
              <w:rPr>
                <w:color w:val="1F497D" w:themeColor="text2"/>
                <w:spacing w:val="-2"/>
                <w:sz w:val="22"/>
                <w:lang w:val="fr-FR"/>
              </w:rPr>
              <w:t xml:space="preserve"> liées au codage, au mentorat et aux STEM.</w:t>
            </w:r>
          </w:p>
          <w:p w14:paraId="51158AF8" w14:textId="77777777"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pacing w:val="-2"/>
                <w:sz w:val="22"/>
                <w:lang w:val="fr-FR"/>
              </w:rPr>
              <w:t>•</w:t>
            </w:r>
            <w:r w:rsidRPr="00C83DA9">
              <w:rPr>
                <w:color w:val="1F497D" w:themeColor="text2"/>
                <w:spacing w:val="-2"/>
                <w:sz w:val="22"/>
                <w:lang w:val="fr-FR"/>
              </w:rPr>
              <w:tab/>
              <w:t xml:space="preserve">Inciter les jeunes filles et les </w:t>
            </w:r>
            <w:r w:rsidRPr="00C83DA9">
              <w:rPr>
                <w:color w:val="1F497D" w:themeColor="text2"/>
                <w:sz w:val="22"/>
                <w:lang w:val="fr-FR"/>
              </w:rPr>
              <w:t>jeunes</w:t>
            </w:r>
            <w:r w:rsidRPr="00C83DA9">
              <w:rPr>
                <w:color w:val="1F497D" w:themeColor="text2"/>
                <w:spacing w:val="-2"/>
                <w:sz w:val="22"/>
                <w:lang w:val="fr-FR"/>
              </w:rPr>
              <w:t xml:space="preserve"> femmes à faire carrière dans le secteur des TIC.</w:t>
            </w:r>
          </w:p>
          <w:p w14:paraId="42813BE3" w14:textId="77777777" w:rsidR="001B1CF5" w:rsidRPr="00C83DA9" w:rsidRDefault="001B1CF5" w:rsidP="0067293A">
            <w:pPr>
              <w:keepNext/>
              <w:tabs>
                <w:tab w:val="clear" w:pos="1134"/>
                <w:tab w:val="clear" w:pos="1871"/>
                <w:tab w:val="clear" w:pos="2268"/>
                <w:tab w:val="left" w:pos="3119"/>
                <w:tab w:val="left" w:pos="3402"/>
                <w:tab w:val="left" w:pos="3686"/>
                <w:tab w:val="left" w:pos="3969"/>
              </w:tabs>
              <w:spacing w:after="40"/>
              <w:rPr>
                <w:b/>
                <w:color w:val="0070C0"/>
                <w:sz w:val="22"/>
                <w:lang w:val="fr-FR"/>
              </w:rPr>
            </w:pPr>
            <w:r w:rsidRPr="00C83DA9">
              <w:rPr>
                <w:b/>
                <w:color w:val="0070C0"/>
                <w:sz w:val="22"/>
                <w:lang w:val="fr-FR" w:eastAsia="zh-CN"/>
              </w:rPr>
              <w:t>Generation Connect</w:t>
            </w:r>
          </w:p>
          <w:p w14:paraId="72E34D9A" w14:textId="77777777" w:rsidR="001B1CF5" w:rsidRPr="00C83DA9" w:rsidRDefault="001B1CF5" w:rsidP="00202BFA">
            <w:pPr>
              <w:pStyle w:val="enumlev1"/>
              <w:tabs>
                <w:tab w:val="clear" w:pos="1134"/>
              </w:tabs>
              <w:spacing w:before="40" w:after="40"/>
              <w:ind w:left="386" w:right="-102" w:hanging="386"/>
              <w:rPr>
                <w:color w:val="1F497D" w:themeColor="text2"/>
                <w:spacing w:val="-2"/>
                <w:sz w:val="22"/>
                <w:lang w:val="fr-FR"/>
              </w:rPr>
            </w:pPr>
            <w:r w:rsidRPr="00C83DA9">
              <w:rPr>
                <w:color w:val="1F497D" w:themeColor="text2"/>
                <w:spacing w:val="-2"/>
                <w:sz w:val="22"/>
                <w:lang w:val="fr-FR"/>
              </w:rPr>
              <w:t>•</w:t>
            </w:r>
            <w:r w:rsidRPr="00C83DA9">
              <w:rPr>
                <w:color w:val="1F497D" w:themeColor="text2"/>
                <w:spacing w:val="-2"/>
                <w:sz w:val="22"/>
                <w:lang w:val="fr-FR"/>
              </w:rPr>
              <w:tab/>
              <w:t xml:space="preserve">Participation de représentants des </w:t>
            </w:r>
            <w:r w:rsidRPr="00C83DA9">
              <w:rPr>
                <w:color w:val="1F497D" w:themeColor="text2"/>
                <w:sz w:val="22"/>
                <w:lang w:val="fr-FR"/>
              </w:rPr>
              <w:t>groupes</w:t>
            </w:r>
            <w:r w:rsidRPr="00C83DA9">
              <w:rPr>
                <w:color w:val="1F497D" w:themeColor="text2"/>
                <w:spacing w:val="-2"/>
                <w:sz w:val="22"/>
                <w:lang w:val="fr-FR"/>
              </w:rPr>
              <w:t xml:space="preserve"> pour la jeunesse aux processus, consultations et forums de l'UIT dans les différentes régions.</w:t>
            </w:r>
          </w:p>
          <w:p w14:paraId="1524FA7E" w14:textId="77777777"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pacing w:val="-2"/>
                <w:sz w:val="22"/>
                <w:lang w:val="fr-FR"/>
              </w:rPr>
              <w:t>•</w:t>
            </w:r>
            <w:r w:rsidRPr="00C83DA9">
              <w:rPr>
                <w:color w:val="1F497D" w:themeColor="text2"/>
                <w:spacing w:val="-2"/>
                <w:sz w:val="22"/>
                <w:lang w:val="fr-FR"/>
              </w:rPr>
              <w:tab/>
              <w:t xml:space="preserve">Participation de </w:t>
            </w:r>
            <w:r w:rsidRPr="00C83DA9">
              <w:rPr>
                <w:color w:val="1F497D" w:themeColor="text2"/>
                <w:sz w:val="22"/>
                <w:lang w:val="fr-FR"/>
              </w:rPr>
              <w:t>représentants</w:t>
            </w:r>
            <w:r w:rsidRPr="00C83DA9">
              <w:rPr>
                <w:color w:val="1F497D" w:themeColor="text2"/>
                <w:spacing w:val="-2"/>
                <w:sz w:val="22"/>
                <w:lang w:val="fr-FR"/>
              </w:rPr>
              <w:t xml:space="preserve"> des groupes pour la jeunesse au programme de mentorat "Passage de témoin", afin d'assurer la poursuite de la direction.</w:t>
            </w:r>
          </w:p>
          <w:p w14:paraId="46AA7CD4" w14:textId="77777777"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lastRenderedPageBreak/>
              <w:t>•</w:t>
            </w:r>
            <w:r w:rsidRPr="00C83DA9">
              <w:rPr>
                <w:color w:val="1F497D" w:themeColor="text2"/>
                <w:sz w:val="22"/>
                <w:lang w:val="fr-FR"/>
              </w:rPr>
              <w:tab/>
              <w:t>Plus de 230 stagiaires ont suivi une formation sur les réseaux TIC autochtones.</w:t>
            </w:r>
          </w:p>
          <w:p w14:paraId="1583AEAE" w14:textId="77777777"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Des consultations auprès des jeunes et des hackathons qui ont alimenté les résultats de la CMDT et du Sommet mondial de la jeunesse.</w:t>
            </w:r>
          </w:p>
          <w:p w14:paraId="77D0FEA2" w14:textId="77777777" w:rsidR="001B1CF5" w:rsidRPr="00C83DA9" w:rsidRDefault="001B1CF5" w:rsidP="0067293A">
            <w:pPr>
              <w:keepNext/>
              <w:tabs>
                <w:tab w:val="clear" w:pos="1134"/>
                <w:tab w:val="clear" w:pos="1871"/>
                <w:tab w:val="clear" w:pos="2268"/>
                <w:tab w:val="left" w:pos="3119"/>
                <w:tab w:val="left" w:pos="3402"/>
                <w:tab w:val="left" w:pos="3686"/>
                <w:tab w:val="left" w:pos="3969"/>
              </w:tabs>
              <w:spacing w:after="40"/>
              <w:rPr>
                <w:b/>
                <w:color w:val="0070C0"/>
                <w:sz w:val="22"/>
                <w:lang w:val="fr-FR" w:eastAsia="zh-CN"/>
              </w:rPr>
            </w:pPr>
            <w:r w:rsidRPr="00C83DA9">
              <w:rPr>
                <w:b/>
                <w:color w:val="0070C0"/>
                <w:sz w:val="22"/>
                <w:lang w:val="fr-FR" w:eastAsia="zh-CN"/>
              </w:rPr>
              <w:t>Des TIC accessibles à tous</w:t>
            </w:r>
          </w:p>
          <w:p w14:paraId="27C57A40" w14:textId="77777777"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Lignes directrices relatives aux TIC</w:t>
            </w:r>
            <w:r w:rsidRPr="00C83DA9">
              <w:rPr>
                <w:color w:val="000000"/>
                <w:sz w:val="22"/>
                <w:lang w:val="fr-FR"/>
              </w:rPr>
              <w:t xml:space="preserve"> </w:t>
            </w:r>
            <w:r w:rsidRPr="00C83DA9">
              <w:rPr>
                <w:color w:val="1F497D" w:themeColor="text2"/>
                <w:sz w:val="22"/>
                <w:lang w:val="fr-FR"/>
              </w:rPr>
              <w:t>accessibles à tous mises à jour (2024) et adoptées dans les cadres politiques.</w:t>
            </w:r>
          </w:p>
          <w:p w14:paraId="5DEFA438" w14:textId="77777777"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Plus de 130 délégués (Amériques) et plus de 400 parties prenantes (Europe) ont accompli des progrès en ce qui concerne les pratiques inclusives dans le domaine des TIC.</w:t>
            </w:r>
          </w:p>
          <w:p w14:paraId="4D7BD04F" w14:textId="77777777"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Des ateliers régionaux ont contribué à généraliser le principe d'accessibilité, auparavant facultatif et aujourd'hui normalisé.</w:t>
            </w:r>
          </w:p>
          <w:p w14:paraId="21F349FB" w14:textId="77777777"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Des technologies d'assistance testées dans les écoles et les services.</w:t>
            </w:r>
          </w:p>
          <w:p w14:paraId="0D69EF83" w14:textId="77777777" w:rsidR="001B1CF5" w:rsidRPr="00C83DA9" w:rsidRDefault="001B1CF5" w:rsidP="001B1CF5">
            <w:pPr>
              <w:widowControl w:val="0"/>
              <w:tabs>
                <w:tab w:val="clear" w:pos="1134"/>
                <w:tab w:val="clear" w:pos="1871"/>
                <w:tab w:val="clear" w:pos="2268"/>
                <w:tab w:val="left" w:pos="3119"/>
                <w:tab w:val="left" w:pos="3402"/>
                <w:tab w:val="left" w:pos="3686"/>
                <w:tab w:val="left" w:pos="3969"/>
              </w:tabs>
              <w:spacing w:before="40" w:after="40"/>
              <w:ind w:left="31" w:hanging="8"/>
              <w:rPr>
                <w:b/>
                <w:color w:val="0070C0"/>
                <w:sz w:val="22"/>
                <w:lang w:val="fr-FR" w:eastAsia="zh-CN"/>
              </w:rPr>
            </w:pPr>
            <w:r w:rsidRPr="00C83DA9">
              <w:rPr>
                <w:b/>
                <w:color w:val="0070C0"/>
                <w:sz w:val="22"/>
                <w:lang w:val="fr-FR" w:eastAsia="zh-CN"/>
              </w:rPr>
              <w:lastRenderedPageBreak/>
              <w:t>PMA, PDSL et PEID mobilisés ou aidés:</w:t>
            </w:r>
          </w:p>
          <w:p w14:paraId="34163973" w14:textId="144937F8"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008917B5" w:rsidRPr="00C83DA9">
              <w:rPr>
                <w:color w:val="1F497D" w:themeColor="text2"/>
                <w:sz w:val="22"/>
                <w:lang w:val="fr-FR"/>
              </w:rPr>
              <w:t xml:space="preserve">21 </w:t>
            </w:r>
            <w:r w:rsidRPr="00C83DA9">
              <w:rPr>
                <w:color w:val="1F497D" w:themeColor="text2"/>
                <w:sz w:val="22"/>
                <w:lang w:val="fr-FR"/>
              </w:rPr>
              <w:t>PMA, PDSL et PEID.</w:t>
            </w:r>
          </w:p>
          <w:p w14:paraId="53A6C7D8" w14:textId="57F4F065"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008917B5" w:rsidRPr="00C83DA9">
              <w:rPr>
                <w:color w:val="1F497D" w:themeColor="text2"/>
                <w:sz w:val="22"/>
                <w:lang w:val="fr-FR"/>
              </w:rPr>
              <w:t xml:space="preserve">10 </w:t>
            </w:r>
            <w:r w:rsidRPr="00C83DA9">
              <w:rPr>
                <w:color w:val="1F497D" w:themeColor="text2"/>
                <w:sz w:val="22"/>
                <w:lang w:val="fr-FR"/>
              </w:rPr>
              <w:t>pays ont bénéficié d'une assistance technique.</w:t>
            </w:r>
          </w:p>
          <w:p w14:paraId="404D85DB" w14:textId="6AB74195"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 xml:space="preserve">Des cadres politiques et des supports de connaissance ont été élaborés dans </w:t>
            </w:r>
            <w:r w:rsidR="00EF1C92" w:rsidRPr="00C83DA9">
              <w:rPr>
                <w:color w:val="1F497D" w:themeColor="text2"/>
                <w:sz w:val="22"/>
                <w:lang w:val="fr-FR"/>
              </w:rPr>
              <w:t xml:space="preserve">11 </w:t>
            </w:r>
            <w:r w:rsidRPr="00C83DA9">
              <w:rPr>
                <w:color w:val="1F497D" w:themeColor="text2"/>
                <w:sz w:val="22"/>
                <w:lang w:val="fr-FR"/>
              </w:rPr>
              <w:t>pays.</w:t>
            </w:r>
          </w:p>
          <w:p w14:paraId="34ED092F" w14:textId="39ECA96D"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008E1563" w:rsidRPr="00C83DA9">
              <w:rPr>
                <w:color w:val="1F497D" w:themeColor="text2"/>
                <w:sz w:val="22"/>
                <w:lang w:val="fr-FR"/>
              </w:rPr>
              <w:t xml:space="preserve">11 </w:t>
            </w:r>
            <w:r w:rsidRPr="00C83DA9">
              <w:rPr>
                <w:color w:val="1F497D" w:themeColor="text2"/>
                <w:sz w:val="22"/>
                <w:lang w:val="fr-FR"/>
              </w:rPr>
              <w:t>pays ont mis en place des plates</w:t>
            </w:r>
            <w:r w:rsidR="00C074D6" w:rsidRPr="00C83DA9">
              <w:rPr>
                <w:color w:val="1F497D" w:themeColor="text2"/>
                <w:sz w:val="22"/>
                <w:lang w:val="fr-FR"/>
              </w:rPr>
              <w:noBreakHyphen/>
            </w:r>
            <w:r w:rsidRPr="00C83DA9">
              <w:rPr>
                <w:color w:val="1F497D" w:themeColor="text2"/>
                <w:sz w:val="22"/>
                <w:lang w:val="fr-FR"/>
              </w:rPr>
              <w:t>formes fédératrices.</w:t>
            </w:r>
          </w:p>
          <w:p w14:paraId="04862B1E" w14:textId="77777777" w:rsidR="001B1CF5" w:rsidRPr="00C83DA9" w:rsidRDefault="001B1CF5" w:rsidP="0067293A">
            <w:pPr>
              <w:widowControl w:val="0"/>
              <w:tabs>
                <w:tab w:val="clear" w:pos="1134"/>
                <w:tab w:val="clear" w:pos="1871"/>
                <w:tab w:val="clear" w:pos="2268"/>
                <w:tab w:val="left" w:pos="3119"/>
                <w:tab w:val="left" w:pos="3402"/>
                <w:tab w:val="left" w:pos="3686"/>
                <w:tab w:val="left" w:pos="3969"/>
              </w:tabs>
              <w:spacing w:after="40"/>
              <w:ind w:left="29" w:hanging="6"/>
              <w:rPr>
                <w:b/>
                <w:color w:val="0070C0"/>
                <w:sz w:val="22"/>
                <w:lang w:val="fr-FR" w:eastAsia="zh-CN"/>
              </w:rPr>
            </w:pPr>
            <w:r w:rsidRPr="00C83DA9">
              <w:rPr>
                <w:b/>
                <w:color w:val="0070C0"/>
                <w:sz w:val="22"/>
                <w:lang w:val="fr-FR" w:eastAsia="zh-CN"/>
              </w:rPr>
              <w:t>CE 1 de l'UIT-D, Question 7/1:</w:t>
            </w:r>
          </w:p>
          <w:p w14:paraId="2A30C59D" w14:textId="77777777"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4 réunions.</w:t>
            </w:r>
          </w:p>
          <w:p w14:paraId="2C19D5DA" w14:textId="77777777"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97 contributions.</w:t>
            </w:r>
          </w:p>
          <w:p w14:paraId="762DE069" w14:textId="77777777"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3 projets de boursiers du Programme des jeunes dirigeants de l'Initiative Generation Connect ont été présentés.</w:t>
            </w:r>
          </w:p>
          <w:p w14:paraId="590722A4" w14:textId="77777777" w:rsidR="001B1CF5" w:rsidRPr="00C83DA9" w:rsidRDefault="001B1CF5" w:rsidP="00202BFA">
            <w:pPr>
              <w:pStyle w:val="enumlev1"/>
              <w:tabs>
                <w:tab w:val="clear" w:pos="1134"/>
              </w:tabs>
              <w:spacing w:before="40" w:after="40"/>
              <w:ind w:left="386" w:right="-102" w:hanging="386"/>
              <w:rPr>
                <w:sz w:val="22"/>
                <w:lang w:val="fr-FR"/>
              </w:rPr>
            </w:pPr>
            <w:r w:rsidRPr="00C83DA9">
              <w:rPr>
                <w:color w:val="1F497D" w:themeColor="text2"/>
                <w:sz w:val="22"/>
                <w:lang w:val="fr-FR"/>
              </w:rPr>
              <w:t>•</w:t>
            </w:r>
            <w:r w:rsidRPr="00C83DA9">
              <w:rPr>
                <w:color w:val="1F497D" w:themeColor="text2"/>
                <w:sz w:val="22"/>
                <w:lang w:val="fr-FR"/>
              </w:rPr>
              <w:tab/>
              <w:t xml:space="preserve">2 </w:t>
            </w:r>
            <w:hyperlink r:id="rId269" w:history="1">
              <w:r w:rsidRPr="00C83DA9">
                <w:rPr>
                  <w:color w:val="0000FF"/>
                  <w:sz w:val="22"/>
                  <w:u w:val="single"/>
                  <w:lang w:val="fr-FR"/>
                </w:rPr>
                <w:t>ateliers</w:t>
              </w:r>
            </w:hyperlink>
            <w:r w:rsidRPr="00C83DA9">
              <w:rPr>
                <w:color w:val="1F497D" w:themeColor="text2"/>
                <w:sz w:val="22"/>
                <w:lang w:val="fr-FR"/>
              </w:rPr>
              <w:t xml:space="preserve"> organisés et un </w:t>
            </w:r>
            <w:hyperlink r:id="rId270" w:history="1">
              <w:r w:rsidRPr="00C83DA9">
                <w:rPr>
                  <w:color w:val="0000FF"/>
                  <w:sz w:val="22"/>
                  <w:u w:val="single"/>
                  <w:lang w:val="fr-FR"/>
                </w:rPr>
                <w:t>rapport final élaboré</w:t>
              </w:r>
            </w:hyperlink>
            <w:r w:rsidRPr="00C83DA9">
              <w:rPr>
                <w:color w:val="1F497D" w:themeColor="text2"/>
                <w:sz w:val="22"/>
                <w:lang w:val="fr-FR"/>
              </w:rPr>
              <w:t>.</w:t>
            </w:r>
          </w:p>
        </w:tc>
      </w:tr>
      <w:tr w:rsidR="001B1CF5" w:rsidRPr="00C83DA9" w14:paraId="6B3D548F" w14:textId="77777777" w:rsidTr="00C074D6">
        <w:tc>
          <w:tcPr>
            <w:tcW w:w="4820" w:type="dxa"/>
            <w:tcBorders>
              <w:top w:val="dotted" w:sz="4" w:space="0" w:color="0070C0"/>
              <w:left w:val="dotted" w:sz="4" w:space="0" w:color="0070C0"/>
              <w:bottom w:val="dotted" w:sz="4" w:space="0" w:color="0070C0"/>
              <w:right w:val="dotted" w:sz="4" w:space="0" w:color="0070C0"/>
            </w:tcBorders>
            <w:hideMark/>
          </w:tcPr>
          <w:p w14:paraId="0EDC2271" w14:textId="77777777" w:rsidR="001B1CF5" w:rsidRPr="00C83DA9" w:rsidRDefault="001B1CF5"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lastRenderedPageBreak/>
              <w:t>Contribution à la réalisation des cibles des ODD</w:t>
            </w:r>
          </w:p>
        </w:tc>
        <w:tc>
          <w:tcPr>
            <w:tcW w:w="10210" w:type="dxa"/>
            <w:gridSpan w:val="2"/>
            <w:tcBorders>
              <w:top w:val="dotted" w:sz="4" w:space="0" w:color="0070C0"/>
              <w:left w:val="dotted" w:sz="4" w:space="0" w:color="0070C0"/>
              <w:bottom w:val="dotted" w:sz="4" w:space="0" w:color="0070C0"/>
              <w:right w:val="dotted" w:sz="4" w:space="0" w:color="0070C0"/>
            </w:tcBorders>
            <w:hideMark/>
          </w:tcPr>
          <w:p w14:paraId="2E220C44" w14:textId="77777777" w:rsidR="001B1CF5" w:rsidRPr="00C83DA9" w:rsidRDefault="001B1CF5"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ODD 1, 3, 4, 5, 8, 9, 10, 11, 16, 17</w:t>
            </w:r>
          </w:p>
        </w:tc>
      </w:tr>
      <w:tr w:rsidR="001B1CF5" w:rsidRPr="00C83DA9" w14:paraId="57886364" w14:textId="77777777" w:rsidTr="00C074D6">
        <w:tc>
          <w:tcPr>
            <w:tcW w:w="4820" w:type="dxa"/>
            <w:tcBorders>
              <w:top w:val="dotted" w:sz="4" w:space="0" w:color="0070C0"/>
              <w:left w:val="dotted" w:sz="4" w:space="0" w:color="0070C0"/>
              <w:bottom w:val="dotted" w:sz="4" w:space="0" w:color="0070C0"/>
              <w:right w:val="dotted" w:sz="4" w:space="0" w:color="0070C0"/>
            </w:tcBorders>
            <w:hideMark/>
          </w:tcPr>
          <w:p w14:paraId="2AE1D335" w14:textId="77777777" w:rsidR="001B1CF5" w:rsidRPr="00C83DA9" w:rsidRDefault="001B1CF5"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Grandes orientations du SMSI</w:t>
            </w:r>
          </w:p>
        </w:tc>
        <w:tc>
          <w:tcPr>
            <w:tcW w:w="10210" w:type="dxa"/>
            <w:gridSpan w:val="2"/>
            <w:tcBorders>
              <w:top w:val="dotted" w:sz="4" w:space="0" w:color="0070C0"/>
              <w:left w:val="dotted" w:sz="4" w:space="0" w:color="0070C0"/>
              <w:bottom w:val="dotted" w:sz="4" w:space="0" w:color="0070C0"/>
              <w:right w:val="dotted" w:sz="4" w:space="0" w:color="0070C0"/>
            </w:tcBorders>
            <w:hideMark/>
          </w:tcPr>
          <w:p w14:paraId="34706967" w14:textId="77777777" w:rsidR="001B1CF5" w:rsidRPr="00C83DA9" w:rsidRDefault="001B1CF5"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C1, C2, C3, C4, C5, C6, C7, C11</w:t>
            </w:r>
          </w:p>
        </w:tc>
      </w:tr>
      <w:tr w:rsidR="001B1CF5" w:rsidRPr="00CA734F" w14:paraId="3C27857D" w14:textId="77777777" w:rsidTr="00C074D6">
        <w:tc>
          <w:tcPr>
            <w:tcW w:w="4820" w:type="dxa"/>
            <w:tcBorders>
              <w:top w:val="dotted" w:sz="4" w:space="0" w:color="0070C0"/>
              <w:left w:val="dotted" w:sz="4" w:space="0" w:color="0070C0"/>
              <w:bottom w:val="dotted" w:sz="4" w:space="0" w:color="0070C0"/>
              <w:right w:val="dotted" w:sz="4" w:space="0" w:color="0070C0"/>
            </w:tcBorders>
            <w:hideMark/>
          </w:tcPr>
          <w:p w14:paraId="2659DE67" w14:textId="77777777" w:rsidR="001B1CF5" w:rsidRPr="00C83DA9" w:rsidRDefault="001B1CF5"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Résolutions</w:t>
            </w:r>
          </w:p>
        </w:tc>
        <w:tc>
          <w:tcPr>
            <w:tcW w:w="10210" w:type="dxa"/>
            <w:gridSpan w:val="2"/>
            <w:tcBorders>
              <w:top w:val="dotted" w:sz="4" w:space="0" w:color="0070C0"/>
              <w:left w:val="dotted" w:sz="4" w:space="0" w:color="0070C0"/>
              <w:bottom w:val="dotted" w:sz="4" w:space="0" w:color="0070C0"/>
              <w:right w:val="dotted" w:sz="4" w:space="0" w:color="0070C0"/>
            </w:tcBorders>
            <w:hideMark/>
          </w:tcPr>
          <w:p w14:paraId="60B5DE8C" w14:textId="77777777" w:rsidR="001B1CF5" w:rsidRPr="00C83DA9" w:rsidRDefault="001B1CF5"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70, 175, 179, 184 et 198 de la PP; 11, 46, 55, 58, 67 et 76 de la CMDT</w:t>
            </w:r>
          </w:p>
        </w:tc>
      </w:tr>
      <w:tr w:rsidR="001B1CF5" w:rsidRPr="00CA734F" w14:paraId="3B44964C" w14:textId="77777777" w:rsidTr="00C074D6">
        <w:tc>
          <w:tcPr>
            <w:tcW w:w="4820" w:type="dxa"/>
            <w:tcBorders>
              <w:top w:val="dotted" w:sz="4" w:space="0" w:color="0070C0"/>
              <w:left w:val="dotted" w:sz="4" w:space="0" w:color="0070C0"/>
              <w:bottom w:val="dotted" w:sz="4" w:space="0" w:color="0070C0"/>
              <w:right w:val="dotted" w:sz="4" w:space="0" w:color="0070C0"/>
            </w:tcBorders>
            <w:hideMark/>
          </w:tcPr>
          <w:p w14:paraId="5338E413" w14:textId="77777777" w:rsidR="001B1CF5" w:rsidRPr="00C83DA9" w:rsidRDefault="001B1CF5"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Questions confiées aux commissions d'études de l'UIT</w:t>
            </w:r>
            <w:r w:rsidRPr="00C83DA9">
              <w:rPr>
                <w:rFonts w:eastAsia="Times New Roman" w:cs="Times New Roman"/>
                <w:b/>
                <w:bCs/>
                <w:kern w:val="0"/>
                <w:sz w:val="22"/>
                <w:lang w:val="fr-FR"/>
                <w14:ligatures w14:val="none"/>
              </w:rPr>
              <w:noBreakHyphen/>
              <w:t>D</w:t>
            </w:r>
          </w:p>
        </w:tc>
        <w:tc>
          <w:tcPr>
            <w:tcW w:w="10210" w:type="dxa"/>
            <w:gridSpan w:val="2"/>
            <w:tcBorders>
              <w:top w:val="dotted" w:sz="4" w:space="0" w:color="0070C0"/>
              <w:left w:val="dotted" w:sz="4" w:space="0" w:color="0070C0"/>
              <w:bottom w:val="dotted" w:sz="4" w:space="0" w:color="0070C0"/>
              <w:right w:val="dotted" w:sz="4" w:space="0" w:color="0070C0"/>
            </w:tcBorders>
            <w:hideMark/>
          </w:tcPr>
          <w:p w14:paraId="48929AAC" w14:textId="77777777" w:rsidR="001B1CF5" w:rsidRPr="00C83DA9" w:rsidRDefault="001B1CF5"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Question 7/1 – Accessibilité des télécommunications/TIC pour permettre des communications inclusives, en particulier pour les personnes handicapées</w:t>
            </w:r>
          </w:p>
        </w:tc>
      </w:tr>
    </w:tbl>
    <w:p w14:paraId="0113F241" w14:textId="77777777" w:rsidR="00C57D56" w:rsidRPr="00C83DA9" w:rsidRDefault="00C57D56">
      <w:pPr>
        <w:tabs>
          <w:tab w:val="clear" w:pos="1134"/>
          <w:tab w:val="clear" w:pos="1871"/>
          <w:tab w:val="clear" w:pos="2268"/>
        </w:tabs>
        <w:overflowPunct/>
        <w:autoSpaceDE/>
        <w:autoSpaceDN/>
        <w:adjustRightInd/>
        <w:spacing w:before="0"/>
        <w:textAlignment w:val="auto"/>
        <w:rPr>
          <w:lang w:val="fr-FR"/>
        </w:rPr>
      </w:pPr>
      <w:r w:rsidRPr="00C83DA9">
        <w:rPr>
          <w:lang w:val="fr-FR"/>
        </w:rPr>
        <w:br w:type="page"/>
      </w:r>
    </w:p>
    <w:tbl>
      <w:tblPr>
        <w:tblStyle w:val="TableGrid10"/>
        <w:tblW w:w="15030" w:type="dxa"/>
        <w:tblInd w:w="-5" w:type="dxa"/>
        <w:tblLayout w:type="fixed"/>
        <w:tblLook w:val="04A0" w:firstRow="1" w:lastRow="0" w:firstColumn="1" w:lastColumn="0" w:noHBand="0" w:noVBand="1"/>
      </w:tblPr>
      <w:tblGrid>
        <w:gridCol w:w="4678"/>
        <w:gridCol w:w="7654"/>
        <w:gridCol w:w="2698"/>
      </w:tblGrid>
      <w:tr w:rsidR="00C57D56" w:rsidRPr="00CA734F" w14:paraId="3FF1B6FD" w14:textId="77777777" w:rsidTr="00A90F81">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hideMark/>
          </w:tcPr>
          <w:p w14:paraId="2DD17665" w14:textId="4F374F25" w:rsidR="00C57D56" w:rsidRPr="00C83DA9" w:rsidRDefault="00C57D56" w:rsidP="009B2988">
            <w:pPr>
              <w:pStyle w:val="Headingb"/>
              <w:spacing w:before="40"/>
              <w:jc w:val="center"/>
              <w:rPr>
                <w:rFonts w:eastAsia="Times New Roman"/>
                <w:color w:val="FFFFFF" w:themeColor="background1"/>
                <w:kern w:val="0"/>
                <w:szCs w:val="20"/>
                <w:lang w:val="fr-FR"/>
                <w14:ligatures w14:val="none"/>
              </w:rPr>
            </w:pPr>
            <w:bookmarkStart w:id="98" w:name="_Toc211258932"/>
            <w:bookmarkStart w:id="99" w:name="_Toc213307977"/>
            <w:r w:rsidRPr="00C83DA9">
              <w:rPr>
                <w:rFonts w:eastAsia="Times New Roman"/>
                <w:color w:val="FFFFFF" w:themeColor="background1"/>
                <w:kern w:val="0"/>
                <w:szCs w:val="20"/>
                <w:lang w:val="fr-FR"/>
                <w14:ligatures w14:val="none"/>
              </w:rPr>
              <w:lastRenderedPageBreak/>
              <w:t>Catalyseur 4 de l'UIT-D: Engagement en faveur de la durabilité environnementale</w:t>
            </w:r>
            <w:bookmarkEnd w:id="98"/>
            <w:bookmarkEnd w:id="99"/>
          </w:p>
          <w:p w14:paraId="57B7C447" w14:textId="77777777" w:rsidR="00C57D56" w:rsidRPr="00C83DA9" w:rsidRDefault="00C57D56" w:rsidP="00BC3D4B">
            <w:pPr>
              <w:pStyle w:val="Tablehead"/>
              <w:rPr>
                <w:rFonts w:cstheme="minorHAnsi"/>
                <w:b w:val="0"/>
                <w:bCs/>
                <w:i/>
                <w:iCs/>
                <w:color w:val="FFFFFF" w:themeColor="background1"/>
                <w:sz w:val="24"/>
                <w:szCs w:val="20"/>
                <w:lang w:val="fr-FR"/>
              </w:rPr>
            </w:pPr>
            <w:r w:rsidRPr="00C83DA9">
              <w:rPr>
                <w:rFonts w:eastAsia="Times New Roman"/>
                <w:i/>
                <w:iCs/>
                <w:color w:val="FFFFFF" w:themeColor="background1"/>
                <w:kern w:val="0"/>
                <w:sz w:val="24"/>
                <w:szCs w:val="20"/>
                <w:lang w:val="fr-FR"/>
                <w14:ligatures w14:val="none"/>
              </w:rPr>
              <w:t>Élaborer des stratégies et des solutions en matière d'adaptation aux changements climatiques</w:t>
            </w:r>
          </w:p>
        </w:tc>
      </w:tr>
      <w:tr w:rsidR="00C57D56" w:rsidRPr="00CA734F" w14:paraId="7947A22F" w14:textId="77777777" w:rsidTr="00A90F81">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hideMark/>
          </w:tcPr>
          <w:p w14:paraId="3705EC51" w14:textId="77777777" w:rsidR="00C57D56" w:rsidRPr="00C83DA9" w:rsidRDefault="00C57D56" w:rsidP="000F1176">
            <w:pPr>
              <w:pStyle w:val="Tabletext"/>
              <w:rPr>
                <w:rFonts w:eastAsiaTheme="minorEastAsia" w:cstheme="minorHAnsi"/>
                <w:i/>
                <w:color w:val="000000" w:themeColor="text1"/>
                <w:kern w:val="0"/>
                <w:sz w:val="24"/>
                <w:szCs w:val="20"/>
                <w:lang w:val="fr-FR"/>
                <w14:ligatures w14:val="none"/>
              </w:rPr>
            </w:pPr>
            <w:r w:rsidRPr="00C83DA9">
              <w:rPr>
                <w:rFonts w:eastAsiaTheme="minorEastAsia" w:cstheme="minorHAnsi"/>
                <w:b/>
                <w:bCs/>
                <w:i/>
                <w:color w:val="000000" w:themeColor="text1"/>
                <w:kern w:val="0"/>
                <w:sz w:val="24"/>
                <w:szCs w:val="20"/>
                <w:lang w:val="fr-FR"/>
                <w14:ligatures w14:val="none"/>
              </w:rPr>
              <w:t>Réalisation</w:t>
            </w:r>
            <w:r w:rsidRPr="00C83DA9">
              <w:rPr>
                <w:rFonts w:eastAsiaTheme="minorEastAsia" w:cstheme="minorHAnsi"/>
                <w:i/>
                <w:color w:val="000000" w:themeColor="text1"/>
                <w:kern w:val="0"/>
                <w:sz w:val="24"/>
                <w:szCs w:val="20"/>
                <w:lang w:val="fr-FR"/>
                <w14:ligatures w14:val="none"/>
              </w:rPr>
              <w:t>: renforcement de la capacité des membres de l'UIT à concevoir des stratégies et des solutions en matière de télécommunications/TIC relatives à l'adaptation aux effets des changements climatiques et à l'atténuation de ces effets ainsi qu'à l'utilisation d'énergies vertes/renouvelables.</w:t>
            </w:r>
          </w:p>
        </w:tc>
      </w:tr>
      <w:tr w:rsidR="00C57D56" w:rsidRPr="00C83DA9" w14:paraId="28923B38" w14:textId="77777777" w:rsidTr="00C57D56">
        <w:trPr>
          <w:trHeight w:val="300"/>
        </w:trPr>
        <w:tc>
          <w:tcPr>
            <w:tcW w:w="12332" w:type="dxa"/>
            <w:gridSpan w:val="2"/>
            <w:tcBorders>
              <w:top w:val="dotted" w:sz="4" w:space="0" w:color="0070C0"/>
              <w:left w:val="dotted" w:sz="4" w:space="0" w:color="0070C0"/>
              <w:bottom w:val="dotted" w:sz="4" w:space="0" w:color="0070C0"/>
              <w:right w:val="dotted" w:sz="4" w:space="0" w:color="0070C0"/>
            </w:tcBorders>
            <w:hideMark/>
          </w:tcPr>
          <w:p w14:paraId="4C25DF35" w14:textId="77777777" w:rsidR="00C57D56" w:rsidRPr="00C83DA9" w:rsidRDefault="00C57D56"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Produits</w:t>
            </w:r>
          </w:p>
        </w:tc>
        <w:tc>
          <w:tcPr>
            <w:tcW w:w="2698" w:type="dxa"/>
            <w:tcBorders>
              <w:top w:val="dotted" w:sz="4" w:space="0" w:color="0070C0"/>
              <w:left w:val="dotted" w:sz="4" w:space="0" w:color="0070C0"/>
              <w:bottom w:val="dotted" w:sz="4" w:space="0" w:color="0070C0"/>
              <w:right w:val="dotted" w:sz="4" w:space="0" w:color="0070C0"/>
            </w:tcBorders>
            <w:hideMark/>
          </w:tcPr>
          <w:p w14:paraId="63F0D117" w14:textId="77777777" w:rsidR="00C57D56" w:rsidRPr="00C83DA9" w:rsidRDefault="00C57D56"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 xml:space="preserve">Points à retenir </w:t>
            </w:r>
          </w:p>
        </w:tc>
      </w:tr>
      <w:tr w:rsidR="00C57D56" w:rsidRPr="00CA734F" w14:paraId="6A38BD97" w14:textId="77777777" w:rsidTr="005D736D">
        <w:trPr>
          <w:trHeight w:val="599"/>
        </w:trPr>
        <w:tc>
          <w:tcPr>
            <w:tcW w:w="12332" w:type="dxa"/>
            <w:gridSpan w:val="2"/>
            <w:tcBorders>
              <w:top w:val="dotted" w:sz="4" w:space="0" w:color="0070C0"/>
              <w:left w:val="dotted" w:sz="4" w:space="0" w:color="0070C0"/>
              <w:bottom w:val="dotted" w:sz="4" w:space="0" w:color="0070C0"/>
              <w:right w:val="dotted" w:sz="4" w:space="0" w:color="0070C0"/>
            </w:tcBorders>
          </w:tcPr>
          <w:p w14:paraId="0CF6A159" w14:textId="5ED59448"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Le BDT a continué de progresser dans la réalisation de programmes globaux visant à renforcer la capacité des États Membres à gérer les</w:t>
            </w:r>
            <w:r w:rsidR="00E90E58">
              <w:rPr>
                <w:color w:val="000000"/>
                <w:sz w:val="22"/>
                <w:lang w:val="fr-FR"/>
              </w:rPr>
              <w:t> </w:t>
            </w:r>
            <w:r w:rsidRPr="00C83DA9">
              <w:rPr>
                <w:color w:val="000000"/>
                <w:sz w:val="22"/>
                <w:lang w:val="fr-FR"/>
              </w:rPr>
              <w:t xml:space="preserve">DEEE, à promouvoir les principes de l'économie circulaire et à surveiller les incidences du secteur des TIC sur les changements climatiques, conformément à la </w:t>
            </w:r>
            <w:r w:rsidRPr="00C83DA9">
              <w:rPr>
                <w:sz w:val="22"/>
                <w:lang w:val="fr-FR"/>
              </w:rPr>
              <w:t xml:space="preserve">Résolution </w:t>
            </w:r>
            <w:hyperlink r:id="rId271" w:history="1">
              <w:r w:rsidRPr="00C83DA9">
                <w:rPr>
                  <w:color w:val="0000FF"/>
                  <w:sz w:val="22"/>
                  <w:u w:val="single"/>
                  <w:lang w:val="fr-FR"/>
                </w:rPr>
                <w:t>66 (Kigali, 2022)</w:t>
              </w:r>
            </w:hyperlink>
            <w:r w:rsidRPr="00C83DA9">
              <w:rPr>
                <w:sz w:val="22"/>
                <w:lang w:val="fr-FR"/>
              </w:rPr>
              <w:t xml:space="preserve"> de la CMDT</w:t>
            </w:r>
            <w:r w:rsidRPr="00C83DA9">
              <w:rPr>
                <w:color w:val="000000"/>
                <w:sz w:val="22"/>
                <w:lang w:val="fr-FR"/>
              </w:rPr>
              <w:t xml:space="preserve"> sur les </w:t>
            </w:r>
            <w:r w:rsidRPr="00C83DA9">
              <w:rPr>
                <w:i/>
                <w:iCs/>
                <w:color w:val="000000"/>
                <w:sz w:val="22"/>
                <w:lang w:val="fr-FR"/>
              </w:rPr>
              <w:t>technologies de l'information et de la communication, l'environnement, les changements climatiques et l'économie circulaire</w:t>
            </w:r>
            <w:r w:rsidRPr="00C83DA9">
              <w:rPr>
                <w:color w:val="000000"/>
                <w:sz w:val="22"/>
                <w:lang w:val="fr-FR"/>
              </w:rPr>
              <w:t>. En associant diverses mesures telles que la fourniture d'un appui politique et d'une assistance technique, le renforcement des capacités et la conclusion de partenariats, le BDT a aidé les États Membres à établir des réglementations, à renforcer les institutions et à mobiliser les producteurs et les communautés dans une transformation numérique plus écologique.</w:t>
            </w:r>
          </w:p>
          <w:p w14:paraId="6C988A2D" w14:textId="79CF6CA8"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En 2023, un nouveau cours de formation en ligne sur la </w:t>
            </w:r>
            <w:hyperlink r:id="rId272" w:anchor="/fr" w:history="1">
              <w:r w:rsidRPr="00C83DA9">
                <w:rPr>
                  <w:color w:val="0000FF"/>
                  <w:sz w:val="22"/>
                  <w:u w:val="single"/>
                  <w:lang w:val="fr-FR"/>
                </w:rPr>
                <w:t>responsabilité élargie du producteur dans la gestion des DEEE</w:t>
              </w:r>
            </w:hyperlink>
            <w:r w:rsidRPr="00C83DA9">
              <w:rPr>
                <w:color w:val="000000"/>
                <w:sz w:val="22"/>
                <w:lang w:val="fr-FR"/>
              </w:rPr>
              <w:t xml:space="preserve"> a été lancé par l'</w:t>
            </w:r>
            <w:hyperlink r:id="rId273" w:anchor="/fr" w:history="1">
              <w:r w:rsidRPr="00C83DA9">
                <w:rPr>
                  <w:color w:val="0000FF"/>
                  <w:sz w:val="22"/>
                  <w:u w:val="single"/>
                  <w:lang w:val="fr-FR"/>
                </w:rPr>
                <w:t>Académie de l'UIT</w:t>
              </w:r>
            </w:hyperlink>
            <w:r w:rsidRPr="00C83DA9">
              <w:rPr>
                <w:color w:val="000000"/>
                <w:sz w:val="22"/>
                <w:lang w:val="fr-FR"/>
              </w:rPr>
              <w:t xml:space="preserve">, en complément d'un cours introductif à la politique relative aux DEEE. Un autre cours sur </w:t>
            </w:r>
            <w:hyperlink r:id="rId274" w:anchor="/fr" w:history="1">
              <w:r w:rsidRPr="00C83DA9">
                <w:rPr>
                  <w:color w:val="0000FF"/>
                  <w:sz w:val="22"/>
                  <w:u w:val="single"/>
                  <w:lang w:val="fr-FR"/>
                </w:rPr>
                <w:t>l'entrepreneuriat vert et numérique</w:t>
              </w:r>
            </w:hyperlink>
            <w:r w:rsidRPr="00C83DA9">
              <w:rPr>
                <w:color w:val="000000"/>
                <w:sz w:val="22"/>
                <w:lang w:val="fr-FR"/>
              </w:rPr>
              <w:t>, mis au point dans le cadre du Partenariat visant à accélérer l'entrepreneuriat féminin financé par Mary Kay, a été lancé à l'occasion de la Journée mondiale de l'environnement (5 juin 2023), afin d'aider les innovatrices à trouver des débouchés commerciaux tout en agissant en faveur de la durabilité.</w:t>
            </w:r>
          </w:p>
          <w:p w14:paraId="32F9DF0D"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À l'échelle mondiale, le </w:t>
            </w:r>
            <w:hyperlink r:id="rId275" w:history="1">
              <w:r w:rsidRPr="00C83DA9">
                <w:rPr>
                  <w:color w:val="0000FF"/>
                  <w:sz w:val="22"/>
                  <w:u w:val="single"/>
                  <w:lang w:val="fr-FR"/>
                </w:rPr>
                <w:t>Rapport mondial sur les déchets d'équipements électriques et électroniques de 2024</w:t>
              </w:r>
            </w:hyperlink>
            <w:r w:rsidRPr="00C83DA9">
              <w:rPr>
                <w:color w:val="000000"/>
                <w:sz w:val="22"/>
                <w:lang w:val="fr-FR"/>
              </w:rPr>
              <w:t xml:space="preserve">, établi en collaboration avec l'Institut des Nations Unies pour la formation et la recherche (UNITAR) et la Fondation Carmignac, a montré que les écarts entre la production de DEEE et leur recyclage se creusaient. Deux nouveaux cours de formation en ligne sur les statistiques relatives aux DEEE ont été lancés, afin de permettre aux parties prenantes de mieux comprendre les méthodes et d'améliorer la collecte de données au niveau national. Le </w:t>
            </w:r>
            <w:hyperlink r:id="rId276" w:history="1">
              <w:r w:rsidRPr="00C83DA9">
                <w:rPr>
                  <w:color w:val="0000FF"/>
                  <w:sz w:val="22"/>
                  <w:u w:val="single"/>
                  <w:lang w:val="fr-FR"/>
                </w:rPr>
                <w:t>rapport Greening Digital Companies</w:t>
              </w:r>
            </w:hyperlink>
            <w:r w:rsidRPr="00C83DA9">
              <w:rPr>
                <w:color w:val="000000"/>
                <w:sz w:val="22"/>
                <w:lang w:val="fr-FR"/>
              </w:rPr>
              <w:t xml:space="preserve"> contient une analyse comparative des émissions de 200 entreprises technologiques de premier plan, et l'édition 2025 du rapport a montré que les émissions de niveaux 1 et 2 avaient augmenté de 1,4% pour atteindre 297 MtCO₂e (tonnes métriques d'équivalent dioxyde de carbone), les émissions de niveau 3 étant prédominantes. Le rapport a été diffusé par plus de 350 médias dans 12 langues et a été consulté plus de 383 000 fois dans la semaine qui a suivi sa publication, preuve du rayonnement de l'UIT à l'échelle mondiale.</w:t>
            </w:r>
          </w:p>
          <w:p w14:paraId="36EED58F" w14:textId="42663BD7" w:rsidR="00C57D56" w:rsidRPr="00C83DA9" w:rsidRDefault="00C57D56" w:rsidP="005D736D">
            <w:pPr>
              <w:pStyle w:val="Tabletext"/>
              <w:spacing w:before="120"/>
              <w:rPr>
                <w:rFonts w:ascii="Calibri" w:hAnsi="Calibri" w:cs="Calibri"/>
                <w:sz w:val="22"/>
                <w:lang w:val="fr-FR"/>
              </w:rPr>
            </w:pPr>
            <w:r w:rsidRPr="00C83DA9">
              <w:rPr>
                <w:color w:val="000000"/>
                <w:sz w:val="22"/>
                <w:lang w:val="fr-FR"/>
              </w:rPr>
              <w:t xml:space="preserve">Par l'intermédiaire du </w:t>
            </w:r>
            <w:hyperlink r:id="rId277" w:history="1">
              <w:r w:rsidRPr="00C83DA9">
                <w:rPr>
                  <w:color w:val="0000FF"/>
                  <w:sz w:val="22"/>
                  <w:u w:val="single"/>
                  <w:lang w:val="fr-FR"/>
                </w:rPr>
                <w:t>Groupe d'experts sur les indicateurs des télécommunications/TIC (EGTI)</w:t>
              </w:r>
            </w:hyperlink>
            <w:r w:rsidRPr="00C83DA9">
              <w:rPr>
                <w:color w:val="000000"/>
                <w:sz w:val="22"/>
                <w:lang w:val="fr-FR"/>
              </w:rPr>
              <w:t xml:space="preserve">, le BDT a créé un nouveau sous-groupe sur les </w:t>
            </w:r>
            <w:hyperlink r:id="rId278" w:history="1">
              <w:r w:rsidRPr="00C83DA9">
                <w:rPr>
                  <w:rStyle w:val="Hyperlink"/>
                  <w:rFonts w:ascii="Calibri" w:eastAsia="Times New Roman" w:hAnsi="Calibri"/>
                  <w:sz w:val="22"/>
                  <w:lang w:val="fr-FR"/>
                </w:rPr>
                <w:t>indicateurs environnementaux</w:t>
              </w:r>
            </w:hyperlink>
            <w:r w:rsidRPr="00C83DA9">
              <w:rPr>
                <w:color w:val="000000"/>
                <w:sz w:val="22"/>
                <w:lang w:val="fr-FR"/>
              </w:rPr>
              <w:t>, présidé par l'Arcep (France). Le sous-groupe a mis au point des indicateurs harmonisés pour les émissions des niveaux 1 à 3, la consommation d'énergie et les objectifs en matière d'énergies renouvelables. Une étude de cas des bonnes pratiques concernant les travaux de suivi de l'Arcep a été lancée en mars 2025, et plus de 130 participants ont pris part au webinaire sur le sujet.</w:t>
            </w:r>
          </w:p>
          <w:p w14:paraId="03838EA4"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lastRenderedPageBreak/>
              <w:t xml:space="preserve">Le BDT a également lancé le </w:t>
            </w:r>
            <w:hyperlink r:id="rId279" w:history="1">
              <w:r w:rsidRPr="00C83DA9">
                <w:rPr>
                  <w:b/>
                  <w:bCs/>
                  <w:color w:val="0000FF"/>
                  <w:sz w:val="22"/>
                  <w:u w:val="single"/>
                  <w:lang w:val="fr-FR"/>
                </w:rPr>
                <w:t>Tableau de bord du verdissement du numérique</w:t>
              </w:r>
            </w:hyperlink>
            <w:r w:rsidRPr="00C83DA9">
              <w:rPr>
                <w:color w:val="000000"/>
                <w:sz w:val="22"/>
                <w:lang w:val="fr-FR"/>
              </w:rPr>
              <w:t>, qui permet de suivre de manière interactive les émissions et la consommation d'énergie dans le secteur des TIC. Cet outil a défini les fondements d'une future base de données sur les émissions placée sous la responsabilité de l'UIT.</w:t>
            </w:r>
          </w:p>
          <w:p w14:paraId="6903EC30" w14:textId="0FDC014A"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Dans toutes les régions, le BDT a renforcé son assistance technique pour aider les États Membres. En </w:t>
            </w:r>
            <w:r w:rsidRPr="00C83DA9">
              <w:rPr>
                <w:b/>
                <w:bCs/>
                <w:color w:val="000000"/>
                <w:sz w:val="22"/>
                <w:lang w:val="fr-FR"/>
              </w:rPr>
              <w:t>Afrique</w:t>
            </w:r>
            <w:r w:rsidRPr="00C83DA9">
              <w:rPr>
                <w:color w:val="000000"/>
                <w:sz w:val="22"/>
                <w:lang w:val="fr-FR"/>
              </w:rPr>
              <w:t>, l'assistance fournie au</w:t>
            </w:r>
            <w:r w:rsidR="005D736D">
              <w:rPr>
                <w:color w:val="000000"/>
                <w:sz w:val="22"/>
                <w:lang w:val="fr-FR"/>
              </w:rPr>
              <w:t> </w:t>
            </w:r>
            <w:r w:rsidRPr="00C83DA9">
              <w:rPr>
                <w:b/>
                <w:bCs/>
                <w:color w:val="000000"/>
                <w:sz w:val="22"/>
                <w:lang w:val="fr-FR"/>
              </w:rPr>
              <w:t xml:space="preserve">Rwanda </w:t>
            </w:r>
            <w:r w:rsidRPr="00C83DA9">
              <w:rPr>
                <w:color w:val="000000"/>
                <w:sz w:val="22"/>
                <w:lang w:val="fr-FR"/>
              </w:rPr>
              <w:t>a contribué à renforcer le cadre national de responsabilité élargie du producteur pour l'électronique. En 2024, un programme de conformité a été élaboré avec la fédération du secteur privé et avec la participation de 30 fabricants d'équipements électroniques. Des outils ont été conçus pour calculer les frais d'adhésion en fonction des dispositifs vendus et obtenir ainsi un modèle financier viable.</w:t>
            </w:r>
          </w:p>
          <w:p w14:paraId="5688D9A2"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En </w:t>
            </w:r>
            <w:r w:rsidRPr="00C83DA9">
              <w:rPr>
                <w:b/>
                <w:bCs/>
                <w:color w:val="000000"/>
                <w:sz w:val="22"/>
                <w:lang w:val="fr-FR"/>
              </w:rPr>
              <w:t>Zambie</w:t>
            </w:r>
            <w:r w:rsidRPr="00C83DA9">
              <w:rPr>
                <w:color w:val="000000"/>
                <w:sz w:val="22"/>
                <w:lang w:val="fr-FR"/>
              </w:rPr>
              <w:t>, le BDT a appuyé des consultations publiques tenues à Lusaka en 2024, qui ont permis d'aider les acteurs du domaine juridique à élaborer un cadre pour les DEEE et de réunir les producteurs pour les aider à comprendre leurs responsabilités. Une étude de financement réalisée en 2025 a détaillé les coûts de la collecte, du stockage et du traitement des DEEE et ouvre ainsi la voie vers une mise en œuvre durable.</w:t>
            </w:r>
          </w:p>
          <w:p w14:paraId="5B1200C7" w14:textId="560BE6EA"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En </w:t>
            </w:r>
            <w:r w:rsidRPr="00C83DA9">
              <w:rPr>
                <w:b/>
                <w:bCs/>
                <w:color w:val="000000"/>
                <w:sz w:val="22"/>
                <w:lang w:val="fr-FR"/>
              </w:rPr>
              <w:t>Ouganda</w:t>
            </w:r>
            <w:r w:rsidRPr="00C83DA9">
              <w:rPr>
                <w:color w:val="000000"/>
                <w:sz w:val="22"/>
                <w:lang w:val="fr-FR"/>
              </w:rPr>
              <w:t>, le BDT a organisé des consultations avec les parties prenantes en 2024, qui ont abouti à une révision du plan de mise en œuvre de la politique nationale relative aux DEEE, qui a été présentée au gouvernement.</w:t>
            </w:r>
            <w:r w:rsidR="000E3874" w:rsidRPr="00C83DA9">
              <w:rPr>
                <w:color w:val="000000"/>
                <w:sz w:val="22"/>
                <w:lang w:val="fr-FR"/>
              </w:rPr>
              <w:t xml:space="preserve"> En outre, un atelier </w:t>
            </w:r>
            <w:r w:rsidR="00E00AE3" w:rsidRPr="00C83DA9">
              <w:rPr>
                <w:color w:val="000000"/>
                <w:sz w:val="22"/>
                <w:lang w:val="fr-FR"/>
              </w:rPr>
              <w:t xml:space="preserve">sur </w:t>
            </w:r>
            <w:r w:rsidR="00960B9B" w:rsidRPr="00C83DA9">
              <w:rPr>
                <w:color w:val="000000"/>
                <w:sz w:val="22"/>
                <w:lang w:val="fr-FR"/>
              </w:rPr>
              <w:t>le thème "Tirer parti du numérique pour lutter contre les changements climatiques"</w:t>
            </w:r>
            <w:r w:rsidR="00E00AE3" w:rsidRPr="00C83DA9">
              <w:rPr>
                <w:color w:val="000000"/>
                <w:sz w:val="22"/>
                <w:lang w:val="fr-FR"/>
              </w:rPr>
              <w:t xml:space="preserve"> a été organisé à l'occasion du Colloque mondial des régulateurs (GSR</w:t>
            </w:r>
            <w:r w:rsidR="002C3103" w:rsidRPr="00C83DA9">
              <w:rPr>
                <w:color w:val="000000"/>
                <w:sz w:val="22"/>
                <w:lang w:val="fr-FR"/>
              </w:rPr>
              <w:noBreakHyphen/>
            </w:r>
            <w:r w:rsidR="00E00AE3" w:rsidRPr="00C83DA9">
              <w:rPr>
                <w:color w:val="000000"/>
                <w:sz w:val="22"/>
                <w:lang w:val="fr-FR"/>
              </w:rPr>
              <w:t>24) en Ouganda.</w:t>
            </w:r>
          </w:p>
          <w:p w14:paraId="5CB4C5D5"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Un appui a également été fourni au </w:t>
            </w:r>
            <w:r w:rsidRPr="00C83DA9">
              <w:rPr>
                <w:b/>
                <w:bCs/>
                <w:color w:val="000000"/>
                <w:sz w:val="22"/>
                <w:lang w:val="fr-FR"/>
              </w:rPr>
              <w:t>Malawi</w:t>
            </w:r>
            <w:r w:rsidRPr="00C83DA9">
              <w:rPr>
                <w:color w:val="000000"/>
                <w:sz w:val="22"/>
                <w:lang w:val="fr-FR"/>
              </w:rPr>
              <w:t xml:space="preserve"> et au </w:t>
            </w:r>
            <w:r w:rsidRPr="00C83DA9">
              <w:rPr>
                <w:b/>
                <w:bCs/>
                <w:color w:val="000000"/>
                <w:sz w:val="22"/>
                <w:lang w:val="fr-FR"/>
              </w:rPr>
              <w:t>Burundi</w:t>
            </w:r>
            <w:r w:rsidRPr="00C83DA9">
              <w:rPr>
                <w:color w:val="000000"/>
                <w:sz w:val="22"/>
                <w:lang w:val="fr-FR"/>
              </w:rPr>
              <w:t xml:space="preserve">, où les politiques nationales de gestion des DEEE ont été approuvées par les cabinets gouvernementaux en 2023, une étape cruciale sur la voie de la réglementation. Au </w:t>
            </w:r>
            <w:r w:rsidRPr="00C83DA9">
              <w:rPr>
                <w:b/>
                <w:bCs/>
                <w:color w:val="000000"/>
                <w:sz w:val="22"/>
                <w:lang w:val="fr-FR"/>
              </w:rPr>
              <w:t xml:space="preserve">Botswana </w:t>
            </w:r>
            <w:r w:rsidRPr="00C83DA9">
              <w:rPr>
                <w:color w:val="000000"/>
                <w:sz w:val="22"/>
                <w:lang w:val="fr-FR"/>
              </w:rPr>
              <w:t xml:space="preserve">et au </w:t>
            </w:r>
            <w:r w:rsidRPr="00C83DA9">
              <w:rPr>
                <w:b/>
                <w:bCs/>
                <w:color w:val="000000"/>
                <w:sz w:val="22"/>
                <w:lang w:val="fr-FR"/>
              </w:rPr>
              <w:t>Niger</w:t>
            </w:r>
            <w:r w:rsidRPr="00C83DA9">
              <w:rPr>
                <w:color w:val="000000"/>
                <w:sz w:val="22"/>
                <w:lang w:val="fr-FR"/>
              </w:rPr>
              <w:t>, le BDT a contribué à l'élaboration de stratégies nationales jetant les bases de systèmes officiels de gestion des DEEE.</w:t>
            </w:r>
          </w:p>
          <w:p w14:paraId="1E1659AB"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Les capacités régionales ont été renforcées grâce à une formation dispensée à six États Membres de l'Organisation des communications de l'Afrique de l'Est, au cours de laquelle des indications ont été données aux régulateurs et aux ministères sur l'harmonisation de la collecte des données relatives aux DEEE; cette formation a permis en outre de mieux comparer les données d'un pays à l'autre.</w:t>
            </w:r>
          </w:p>
          <w:p w14:paraId="5A7AAE11" w14:textId="77777777" w:rsidR="00C57D56" w:rsidRPr="00C83DA9"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C83DA9">
              <w:rPr>
                <w:color w:val="000000"/>
                <w:sz w:val="22"/>
                <w:lang w:val="fr-FR"/>
              </w:rPr>
              <w:t xml:space="preserve">Dans la région </w:t>
            </w:r>
            <w:r w:rsidRPr="00C83DA9">
              <w:rPr>
                <w:b/>
                <w:bCs/>
                <w:color w:val="000000"/>
                <w:sz w:val="22"/>
                <w:lang w:val="fr-FR"/>
              </w:rPr>
              <w:t>Amériques</w:t>
            </w:r>
            <w:r w:rsidRPr="00C83DA9">
              <w:rPr>
                <w:color w:val="000000"/>
                <w:sz w:val="22"/>
                <w:lang w:val="fr-FR"/>
              </w:rPr>
              <w:t xml:space="preserve">, en </w:t>
            </w:r>
            <w:r w:rsidRPr="00C83DA9">
              <w:rPr>
                <w:b/>
                <w:bCs/>
                <w:color w:val="000000"/>
                <w:sz w:val="22"/>
                <w:lang w:val="fr-FR"/>
              </w:rPr>
              <w:t>République dominicaine</w:t>
            </w:r>
            <w:r w:rsidRPr="00C83DA9">
              <w:rPr>
                <w:color w:val="000000"/>
                <w:sz w:val="22"/>
                <w:lang w:val="fr-FR"/>
              </w:rPr>
              <w:t xml:space="preserve">, l'appui fourni au pays a donné lieu à la publication d'une réglementation relative à la gestion intégrale des DEEE en octobre 2023. Elle devrait permettre d'exploiter un marché estimé à 71 millions USD par an dans le domaine des DEEE et offrir ainsi des débouchés aux entreprises de récupération et de recyclage. Au </w:t>
            </w:r>
            <w:r w:rsidRPr="00C83DA9">
              <w:rPr>
                <w:b/>
                <w:bCs/>
                <w:color w:val="000000"/>
                <w:sz w:val="22"/>
                <w:lang w:val="fr-FR"/>
              </w:rPr>
              <w:t>Paraguay</w:t>
            </w:r>
            <w:r w:rsidRPr="00C83DA9">
              <w:rPr>
                <w:color w:val="000000"/>
                <w:sz w:val="22"/>
                <w:lang w:val="fr-FR"/>
              </w:rPr>
              <w:t>, le BDT a organisé des ateliers de consultation avec des parties prenantes des secteurs public et privé en 2024, qui ont ainsi ouvert la voie vers l'élaboration d'un décret et d'une résolution au niveau national sur la gestion des DEEE.</w:t>
            </w:r>
          </w:p>
          <w:p w14:paraId="5DBAB4A5" w14:textId="766AB472" w:rsidR="00651678" w:rsidRPr="00C83DA9" w:rsidRDefault="006E54DC"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rFonts w:ascii="Calibri" w:hAnsi="Calibri" w:cs="Calibri"/>
                <w:sz w:val="22"/>
                <w:lang w:val="fr-FR"/>
              </w:rPr>
              <w:t xml:space="preserve">Dans la </w:t>
            </w:r>
            <w:r w:rsidRPr="00C83DA9">
              <w:rPr>
                <w:rFonts w:ascii="Calibri" w:hAnsi="Calibri" w:cs="Calibri"/>
                <w:b/>
                <w:bCs/>
                <w:sz w:val="22"/>
                <w:lang w:val="fr-FR"/>
              </w:rPr>
              <w:t>région des États arabes</w:t>
            </w:r>
            <w:r w:rsidRPr="00C83DA9">
              <w:rPr>
                <w:rFonts w:ascii="Calibri" w:hAnsi="Calibri" w:cs="Calibri"/>
                <w:sz w:val="22"/>
                <w:lang w:val="fr-FR"/>
              </w:rPr>
              <w:t xml:space="preserve">, </w:t>
            </w:r>
            <w:r w:rsidR="00664FDF" w:rsidRPr="00C83DA9">
              <w:rPr>
                <w:color w:val="000000"/>
                <w:sz w:val="22"/>
                <w:lang w:val="fr-FR"/>
              </w:rPr>
              <w:t xml:space="preserve">des ateliers visant à associer les communautés réglementaires à la durabilité environnementale ont été organisés lors du </w:t>
            </w:r>
            <w:hyperlink r:id="rId280" w:history="1">
              <w:r w:rsidR="00664FDF" w:rsidRPr="00C83DA9">
                <w:rPr>
                  <w:color w:val="000000"/>
                  <w:sz w:val="22"/>
                  <w:lang w:val="fr-FR"/>
                </w:rPr>
                <w:t>Colloque mondial des régulateurs</w:t>
              </w:r>
            </w:hyperlink>
            <w:r w:rsidR="00664FDF" w:rsidRPr="00C83DA9">
              <w:rPr>
                <w:color w:val="000000"/>
                <w:sz w:val="22"/>
                <w:lang w:val="fr-FR"/>
              </w:rPr>
              <w:t xml:space="preserve"> sur les thèmes suivants: "Une transformation numérique plus écologique" en 2023 en Égypte; et "Des cadres pour un avenir durable" en 2025 en Arabie saoudite.</w:t>
            </w:r>
          </w:p>
          <w:p w14:paraId="27D71406" w14:textId="524D2717" w:rsidR="00C57D56" w:rsidRPr="00C83DA9" w:rsidRDefault="00C57D56" w:rsidP="005D736D">
            <w:pPr>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lastRenderedPageBreak/>
              <w:t xml:space="preserve">Dans la </w:t>
            </w:r>
            <w:r w:rsidRPr="00C83DA9">
              <w:rPr>
                <w:b/>
                <w:bCs/>
                <w:color w:val="000000"/>
                <w:sz w:val="22"/>
                <w:lang w:val="fr-FR"/>
              </w:rPr>
              <w:t>région Asie-Pacifique</w:t>
            </w:r>
            <w:r w:rsidRPr="00C83DA9">
              <w:rPr>
                <w:color w:val="000000"/>
                <w:sz w:val="22"/>
                <w:lang w:val="fr-FR"/>
              </w:rPr>
              <w:t>, le BDT a aidé un certain nombre de gouvernements à faire progresser la réglementation dans le domaine des DEEE et les initiatives en faveur de l'économie circulaire. Grâce au financement du Département des infrastructures, des transports, du développement régional, des communications et des arts de l'</w:t>
            </w:r>
            <w:r w:rsidRPr="00C83DA9">
              <w:rPr>
                <w:b/>
                <w:bCs/>
                <w:color w:val="000000"/>
                <w:sz w:val="22"/>
                <w:lang w:val="fr-FR"/>
              </w:rPr>
              <w:t>Australie</w:t>
            </w:r>
            <w:r w:rsidRPr="00C83DA9">
              <w:rPr>
                <w:color w:val="000000"/>
                <w:sz w:val="22"/>
                <w:lang w:val="fr-FR"/>
              </w:rPr>
              <w:t xml:space="preserve">, des projets ont été lancés en </w:t>
            </w:r>
            <w:r w:rsidRPr="00C83DA9">
              <w:rPr>
                <w:b/>
                <w:bCs/>
                <w:color w:val="000000"/>
                <w:sz w:val="22"/>
                <w:lang w:val="fr-FR"/>
              </w:rPr>
              <w:t xml:space="preserve">Thaïlande </w:t>
            </w:r>
            <w:r w:rsidRPr="00C83DA9">
              <w:rPr>
                <w:color w:val="000000"/>
                <w:sz w:val="22"/>
                <w:lang w:val="fr-FR"/>
              </w:rPr>
              <w:t xml:space="preserve">et en </w:t>
            </w:r>
            <w:r w:rsidRPr="00C83DA9">
              <w:rPr>
                <w:b/>
                <w:bCs/>
                <w:color w:val="000000"/>
                <w:sz w:val="22"/>
                <w:lang w:val="fr-FR"/>
              </w:rPr>
              <w:t>Mongolie</w:t>
            </w:r>
            <w:r w:rsidR="00651678" w:rsidRPr="00C83DA9">
              <w:rPr>
                <w:color w:val="000000"/>
                <w:sz w:val="22"/>
                <w:lang w:val="fr-FR"/>
              </w:rPr>
              <w:t xml:space="preserve"> </w:t>
            </w:r>
            <w:r w:rsidRPr="00C83DA9">
              <w:rPr>
                <w:color w:val="000000"/>
                <w:sz w:val="22"/>
                <w:lang w:val="fr-FR"/>
              </w:rPr>
              <w:t>en</w:t>
            </w:r>
            <w:r w:rsidR="00E90E58">
              <w:rPr>
                <w:color w:val="000000"/>
                <w:sz w:val="22"/>
                <w:lang w:val="fr-FR"/>
              </w:rPr>
              <w:t> </w:t>
            </w:r>
            <w:r w:rsidRPr="00C83DA9">
              <w:rPr>
                <w:color w:val="000000"/>
                <w:sz w:val="22"/>
                <w:lang w:val="fr-FR"/>
              </w:rPr>
              <w:t>2024 pour créer des cadres réglementaires s'inscrivant dans un système de responsabilité élargie des producteurs. Des ateliers organisés à Bangkok en 2024 ont réuni les pouvoirs publics et les producteurs en vue d'améliorer les dispositions du projet de loi sur les</w:t>
            </w:r>
            <w:r w:rsidR="00E90E58">
              <w:rPr>
                <w:color w:val="000000"/>
                <w:sz w:val="22"/>
                <w:lang w:val="fr-FR"/>
              </w:rPr>
              <w:t> </w:t>
            </w:r>
            <w:r w:rsidRPr="00C83DA9">
              <w:rPr>
                <w:color w:val="000000"/>
                <w:sz w:val="22"/>
                <w:lang w:val="fr-FR"/>
              </w:rPr>
              <w:t>DEEE.</w:t>
            </w:r>
          </w:p>
          <w:p w14:paraId="0127ED65"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En </w:t>
            </w:r>
            <w:r w:rsidRPr="00C83DA9">
              <w:rPr>
                <w:b/>
                <w:bCs/>
                <w:color w:val="000000"/>
                <w:sz w:val="22"/>
                <w:lang w:val="fr-FR"/>
              </w:rPr>
              <w:t>Indonésie</w:t>
            </w:r>
            <w:r w:rsidRPr="00C83DA9">
              <w:rPr>
                <w:color w:val="000000"/>
                <w:sz w:val="22"/>
                <w:lang w:val="fr-FR"/>
              </w:rPr>
              <w:t>, le BDT a œuvré avec le gouvernement à l'élaboration d'une feuille de route nationale pour la gestion des DEEE postconsommation en 2025. Celle-ci a été définie dans le cadre d'une série de consultations et prévoit un plan juridiquement sain et financièrement viable pour la gestion des dispositifs électroniques mis au rebut.</w:t>
            </w:r>
          </w:p>
          <w:p w14:paraId="73CAEC8B"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Parmi les activités de renforcement des capacités figuraient une formation sur les fondamentaux de la politique relative aux DEEE organisée à Bangkok en 2024, qui a rassemblé 26 participants de près de 20 pays. La formation portait sur la responsabilité élargie des producteurs, les principes de l'économie circulaire et le rôle des producteurs dans la réglementation relative aux DEEE.</w:t>
            </w:r>
          </w:p>
          <w:p w14:paraId="4AE17AD2"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Ces initiatives ont permis de doter les gouvernements de la région d'instruments politiques et de renforcer leurs capacités à réglementer durablement la gestion des DEEE et à associer les parties prenantes du secteur privé à des solutions de long terme.</w:t>
            </w:r>
          </w:p>
          <w:p w14:paraId="4731A613" w14:textId="430158DC" w:rsidR="00C57D56" w:rsidRPr="00C83DA9" w:rsidRDefault="00C57D56" w:rsidP="005D736D">
            <w:pPr>
              <w:pStyle w:val="Tabletext"/>
              <w:spacing w:before="120"/>
              <w:rPr>
                <w:rFonts w:ascii="Calibri" w:hAnsi="Calibri" w:cs="Calibri"/>
                <w:sz w:val="22"/>
                <w:lang w:val="fr-FR"/>
              </w:rPr>
            </w:pPr>
            <w:r w:rsidRPr="00C83DA9">
              <w:rPr>
                <w:color w:val="000000"/>
                <w:sz w:val="22"/>
                <w:lang w:val="fr-FR"/>
              </w:rPr>
              <w:t xml:space="preserve">Dans la région </w:t>
            </w:r>
            <w:r w:rsidRPr="00C83DA9">
              <w:rPr>
                <w:b/>
                <w:bCs/>
                <w:color w:val="000000"/>
                <w:sz w:val="22"/>
                <w:lang w:val="fr-FR"/>
              </w:rPr>
              <w:t>Europe</w:t>
            </w:r>
            <w:r w:rsidRPr="00C83DA9">
              <w:rPr>
                <w:color w:val="000000"/>
                <w:sz w:val="22"/>
                <w:lang w:val="fr-FR"/>
              </w:rPr>
              <w:t xml:space="preserve">, le BDT et ses partenaires ont lancé en décembre 2023 le </w:t>
            </w:r>
            <w:hyperlink r:id="rId281" w:history="1">
              <w:r w:rsidRPr="00C83DA9">
                <w:rPr>
                  <w:rStyle w:val="Hyperlink"/>
                  <w:rFonts w:ascii="Calibri" w:eastAsia="Times New Roman" w:hAnsi="Calibri"/>
                  <w:sz w:val="22"/>
                  <w:lang w:val="fr-FR"/>
                </w:rPr>
                <w:t>Rapport régional sur les déchets d'équipements électriques et électroniques pour les Balkans occidentaux</w:t>
              </w:r>
            </w:hyperlink>
            <w:r w:rsidRPr="00C83DA9">
              <w:rPr>
                <w:color w:val="000000"/>
                <w:sz w:val="22"/>
                <w:lang w:val="fr-FR"/>
              </w:rPr>
              <w:t>. Il contient six recommandations pour une gestion holistique des DEEE, et préconise notamment des mesures préventives, une amélioration de la collecte, des normes de sécurité et une indemnisation équitable. Le rapport sert de feuille de route aux gouvernements et aux entreprises pour améliorer les pratiques de recyclage et protéger les communautés.</w:t>
            </w:r>
          </w:p>
          <w:p w14:paraId="56BD144C"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Dans la région de la </w:t>
            </w:r>
            <w:r w:rsidRPr="00C83DA9">
              <w:rPr>
                <w:b/>
                <w:bCs/>
                <w:color w:val="000000"/>
                <w:sz w:val="22"/>
                <w:lang w:val="fr-FR"/>
              </w:rPr>
              <w:t>CEI</w:t>
            </w:r>
            <w:r w:rsidRPr="00C83DA9">
              <w:rPr>
                <w:color w:val="000000"/>
                <w:sz w:val="22"/>
                <w:lang w:val="fr-FR"/>
              </w:rPr>
              <w:t xml:space="preserve">, notamment, le BDT a aidé le </w:t>
            </w:r>
            <w:r w:rsidRPr="00C83DA9">
              <w:rPr>
                <w:b/>
                <w:bCs/>
                <w:color w:val="000000"/>
                <w:sz w:val="22"/>
                <w:lang w:val="fr-FR"/>
              </w:rPr>
              <w:t xml:space="preserve">Kazakhstan </w:t>
            </w:r>
            <w:r w:rsidRPr="00C83DA9">
              <w:rPr>
                <w:color w:val="000000"/>
                <w:sz w:val="22"/>
                <w:lang w:val="fr-FR"/>
              </w:rPr>
              <w:t xml:space="preserve">à produire son </w:t>
            </w:r>
            <w:r w:rsidRPr="00C83DA9">
              <w:rPr>
                <w:b/>
                <w:bCs/>
                <w:color w:val="000000"/>
                <w:sz w:val="22"/>
                <w:lang w:val="fr-FR"/>
              </w:rPr>
              <w:t>rapport national sur le suivi des DEEE</w:t>
            </w:r>
            <w:r w:rsidRPr="00C83DA9">
              <w:rPr>
                <w:color w:val="000000"/>
                <w:sz w:val="22"/>
                <w:lang w:val="fr-FR"/>
              </w:rPr>
              <w:t>, qui contient à la fois une analyse statistique et une feuille de route pour la mise en place d'une stratégie de gestion durable des DEEE. Ce rapport a permis d'approfondir les connaissances des décideurs et des entreprises en matière d'élaboration des politiques et d'aligner les cadres nationaux sur les bonnes pratiques mondiales.</w:t>
            </w:r>
          </w:p>
          <w:p w14:paraId="2EC088F1" w14:textId="77777777" w:rsidR="00C57D56" w:rsidRPr="00C83DA9"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C83DA9">
              <w:rPr>
                <w:color w:val="000000"/>
                <w:sz w:val="22"/>
                <w:lang w:val="fr-FR"/>
              </w:rPr>
              <w:t>Au cours de cette période, les partenariats sont restés au cœur des travaux du BDT; ils déterminent à la fois la portée des produits et services du BDT et optimisent les retombées sur le terrain. En collaborant avec les gouvernements, les organisations internationales, le secteur privé, les établissements universitaires et la société civile, le BDT a pu traduire les engagements pris à l'échelle mondiale en résultats concrets.</w:t>
            </w:r>
          </w:p>
          <w:p w14:paraId="2B525D85"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La collaboration avec le Ministère des sciences et des TIC de la </w:t>
            </w:r>
            <w:r w:rsidRPr="00C83DA9">
              <w:rPr>
                <w:b/>
                <w:bCs/>
                <w:color w:val="000000"/>
                <w:sz w:val="22"/>
                <w:lang w:val="fr-FR"/>
              </w:rPr>
              <w:t>République de Corée</w:t>
            </w:r>
            <w:r w:rsidRPr="00C83DA9">
              <w:rPr>
                <w:color w:val="000000"/>
                <w:sz w:val="22"/>
                <w:lang w:val="fr-FR"/>
              </w:rPr>
              <w:t xml:space="preserve">, par exemple, a débouché sur la mise en œuvre de projets aux </w:t>
            </w:r>
            <w:r w:rsidRPr="00C83DA9">
              <w:rPr>
                <w:b/>
                <w:bCs/>
                <w:color w:val="000000"/>
                <w:sz w:val="22"/>
                <w:lang w:val="fr-FR"/>
              </w:rPr>
              <w:t xml:space="preserve">Philippines </w:t>
            </w:r>
            <w:r w:rsidRPr="00C83DA9">
              <w:rPr>
                <w:color w:val="000000"/>
                <w:sz w:val="22"/>
                <w:lang w:val="fr-FR"/>
              </w:rPr>
              <w:t xml:space="preserve">et en </w:t>
            </w:r>
            <w:r w:rsidRPr="00C83DA9">
              <w:rPr>
                <w:b/>
                <w:bCs/>
                <w:color w:val="000000"/>
                <w:sz w:val="22"/>
                <w:lang w:val="fr-FR"/>
              </w:rPr>
              <w:t xml:space="preserve">Tanzanie </w:t>
            </w:r>
            <w:r w:rsidRPr="00C83DA9">
              <w:rPr>
                <w:color w:val="000000"/>
                <w:sz w:val="22"/>
                <w:lang w:val="fr-FR"/>
              </w:rPr>
              <w:t>et contribué à renforcer la capacité du régulateur à mettre au point des stratégies pour parvenir à une transition numérique neutre en carbone. Les partenariats avec l'</w:t>
            </w:r>
            <w:r w:rsidRPr="00C83DA9">
              <w:rPr>
                <w:b/>
                <w:bCs/>
                <w:color w:val="000000"/>
                <w:sz w:val="22"/>
                <w:lang w:val="fr-FR"/>
              </w:rPr>
              <w:t>Australie</w:t>
            </w:r>
            <w:r w:rsidRPr="00C83DA9">
              <w:rPr>
                <w:color w:val="000000"/>
                <w:sz w:val="22"/>
                <w:lang w:val="fr-FR"/>
              </w:rPr>
              <w:t xml:space="preserve">, le </w:t>
            </w:r>
            <w:r w:rsidRPr="00C83DA9">
              <w:rPr>
                <w:b/>
                <w:bCs/>
                <w:color w:val="000000"/>
                <w:sz w:val="22"/>
                <w:lang w:val="fr-FR"/>
              </w:rPr>
              <w:t>Ministère des affaires étrangères, du Commonwealth et du développement du Royaume-Uni</w:t>
            </w:r>
            <w:r w:rsidRPr="00C83DA9">
              <w:rPr>
                <w:color w:val="000000"/>
                <w:sz w:val="22"/>
                <w:lang w:val="fr-FR"/>
              </w:rPr>
              <w:t xml:space="preserve"> et la </w:t>
            </w:r>
            <w:r w:rsidRPr="00C83DA9">
              <w:rPr>
                <w:b/>
                <w:bCs/>
                <w:color w:val="000000"/>
                <w:sz w:val="22"/>
                <w:lang w:val="fr-FR"/>
              </w:rPr>
              <w:t>Commission des communications, de l'espace et des technologies de l'Arabie saoudite</w:t>
            </w:r>
            <w:r w:rsidRPr="00C83DA9">
              <w:rPr>
                <w:color w:val="000000"/>
                <w:sz w:val="22"/>
                <w:lang w:val="fr-FR"/>
              </w:rPr>
              <w:t xml:space="preserve"> ont permis de fournir une assistance technique à l'</w:t>
            </w:r>
            <w:r w:rsidRPr="00C83DA9">
              <w:rPr>
                <w:b/>
                <w:bCs/>
                <w:color w:val="000000"/>
                <w:sz w:val="22"/>
                <w:lang w:val="fr-FR"/>
              </w:rPr>
              <w:t>Indonésie</w:t>
            </w:r>
            <w:r w:rsidRPr="00C83DA9">
              <w:rPr>
                <w:color w:val="000000"/>
                <w:sz w:val="22"/>
                <w:lang w:val="fr-FR"/>
              </w:rPr>
              <w:t xml:space="preserve">, à la </w:t>
            </w:r>
            <w:r w:rsidRPr="00C83DA9">
              <w:rPr>
                <w:b/>
                <w:bCs/>
                <w:color w:val="000000"/>
                <w:sz w:val="22"/>
                <w:lang w:val="fr-FR"/>
              </w:rPr>
              <w:t>Mongolie</w:t>
            </w:r>
            <w:r w:rsidRPr="00C83DA9">
              <w:rPr>
                <w:color w:val="000000"/>
                <w:sz w:val="22"/>
                <w:lang w:val="fr-FR"/>
              </w:rPr>
              <w:t xml:space="preserve">, au </w:t>
            </w:r>
            <w:r w:rsidRPr="00C83DA9">
              <w:rPr>
                <w:b/>
                <w:bCs/>
                <w:color w:val="000000"/>
                <w:sz w:val="22"/>
                <w:lang w:val="fr-FR"/>
              </w:rPr>
              <w:t>Paraguay</w:t>
            </w:r>
            <w:r w:rsidRPr="00C83DA9">
              <w:rPr>
                <w:color w:val="000000"/>
                <w:sz w:val="22"/>
                <w:lang w:val="fr-FR"/>
              </w:rPr>
              <w:t xml:space="preserve">, au </w:t>
            </w:r>
            <w:r w:rsidRPr="00C83DA9">
              <w:rPr>
                <w:b/>
                <w:bCs/>
                <w:color w:val="000000"/>
                <w:sz w:val="22"/>
                <w:lang w:val="fr-FR"/>
              </w:rPr>
              <w:t>Rwanda</w:t>
            </w:r>
            <w:r w:rsidRPr="00C83DA9">
              <w:rPr>
                <w:color w:val="000000"/>
                <w:sz w:val="22"/>
                <w:lang w:val="fr-FR"/>
              </w:rPr>
              <w:t xml:space="preserve">, à la </w:t>
            </w:r>
            <w:r w:rsidRPr="00C83DA9">
              <w:rPr>
                <w:b/>
                <w:bCs/>
                <w:color w:val="000000"/>
                <w:sz w:val="22"/>
                <w:lang w:val="fr-FR"/>
              </w:rPr>
              <w:t xml:space="preserve">Thaïlande </w:t>
            </w:r>
            <w:r w:rsidRPr="00C83DA9">
              <w:rPr>
                <w:color w:val="000000"/>
                <w:sz w:val="22"/>
                <w:lang w:val="fr-FR"/>
              </w:rPr>
              <w:t xml:space="preserve">et à la </w:t>
            </w:r>
            <w:r w:rsidRPr="00C83DA9">
              <w:rPr>
                <w:b/>
                <w:bCs/>
                <w:color w:val="000000"/>
                <w:sz w:val="22"/>
                <w:lang w:val="fr-FR"/>
              </w:rPr>
              <w:t>Zambie</w:t>
            </w:r>
            <w:r w:rsidRPr="00C83DA9">
              <w:rPr>
                <w:color w:val="000000"/>
                <w:sz w:val="22"/>
                <w:lang w:val="fr-FR"/>
              </w:rPr>
              <w:t>.</w:t>
            </w:r>
          </w:p>
          <w:p w14:paraId="11DA743C" w14:textId="2B9DB81B" w:rsidR="00C57D56" w:rsidRPr="00C83DA9" w:rsidRDefault="00C57D56" w:rsidP="005D736D">
            <w:pPr>
              <w:keepNext/>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lastRenderedPageBreak/>
              <w:t xml:space="preserve">Le BDT a assuré sa bonne visibilité et partagé ses connaissances en participant à des manifestations internationales telles que la </w:t>
            </w:r>
            <w:hyperlink r:id="rId282" w:history="1">
              <w:r w:rsidRPr="00C83DA9">
                <w:rPr>
                  <w:color w:val="0000FF"/>
                  <w:sz w:val="22"/>
                  <w:u w:val="single"/>
                  <w:lang w:val="fr-FR"/>
                </w:rPr>
                <w:t>COP28 à Dubaï</w:t>
              </w:r>
            </w:hyperlink>
            <w:r w:rsidRPr="00C83DA9">
              <w:rPr>
                <w:color w:val="000000"/>
                <w:sz w:val="22"/>
                <w:lang w:val="fr-FR"/>
              </w:rPr>
              <w:t xml:space="preserve"> et la </w:t>
            </w:r>
            <w:hyperlink r:id="rId283" w:history="1">
              <w:r w:rsidRPr="00C83DA9">
                <w:rPr>
                  <w:color w:val="0000FF"/>
                  <w:sz w:val="22"/>
                  <w:u w:val="single"/>
                  <w:lang w:val="fr-FR"/>
                </w:rPr>
                <w:t>COP29 à Bakou</w:t>
              </w:r>
            </w:hyperlink>
            <w:r w:rsidRPr="00C83DA9">
              <w:rPr>
                <w:color w:val="000000"/>
                <w:sz w:val="22"/>
                <w:lang w:val="fr-FR"/>
              </w:rPr>
              <w:t>, où il a coorganisé des sessions sur les TIC et la lutte contre les changements climatiques.</w:t>
            </w:r>
          </w:p>
        </w:tc>
        <w:tc>
          <w:tcPr>
            <w:tcW w:w="2698" w:type="dxa"/>
            <w:tcBorders>
              <w:top w:val="dotted" w:sz="4" w:space="0" w:color="0070C0"/>
              <w:left w:val="dotted" w:sz="4" w:space="0" w:color="0070C0"/>
              <w:bottom w:val="dotted" w:sz="4" w:space="0" w:color="0070C0"/>
              <w:right w:val="dotted" w:sz="4" w:space="0" w:color="0070C0"/>
            </w:tcBorders>
          </w:tcPr>
          <w:p w14:paraId="04A9EF20" w14:textId="77777777" w:rsidR="00C57D56" w:rsidRPr="00C83DA9" w:rsidRDefault="00C57D56"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lastRenderedPageBreak/>
              <w:t>•</w:t>
            </w:r>
            <w:r w:rsidRPr="00C83DA9">
              <w:rPr>
                <w:color w:val="1F497D" w:themeColor="text2"/>
                <w:sz w:val="22"/>
                <w:lang w:val="fr-FR"/>
              </w:rPr>
              <w:tab/>
              <w:t>Renforcement de la participation des fabricants d'équipements électroniques à l'élaboration de la réglementation.</w:t>
            </w:r>
          </w:p>
          <w:p w14:paraId="0647637D" w14:textId="77777777" w:rsidR="00C57D56" w:rsidRPr="00C83DA9" w:rsidRDefault="00C57D56"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Amélioration de la collecte de données sur les émissions de GES et l'énergie.</w:t>
            </w:r>
          </w:p>
          <w:p w14:paraId="7BC0631C" w14:textId="77777777" w:rsidR="00C57D56" w:rsidRPr="00C83DA9" w:rsidRDefault="00C57D56"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Amélioration du suivi de l'empreinte climatique du secteur des TIC.</w:t>
            </w:r>
          </w:p>
          <w:p w14:paraId="1EA72BED" w14:textId="77777777" w:rsidR="00C57D56" w:rsidRPr="00C83DA9" w:rsidRDefault="00C57D56"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Pr="00C83DA9">
              <w:rPr>
                <w:b/>
                <w:bCs/>
                <w:sz w:val="22"/>
                <w:lang w:val="fr-FR"/>
              </w:rPr>
              <w:t>Afrique</w:t>
            </w:r>
            <w:r w:rsidRPr="00C83DA9">
              <w:rPr>
                <w:color w:val="1F497D" w:themeColor="text2"/>
                <w:sz w:val="22"/>
                <w:lang w:val="fr-FR"/>
              </w:rPr>
              <w:t>: Rwanda, Seychelles, Tanzanie, Ouganda, Zambie.</w:t>
            </w:r>
          </w:p>
          <w:p w14:paraId="0E4CD53A" w14:textId="77777777" w:rsidR="00C57D56" w:rsidRPr="00C83DA9" w:rsidRDefault="00C57D56"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Pr="00C83DA9">
              <w:rPr>
                <w:b/>
                <w:bCs/>
                <w:sz w:val="22"/>
                <w:lang w:val="fr-FR"/>
              </w:rPr>
              <w:t>Amériques</w:t>
            </w:r>
            <w:r w:rsidRPr="00C83DA9">
              <w:rPr>
                <w:color w:val="1F497D" w:themeColor="text2"/>
                <w:sz w:val="22"/>
                <w:lang w:val="fr-FR"/>
              </w:rPr>
              <w:t>: Paraguay.</w:t>
            </w:r>
          </w:p>
          <w:p w14:paraId="349CD967" w14:textId="6537518D" w:rsidR="00C57D56" w:rsidRPr="00C83DA9" w:rsidRDefault="00C57D56"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Pr="00C83DA9">
              <w:rPr>
                <w:b/>
                <w:bCs/>
                <w:sz w:val="22"/>
                <w:lang w:val="fr-FR"/>
              </w:rPr>
              <w:t>Asie-Pacifique</w:t>
            </w:r>
            <w:r w:rsidRPr="00C83DA9">
              <w:rPr>
                <w:color w:val="1F497D" w:themeColor="text2"/>
                <w:sz w:val="22"/>
                <w:lang w:val="fr-FR"/>
              </w:rPr>
              <w:t>: Indonésie, Mongolie, Thaïlande.</w:t>
            </w:r>
          </w:p>
          <w:p w14:paraId="004D1B44" w14:textId="77777777" w:rsidR="00C57D56" w:rsidRPr="00C83DA9" w:rsidRDefault="00C57D56" w:rsidP="00CF2433">
            <w:pPr>
              <w:keepNext/>
              <w:keepLines/>
              <w:widowControl w:val="0"/>
              <w:tabs>
                <w:tab w:val="clear" w:pos="1134"/>
                <w:tab w:val="clear" w:pos="1871"/>
                <w:tab w:val="clear" w:pos="2268"/>
                <w:tab w:val="left" w:pos="3119"/>
                <w:tab w:val="left" w:pos="3402"/>
                <w:tab w:val="left" w:pos="3686"/>
                <w:tab w:val="left" w:pos="3969"/>
              </w:tabs>
              <w:spacing w:after="40"/>
              <w:ind w:left="29" w:hanging="6"/>
              <w:rPr>
                <w:b/>
                <w:color w:val="0070C0"/>
                <w:sz w:val="22"/>
                <w:lang w:val="fr-FR" w:eastAsia="zh-CN"/>
              </w:rPr>
            </w:pPr>
            <w:r w:rsidRPr="00C83DA9">
              <w:rPr>
                <w:b/>
                <w:color w:val="0070C0"/>
                <w:sz w:val="22"/>
                <w:lang w:val="fr-FR" w:eastAsia="zh-CN"/>
              </w:rPr>
              <w:lastRenderedPageBreak/>
              <w:t>PMA, PDSL et PEID mobilisés ou aidés:</w:t>
            </w:r>
          </w:p>
          <w:p w14:paraId="291BA0D3" w14:textId="1640745A" w:rsidR="00C57D56" w:rsidRPr="00C83DA9" w:rsidRDefault="00C57D56" w:rsidP="00CF2433">
            <w:pPr>
              <w:pStyle w:val="enumlev1"/>
              <w:keepLines/>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000E3874" w:rsidRPr="00C83DA9">
              <w:rPr>
                <w:color w:val="1F497D" w:themeColor="text2"/>
                <w:sz w:val="22"/>
                <w:lang w:val="fr-FR"/>
              </w:rPr>
              <w:t xml:space="preserve">4 </w:t>
            </w:r>
            <w:r w:rsidRPr="00C83DA9">
              <w:rPr>
                <w:color w:val="1F497D" w:themeColor="text2"/>
                <w:sz w:val="22"/>
                <w:lang w:val="fr-FR"/>
              </w:rPr>
              <w:t>pays ont bénéficié d'un appui pour l'élaboration de cadres politiques et de supports de connaissances.</w:t>
            </w:r>
          </w:p>
          <w:p w14:paraId="23F57D12" w14:textId="77777777" w:rsidR="00C57D56" w:rsidRPr="00C83DA9" w:rsidRDefault="00C57D56" w:rsidP="00A86714">
            <w:pPr>
              <w:widowControl w:val="0"/>
              <w:tabs>
                <w:tab w:val="clear" w:pos="1134"/>
                <w:tab w:val="clear" w:pos="1871"/>
                <w:tab w:val="clear" w:pos="2268"/>
                <w:tab w:val="left" w:pos="3119"/>
                <w:tab w:val="left" w:pos="3402"/>
                <w:tab w:val="left" w:pos="3686"/>
                <w:tab w:val="left" w:pos="3969"/>
              </w:tabs>
              <w:spacing w:after="40"/>
              <w:ind w:left="29" w:hanging="6"/>
              <w:rPr>
                <w:b/>
                <w:color w:val="0070C0"/>
                <w:sz w:val="22"/>
                <w:lang w:val="fr-FR" w:eastAsia="zh-CN"/>
              </w:rPr>
            </w:pPr>
            <w:r w:rsidRPr="00C83DA9">
              <w:rPr>
                <w:b/>
                <w:color w:val="0070C0"/>
                <w:sz w:val="22"/>
                <w:lang w:val="fr-FR" w:eastAsia="zh-CN"/>
              </w:rPr>
              <w:t>CE 2 de l'UIT-D, Question 6/2:</w:t>
            </w:r>
          </w:p>
          <w:p w14:paraId="1BCBE92B" w14:textId="77777777" w:rsidR="00C57D56" w:rsidRPr="00C83DA9" w:rsidRDefault="00C57D56"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4 réunions.</w:t>
            </w:r>
          </w:p>
          <w:p w14:paraId="78BCD0FD" w14:textId="77777777" w:rsidR="00C57D56" w:rsidRPr="00C83DA9"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C83DA9">
              <w:rPr>
                <w:color w:val="1F497D" w:themeColor="text2"/>
                <w:sz w:val="22"/>
                <w:lang w:val="fr-FR"/>
              </w:rPr>
              <w:t>•</w:t>
            </w:r>
            <w:r w:rsidRPr="00C83DA9">
              <w:rPr>
                <w:color w:val="1F497D" w:themeColor="text2"/>
                <w:sz w:val="22"/>
                <w:lang w:val="fr-FR"/>
              </w:rPr>
              <w:tab/>
              <w:t>51 contributions.</w:t>
            </w:r>
          </w:p>
          <w:p w14:paraId="7EAA66DA" w14:textId="77777777" w:rsidR="00C57D56" w:rsidRPr="00C83DA9" w:rsidRDefault="00C57D56"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 xml:space="preserve">2 </w:t>
            </w:r>
            <w:hyperlink r:id="rId284" w:history="1">
              <w:r w:rsidRPr="00C83DA9">
                <w:rPr>
                  <w:color w:val="0000FF"/>
                  <w:sz w:val="22"/>
                  <w:u w:val="single"/>
                  <w:lang w:val="fr-FR"/>
                </w:rPr>
                <w:t>ateliers</w:t>
              </w:r>
            </w:hyperlink>
            <w:r w:rsidRPr="00C83DA9">
              <w:rPr>
                <w:color w:val="1F497D" w:themeColor="text2"/>
                <w:sz w:val="22"/>
                <w:lang w:val="fr-FR"/>
              </w:rPr>
              <w:t xml:space="preserve"> organisés et un </w:t>
            </w:r>
            <w:hyperlink r:id="rId285" w:history="1">
              <w:r w:rsidRPr="00C83DA9">
                <w:rPr>
                  <w:color w:val="0000FF"/>
                  <w:sz w:val="22"/>
                  <w:u w:val="single"/>
                  <w:lang w:val="fr-FR"/>
                </w:rPr>
                <w:t>rapport final</w:t>
              </w:r>
            </w:hyperlink>
            <w:r w:rsidRPr="00C83DA9">
              <w:rPr>
                <w:color w:val="0000FF"/>
                <w:sz w:val="22"/>
                <w:u w:val="single"/>
                <w:lang w:val="fr-FR"/>
              </w:rPr>
              <w:t xml:space="preserve"> élaboré</w:t>
            </w:r>
            <w:r w:rsidRPr="00C83DA9">
              <w:rPr>
                <w:color w:val="1F497D" w:themeColor="text2"/>
                <w:sz w:val="22"/>
                <w:lang w:val="fr-FR"/>
              </w:rPr>
              <w:t>.</w:t>
            </w:r>
          </w:p>
        </w:tc>
      </w:tr>
      <w:tr w:rsidR="00C57D56" w:rsidRPr="00C83DA9" w14:paraId="782A7FD6" w14:textId="77777777" w:rsidTr="002C3103">
        <w:trPr>
          <w:trHeight w:val="300"/>
        </w:trPr>
        <w:tc>
          <w:tcPr>
            <w:tcW w:w="4678" w:type="dxa"/>
            <w:tcBorders>
              <w:top w:val="dotted" w:sz="4" w:space="0" w:color="0070C0"/>
              <w:left w:val="dotted" w:sz="4" w:space="0" w:color="0070C0"/>
              <w:bottom w:val="dotted" w:sz="4" w:space="0" w:color="0070C0"/>
              <w:right w:val="dotted" w:sz="4" w:space="0" w:color="0070C0"/>
            </w:tcBorders>
            <w:hideMark/>
          </w:tcPr>
          <w:p w14:paraId="1DCE4890" w14:textId="77777777" w:rsidR="00C57D56" w:rsidRPr="00C83DA9" w:rsidRDefault="00C57D56"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lastRenderedPageBreak/>
              <w:t>Contribution à la réalisation des cibles des ODD</w:t>
            </w:r>
          </w:p>
        </w:tc>
        <w:tc>
          <w:tcPr>
            <w:tcW w:w="10352" w:type="dxa"/>
            <w:gridSpan w:val="2"/>
            <w:tcBorders>
              <w:top w:val="dotted" w:sz="4" w:space="0" w:color="0070C0"/>
              <w:left w:val="dotted" w:sz="4" w:space="0" w:color="0070C0"/>
              <w:bottom w:val="dotted" w:sz="4" w:space="0" w:color="0070C0"/>
              <w:right w:val="dotted" w:sz="4" w:space="0" w:color="0070C0"/>
            </w:tcBorders>
            <w:hideMark/>
          </w:tcPr>
          <w:p w14:paraId="0DC275B6" w14:textId="77777777" w:rsidR="00C57D56" w:rsidRPr="00C83DA9" w:rsidRDefault="00C57D56"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ODD 1, 3, 4, 5, 8, 9, 10, 11, 16, 17</w:t>
            </w:r>
          </w:p>
        </w:tc>
      </w:tr>
      <w:tr w:rsidR="00C57D56" w:rsidRPr="00C83DA9" w14:paraId="70EE4EC3" w14:textId="77777777" w:rsidTr="002C3103">
        <w:trPr>
          <w:trHeight w:val="300"/>
        </w:trPr>
        <w:tc>
          <w:tcPr>
            <w:tcW w:w="4678" w:type="dxa"/>
            <w:tcBorders>
              <w:top w:val="dotted" w:sz="4" w:space="0" w:color="0070C0"/>
              <w:left w:val="dotted" w:sz="4" w:space="0" w:color="0070C0"/>
              <w:bottom w:val="dotted" w:sz="4" w:space="0" w:color="0070C0"/>
              <w:right w:val="dotted" w:sz="4" w:space="0" w:color="0070C0"/>
            </w:tcBorders>
            <w:hideMark/>
          </w:tcPr>
          <w:p w14:paraId="117721D7" w14:textId="77777777" w:rsidR="00C57D56" w:rsidRPr="00C83DA9" w:rsidRDefault="00C57D56"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Grandes orientations du SMSI</w:t>
            </w:r>
          </w:p>
        </w:tc>
        <w:tc>
          <w:tcPr>
            <w:tcW w:w="10352" w:type="dxa"/>
            <w:gridSpan w:val="2"/>
            <w:tcBorders>
              <w:top w:val="dotted" w:sz="4" w:space="0" w:color="0070C0"/>
              <w:left w:val="dotted" w:sz="4" w:space="0" w:color="0070C0"/>
              <w:bottom w:val="dotted" w:sz="4" w:space="0" w:color="0070C0"/>
              <w:right w:val="dotted" w:sz="4" w:space="0" w:color="0070C0"/>
            </w:tcBorders>
            <w:hideMark/>
          </w:tcPr>
          <w:p w14:paraId="2259FA91" w14:textId="77777777" w:rsidR="00C57D56" w:rsidRPr="00C83DA9" w:rsidRDefault="00C57D56"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C1, C2, C3, C4, C5, C6, C7, C11</w:t>
            </w:r>
          </w:p>
        </w:tc>
      </w:tr>
      <w:tr w:rsidR="00C57D56" w:rsidRPr="00C83DA9" w14:paraId="643BEBC5" w14:textId="77777777" w:rsidTr="002C3103">
        <w:trPr>
          <w:trHeight w:val="300"/>
        </w:trPr>
        <w:tc>
          <w:tcPr>
            <w:tcW w:w="4678" w:type="dxa"/>
            <w:tcBorders>
              <w:top w:val="dotted" w:sz="4" w:space="0" w:color="0070C0"/>
              <w:left w:val="dotted" w:sz="4" w:space="0" w:color="0070C0"/>
              <w:bottom w:val="dotted" w:sz="4" w:space="0" w:color="0070C0"/>
              <w:right w:val="dotted" w:sz="4" w:space="0" w:color="0070C0"/>
            </w:tcBorders>
            <w:hideMark/>
          </w:tcPr>
          <w:p w14:paraId="015070A0" w14:textId="77777777" w:rsidR="00C57D56" w:rsidRPr="00C83DA9" w:rsidRDefault="00C57D56"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Résolutions</w:t>
            </w:r>
          </w:p>
        </w:tc>
        <w:tc>
          <w:tcPr>
            <w:tcW w:w="10352" w:type="dxa"/>
            <w:gridSpan w:val="2"/>
            <w:tcBorders>
              <w:top w:val="dotted" w:sz="4" w:space="0" w:color="0070C0"/>
              <w:left w:val="dotted" w:sz="4" w:space="0" w:color="0070C0"/>
              <w:bottom w:val="dotted" w:sz="4" w:space="0" w:color="0070C0"/>
              <w:right w:val="dotted" w:sz="4" w:space="0" w:color="0070C0"/>
            </w:tcBorders>
            <w:hideMark/>
          </w:tcPr>
          <w:p w14:paraId="05FD5F41" w14:textId="77777777" w:rsidR="00C57D56" w:rsidRPr="00C83DA9" w:rsidRDefault="00C57D56"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66 de la CMDT</w:t>
            </w:r>
          </w:p>
        </w:tc>
      </w:tr>
      <w:tr w:rsidR="00C57D56" w:rsidRPr="00CA734F" w14:paraId="0F3E2F1B" w14:textId="77777777" w:rsidTr="002C3103">
        <w:trPr>
          <w:trHeight w:val="300"/>
        </w:trPr>
        <w:tc>
          <w:tcPr>
            <w:tcW w:w="4678" w:type="dxa"/>
            <w:tcBorders>
              <w:top w:val="dotted" w:sz="4" w:space="0" w:color="0070C0"/>
              <w:left w:val="dotted" w:sz="4" w:space="0" w:color="0070C0"/>
              <w:bottom w:val="dotted" w:sz="4" w:space="0" w:color="0070C0"/>
              <w:right w:val="dotted" w:sz="4" w:space="0" w:color="0070C0"/>
            </w:tcBorders>
            <w:hideMark/>
          </w:tcPr>
          <w:p w14:paraId="69D0E1E1" w14:textId="77777777" w:rsidR="00C57D56" w:rsidRPr="00C83DA9" w:rsidRDefault="00C57D56"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 xml:space="preserve">Questions confiées aux commissions d'études de l'UIT-D </w:t>
            </w:r>
          </w:p>
        </w:tc>
        <w:tc>
          <w:tcPr>
            <w:tcW w:w="10352" w:type="dxa"/>
            <w:gridSpan w:val="2"/>
            <w:tcBorders>
              <w:top w:val="dotted" w:sz="4" w:space="0" w:color="0070C0"/>
              <w:left w:val="dotted" w:sz="4" w:space="0" w:color="0070C0"/>
              <w:bottom w:val="dotted" w:sz="4" w:space="0" w:color="0070C0"/>
              <w:right w:val="dotted" w:sz="4" w:space="0" w:color="0070C0"/>
            </w:tcBorders>
            <w:hideMark/>
          </w:tcPr>
          <w:p w14:paraId="0D765241" w14:textId="77777777" w:rsidR="00C57D56" w:rsidRPr="00C83DA9" w:rsidRDefault="00C57D56"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 xml:space="preserve">Question 6/2 de la CE 2 de l'UIT-D – Les TIC au service de l'environnement </w:t>
            </w:r>
          </w:p>
        </w:tc>
      </w:tr>
    </w:tbl>
    <w:p w14:paraId="7CE51049" w14:textId="77777777" w:rsidR="00C57D56" w:rsidRPr="00C83DA9" w:rsidRDefault="00C57D56">
      <w:pPr>
        <w:tabs>
          <w:tab w:val="clear" w:pos="1134"/>
          <w:tab w:val="clear" w:pos="1871"/>
          <w:tab w:val="clear" w:pos="2268"/>
        </w:tabs>
        <w:overflowPunct/>
        <w:autoSpaceDE/>
        <w:autoSpaceDN/>
        <w:adjustRightInd/>
        <w:spacing w:before="0"/>
        <w:textAlignment w:val="auto"/>
        <w:rPr>
          <w:lang w:val="fr-FR"/>
        </w:rPr>
      </w:pPr>
      <w:r w:rsidRPr="00C83DA9">
        <w:rPr>
          <w:lang w:val="fr-FR"/>
        </w:rPr>
        <w:br w:type="page"/>
      </w:r>
    </w:p>
    <w:tbl>
      <w:tblPr>
        <w:tblStyle w:val="TableGrid11"/>
        <w:tblW w:w="15030" w:type="dxa"/>
        <w:tblInd w:w="0"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12327"/>
        <w:gridCol w:w="2703"/>
      </w:tblGrid>
      <w:tr w:rsidR="00C57D56" w:rsidRPr="00CA734F" w14:paraId="72554B28" w14:textId="77777777" w:rsidTr="00A90F81">
        <w:tc>
          <w:tcPr>
            <w:tcW w:w="15030" w:type="dxa"/>
            <w:gridSpan w:val="2"/>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00811027" w14:textId="40AAE986" w:rsidR="00C57D56" w:rsidRPr="00C83DA9" w:rsidRDefault="00C57D56" w:rsidP="00BC3D4B">
            <w:pPr>
              <w:pStyle w:val="Headingb"/>
              <w:spacing w:before="120" w:after="120"/>
              <w:jc w:val="center"/>
              <w:rPr>
                <w:rFonts w:eastAsia="Times New Roman"/>
                <w:color w:val="FFFFFF" w:themeColor="background1"/>
                <w:kern w:val="0"/>
                <w:szCs w:val="20"/>
                <w:lang w:val="fr-FR"/>
                <w14:ligatures w14:val="none"/>
              </w:rPr>
            </w:pPr>
            <w:bookmarkStart w:id="100" w:name="_Toc211258933"/>
            <w:bookmarkStart w:id="101" w:name="_Toc213307978"/>
            <w:r w:rsidRPr="00C83DA9">
              <w:rPr>
                <w:rFonts w:eastAsia="Times New Roman"/>
                <w:color w:val="FFFFFF" w:themeColor="background1"/>
                <w:kern w:val="0"/>
                <w:szCs w:val="20"/>
                <w:lang w:val="fr-FR"/>
                <w14:ligatures w14:val="none"/>
              </w:rPr>
              <w:lastRenderedPageBreak/>
              <w:t>Catalyseur 5 de l'UIT-D</w:t>
            </w:r>
            <w:r w:rsidR="00CF2433" w:rsidRPr="00C83DA9">
              <w:rPr>
                <w:rFonts w:eastAsia="Times New Roman"/>
                <w:color w:val="FFFFFF" w:themeColor="background1"/>
                <w:kern w:val="0"/>
                <w:szCs w:val="20"/>
                <w:lang w:val="fr-FR"/>
                <w14:ligatures w14:val="none"/>
              </w:rPr>
              <w:t xml:space="preserve">: </w:t>
            </w:r>
            <w:r w:rsidRPr="00C83DA9">
              <w:rPr>
                <w:rFonts w:eastAsia="Times New Roman"/>
                <w:color w:val="FFFFFF" w:themeColor="background1"/>
                <w:kern w:val="0"/>
                <w:szCs w:val="20"/>
                <w:lang w:val="fr-FR"/>
                <w14:ligatures w14:val="none"/>
              </w:rPr>
              <w:t>Excellence en matière de ressources humaines et innovation organisationnelle</w:t>
            </w:r>
            <w:bookmarkEnd w:id="100"/>
            <w:bookmarkEnd w:id="101"/>
          </w:p>
        </w:tc>
      </w:tr>
      <w:tr w:rsidR="00C57D56" w:rsidRPr="00C83DA9" w14:paraId="3295AD4D" w14:textId="77777777" w:rsidTr="00C57D56">
        <w:tc>
          <w:tcPr>
            <w:tcW w:w="12327" w:type="dxa"/>
            <w:tcBorders>
              <w:top w:val="dotted" w:sz="4" w:space="0" w:color="0070C0"/>
              <w:left w:val="dotted" w:sz="4" w:space="0" w:color="0070C0"/>
              <w:bottom w:val="dotted" w:sz="4" w:space="0" w:color="0070C0"/>
              <w:right w:val="dotted" w:sz="4" w:space="0" w:color="0070C0"/>
            </w:tcBorders>
            <w:hideMark/>
          </w:tcPr>
          <w:p w14:paraId="4D313711" w14:textId="77777777" w:rsidR="00C57D56" w:rsidRPr="00C83DA9" w:rsidRDefault="00C57D56"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Produits</w:t>
            </w:r>
          </w:p>
        </w:tc>
        <w:tc>
          <w:tcPr>
            <w:tcW w:w="2703" w:type="dxa"/>
            <w:tcBorders>
              <w:top w:val="dotted" w:sz="4" w:space="0" w:color="0070C0"/>
              <w:left w:val="dotted" w:sz="4" w:space="0" w:color="0070C0"/>
              <w:bottom w:val="dotted" w:sz="4" w:space="0" w:color="0070C0"/>
              <w:right w:val="dotted" w:sz="4" w:space="0" w:color="0070C0"/>
            </w:tcBorders>
            <w:hideMark/>
          </w:tcPr>
          <w:p w14:paraId="741A5E04" w14:textId="77777777" w:rsidR="00C57D56" w:rsidRPr="00C83DA9" w:rsidRDefault="00C57D56"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Points à retenir</w:t>
            </w:r>
          </w:p>
        </w:tc>
      </w:tr>
      <w:tr w:rsidR="00C57D56" w:rsidRPr="00C83DA9" w14:paraId="4464C52A" w14:textId="77777777" w:rsidTr="00C57D56">
        <w:tc>
          <w:tcPr>
            <w:tcW w:w="12327" w:type="dxa"/>
            <w:tcBorders>
              <w:top w:val="dotted" w:sz="4" w:space="0" w:color="0070C0"/>
              <w:left w:val="dotted" w:sz="4" w:space="0" w:color="0070C0"/>
              <w:bottom w:val="dotted" w:sz="4" w:space="0" w:color="0070C0"/>
              <w:right w:val="dotted" w:sz="4" w:space="0" w:color="0070C0"/>
            </w:tcBorders>
          </w:tcPr>
          <w:p w14:paraId="3326218A"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En 2023, le Directeur du BDT a lancé une série d'initiatives visant à promouvoir l'excellence organisationnelle et à renforcer les capacités en matière d'innovation, avec pour objectif principal d'améliorer la mise en œuvre des activités dans tous les domaines.</w:t>
            </w:r>
          </w:p>
          <w:p w14:paraId="58E1784F" w14:textId="2DEF4799"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La </w:t>
            </w:r>
            <w:r w:rsidRPr="00C83DA9">
              <w:rPr>
                <w:b/>
                <w:bCs/>
                <w:color w:val="000000"/>
                <w:sz w:val="22"/>
                <w:lang w:val="fr-FR"/>
              </w:rPr>
              <w:t>retraite de la haute direction du BDT</w:t>
            </w:r>
            <w:r w:rsidRPr="00C83DA9">
              <w:rPr>
                <w:color w:val="000000"/>
                <w:sz w:val="22"/>
                <w:lang w:val="fr-FR"/>
              </w:rPr>
              <w:t xml:space="preserve"> </w:t>
            </w:r>
            <w:r w:rsidR="00935867" w:rsidRPr="00C83DA9">
              <w:rPr>
                <w:color w:val="000000"/>
                <w:sz w:val="22"/>
                <w:lang w:val="fr-FR"/>
              </w:rPr>
              <w:t xml:space="preserve">organisée </w:t>
            </w:r>
            <w:r w:rsidRPr="00C83DA9">
              <w:rPr>
                <w:color w:val="000000"/>
                <w:sz w:val="22"/>
                <w:lang w:val="fr-FR"/>
              </w:rPr>
              <w:t>en février 2023 a donné à la nouvelle équipe de direction l'occasion de réfléchir notamment à des solutions pour accroître les retombées des activités du BDT, résoudre les problèmes de mise en œuvre et renforcer la cohérence entre les projets de l'UIT, et d'examiner les activités du Plan opérationnel, les initiatives régionales et les Résolutions de la</w:t>
            </w:r>
            <w:r w:rsidR="005D736D">
              <w:rPr>
                <w:color w:val="000000"/>
                <w:sz w:val="22"/>
                <w:lang w:val="fr-FR"/>
              </w:rPr>
              <w:t> </w:t>
            </w:r>
            <w:r w:rsidRPr="00C83DA9">
              <w:rPr>
                <w:color w:val="000000"/>
                <w:sz w:val="22"/>
                <w:lang w:val="fr-FR"/>
              </w:rPr>
              <w:t>CMDT. Les discussions ont également permis de s'assurer que le Plan opérationnel du BDT pour la période 2023-2026 soit résolument aligné sur les orientations données par la CMDT-22 et la PP-22, sans perdre de vue l'objectif consistant à parvenir à une connectivité universelle efficace et à une transformation numérique durable.</w:t>
            </w:r>
          </w:p>
          <w:p w14:paraId="5CD14BFC"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Le Directeur du BDT a également créé le </w:t>
            </w:r>
            <w:r w:rsidRPr="00C83DA9">
              <w:rPr>
                <w:b/>
                <w:bCs/>
                <w:color w:val="000000"/>
                <w:sz w:val="22"/>
                <w:lang w:val="fr-FR"/>
              </w:rPr>
              <w:t>Comité exécutif de gestion (MEC)</w:t>
            </w:r>
            <w:r w:rsidRPr="00C83DA9">
              <w:rPr>
                <w:color w:val="000000"/>
                <w:sz w:val="22"/>
                <w:lang w:val="fr-FR"/>
              </w:rPr>
              <w:t>, composé de chefs de département et de directeurs régionaux, doté d'une fonction décisionnelle. Ce nouvel organe a remplacé l'ancien Groupe pour la gestion du développement (DMG) et rend la structure de direction plus rationnelle et plus efficace.</w:t>
            </w:r>
          </w:p>
          <w:p w14:paraId="645CE1DB" w14:textId="226B46DB" w:rsidR="00C57D56" w:rsidRPr="00C83DA9" w:rsidRDefault="00C57D56" w:rsidP="005D736D">
            <w:pPr>
              <w:pStyle w:val="Tabletext"/>
              <w:rPr>
                <w:rFonts w:ascii="Calibri" w:hAnsi="Calibri" w:cs="Calibri"/>
                <w:sz w:val="22"/>
                <w:lang w:val="fr-FR"/>
              </w:rPr>
            </w:pPr>
            <w:r w:rsidRPr="00C83DA9">
              <w:rPr>
                <w:color w:val="000000"/>
                <w:sz w:val="22"/>
                <w:lang w:val="fr-FR"/>
              </w:rPr>
              <w:t xml:space="preserve">En 2024, le BDT a procédé à un </w:t>
            </w:r>
            <w:r w:rsidRPr="00C83DA9">
              <w:rPr>
                <w:b/>
                <w:bCs/>
                <w:color w:val="000000"/>
                <w:sz w:val="22"/>
                <w:lang w:val="fr-FR"/>
              </w:rPr>
              <w:t>réalignement structurel</w:t>
            </w:r>
            <w:r w:rsidRPr="00C83DA9">
              <w:rPr>
                <w:color w:val="000000"/>
                <w:sz w:val="22"/>
                <w:lang w:val="fr-FR"/>
              </w:rPr>
              <w:t xml:space="preserve"> afin de renforcer encore la mise en œuvre des projets et des activités relevant du Plan opérationnel au niveau régional. Parmi les mesures prises, on peut citer la création de trois nouveaux postes P5 (responsables de l'appui à la mise en œuvre des projets) au sein du Département de la coordination des activités hors siège. Ils ont été créés pour fournir un appui spécifique aux responsables de projets dans les bureaux régionaux et leur permettre de </w:t>
            </w:r>
            <w:r w:rsidRPr="00C83DA9">
              <w:rPr>
                <w:b/>
                <w:bCs/>
                <w:color w:val="000000"/>
                <w:sz w:val="22"/>
                <w:lang w:val="fr-FR"/>
              </w:rPr>
              <w:t>mettre en œuvre les projets de manière plus efficace et plus efficiente et dans les meilleurs délais</w:t>
            </w:r>
            <w:r w:rsidRPr="00C83DA9">
              <w:rPr>
                <w:color w:val="000000"/>
                <w:sz w:val="22"/>
                <w:lang w:val="fr-FR"/>
              </w:rPr>
              <w:t xml:space="preserve">. Pour continuer de renforcer les capacités des bureaux régionaux, le BDT a également commencé à recruter et à affecter des responsables de projets directement dans les régions, une mesure nécessaire compte tenu de l'augmentation constante du nombre de projets résultant de la mobilisation réussie de ressources destinées aux </w:t>
            </w:r>
            <w:r w:rsidRPr="00C83DA9">
              <w:rPr>
                <w:b/>
                <w:bCs/>
                <w:color w:val="000000"/>
                <w:sz w:val="22"/>
                <w:lang w:val="fr-FR"/>
              </w:rPr>
              <w:t>initiatives axées sur les résultats</w:t>
            </w:r>
            <w:r w:rsidRPr="00C83DA9">
              <w:rPr>
                <w:color w:val="000000"/>
                <w:sz w:val="22"/>
                <w:lang w:val="fr-FR"/>
              </w:rPr>
              <w:t xml:space="preserve">. Ensemble, ces efforts contribuent à la mise en œuvre de la </w:t>
            </w:r>
            <w:r w:rsidRPr="00C83DA9">
              <w:rPr>
                <w:sz w:val="22"/>
                <w:lang w:val="fr-FR"/>
              </w:rPr>
              <w:t>Résolution</w:t>
            </w:r>
            <w:r w:rsidR="005D736D">
              <w:rPr>
                <w:sz w:val="22"/>
                <w:lang w:val="fr-FR"/>
              </w:rPr>
              <w:t> </w:t>
            </w:r>
            <w:hyperlink r:id="rId286" w:history="1">
              <w:r w:rsidRPr="005D736D">
                <w:rPr>
                  <w:rStyle w:val="Hyperlink"/>
                  <w:sz w:val="22"/>
                  <w:szCs w:val="24"/>
                  <w:lang w:val="fr-FR"/>
                </w:rPr>
                <w:t>52</w:t>
              </w:r>
              <w:r w:rsidR="005D736D" w:rsidRPr="005D736D">
                <w:rPr>
                  <w:rStyle w:val="Hyperlink"/>
                  <w:sz w:val="22"/>
                  <w:szCs w:val="24"/>
                  <w:lang w:val="fr-FR"/>
                </w:rPr>
                <w:t> </w:t>
              </w:r>
              <w:r w:rsidRPr="005D736D">
                <w:rPr>
                  <w:rStyle w:val="Hyperlink"/>
                  <w:sz w:val="22"/>
                  <w:szCs w:val="24"/>
                  <w:lang w:val="fr-FR"/>
                </w:rPr>
                <w:t>(Rév.</w:t>
              </w:r>
              <w:r w:rsidR="005D736D" w:rsidRPr="005D736D">
                <w:rPr>
                  <w:rStyle w:val="Hyperlink"/>
                  <w:sz w:val="22"/>
                  <w:szCs w:val="24"/>
                  <w:lang w:val="fr-FR"/>
                </w:rPr>
                <w:t> </w:t>
              </w:r>
              <w:r w:rsidRPr="005D736D">
                <w:rPr>
                  <w:rStyle w:val="Hyperlink"/>
                  <w:sz w:val="22"/>
                  <w:szCs w:val="24"/>
                  <w:lang w:val="fr-FR"/>
                </w:rPr>
                <w:t>Dubaï,</w:t>
              </w:r>
              <w:r w:rsidR="005D736D" w:rsidRPr="005D736D">
                <w:rPr>
                  <w:rStyle w:val="Hyperlink"/>
                  <w:sz w:val="22"/>
                  <w:szCs w:val="24"/>
                  <w:lang w:val="fr-FR"/>
                </w:rPr>
                <w:t> </w:t>
              </w:r>
              <w:r w:rsidRPr="005D736D">
                <w:rPr>
                  <w:rStyle w:val="Hyperlink"/>
                  <w:sz w:val="22"/>
                  <w:szCs w:val="24"/>
                  <w:lang w:val="fr-FR"/>
                </w:rPr>
                <w:t>2014)</w:t>
              </w:r>
            </w:hyperlink>
            <w:r w:rsidRPr="005D736D">
              <w:rPr>
                <w:sz w:val="24"/>
                <w:szCs w:val="24"/>
                <w:lang w:val="fr-FR"/>
              </w:rPr>
              <w:t xml:space="preserve"> </w:t>
            </w:r>
            <w:r w:rsidRPr="00C83DA9">
              <w:rPr>
                <w:sz w:val="22"/>
                <w:lang w:val="fr-FR"/>
              </w:rPr>
              <w:t>de la CMDT</w:t>
            </w:r>
            <w:r w:rsidRPr="00C83DA9">
              <w:rPr>
                <w:color w:val="000000"/>
                <w:sz w:val="22"/>
                <w:lang w:val="fr-FR"/>
              </w:rPr>
              <w:t xml:space="preserve"> sur le </w:t>
            </w:r>
            <w:r w:rsidRPr="00C83DA9">
              <w:rPr>
                <w:i/>
                <w:iCs/>
                <w:color w:val="000000"/>
                <w:sz w:val="22"/>
                <w:lang w:val="fr-FR"/>
              </w:rPr>
              <w:t>renforcement du rôle d'agent d'exécution du Secteur du développement des télécommunications de l'UIT</w:t>
            </w:r>
            <w:r w:rsidRPr="00C83DA9">
              <w:rPr>
                <w:color w:val="000000"/>
                <w:sz w:val="22"/>
                <w:lang w:val="fr-FR"/>
              </w:rPr>
              <w:t>.</w:t>
            </w:r>
          </w:p>
          <w:p w14:paraId="5A516A32"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La nouvelle structure organisationnelle prévoit également le reclassement de plusieurs postes G6 au grade P2 dans les bureaux régionaux afin de renforcer la collaboration avec les équipes de pays des Nations Unies. En outre, l'affectation de cinq fonctionnaires dont l'emploi est financé par le Bureau de la normalisation des télécommunications (TSB) vers des bureaux régionaux en Afrique, dans la région des États arabes et dans la région Asie-Pacifique a contribué à </w:t>
            </w:r>
            <w:r w:rsidRPr="00C83DA9">
              <w:rPr>
                <w:b/>
                <w:bCs/>
                <w:color w:val="000000"/>
                <w:sz w:val="22"/>
                <w:lang w:val="fr-FR"/>
              </w:rPr>
              <w:t>renforcer</w:t>
            </w:r>
            <w:r w:rsidRPr="00C83DA9">
              <w:rPr>
                <w:color w:val="000000"/>
                <w:sz w:val="22"/>
                <w:lang w:val="fr-FR"/>
              </w:rPr>
              <w:t xml:space="preserve"> </w:t>
            </w:r>
            <w:r w:rsidRPr="00C83DA9">
              <w:rPr>
                <w:b/>
                <w:bCs/>
                <w:color w:val="000000"/>
                <w:sz w:val="22"/>
                <w:lang w:val="fr-FR"/>
              </w:rPr>
              <w:t>encore les synergies intersectorielles</w:t>
            </w:r>
            <w:r w:rsidRPr="00C83DA9">
              <w:rPr>
                <w:color w:val="000000"/>
                <w:sz w:val="22"/>
                <w:lang w:val="fr-FR"/>
              </w:rPr>
              <w:t>.</w:t>
            </w:r>
          </w:p>
          <w:p w14:paraId="0063DFA0" w14:textId="4BA56FC5" w:rsidR="00C57D56" w:rsidRPr="00C83DA9" w:rsidRDefault="00C57D56" w:rsidP="005D736D">
            <w:pPr>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lastRenderedPageBreak/>
              <w:t xml:space="preserve">Une nouvelle unité chargée de répondre aux besoins des PMA, des PDSL, des PEID et des pays ayant des besoins particuliers a également été créée dans le cadre du réalignement effectué en 2024, en accord avec la </w:t>
            </w:r>
            <w:r w:rsidRPr="00C83DA9">
              <w:rPr>
                <w:sz w:val="22"/>
                <w:lang w:val="fr-FR"/>
              </w:rPr>
              <w:t xml:space="preserve">Résolution </w:t>
            </w:r>
            <w:hyperlink r:id="rId287" w:history="1">
              <w:r w:rsidRPr="00C83DA9">
                <w:rPr>
                  <w:color w:val="0000FF"/>
                  <w:sz w:val="22"/>
                  <w:u w:val="single"/>
                  <w:lang w:val="fr-FR"/>
                </w:rPr>
                <w:t>16 (Rév. Buenos Aires, 2017)</w:t>
              </w:r>
            </w:hyperlink>
            <w:r w:rsidRPr="00C83DA9">
              <w:rPr>
                <w:sz w:val="22"/>
                <w:lang w:val="fr-FR"/>
              </w:rPr>
              <w:t xml:space="preserve"> de la CMDT</w:t>
            </w:r>
            <w:r w:rsidRPr="00C83DA9">
              <w:rPr>
                <w:color w:val="000000"/>
                <w:sz w:val="22"/>
                <w:lang w:val="fr-FR"/>
              </w:rPr>
              <w:t xml:space="preserve"> intitulée "Mesures spéciales en faveur des pays les moins avancés, des petits États insulaires en développement, des pays en développement sans littoral et des pays dont l'économie est en transition". Cette nouvelle unité fournit une assistance ciblée aux PMA, aux PDSL, aux PEID et aux pays ayant des besoins particuliers dans un certain nombre de domaines prioritaires essentiels relevant du mandat du BDT.</w:t>
            </w:r>
          </w:p>
          <w:p w14:paraId="1286C057"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Dans un souci de responsabilité, de transparence et d'amélioration continue, le BDT procède à des </w:t>
            </w:r>
            <w:r w:rsidRPr="00C83DA9">
              <w:rPr>
                <w:b/>
                <w:bCs/>
                <w:color w:val="000000"/>
                <w:sz w:val="22"/>
                <w:lang w:val="fr-FR"/>
              </w:rPr>
              <w:t>examens trimestriels des projets de l'UIT-D</w:t>
            </w:r>
            <w:r w:rsidRPr="00C83DA9">
              <w:rPr>
                <w:color w:val="000000"/>
                <w:sz w:val="22"/>
                <w:lang w:val="fr-FR"/>
              </w:rPr>
              <w:t xml:space="preserve"> et des activités </w:t>
            </w:r>
            <w:r w:rsidRPr="00C83DA9">
              <w:rPr>
                <w:b/>
                <w:bCs/>
                <w:color w:val="000000"/>
                <w:sz w:val="22"/>
                <w:lang w:val="fr-FR"/>
              </w:rPr>
              <w:t>relevant du Plan opérationnel de l'UIT-D</w:t>
            </w:r>
            <w:r w:rsidRPr="00C83DA9">
              <w:rPr>
                <w:color w:val="000000"/>
                <w:sz w:val="22"/>
                <w:lang w:val="fr-FR"/>
              </w:rPr>
              <w:t>, en appliquant une méthode de gestion axée sur les résultats. Ces examens sont entrepris aux niveaux régional et national, afin que la mise en œuvre reste conforme aux objectifs stratégiques et réponde aux besoins des États Membres.</w:t>
            </w:r>
          </w:p>
          <w:p w14:paraId="568D7A76"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La </w:t>
            </w:r>
            <w:r w:rsidRPr="00C83DA9">
              <w:rPr>
                <w:b/>
                <w:bCs/>
                <w:color w:val="000000"/>
                <w:sz w:val="22"/>
                <w:lang w:val="fr-FR"/>
              </w:rPr>
              <w:t>mobilisation du personnel</w:t>
            </w:r>
            <w:r w:rsidRPr="00C83DA9">
              <w:rPr>
                <w:color w:val="000000"/>
                <w:sz w:val="22"/>
                <w:lang w:val="fr-FR"/>
              </w:rPr>
              <w:t xml:space="preserve"> a également constitué une priorité pendant la période 2023-2025. Des réunions d'échanges avec le personnel à intervalles réguliers ont été instaurées et sont ouvertes à tous les membres du personnel, quel que soit leur statut contractuel. Ces réunions offrent un espace sûr pour un dialogue ouvert et encouragent les membres du personnel à donner leur avis, à échanger des idées et à contribuer à façonner une culture organisationnelle en évolution au sein du BDT.</w:t>
            </w:r>
          </w:p>
          <w:p w14:paraId="0C9FD333"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sz w:val="22"/>
                <w:lang w:val="fr-FR"/>
              </w:rPr>
            </w:pPr>
            <w:r w:rsidRPr="00C83DA9">
              <w:rPr>
                <w:color w:val="000000"/>
                <w:sz w:val="22"/>
                <w:lang w:val="fr-FR"/>
              </w:rPr>
              <w:t xml:space="preserve">Le BDT continue de collaborer étroitement avec le Secrétariat général de l'UIT et les autres Bureaux sur diverses initiatives visant à améliorer l'efficacité et l'efficience de ses activités. Ces efforts visent essentiellement à </w:t>
            </w:r>
            <w:r w:rsidRPr="00C83DA9">
              <w:rPr>
                <w:b/>
                <w:bCs/>
                <w:color w:val="000000"/>
                <w:sz w:val="22"/>
                <w:lang w:val="fr-FR"/>
              </w:rPr>
              <w:t>renforcer les processus internes</w:t>
            </w:r>
            <w:r w:rsidRPr="00C83DA9">
              <w:rPr>
                <w:color w:val="000000"/>
                <w:sz w:val="22"/>
                <w:lang w:val="fr-FR"/>
              </w:rPr>
              <w:t xml:space="preserve">, en particulier les processus des ressources humaines, les processus informatiques et les autres processus administratifs, tout en </w:t>
            </w:r>
            <w:r w:rsidRPr="00C83DA9">
              <w:rPr>
                <w:b/>
                <w:bCs/>
                <w:color w:val="000000"/>
                <w:sz w:val="22"/>
                <w:lang w:val="fr-FR"/>
              </w:rPr>
              <w:t>réduisant les inefficacités</w:t>
            </w:r>
            <w:r w:rsidRPr="00C83DA9">
              <w:rPr>
                <w:color w:val="000000"/>
                <w:sz w:val="22"/>
                <w:lang w:val="fr-FR"/>
              </w:rPr>
              <w:t xml:space="preserve"> et les doubles emplois afin d'</w:t>
            </w:r>
            <w:r w:rsidRPr="00C83DA9">
              <w:rPr>
                <w:b/>
                <w:bCs/>
                <w:color w:val="000000"/>
                <w:sz w:val="22"/>
                <w:lang w:val="fr-FR"/>
              </w:rPr>
              <w:t>accélérer la prise de décisions</w:t>
            </w:r>
            <w:r w:rsidRPr="00C83DA9">
              <w:rPr>
                <w:color w:val="000000"/>
                <w:sz w:val="22"/>
                <w:lang w:val="fr-FR"/>
              </w:rPr>
              <w:t>.</w:t>
            </w:r>
          </w:p>
        </w:tc>
        <w:tc>
          <w:tcPr>
            <w:tcW w:w="2703" w:type="dxa"/>
            <w:tcBorders>
              <w:top w:val="dotted" w:sz="4" w:space="0" w:color="0070C0"/>
              <w:left w:val="dotted" w:sz="4" w:space="0" w:color="0070C0"/>
              <w:bottom w:val="dotted" w:sz="4" w:space="0" w:color="0070C0"/>
              <w:right w:val="dotted" w:sz="4" w:space="0" w:color="0070C0"/>
            </w:tcBorders>
            <w:hideMark/>
          </w:tcPr>
          <w:p w14:paraId="6A75F868" w14:textId="77777777" w:rsidR="00C57D56" w:rsidRPr="00C83DA9"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C83DA9">
              <w:rPr>
                <w:color w:val="1F497D" w:themeColor="text2"/>
                <w:sz w:val="22"/>
                <w:lang w:val="fr-FR"/>
              </w:rPr>
              <w:lastRenderedPageBreak/>
              <w:t>•</w:t>
            </w:r>
            <w:r w:rsidRPr="00C83DA9">
              <w:rPr>
                <w:color w:val="1F497D" w:themeColor="text2"/>
                <w:sz w:val="22"/>
                <w:lang w:val="fr-FR"/>
              </w:rPr>
              <w:tab/>
              <w:t>Retraite de la haute direction.</w:t>
            </w:r>
          </w:p>
          <w:p w14:paraId="4AC7A66A" w14:textId="77777777" w:rsidR="00C57D56" w:rsidRPr="00C83DA9"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C83DA9">
              <w:rPr>
                <w:color w:val="1F497D" w:themeColor="text2"/>
                <w:sz w:val="22"/>
                <w:lang w:val="fr-FR"/>
              </w:rPr>
              <w:t>•</w:t>
            </w:r>
            <w:r w:rsidRPr="00C83DA9">
              <w:rPr>
                <w:color w:val="1F497D" w:themeColor="text2"/>
                <w:sz w:val="22"/>
                <w:lang w:val="fr-FR"/>
              </w:rPr>
              <w:tab/>
              <w:t>Équilibre entre vie professionnelle et vie privée.</w:t>
            </w:r>
          </w:p>
          <w:p w14:paraId="68481B47" w14:textId="77777777" w:rsidR="00C57D56" w:rsidRPr="00C83DA9"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C83DA9">
              <w:rPr>
                <w:color w:val="1F497D" w:themeColor="text2"/>
                <w:sz w:val="22"/>
                <w:lang w:val="fr-FR"/>
              </w:rPr>
              <w:t>•</w:t>
            </w:r>
            <w:r w:rsidRPr="00C83DA9">
              <w:rPr>
                <w:color w:val="1F497D" w:themeColor="text2"/>
                <w:sz w:val="22"/>
                <w:lang w:val="fr-FR"/>
              </w:rPr>
              <w:tab/>
              <w:t>Réunions d'échanges avec le personnel.</w:t>
            </w:r>
          </w:p>
          <w:p w14:paraId="314B6CC7" w14:textId="77777777" w:rsidR="00C57D56" w:rsidRPr="00C83DA9"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C83DA9">
              <w:rPr>
                <w:color w:val="1F497D" w:themeColor="text2"/>
                <w:sz w:val="22"/>
                <w:lang w:val="fr-FR"/>
              </w:rPr>
              <w:t>•</w:t>
            </w:r>
            <w:r w:rsidRPr="00C83DA9">
              <w:rPr>
                <w:color w:val="1F497D" w:themeColor="text2"/>
                <w:sz w:val="22"/>
                <w:lang w:val="fr-FR"/>
              </w:rPr>
              <w:tab/>
              <w:t>Mise en œuvre efficace et efficiente des projets et des plans opérationnels.</w:t>
            </w:r>
          </w:p>
          <w:p w14:paraId="3598DD0B" w14:textId="77777777" w:rsidR="00C57D56" w:rsidRPr="00C83DA9"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C83DA9">
              <w:rPr>
                <w:color w:val="1F497D" w:themeColor="text2"/>
                <w:sz w:val="22"/>
                <w:lang w:val="fr-FR"/>
              </w:rPr>
              <w:t>•</w:t>
            </w:r>
            <w:r w:rsidRPr="00C83DA9">
              <w:rPr>
                <w:color w:val="1F497D" w:themeColor="text2"/>
                <w:sz w:val="22"/>
                <w:lang w:val="fr-FR"/>
              </w:rPr>
              <w:tab/>
              <w:t>Renforcement des synergies sectorielles.</w:t>
            </w:r>
          </w:p>
        </w:tc>
      </w:tr>
    </w:tbl>
    <w:p w14:paraId="52454B56" w14:textId="16B4FD0C" w:rsidR="00372A77" w:rsidRPr="00C83DA9" w:rsidRDefault="00C57D56" w:rsidP="00C57D56">
      <w:pPr>
        <w:jc w:val="center"/>
        <w:rPr>
          <w:lang w:val="fr-FR"/>
        </w:rPr>
      </w:pPr>
      <w:r w:rsidRPr="00C83DA9">
        <w:rPr>
          <w:lang w:val="fr-FR"/>
        </w:rPr>
        <w:t>______________</w:t>
      </w:r>
    </w:p>
    <w:sectPr w:rsidR="00372A77" w:rsidRPr="00C83DA9" w:rsidSect="003C7E97">
      <w:headerReference w:type="even" r:id="rId288"/>
      <w:headerReference w:type="default" r:id="rId289"/>
      <w:footerReference w:type="even" r:id="rId290"/>
      <w:footerReference w:type="default" r:id="rId291"/>
      <w:headerReference w:type="first" r:id="rId292"/>
      <w:footerReference w:type="first" r:id="rId293"/>
      <w:pgSz w:w="16834" w:h="11907" w:orient="landscape" w:code="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8118" w14:textId="77777777" w:rsidR="009B78D5" w:rsidRDefault="009B78D5">
      <w:r>
        <w:separator/>
      </w:r>
    </w:p>
  </w:endnote>
  <w:endnote w:type="continuationSeparator" w:id="0">
    <w:p w14:paraId="2DAA0B74" w14:textId="77777777" w:rsidR="009B78D5" w:rsidRDefault="009B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8954" w14:textId="77777777" w:rsidR="00E45D05" w:rsidRDefault="00E45D05">
    <w:pPr>
      <w:framePr w:wrap="around" w:vAnchor="text" w:hAnchor="margin" w:xAlign="right" w:y="1"/>
    </w:pPr>
    <w:r>
      <w:fldChar w:fldCharType="begin"/>
    </w:r>
    <w:r>
      <w:instrText xml:space="preserve">PAGE  </w:instrText>
    </w:r>
    <w:r>
      <w:fldChar w:fldCharType="end"/>
    </w:r>
  </w:p>
  <w:p w14:paraId="2EA32805" w14:textId="5D9F4D36" w:rsidR="00E45D05" w:rsidRPr="00B350C7" w:rsidRDefault="00E45D05">
    <w:pPr>
      <w:ind w:right="360"/>
    </w:pPr>
    <w:r>
      <w:fldChar w:fldCharType="begin"/>
    </w:r>
    <w:r w:rsidRPr="00B350C7">
      <w:instrText xml:space="preserve"> FILENAME \p  \* MERGEFORMAT </w:instrText>
    </w:r>
    <w:r>
      <w:fldChar w:fldCharType="separate"/>
    </w:r>
    <w:r w:rsidR="00B5062F">
      <w:rPr>
        <w:noProof/>
      </w:rPr>
      <w:t>P:\FRA\gDoc\BDT\CMDT-25\2502645F.docx</w:t>
    </w:r>
    <w:r>
      <w:fldChar w:fldCharType="end"/>
    </w:r>
    <w:r w:rsidRPr="00B350C7">
      <w:tab/>
    </w:r>
    <w:r>
      <w:fldChar w:fldCharType="begin"/>
    </w:r>
    <w:r>
      <w:instrText xml:space="preserve"> SAVEDATE \@ DD.MM.YY </w:instrText>
    </w:r>
    <w:r>
      <w:fldChar w:fldCharType="separate"/>
    </w:r>
    <w:r w:rsidR="00CA734F">
      <w:rPr>
        <w:noProof/>
      </w:rPr>
      <w:t>11.11.25</w:t>
    </w:r>
    <w:r>
      <w:fldChar w:fldCharType="end"/>
    </w:r>
    <w:r w:rsidRPr="00B350C7">
      <w:tab/>
    </w:r>
    <w:r>
      <w:fldChar w:fldCharType="begin"/>
    </w:r>
    <w:r>
      <w:instrText xml:space="preserve"> PRINTDATE \@ DD.MM.YY </w:instrText>
    </w:r>
    <w:r>
      <w:fldChar w:fldCharType="separate"/>
    </w:r>
    <w:r w:rsidR="00B5062F">
      <w:rPr>
        <w:noProof/>
      </w:rPr>
      <w:t>10.03.17</w:t>
    </w:r>
    <w:r>
      <w:fldChar w:fldCharType="end"/>
    </w:r>
  </w:p>
  <w:p w14:paraId="4B36ACB2" w14:textId="77777777" w:rsidR="00C20428" w:rsidRPr="00B350C7" w:rsidRDefault="00C20428"/>
  <w:p w14:paraId="19565A2E" w14:textId="77777777" w:rsidR="00C20428" w:rsidRPr="00B350C7" w:rsidRDefault="00C204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D83BF5" w:rsidRPr="00CA734F" w14:paraId="18C23297" w14:textId="77777777" w:rsidTr="008B61EA">
      <w:tc>
        <w:tcPr>
          <w:tcW w:w="1526" w:type="dxa"/>
          <w:tcBorders>
            <w:top w:val="single" w:sz="4" w:space="0" w:color="000000"/>
          </w:tcBorders>
        </w:tcPr>
        <w:p w14:paraId="6D62A8E7" w14:textId="77777777" w:rsidR="00D83BF5" w:rsidRPr="0058411B" w:rsidRDefault="00D83BF5" w:rsidP="00D83BF5">
          <w:pPr>
            <w:pStyle w:val="FirstFooter"/>
            <w:tabs>
              <w:tab w:val="left" w:pos="1559"/>
              <w:tab w:val="left" w:pos="3828"/>
            </w:tabs>
            <w:rPr>
              <w:sz w:val="18"/>
              <w:szCs w:val="18"/>
              <w:lang w:val="fr-FR"/>
            </w:rPr>
          </w:pPr>
          <w:r w:rsidRPr="0058411B">
            <w:rPr>
              <w:sz w:val="18"/>
              <w:szCs w:val="18"/>
              <w:lang w:val="fr-FR"/>
            </w:rPr>
            <w:t>Contact:</w:t>
          </w:r>
        </w:p>
      </w:tc>
      <w:tc>
        <w:tcPr>
          <w:tcW w:w="2410" w:type="dxa"/>
          <w:tcBorders>
            <w:top w:val="single" w:sz="4" w:space="0" w:color="000000"/>
          </w:tcBorders>
        </w:tcPr>
        <w:p w14:paraId="7CF692A3" w14:textId="77777777" w:rsidR="00D83BF5" w:rsidRPr="0058411B" w:rsidRDefault="00F861F9" w:rsidP="00F861F9">
          <w:pPr>
            <w:pStyle w:val="FirstFooter"/>
            <w:tabs>
              <w:tab w:val="left" w:pos="2302"/>
            </w:tabs>
            <w:ind w:left="2302" w:hanging="2302"/>
            <w:rPr>
              <w:sz w:val="18"/>
              <w:szCs w:val="18"/>
              <w:lang w:val="fr-FR"/>
            </w:rPr>
          </w:pPr>
          <w:r w:rsidRPr="0058411B">
            <w:rPr>
              <w:sz w:val="18"/>
              <w:szCs w:val="18"/>
              <w:lang w:val="fr-FR"/>
            </w:rPr>
            <w:t>Nom</w:t>
          </w:r>
          <w:r w:rsidR="00D83BF5" w:rsidRPr="0058411B">
            <w:rPr>
              <w:sz w:val="18"/>
              <w:szCs w:val="18"/>
              <w:lang w:val="fr-FR"/>
            </w:rPr>
            <w:t>/Organi</w:t>
          </w:r>
          <w:r w:rsidRPr="0058411B">
            <w:rPr>
              <w:sz w:val="18"/>
              <w:szCs w:val="18"/>
              <w:lang w:val="fr-FR"/>
            </w:rPr>
            <w:t>s</w:t>
          </w:r>
          <w:r w:rsidR="00D83BF5" w:rsidRPr="0058411B">
            <w:rPr>
              <w:sz w:val="18"/>
              <w:szCs w:val="18"/>
              <w:lang w:val="fr-FR"/>
            </w:rPr>
            <w:t>ation/Entit</w:t>
          </w:r>
          <w:r w:rsidRPr="0058411B">
            <w:rPr>
              <w:sz w:val="18"/>
              <w:szCs w:val="18"/>
              <w:lang w:val="fr-FR"/>
            </w:rPr>
            <w:t>é</w:t>
          </w:r>
          <w:r w:rsidR="00D83BF5" w:rsidRPr="0058411B">
            <w:rPr>
              <w:sz w:val="18"/>
              <w:szCs w:val="18"/>
              <w:lang w:val="fr-FR"/>
            </w:rPr>
            <w:t>:</w:t>
          </w:r>
        </w:p>
      </w:tc>
      <w:tc>
        <w:tcPr>
          <w:tcW w:w="5987" w:type="dxa"/>
          <w:tcBorders>
            <w:top w:val="single" w:sz="4" w:space="0" w:color="000000"/>
          </w:tcBorders>
        </w:tcPr>
        <w:p w14:paraId="1A6466A3" w14:textId="1F5D35D7" w:rsidR="00D83BF5" w:rsidRPr="0058411B" w:rsidRDefault="00134A08" w:rsidP="00134A08">
          <w:pPr>
            <w:pStyle w:val="FirstFooter"/>
            <w:tabs>
              <w:tab w:val="clear" w:pos="1871"/>
            </w:tabs>
            <w:rPr>
              <w:sz w:val="18"/>
              <w:szCs w:val="18"/>
              <w:highlight w:val="yellow"/>
              <w:lang w:val="fr-FR"/>
            </w:rPr>
          </w:pPr>
          <w:bookmarkStart w:id="18" w:name="OrgName"/>
          <w:bookmarkEnd w:id="18"/>
          <w:r w:rsidRPr="0058411B">
            <w:rPr>
              <w:sz w:val="18"/>
              <w:szCs w:val="18"/>
              <w:lang w:val="fr-FR"/>
            </w:rPr>
            <w:t>Mme Archana Gulati, Adjointe au Directeur du Bureau de développement des télécommunications</w:t>
          </w:r>
        </w:p>
      </w:tc>
    </w:tr>
    <w:tr w:rsidR="00D83BF5" w:rsidRPr="0058411B" w14:paraId="16F44343" w14:textId="77777777" w:rsidTr="008B61EA">
      <w:tc>
        <w:tcPr>
          <w:tcW w:w="1526" w:type="dxa"/>
        </w:tcPr>
        <w:p w14:paraId="6D1B873F" w14:textId="77777777" w:rsidR="00D83BF5" w:rsidRPr="0058411B" w:rsidRDefault="00D83BF5" w:rsidP="00D83BF5">
          <w:pPr>
            <w:pStyle w:val="FirstFooter"/>
            <w:tabs>
              <w:tab w:val="left" w:pos="1559"/>
              <w:tab w:val="left" w:pos="3828"/>
            </w:tabs>
            <w:rPr>
              <w:sz w:val="20"/>
              <w:lang w:val="fr-FR"/>
            </w:rPr>
          </w:pPr>
        </w:p>
      </w:tc>
      <w:tc>
        <w:tcPr>
          <w:tcW w:w="2410" w:type="dxa"/>
        </w:tcPr>
        <w:p w14:paraId="54206529" w14:textId="77777777" w:rsidR="00D83BF5" w:rsidRPr="0058411B" w:rsidRDefault="00F861F9" w:rsidP="00D83BF5">
          <w:pPr>
            <w:pStyle w:val="FirstFooter"/>
            <w:tabs>
              <w:tab w:val="left" w:pos="2302"/>
            </w:tabs>
            <w:rPr>
              <w:sz w:val="18"/>
              <w:szCs w:val="18"/>
              <w:lang w:val="fr-FR"/>
            </w:rPr>
          </w:pPr>
          <w:r w:rsidRPr="0058411B">
            <w:rPr>
              <w:sz w:val="18"/>
              <w:szCs w:val="18"/>
              <w:lang w:val="fr-FR"/>
            </w:rPr>
            <w:t>Numéro de télép</w:t>
          </w:r>
          <w:r w:rsidR="001B57A8" w:rsidRPr="0058411B">
            <w:rPr>
              <w:sz w:val="18"/>
              <w:szCs w:val="18"/>
              <w:lang w:val="fr-FR"/>
            </w:rPr>
            <w:t>h</w:t>
          </w:r>
          <w:r w:rsidRPr="0058411B">
            <w:rPr>
              <w:sz w:val="18"/>
              <w:szCs w:val="18"/>
              <w:lang w:val="fr-FR"/>
            </w:rPr>
            <w:t>one</w:t>
          </w:r>
          <w:r w:rsidR="00D83BF5" w:rsidRPr="0058411B">
            <w:rPr>
              <w:sz w:val="18"/>
              <w:szCs w:val="18"/>
              <w:lang w:val="fr-FR"/>
            </w:rPr>
            <w:t>:</w:t>
          </w:r>
        </w:p>
      </w:tc>
      <w:tc>
        <w:tcPr>
          <w:tcW w:w="5987" w:type="dxa"/>
        </w:tcPr>
        <w:p w14:paraId="79D5B7AC" w14:textId="28EAB9A0" w:rsidR="00D83BF5" w:rsidRPr="0058411B" w:rsidRDefault="00134A08" w:rsidP="00D83BF5">
          <w:pPr>
            <w:pStyle w:val="FirstFooter"/>
            <w:tabs>
              <w:tab w:val="left" w:pos="2302"/>
            </w:tabs>
            <w:rPr>
              <w:sz w:val="18"/>
              <w:szCs w:val="18"/>
              <w:highlight w:val="yellow"/>
              <w:lang w:val="fr-FR"/>
            </w:rPr>
          </w:pPr>
          <w:bookmarkStart w:id="19" w:name="PhoneNo"/>
          <w:bookmarkEnd w:id="19"/>
          <w:r w:rsidRPr="0058411B">
            <w:rPr>
              <w:rFonts w:cstheme="minorHAnsi"/>
              <w:sz w:val="18"/>
              <w:szCs w:val="18"/>
              <w:lang w:val="fr-FR"/>
            </w:rPr>
            <w:t>+41 22 730 6475</w:t>
          </w:r>
        </w:p>
      </w:tc>
    </w:tr>
    <w:tr w:rsidR="00D83BF5" w:rsidRPr="0058411B" w14:paraId="3D5D6A22" w14:textId="77777777" w:rsidTr="008B61EA">
      <w:tc>
        <w:tcPr>
          <w:tcW w:w="1526" w:type="dxa"/>
        </w:tcPr>
        <w:p w14:paraId="33C52BE5" w14:textId="77777777" w:rsidR="00D83BF5" w:rsidRPr="0058411B" w:rsidRDefault="00D83BF5" w:rsidP="00D83BF5">
          <w:pPr>
            <w:pStyle w:val="FirstFooter"/>
            <w:tabs>
              <w:tab w:val="left" w:pos="1559"/>
              <w:tab w:val="left" w:pos="3828"/>
            </w:tabs>
            <w:rPr>
              <w:sz w:val="20"/>
              <w:lang w:val="fr-FR"/>
            </w:rPr>
          </w:pPr>
        </w:p>
      </w:tc>
      <w:tc>
        <w:tcPr>
          <w:tcW w:w="2410" w:type="dxa"/>
        </w:tcPr>
        <w:p w14:paraId="2E31BFC4" w14:textId="77777777" w:rsidR="00D83BF5" w:rsidRPr="0058411B" w:rsidRDefault="00F861F9" w:rsidP="00D83BF5">
          <w:pPr>
            <w:pStyle w:val="FirstFooter"/>
            <w:tabs>
              <w:tab w:val="left" w:pos="2302"/>
            </w:tabs>
            <w:rPr>
              <w:sz w:val="18"/>
              <w:szCs w:val="18"/>
              <w:lang w:val="fr-FR"/>
            </w:rPr>
          </w:pPr>
          <w:r w:rsidRPr="0058411B">
            <w:rPr>
              <w:sz w:val="18"/>
              <w:szCs w:val="18"/>
              <w:lang w:val="fr-FR"/>
            </w:rPr>
            <w:t>Courriel:</w:t>
          </w:r>
        </w:p>
      </w:tc>
      <w:bookmarkStart w:id="20" w:name="Email"/>
      <w:bookmarkEnd w:id="20"/>
      <w:tc>
        <w:tcPr>
          <w:tcW w:w="5987" w:type="dxa"/>
        </w:tcPr>
        <w:p w14:paraId="4596984C" w14:textId="20604D0B" w:rsidR="00D83BF5" w:rsidRPr="0058411B" w:rsidRDefault="00134A08" w:rsidP="00D83BF5">
          <w:pPr>
            <w:pStyle w:val="FirstFooter"/>
            <w:tabs>
              <w:tab w:val="left" w:pos="2302"/>
            </w:tabs>
            <w:rPr>
              <w:rStyle w:val="Hyperlink"/>
              <w:highlight w:val="yellow"/>
              <w:lang w:val="fr-FR"/>
            </w:rPr>
          </w:pPr>
          <w:r w:rsidRPr="0058411B">
            <w:rPr>
              <w:rStyle w:val="Hyperlink"/>
              <w:sz w:val="18"/>
              <w:szCs w:val="22"/>
              <w:lang w:val="fr-FR"/>
            </w:rPr>
            <w:fldChar w:fldCharType="begin"/>
          </w:r>
          <w:r w:rsidRPr="0058411B">
            <w:rPr>
              <w:rStyle w:val="Hyperlink"/>
              <w:sz w:val="18"/>
              <w:szCs w:val="22"/>
              <w:lang w:val="fr-FR"/>
            </w:rPr>
            <w:instrText xml:space="preserve"> HYPERLINK "mailto:archana.gulati@itu.int" </w:instrText>
          </w:r>
          <w:r w:rsidRPr="0058411B">
            <w:rPr>
              <w:rStyle w:val="Hyperlink"/>
              <w:sz w:val="18"/>
              <w:szCs w:val="22"/>
              <w:lang w:val="fr-FR"/>
            </w:rPr>
          </w:r>
          <w:r w:rsidRPr="0058411B">
            <w:rPr>
              <w:rStyle w:val="Hyperlink"/>
              <w:sz w:val="18"/>
              <w:szCs w:val="22"/>
              <w:lang w:val="fr-FR"/>
            </w:rPr>
            <w:fldChar w:fldCharType="separate"/>
          </w:r>
          <w:r w:rsidRPr="0058411B">
            <w:rPr>
              <w:rStyle w:val="Hyperlink"/>
              <w:sz w:val="18"/>
              <w:szCs w:val="22"/>
              <w:lang w:val="fr-FR"/>
            </w:rPr>
            <w:t>archana.gulati@itu.int</w:t>
          </w:r>
          <w:r w:rsidRPr="0058411B">
            <w:rPr>
              <w:rStyle w:val="Hyperlink"/>
              <w:sz w:val="18"/>
              <w:szCs w:val="22"/>
              <w:lang w:val="fr-FR"/>
            </w:rPr>
            <w:fldChar w:fldCharType="end"/>
          </w:r>
        </w:p>
      </w:tc>
    </w:tr>
  </w:tbl>
  <w:bookmarkStart w:id="21" w:name="_Hlk56495155"/>
  <w:p w14:paraId="43BD81FA" w14:textId="59AC052A" w:rsidR="00D83BF5" w:rsidRPr="00784E03" w:rsidRDefault="003B7D04" w:rsidP="003B7D04">
    <w:pPr>
      <w:jc w:val="center"/>
      <w:rPr>
        <w:sz w:val="20"/>
      </w:rPr>
    </w:pPr>
    <w:r>
      <w:rPr>
        <w:sz w:val="20"/>
      </w:rPr>
      <w:fldChar w:fldCharType="begin"/>
    </w:r>
    <w:r w:rsidR="009903FC">
      <w:rPr>
        <w:sz w:val="20"/>
      </w:rPr>
      <w:instrText>HYPERLINK "https://www.itu.int/itu-d/meetings/wtdc25/" \l "/fr"</w:instrText>
    </w:r>
    <w:r>
      <w:rPr>
        <w:sz w:val="20"/>
      </w:rPr>
    </w:r>
    <w:r>
      <w:rPr>
        <w:sz w:val="20"/>
      </w:rPr>
      <w:fldChar w:fldCharType="separate"/>
    </w:r>
    <w:r>
      <w:rPr>
        <w:rStyle w:val="Hyperlink"/>
        <w:sz w:val="20"/>
      </w:rPr>
      <w:t>CMDT</w:t>
    </w:r>
    <w:r>
      <w:rPr>
        <w:caps/>
        <w:sz w:val="20"/>
      </w:rPr>
      <w:fldChar w:fldCharType="end"/>
    </w:r>
    <w:bookmarkEnd w:id="2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E98D" w14:textId="77777777" w:rsidR="00FB6E5E" w:rsidRPr="008A384E" w:rsidRDefault="00FB6E5E">
    <w:pPr>
      <w:pStyle w:val="Footer"/>
      <w:rPr>
        <w:noProof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2AD4" w14:textId="77777777" w:rsidR="00FB6E5E" w:rsidRPr="008A384E" w:rsidRDefault="00FB6E5E">
    <w:pPr>
      <w:pStyle w:val="Footer"/>
      <w:rPr>
        <w:noProof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AC7E" w14:textId="77777777" w:rsidR="00FB6E5E" w:rsidRPr="008A384E" w:rsidRDefault="00FB6E5E" w:rsidP="00B80157">
    <w:pPr>
      <w:pStyle w:val="Footer"/>
      <w:jc w:val="cen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0EB8" w14:textId="77777777" w:rsidR="009B78D5" w:rsidRDefault="009B78D5">
      <w:r>
        <w:rPr>
          <w:b/>
        </w:rPr>
        <w:t>_______________</w:t>
      </w:r>
    </w:p>
  </w:footnote>
  <w:footnote w:type="continuationSeparator" w:id="0">
    <w:p w14:paraId="22DE9C62" w14:textId="77777777" w:rsidR="009B78D5" w:rsidRDefault="009B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8D34" w14:textId="623AC643" w:rsidR="00A066F1" w:rsidRPr="00D83BF5" w:rsidRDefault="00D83BF5" w:rsidP="00F41260">
    <w:pPr>
      <w:tabs>
        <w:tab w:val="clear" w:pos="1134"/>
        <w:tab w:val="clear" w:pos="1871"/>
        <w:tab w:val="clear" w:pos="2268"/>
        <w:tab w:val="center" w:pos="5103"/>
        <w:tab w:val="right" w:pos="10206"/>
      </w:tabs>
      <w:spacing w:after="160"/>
      <w:rPr>
        <w:smallCaps/>
        <w:spacing w:val="24"/>
        <w:sz w:val="22"/>
        <w:szCs w:val="22"/>
        <w:lang w:val="es-ES_tradnl"/>
      </w:rPr>
    </w:pPr>
    <w:r w:rsidRPr="004D495C">
      <w:rPr>
        <w:sz w:val="22"/>
        <w:szCs w:val="22"/>
      </w:rPr>
      <w:tab/>
    </w:r>
    <w:r w:rsidR="00EF1503" w:rsidRPr="00EF1503">
      <w:rPr>
        <w:sz w:val="22"/>
        <w:szCs w:val="22"/>
        <w:lang w:val="de-CH"/>
      </w:rPr>
      <w:t>WTDC</w:t>
    </w:r>
    <w:r w:rsidR="009D3060">
      <w:rPr>
        <w:sz w:val="22"/>
        <w:szCs w:val="22"/>
        <w:lang w:val="de-CH"/>
      </w:rPr>
      <w:t>-</w:t>
    </w:r>
    <w:r w:rsidR="00E14630">
      <w:rPr>
        <w:sz w:val="22"/>
        <w:szCs w:val="22"/>
        <w:lang w:val="de-CH"/>
      </w:rPr>
      <w:t>2</w:t>
    </w:r>
    <w:r w:rsidR="00F40E33">
      <w:rPr>
        <w:sz w:val="22"/>
        <w:szCs w:val="22"/>
        <w:lang w:val="de-CH"/>
      </w:rPr>
      <w:t>5</w:t>
    </w:r>
    <w:r w:rsidR="00EF1503" w:rsidRPr="00EF1503">
      <w:rPr>
        <w:sz w:val="22"/>
        <w:szCs w:val="22"/>
        <w:lang w:val="de-CH"/>
      </w:rPr>
      <w:t>/</w:t>
    </w:r>
    <w:r w:rsidR="00372A77">
      <w:rPr>
        <w:sz w:val="22"/>
        <w:szCs w:val="22"/>
      </w:rPr>
      <w:t>2</w:t>
    </w:r>
    <w:r w:rsidR="00D86467">
      <w:rPr>
        <w:sz w:val="22"/>
        <w:szCs w:val="22"/>
      </w:rPr>
      <w:t>(Rév.1)</w:t>
    </w:r>
    <w:r w:rsidR="00F40E33">
      <w:rPr>
        <w:sz w:val="22"/>
        <w:szCs w:val="22"/>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1B57A8">
      <w:rPr>
        <w:noProof/>
        <w:sz w:val="22"/>
        <w:szCs w:val="22"/>
        <w:lang w:val="es-ES_tradnl"/>
      </w:rPr>
      <w:t>2</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AF6A" w14:textId="77777777" w:rsidR="00FB6E5E" w:rsidRPr="008A384E" w:rsidRDefault="00FB6E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9000" w14:textId="1CFEC87D" w:rsidR="00FB6E5E" w:rsidRPr="00644A72" w:rsidRDefault="00A56DDD" w:rsidP="00644A72">
    <w:pPr>
      <w:tabs>
        <w:tab w:val="clear" w:pos="1134"/>
        <w:tab w:val="clear" w:pos="1871"/>
        <w:tab w:val="clear" w:pos="2268"/>
        <w:tab w:val="center" w:pos="7655"/>
        <w:tab w:val="right" w:pos="15309"/>
      </w:tabs>
      <w:spacing w:before="0" w:after="120"/>
      <w:rPr>
        <w:rStyle w:val="PageNumber"/>
        <w:smallCaps/>
        <w:spacing w:val="24"/>
        <w:sz w:val="16"/>
        <w:lang w:val="pt-BR"/>
      </w:rPr>
    </w:pPr>
    <w:r w:rsidRPr="004D495C">
      <w:rPr>
        <w:sz w:val="22"/>
        <w:szCs w:val="22"/>
      </w:rPr>
      <w:tab/>
    </w:r>
    <w:r>
      <w:rPr>
        <w:sz w:val="22"/>
        <w:lang w:val="pt-BR"/>
      </w:rPr>
      <w:t>WTDC-25/2</w:t>
    </w:r>
    <w:r w:rsidR="005C6B96">
      <w:rPr>
        <w:sz w:val="22"/>
        <w:lang w:val="pt-BR"/>
      </w:rPr>
      <w:t>(Rév.1)</w:t>
    </w:r>
    <w:r w:rsidRPr="008E6919">
      <w:rPr>
        <w:sz w:val="22"/>
        <w:lang w:val="pt-BR"/>
      </w:rPr>
      <w:t>-</w:t>
    </w:r>
    <w:r w:rsidR="00644A72">
      <w:rPr>
        <w:sz w:val="22"/>
        <w:lang w:val="pt-BR"/>
      </w:rPr>
      <w:t>F</w:t>
    </w:r>
    <w:r w:rsidRPr="008E6919">
      <w:rPr>
        <w:sz w:val="22"/>
        <w:lang w:val="pt-BR"/>
      </w:rPr>
      <w:tab/>
      <w:t xml:space="preserve">Page </w:t>
    </w:r>
    <w:r w:rsidRPr="004D495C">
      <w:rPr>
        <w:sz w:val="22"/>
        <w:szCs w:val="22"/>
      </w:rPr>
      <w:fldChar w:fldCharType="begin"/>
    </w:r>
    <w:r w:rsidRPr="008E6919">
      <w:rPr>
        <w:sz w:val="22"/>
        <w:lang w:val="pt-BR"/>
      </w:rPr>
      <w:instrText xml:space="preserve"> PAGE </w:instrText>
    </w:r>
    <w:r w:rsidRPr="004D495C">
      <w:rPr>
        <w:sz w:val="22"/>
        <w:szCs w:val="22"/>
      </w:rPr>
      <w:fldChar w:fldCharType="separate"/>
    </w:r>
    <w:r>
      <w:rPr>
        <w:noProof/>
        <w:sz w:val="22"/>
        <w:lang w:val="pt-BR"/>
      </w:rPr>
      <w:t>5</w:t>
    </w:r>
    <w:r w:rsidRPr="004D495C">
      <w:rPr>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6E45" w14:textId="0EAF235B" w:rsidR="00FB6E5E" w:rsidRPr="00660F02" w:rsidRDefault="00660F02" w:rsidP="00660F02">
    <w:pPr>
      <w:tabs>
        <w:tab w:val="clear" w:pos="1134"/>
        <w:tab w:val="clear" w:pos="1871"/>
        <w:tab w:val="clear" w:pos="2268"/>
        <w:tab w:val="center" w:pos="7655"/>
        <w:tab w:val="right" w:pos="15309"/>
      </w:tabs>
      <w:spacing w:before="0"/>
      <w:jc w:val="center"/>
      <w:rPr>
        <w:smallCaps/>
        <w:spacing w:val="24"/>
        <w:sz w:val="16"/>
        <w:lang w:val="pt-BR"/>
      </w:rPr>
    </w:pPr>
    <w:r>
      <w:rPr>
        <w:sz w:val="22"/>
        <w:lang w:val="pt-BR"/>
      </w:rPr>
      <w:tab/>
    </w:r>
    <w:r w:rsidR="00A56DDD">
      <w:rPr>
        <w:sz w:val="22"/>
        <w:lang w:val="pt-BR"/>
      </w:rPr>
      <w:t>WTDC-25/2</w:t>
    </w:r>
    <w:r w:rsidR="005C6B96">
      <w:rPr>
        <w:sz w:val="22"/>
        <w:lang w:val="pt-BR"/>
      </w:rPr>
      <w:t>(Rév.1)</w:t>
    </w:r>
    <w:r w:rsidR="00A56DDD" w:rsidRPr="008E6919">
      <w:rPr>
        <w:sz w:val="22"/>
        <w:lang w:val="pt-BR"/>
      </w:rPr>
      <w:t>-</w:t>
    </w:r>
    <w:r>
      <w:rPr>
        <w:sz w:val="22"/>
        <w:lang w:val="pt-BR"/>
      </w:rPr>
      <w:t>F</w:t>
    </w:r>
    <w:r w:rsidR="00E252F1">
      <w:rPr>
        <w:sz w:val="22"/>
        <w:lang w:val="pt-BR"/>
      </w:rPr>
      <w:tab/>
    </w:r>
    <w:r w:rsidR="00A56DDD" w:rsidRPr="008E6919">
      <w:rPr>
        <w:sz w:val="22"/>
        <w:lang w:val="pt-BR"/>
      </w:rPr>
      <w:t xml:space="preserve">Page </w:t>
    </w:r>
    <w:r w:rsidR="00A56DDD" w:rsidRPr="004D495C">
      <w:rPr>
        <w:sz w:val="22"/>
        <w:szCs w:val="22"/>
      </w:rPr>
      <w:fldChar w:fldCharType="begin"/>
    </w:r>
    <w:r w:rsidR="00A56DDD" w:rsidRPr="008E6919">
      <w:rPr>
        <w:sz w:val="22"/>
        <w:lang w:val="pt-BR"/>
      </w:rPr>
      <w:instrText xml:space="preserve"> PAGE </w:instrText>
    </w:r>
    <w:r w:rsidR="00A56DDD" w:rsidRPr="004D495C">
      <w:rPr>
        <w:sz w:val="22"/>
        <w:szCs w:val="22"/>
      </w:rPr>
      <w:fldChar w:fldCharType="separate"/>
    </w:r>
    <w:r w:rsidR="00A56DDD">
      <w:rPr>
        <w:noProof/>
        <w:sz w:val="22"/>
        <w:lang w:val="pt-BR"/>
      </w:rPr>
      <w:t>4</w:t>
    </w:r>
    <w:r w:rsidR="00A56DDD"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300AC0D"/>
    <w:multiLevelType w:val="hybridMultilevel"/>
    <w:tmpl w:val="8B560304"/>
    <w:lvl w:ilvl="0" w:tplc="804C721A">
      <w:start w:val="1"/>
      <w:numFmt w:val="bullet"/>
      <w:lvlText w:val="o"/>
      <w:lvlJc w:val="left"/>
      <w:pPr>
        <w:ind w:left="720" w:hanging="360"/>
      </w:pPr>
      <w:rPr>
        <w:rFonts w:ascii="Courier New" w:hAnsi="Courier New" w:hint="default"/>
      </w:rPr>
    </w:lvl>
    <w:lvl w:ilvl="1" w:tplc="A8D43F32">
      <w:start w:val="1"/>
      <w:numFmt w:val="bullet"/>
      <w:lvlText w:val="o"/>
      <w:lvlJc w:val="left"/>
      <w:pPr>
        <w:ind w:left="1440" w:hanging="360"/>
      </w:pPr>
      <w:rPr>
        <w:rFonts w:ascii="Courier New" w:hAnsi="Courier New" w:hint="default"/>
      </w:rPr>
    </w:lvl>
    <w:lvl w:ilvl="2" w:tplc="CA64EF3C">
      <w:start w:val="1"/>
      <w:numFmt w:val="bullet"/>
      <w:lvlText w:val=""/>
      <w:lvlJc w:val="left"/>
      <w:pPr>
        <w:ind w:left="2160" w:hanging="360"/>
      </w:pPr>
      <w:rPr>
        <w:rFonts w:ascii="Wingdings" w:hAnsi="Wingdings" w:hint="default"/>
      </w:rPr>
    </w:lvl>
    <w:lvl w:ilvl="3" w:tplc="72D030AC">
      <w:start w:val="1"/>
      <w:numFmt w:val="bullet"/>
      <w:lvlText w:val=""/>
      <w:lvlJc w:val="left"/>
      <w:pPr>
        <w:ind w:left="2880" w:hanging="360"/>
      </w:pPr>
      <w:rPr>
        <w:rFonts w:ascii="Symbol" w:hAnsi="Symbol" w:hint="default"/>
      </w:rPr>
    </w:lvl>
    <w:lvl w:ilvl="4" w:tplc="9FCCDD16">
      <w:start w:val="1"/>
      <w:numFmt w:val="bullet"/>
      <w:lvlText w:val="o"/>
      <w:lvlJc w:val="left"/>
      <w:pPr>
        <w:ind w:left="3600" w:hanging="360"/>
      </w:pPr>
      <w:rPr>
        <w:rFonts w:ascii="Courier New" w:hAnsi="Courier New" w:hint="default"/>
      </w:rPr>
    </w:lvl>
    <w:lvl w:ilvl="5" w:tplc="3DEA8AE0">
      <w:start w:val="1"/>
      <w:numFmt w:val="bullet"/>
      <w:lvlText w:val=""/>
      <w:lvlJc w:val="left"/>
      <w:pPr>
        <w:ind w:left="4320" w:hanging="360"/>
      </w:pPr>
      <w:rPr>
        <w:rFonts w:ascii="Wingdings" w:hAnsi="Wingdings" w:hint="default"/>
      </w:rPr>
    </w:lvl>
    <w:lvl w:ilvl="6" w:tplc="5760512E">
      <w:start w:val="1"/>
      <w:numFmt w:val="bullet"/>
      <w:lvlText w:val=""/>
      <w:lvlJc w:val="left"/>
      <w:pPr>
        <w:ind w:left="5040" w:hanging="360"/>
      </w:pPr>
      <w:rPr>
        <w:rFonts w:ascii="Symbol" w:hAnsi="Symbol" w:hint="default"/>
      </w:rPr>
    </w:lvl>
    <w:lvl w:ilvl="7" w:tplc="AE882B34">
      <w:start w:val="1"/>
      <w:numFmt w:val="bullet"/>
      <w:lvlText w:val="o"/>
      <w:lvlJc w:val="left"/>
      <w:pPr>
        <w:ind w:left="5760" w:hanging="360"/>
      </w:pPr>
      <w:rPr>
        <w:rFonts w:ascii="Courier New" w:hAnsi="Courier New" w:hint="default"/>
      </w:rPr>
    </w:lvl>
    <w:lvl w:ilvl="8" w:tplc="BAA2674E">
      <w:start w:val="1"/>
      <w:numFmt w:val="bullet"/>
      <w:lvlText w:val=""/>
      <w:lvlJc w:val="left"/>
      <w:pPr>
        <w:ind w:left="6480" w:hanging="360"/>
      </w:pPr>
      <w:rPr>
        <w:rFonts w:ascii="Wingdings" w:hAnsi="Wingdings" w:hint="default"/>
      </w:rPr>
    </w:lvl>
  </w:abstractNum>
  <w:abstractNum w:abstractNumId="3" w15:restartNumberingAfterBreak="0">
    <w:nsid w:val="049926FC"/>
    <w:multiLevelType w:val="hybridMultilevel"/>
    <w:tmpl w:val="FFFFFFFF"/>
    <w:lvl w:ilvl="0" w:tplc="AF027CAC">
      <w:start w:val="1"/>
      <w:numFmt w:val="bullet"/>
      <w:lvlText w:val="o"/>
      <w:lvlJc w:val="left"/>
      <w:pPr>
        <w:ind w:left="720" w:hanging="360"/>
      </w:pPr>
      <w:rPr>
        <w:rFonts w:ascii="Courier New" w:hAnsi="Courier New" w:hint="default"/>
      </w:rPr>
    </w:lvl>
    <w:lvl w:ilvl="1" w:tplc="650C15B2">
      <w:start w:val="1"/>
      <w:numFmt w:val="bullet"/>
      <w:lvlText w:val="o"/>
      <w:lvlJc w:val="left"/>
      <w:pPr>
        <w:ind w:left="1440" w:hanging="360"/>
      </w:pPr>
      <w:rPr>
        <w:rFonts w:ascii="Courier New" w:hAnsi="Courier New" w:hint="default"/>
      </w:rPr>
    </w:lvl>
    <w:lvl w:ilvl="2" w:tplc="B39620D8">
      <w:start w:val="1"/>
      <w:numFmt w:val="bullet"/>
      <w:lvlText w:val=""/>
      <w:lvlJc w:val="left"/>
      <w:pPr>
        <w:ind w:left="2160" w:hanging="360"/>
      </w:pPr>
      <w:rPr>
        <w:rFonts w:ascii="Wingdings" w:hAnsi="Wingdings" w:hint="default"/>
      </w:rPr>
    </w:lvl>
    <w:lvl w:ilvl="3" w:tplc="5EFA36A6">
      <w:start w:val="1"/>
      <w:numFmt w:val="bullet"/>
      <w:lvlText w:val=""/>
      <w:lvlJc w:val="left"/>
      <w:pPr>
        <w:ind w:left="2880" w:hanging="360"/>
      </w:pPr>
      <w:rPr>
        <w:rFonts w:ascii="Symbol" w:hAnsi="Symbol" w:hint="default"/>
      </w:rPr>
    </w:lvl>
    <w:lvl w:ilvl="4" w:tplc="DDF81094">
      <w:start w:val="1"/>
      <w:numFmt w:val="bullet"/>
      <w:lvlText w:val="o"/>
      <w:lvlJc w:val="left"/>
      <w:pPr>
        <w:ind w:left="3600" w:hanging="360"/>
      </w:pPr>
      <w:rPr>
        <w:rFonts w:ascii="Courier New" w:hAnsi="Courier New" w:hint="default"/>
      </w:rPr>
    </w:lvl>
    <w:lvl w:ilvl="5" w:tplc="63345438">
      <w:start w:val="1"/>
      <w:numFmt w:val="bullet"/>
      <w:lvlText w:val=""/>
      <w:lvlJc w:val="left"/>
      <w:pPr>
        <w:ind w:left="4320" w:hanging="360"/>
      </w:pPr>
      <w:rPr>
        <w:rFonts w:ascii="Wingdings" w:hAnsi="Wingdings" w:hint="default"/>
      </w:rPr>
    </w:lvl>
    <w:lvl w:ilvl="6" w:tplc="69D2F36A">
      <w:start w:val="1"/>
      <w:numFmt w:val="bullet"/>
      <w:lvlText w:val=""/>
      <w:lvlJc w:val="left"/>
      <w:pPr>
        <w:ind w:left="5040" w:hanging="360"/>
      </w:pPr>
      <w:rPr>
        <w:rFonts w:ascii="Symbol" w:hAnsi="Symbol" w:hint="default"/>
      </w:rPr>
    </w:lvl>
    <w:lvl w:ilvl="7" w:tplc="D1E03F86">
      <w:start w:val="1"/>
      <w:numFmt w:val="bullet"/>
      <w:lvlText w:val="o"/>
      <w:lvlJc w:val="left"/>
      <w:pPr>
        <w:ind w:left="5760" w:hanging="360"/>
      </w:pPr>
      <w:rPr>
        <w:rFonts w:ascii="Courier New" w:hAnsi="Courier New" w:hint="default"/>
      </w:rPr>
    </w:lvl>
    <w:lvl w:ilvl="8" w:tplc="6D46A646">
      <w:start w:val="1"/>
      <w:numFmt w:val="bullet"/>
      <w:lvlText w:val=""/>
      <w:lvlJc w:val="left"/>
      <w:pPr>
        <w:ind w:left="6480" w:hanging="360"/>
      </w:pPr>
      <w:rPr>
        <w:rFonts w:ascii="Wingdings" w:hAnsi="Wingdings" w:hint="default"/>
      </w:rPr>
    </w:lvl>
  </w:abstractNum>
  <w:abstractNum w:abstractNumId="4"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0DA79C5E"/>
    <w:multiLevelType w:val="hybridMultilevel"/>
    <w:tmpl w:val="FFFFFFFF"/>
    <w:lvl w:ilvl="0" w:tplc="30BA9492">
      <w:start w:val="1"/>
      <w:numFmt w:val="bullet"/>
      <w:lvlText w:val="o"/>
      <w:lvlJc w:val="left"/>
      <w:pPr>
        <w:ind w:left="720" w:hanging="360"/>
      </w:pPr>
      <w:rPr>
        <w:rFonts w:ascii="Courier New" w:hAnsi="Courier New" w:hint="default"/>
      </w:rPr>
    </w:lvl>
    <w:lvl w:ilvl="1" w:tplc="41CEDE72">
      <w:start w:val="1"/>
      <w:numFmt w:val="bullet"/>
      <w:lvlText w:val="o"/>
      <w:lvlJc w:val="left"/>
      <w:pPr>
        <w:ind w:left="1440" w:hanging="360"/>
      </w:pPr>
      <w:rPr>
        <w:rFonts w:ascii="Courier New" w:hAnsi="Courier New" w:hint="default"/>
      </w:rPr>
    </w:lvl>
    <w:lvl w:ilvl="2" w:tplc="728E44E0">
      <w:start w:val="1"/>
      <w:numFmt w:val="bullet"/>
      <w:lvlText w:val=""/>
      <w:lvlJc w:val="left"/>
      <w:pPr>
        <w:ind w:left="2160" w:hanging="360"/>
      </w:pPr>
      <w:rPr>
        <w:rFonts w:ascii="Wingdings" w:hAnsi="Wingdings" w:hint="default"/>
      </w:rPr>
    </w:lvl>
    <w:lvl w:ilvl="3" w:tplc="986E4CFA">
      <w:start w:val="1"/>
      <w:numFmt w:val="bullet"/>
      <w:lvlText w:val=""/>
      <w:lvlJc w:val="left"/>
      <w:pPr>
        <w:ind w:left="2880" w:hanging="360"/>
      </w:pPr>
      <w:rPr>
        <w:rFonts w:ascii="Symbol" w:hAnsi="Symbol" w:hint="default"/>
      </w:rPr>
    </w:lvl>
    <w:lvl w:ilvl="4" w:tplc="6D4A1D12">
      <w:start w:val="1"/>
      <w:numFmt w:val="bullet"/>
      <w:lvlText w:val="o"/>
      <w:lvlJc w:val="left"/>
      <w:pPr>
        <w:ind w:left="3600" w:hanging="360"/>
      </w:pPr>
      <w:rPr>
        <w:rFonts w:ascii="Courier New" w:hAnsi="Courier New" w:hint="default"/>
      </w:rPr>
    </w:lvl>
    <w:lvl w:ilvl="5" w:tplc="8416AC2A">
      <w:start w:val="1"/>
      <w:numFmt w:val="bullet"/>
      <w:lvlText w:val=""/>
      <w:lvlJc w:val="left"/>
      <w:pPr>
        <w:ind w:left="4320" w:hanging="360"/>
      </w:pPr>
      <w:rPr>
        <w:rFonts w:ascii="Wingdings" w:hAnsi="Wingdings" w:hint="default"/>
      </w:rPr>
    </w:lvl>
    <w:lvl w:ilvl="6" w:tplc="6C544260">
      <w:start w:val="1"/>
      <w:numFmt w:val="bullet"/>
      <w:lvlText w:val=""/>
      <w:lvlJc w:val="left"/>
      <w:pPr>
        <w:ind w:left="5040" w:hanging="360"/>
      </w:pPr>
      <w:rPr>
        <w:rFonts w:ascii="Symbol" w:hAnsi="Symbol" w:hint="default"/>
      </w:rPr>
    </w:lvl>
    <w:lvl w:ilvl="7" w:tplc="EB467992">
      <w:start w:val="1"/>
      <w:numFmt w:val="bullet"/>
      <w:lvlText w:val="o"/>
      <w:lvlJc w:val="left"/>
      <w:pPr>
        <w:ind w:left="5760" w:hanging="360"/>
      </w:pPr>
      <w:rPr>
        <w:rFonts w:ascii="Courier New" w:hAnsi="Courier New" w:hint="default"/>
      </w:rPr>
    </w:lvl>
    <w:lvl w:ilvl="8" w:tplc="43709FF6">
      <w:start w:val="1"/>
      <w:numFmt w:val="bullet"/>
      <w:lvlText w:val=""/>
      <w:lvlJc w:val="left"/>
      <w:pPr>
        <w:ind w:left="6480" w:hanging="360"/>
      </w:pPr>
      <w:rPr>
        <w:rFonts w:ascii="Wingdings" w:hAnsi="Wingdings" w:hint="default"/>
      </w:rPr>
    </w:lvl>
  </w:abstractNum>
  <w:abstractNum w:abstractNumId="6" w15:restartNumberingAfterBreak="0">
    <w:nsid w:val="0E9FF556"/>
    <w:multiLevelType w:val="hybridMultilevel"/>
    <w:tmpl w:val="FFFFFFFF"/>
    <w:lvl w:ilvl="0" w:tplc="5F244FB6">
      <w:start w:val="1"/>
      <w:numFmt w:val="bullet"/>
      <w:lvlText w:val="o"/>
      <w:lvlJc w:val="left"/>
      <w:pPr>
        <w:ind w:left="720" w:hanging="360"/>
      </w:pPr>
      <w:rPr>
        <w:rFonts w:ascii="Courier New" w:hAnsi="Courier New" w:hint="default"/>
      </w:rPr>
    </w:lvl>
    <w:lvl w:ilvl="1" w:tplc="82E61B10">
      <w:start w:val="1"/>
      <w:numFmt w:val="bullet"/>
      <w:lvlText w:val="o"/>
      <w:lvlJc w:val="left"/>
      <w:pPr>
        <w:ind w:left="1440" w:hanging="360"/>
      </w:pPr>
      <w:rPr>
        <w:rFonts w:ascii="Courier New" w:hAnsi="Courier New" w:hint="default"/>
      </w:rPr>
    </w:lvl>
    <w:lvl w:ilvl="2" w:tplc="A04615C2">
      <w:start w:val="1"/>
      <w:numFmt w:val="bullet"/>
      <w:lvlText w:val=""/>
      <w:lvlJc w:val="left"/>
      <w:pPr>
        <w:ind w:left="2160" w:hanging="360"/>
      </w:pPr>
      <w:rPr>
        <w:rFonts w:ascii="Wingdings" w:hAnsi="Wingdings" w:hint="default"/>
      </w:rPr>
    </w:lvl>
    <w:lvl w:ilvl="3" w:tplc="1F48615C">
      <w:start w:val="1"/>
      <w:numFmt w:val="bullet"/>
      <w:lvlText w:val=""/>
      <w:lvlJc w:val="left"/>
      <w:pPr>
        <w:ind w:left="2880" w:hanging="360"/>
      </w:pPr>
      <w:rPr>
        <w:rFonts w:ascii="Symbol" w:hAnsi="Symbol" w:hint="default"/>
      </w:rPr>
    </w:lvl>
    <w:lvl w:ilvl="4" w:tplc="A1B2B262">
      <w:start w:val="1"/>
      <w:numFmt w:val="bullet"/>
      <w:lvlText w:val="o"/>
      <w:lvlJc w:val="left"/>
      <w:pPr>
        <w:ind w:left="3600" w:hanging="360"/>
      </w:pPr>
      <w:rPr>
        <w:rFonts w:ascii="Courier New" w:hAnsi="Courier New" w:hint="default"/>
      </w:rPr>
    </w:lvl>
    <w:lvl w:ilvl="5" w:tplc="C8760E46">
      <w:start w:val="1"/>
      <w:numFmt w:val="bullet"/>
      <w:lvlText w:val=""/>
      <w:lvlJc w:val="left"/>
      <w:pPr>
        <w:ind w:left="4320" w:hanging="360"/>
      </w:pPr>
      <w:rPr>
        <w:rFonts w:ascii="Wingdings" w:hAnsi="Wingdings" w:hint="default"/>
      </w:rPr>
    </w:lvl>
    <w:lvl w:ilvl="6" w:tplc="0100D968">
      <w:start w:val="1"/>
      <w:numFmt w:val="bullet"/>
      <w:lvlText w:val=""/>
      <w:lvlJc w:val="left"/>
      <w:pPr>
        <w:ind w:left="5040" w:hanging="360"/>
      </w:pPr>
      <w:rPr>
        <w:rFonts w:ascii="Symbol" w:hAnsi="Symbol" w:hint="default"/>
      </w:rPr>
    </w:lvl>
    <w:lvl w:ilvl="7" w:tplc="1AD26482">
      <w:start w:val="1"/>
      <w:numFmt w:val="bullet"/>
      <w:lvlText w:val="o"/>
      <w:lvlJc w:val="left"/>
      <w:pPr>
        <w:ind w:left="5760" w:hanging="360"/>
      </w:pPr>
      <w:rPr>
        <w:rFonts w:ascii="Courier New" w:hAnsi="Courier New" w:hint="default"/>
      </w:rPr>
    </w:lvl>
    <w:lvl w:ilvl="8" w:tplc="3866EB28">
      <w:start w:val="1"/>
      <w:numFmt w:val="bullet"/>
      <w:lvlText w:val=""/>
      <w:lvlJc w:val="left"/>
      <w:pPr>
        <w:ind w:left="6480" w:hanging="360"/>
      </w:pPr>
      <w:rPr>
        <w:rFonts w:ascii="Wingdings" w:hAnsi="Wingdings" w:hint="default"/>
      </w:rPr>
    </w:lvl>
  </w:abstractNum>
  <w:abstractNum w:abstractNumId="7" w15:restartNumberingAfterBreak="0">
    <w:nsid w:val="1CEEB5BD"/>
    <w:multiLevelType w:val="hybridMultilevel"/>
    <w:tmpl w:val="FFFFFFFF"/>
    <w:lvl w:ilvl="0" w:tplc="1E786AB2">
      <w:start w:val="1"/>
      <w:numFmt w:val="bullet"/>
      <w:lvlText w:val="o"/>
      <w:lvlJc w:val="left"/>
      <w:pPr>
        <w:ind w:left="720" w:hanging="360"/>
      </w:pPr>
      <w:rPr>
        <w:rFonts w:ascii="Courier New" w:hAnsi="Courier New" w:hint="default"/>
      </w:rPr>
    </w:lvl>
    <w:lvl w:ilvl="1" w:tplc="A04870CA">
      <w:start w:val="1"/>
      <w:numFmt w:val="bullet"/>
      <w:lvlText w:val="o"/>
      <w:lvlJc w:val="left"/>
      <w:pPr>
        <w:ind w:left="1440" w:hanging="360"/>
      </w:pPr>
      <w:rPr>
        <w:rFonts w:ascii="Courier New" w:hAnsi="Courier New" w:hint="default"/>
      </w:rPr>
    </w:lvl>
    <w:lvl w:ilvl="2" w:tplc="55365DDA">
      <w:start w:val="1"/>
      <w:numFmt w:val="bullet"/>
      <w:lvlText w:val=""/>
      <w:lvlJc w:val="left"/>
      <w:pPr>
        <w:ind w:left="2160" w:hanging="360"/>
      </w:pPr>
      <w:rPr>
        <w:rFonts w:ascii="Wingdings" w:hAnsi="Wingdings" w:hint="default"/>
      </w:rPr>
    </w:lvl>
    <w:lvl w:ilvl="3" w:tplc="017C72B2">
      <w:start w:val="1"/>
      <w:numFmt w:val="bullet"/>
      <w:lvlText w:val=""/>
      <w:lvlJc w:val="left"/>
      <w:pPr>
        <w:ind w:left="2880" w:hanging="360"/>
      </w:pPr>
      <w:rPr>
        <w:rFonts w:ascii="Symbol" w:hAnsi="Symbol" w:hint="default"/>
      </w:rPr>
    </w:lvl>
    <w:lvl w:ilvl="4" w:tplc="82B4B288">
      <w:start w:val="1"/>
      <w:numFmt w:val="bullet"/>
      <w:lvlText w:val="o"/>
      <w:lvlJc w:val="left"/>
      <w:pPr>
        <w:ind w:left="3600" w:hanging="360"/>
      </w:pPr>
      <w:rPr>
        <w:rFonts w:ascii="Courier New" w:hAnsi="Courier New" w:hint="default"/>
      </w:rPr>
    </w:lvl>
    <w:lvl w:ilvl="5" w:tplc="AA70377A">
      <w:start w:val="1"/>
      <w:numFmt w:val="bullet"/>
      <w:lvlText w:val=""/>
      <w:lvlJc w:val="left"/>
      <w:pPr>
        <w:ind w:left="4320" w:hanging="360"/>
      </w:pPr>
      <w:rPr>
        <w:rFonts w:ascii="Wingdings" w:hAnsi="Wingdings" w:hint="default"/>
      </w:rPr>
    </w:lvl>
    <w:lvl w:ilvl="6" w:tplc="BA9C84DE">
      <w:start w:val="1"/>
      <w:numFmt w:val="bullet"/>
      <w:lvlText w:val=""/>
      <w:lvlJc w:val="left"/>
      <w:pPr>
        <w:ind w:left="5040" w:hanging="360"/>
      </w:pPr>
      <w:rPr>
        <w:rFonts w:ascii="Symbol" w:hAnsi="Symbol" w:hint="default"/>
      </w:rPr>
    </w:lvl>
    <w:lvl w:ilvl="7" w:tplc="D54099B0">
      <w:start w:val="1"/>
      <w:numFmt w:val="bullet"/>
      <w:lvlText w:val="o"/>
      <w:lvlJc w:val="left"/>
      <w:pPr>
        <w:ind w:left="5760" w:hanging="360"/>
      </w:pPr>
      <w:rPr>
        <w:rFonts w:ascii="Courier New" w:hAnsi="Courier New" w:hint="default"/>
      </w:rPr>
    </w:lvl>
    <w:lvl w:ilvl="8" w:tplc="95A66880">
      <w:start w:val="1"/>
      <w:numFmt w:val="bullet"/>
      <w:lvlText w:val=""/>
      <w:lvlJc w:val="left"/>
      <w:pPr>
        <w:ind w:left="6480" w:hanging="360"/>
      </w:pPr>
      <w:rPr>
        <w:rFonts w:ascii="Wingdings" w:hAnsi="Wingdings" w:hint="default"/>
      </w:rPr>
    </w:lvl>
  </w:abstractNum>
  <w:abstractNum w:abstractNumId="8" w15:restartNumberingAfterBreak="0">
    <w:nsid w:val="220A0A5B"/>
    <w:multiLevelType w:val="hybridMultilevel"/>
    <w:tmpl w:val="ABE0236E"/>
    <w:lvl w:ilvl="0" w:tplc="09566450">
      <w:start w:val="1"/>
      <w:numFmt w:val="bullet"/>
      <w:lvlText w:val=""/>
      <w:lvlJc w:val="left"/>
      <w:pPr>
        <w:ind w:left="1080" w:hanging="360"/>
      </w:pPr>
      <w:rPr>
        <w:rFonts w:ascii="Wingdings" w:hAnsi="Wingdings" w:hint="default"/>
      </w:rPr>
    </w:lvl>
    <w:lvl w:ilvl="1" w:tplc="E03279E0">
      <w:start w:val="1"/>
      <w:numFmt w:val="bullet"/>
      <w:lvlText w:val="o"/>
      <w:lvlJc w:val="left"/>
      <w:pPr>
        <w:ind w:left="360" w:hanging="360"/>
      </w:pPr>
      <w:rPr>
        <w:rFonts w:ascii="Courier New" w:hAnsi="Courier New" w:hint="default"/>
      </w:rPr>
    </w:lvl>
    <w:lvl w:ilvl="2" w:tplc="26AE6830">
      <w:start w:val="1"/>
      <w:numFmt w:val="bullet"/>
      <w:lvlText w:val=""/>
      <w:lvlJc w:val="left"/>
      <w:pPr>
        <w:ind w:left="2520" w:hanging="360"/>
      </w:pPr>
      <w:rPr>
        <w:rFonts w:ascii="Wingdings" w:hAnsi="Wingdings" w:hint="default"/>
      </w:rPr>
    </w:lvl>
    <w:lvl w:ilvl="3" w:tplc="5E94BDBC">
      <w:numFmt w:val="bullet"/>
      <w:lvlText w:val="·"/>
      <w:lvlJc w:val="left"/>
      <w:pPr>
        <w:ind w:left="3600" w:hanging="720"/>
      </w:pPr>
      <w:rPr>
        <w:rFonts w:ascii="Calibri" w:hAnsi="Calibri" w:hint="default"/>
      </w:rPr>
    </w:lvl>
    <w:lvl w:ilvl="4" w:tplc="5672A97A" w:tentative="1">
      <w:start w:val="1"/>
      <w:numFmt w:val="bullet"/>
      <w:lvlText w:val="o"/>
      <w:lvlJc w:val="left"/>
      <w:pPr>
        <w:ind w:left="3960" w:hanging="360"/>
      </w:pPr>
      <w:rPr>
        <w:rFonts w:ascii="Courier New" w:hAnsi="Courier New" w:hint="default"/>
      </w:rPr>
    </w:lvl>
    <w:lvl w:ilvl="5" w:tplc="552C05F0" w:tentative="1">
      <w:start w:val="1"/>
      <w:numFmt w:val="bullet"/>
      <w:lvlText w:val=""/>
      <w:lvlJc w:val="left"/>
      <w:pPr>
        <w:ind w:left="4680" w:hanging="360"/>
      </w:pPr>
      <w:rPr>
        <w:rFonts w:ascii="Wingdings" w:hAnsi="Wingdings" w:hint="default"/>
      </w:rPr>
    </w:lvl>
    <w:lvl w:ilvl="6" w:tplc="1E4CC30C" w:tentative="1">
      <w:start w:val="1"/>
      <w:numFmt w:val="bullet"/>
      <w:lvlText w:val=""/>
      <w:lvlJc w:val="left"/>
      <w:pPr>
        <w:ind w:left="5400" w:hanging="360"/>
      </w:pPr>
      <w:rPr>
        <w:rFonts w:ascii="Symbol" w:hAnsi="Symbol" w:hint="default"/>
      </w:rPr>
    </w:lvl>
    <w:lvl w:ilvl="7" w:tplc="5B8210C6" w:tentative="1">
      <w:start w:val="1"/>
      <w:numFmt w:val="bullet"/>
      <w:lvlText w:val="o"/>
      <w:lvlJc w:val="left"/>
      <w:pPr>
        <w:ind w:left="6120" w:hanging="360"/>
      </w:pPr>
      <w:rPr>
        <w:rFonts w:ascii="Courier New" w:hAnsi="Courier New" w:hint="default"/>
      </w:rPr>
    </w:lvl>
    <w:lvl w:ilvl="8" w:tplc="C5FCDE46" w:tentative="1">
      <w:start w:val="1"/>
      <w:numFmt w:val="bullet"/>
      <w:lvlText w:val=""/>
      <w:lvlJc w:val="left"/>
      <w:pPr>
        <w:ind w:left="6840" w:hanging="360"/>
      </w:pPr>
      <w:rPr>
        <w:rFonts w:ascii="Wingdings" w:hAnsi="Wingdings" w:hint="default"/>
      </w:rPr>
    </w:lvl>
  </w:abstractNum>
  <w:abstractNum w:abstractNumId="9" w15:restartNumberingAfterBreak="0">
    <w:nsid w:val="2551C35A"/>
    <w:multiLevelType w:val="hybridMultilevel"/>
    <w:tmpl w:val="FFFFFFFF"/>
    <w:lvl w:ilvl="0" w:tplc="A32662BA">
      <w:start w:val="1"/>
      <w:numFmt w:val="bullet"/>
      <w:lvlText w:val="o"/>
      <w:lvlJc w:val="left"/>
      <w:pPr>
        <w:ind w:left="720" w:hanging="360"/>
      </w:pPr>
      <w:rPr>
        <w:rFonts w:ascii="Courier New" w:hAnsi="Courier New" w:hint="default"/>
      </w:rPr>
    </w:lvl>
    <w:lvl w:ilvl="1" w:tplc="F5B4B0C2">
      <w:start w:val="1"/>
      <w:numFmt w:val="bullet"/>
      <w:lvlText w:val="o"/>
      <w:lvlJc w:val="left"/>
      <w:pPr>
        <w:ind w:left="1440" w:hanging="360"/>
      </w:pPr>
      <w:rPr>
        <w:rFonts w:ascii="Courier New" w:hAnsi="Courier New" w:hint="default"/>
      </w:rPr>
    </w:lvl>
    <w:lvl w:ilvl="2" w:tplc="ADFAEC08">
      <w:start w:val="1"/>
      <w:numFmt w:val="bullet"/>
      <w:lvlText w:val=""/>
      <w:lvlJc w:val="left"/>
      <w:pPr>
        <w:ind w:left="2160" w:hanging="360"/>
      </w:pPr>
      <w:rPr>
        <w:rFonts w:ascii="Wingdings" w:hAnsi="Wingdings" w:hint="default"/>
      </w:rPr>
    </w:lvl>
    <w:lvl w:ilvl="3" w:tplc="7458D282">
      <w:start w:val="1"/>
      <w:numFmt w:val="bullet"/>
      <w:lvlText w:val=""/>
      <w:lvlJc w:val="left"/>
      <w:pPr>
        <w:ind w:left="2880" w:hanging="360"/>
      </w:pPr>
      <w:rPr>
        <w:rFonts w:ascii="Symbol" w:hAnsi="Symbol" w:hint="default"/>
      </w:rPr>
    </w:lvl>
    <w:lvl w:ilvl="4" w:tplc="6E7C150E">
      <w:start w:val="1"/>
      <w:numFmt w:val="bullet"/>
      <w:lvlText w:val="o"/>
      <w:lvlJc w:val="left"/>
      <w:pPr>
        <w:ind w:left="3600" w:hanging="360"/>
      </w:pPr>
      <w:rPr>
        <w:rFonts w:ascii="Courier New" w:hAnsi="Courier New" w:hint="default"/>
      </w:rPr>
    </w:lvl>
    <w:lvl w:ilvl="5" w:tplc="244E20DA">
      <w:start w:val="1"/>
      <w:numFmt w:val="bullet"/>
      <w:lvlText w:val=""/>
      <w:lvlJc w:val="left"/>
      <w:pPr>
        <w:ind w:left="4320" w:hanging="360"/>
      </w:pPr>
      <w:rPr>
        <w:rFonts w:ascii="Wingdings" w:hAnsi="Wingdings" w:hint="default"/>
      </w:rPr>
    </w:lvl>
    <w:lvl w:ilvl="6" w:tplc="A8566F42">
      <w:start w:val="1"/>
      <w:numFmt w:val="bullet"/>
      <w:lvlText w:val=""/>
      <w:lvlJc w:val="left"/>
      <w:pPr>
        <w:ind w:left="5040" w:hanging="360"/>
      </w:pPr>
      <w:rPr>
        <w:rFonts w:ascii="Symbol" w:hAnsi="Symbol" w:hint="default"/>
      </w:rPr>
    </w:lvl>
    <w:lvl w:ilvl="7" w:tplc="A1BE6B8E">
      <w:start w:val="1"/>
      <w:numFmt w:val="bullet"/>
      <w:lvlText w:val="o"/>
      <w:lvlJc w:val="left"/>
      <w:pPr>
        <w:ind w:left="5760" w:hanging="360"/>
      </w:pPr>
      <w:rPr>
        <w:rFonts w:ascii="Courier New" w:hAnsi="Courier New" w:hint="default"/>
      </w:rPr>
    </w:lvl>
    <w:lvl w:ilvl="8" w:tplc="8CC00BB0">
      <w:start w:val="1"/>
      <w:numFmt w:val="bullet"/>
      <w:lvlText w:val=""/>
      <w:lvlJc w:val="left"/>
      <w:pPr>
        <w:ind w:left="6480" w:hanging="360"/>
      </w:pPr>
      <w:rPr>
        <w:rFonts w:ascii="Wingdings" w:hAnsi="Wingdings" w:hint="default"/>
      </w:rPr>
    </w:lvl>
  </w:abstractNum>
  <w:abstractNum w:abstractNumId="10" w15:restartNumberingAfterBreak="0">
    <w:nsid w:val="3CD15B3D"/>
    <w:multiLevelType w:val="hybridMultilevel"/>
    <w:tmpl w:val="0D2210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2AC1EB"/>
    <w:multiLevelType w:val="hybridMultilevel"/>
    <w:tmpl w:val="0EB6A854"/>
    <w:lvl w:ilvl="0" w:tplc="2A928820">
      <w:start w:val="1"/>
      <w:numFmt w:val="bullet"/>
      <w:lvlText w:val="o"/>
      <w:lvlJc w:val="left"/>
      <w:pPr>
        <w:ind w:left="501" w:hanging="360"/>
      </w:pPr>
      <w:rPr>
        <w:rFonts w:ascii="Courier New" w:hAnsi="Courier New" w:hint="default"/>
        <w:color w:val="auto"/>
      </w:rPr>
    </w:lvl>
    <w:lvl w:ilvl="1" w:tplc="AE96218A">
      <w:start w:val="1"/>
      <w:numFmt w:val="bullet"/>
      <w:lvlText w:val="o"/>
      <w:lvlJc w:val="left"/>
      <w:pPr>
        <w:ind w:left="1440" w:hanging="360"/>
      </w:pPr>
      <w:rPr>
        <w:rFonts w:ascii="Courier New" w:hAnsi="Courier New" w:hint="default"/>
      </w:rPr>
    </w:lvl>
    <w:lvl w:ilvl="2" w:tplc="0E146F60">
      <w:start w:val="1"/>
      <w:numFmt w:val="bullet"/>
      <w:lvlText w:val=""/>
      <w:lvlJc w:val="left"/>
      <w:pPr>
        <w:ind w:left="2160" w:hanging="360"/>
      </w:pPr>
      <w:rPr>
        <w:rFonts w:ascii="Wingdings" w:hAnsi="Wingdings" w:hint="default"/>
      </w:rPr>
    </w:lvl>
    <w:lvl w:ilvl="3" w:tplc="22CE9698">
      <w:start w:val="1"/>
      <w:numFmt w:val="bullet"/>
      <w:lvlText w:val=""/>
      <w:lvlJc w:val="left"/>
      <w:pPr>
        <w:ind w:left="2880" w:hanging="360"/>
      </w:pPr>
      <w:rPr>
        <w:rFonts w:ascii="Symbol" w:hAnsi="Symbol" w:hint="default"/>
      </w:rPr>
    </w:lvl>
    <w:lvl w:ilvl="4" w:tplc="F308379C">
      <w:start w:val="1"/>
      <w:numFmt w:val="bullet"/>
      <w:lvlText w:val="o"/>
      <w:lvlJc w:val="left"/>
      <w:pPr>
        <w:ind w:left="3600" w:hanging="360"/>
      </w:pPr>
      <w:rPr>
        <w:rFonts w:ascii="Courier New" w:hAnsi="Courier New" w:hint="default"/>
      </w:rPr>
    </w:lvl>
    <w:lvl w:ilvl="5" w:tplc="CC2AE626">
      <w:start w:val="1"/>
      <w:numFmt w:val="bullet"/>
      <w:lvlText w:val=""/>
      <w:lvlJc w:val="left"/>
      <w:pPr>
        <w:ind w:left="4320" w:hanging="360"/>
      </w:pPr>
      <w:rPr>
        <w:rFonts w:ascii="Wingdings" w:hAnsi="Wingdings" w:hint="default"/>
      </w:rPr>
    </w:lvl>
    <w:lvl w:ilvl="6" w:tplc="CD141BF4">
      <w:start w:val="1"/>
      <w:numFmt w:val="bullet"/>
      <w:lvlText w:val=""/>
      <w:lvlJc w:val="left"/>
      <w:pPr>
        <w:ind w:left="5040" w:hanging="360"/>
      </w:pPr>
      <w:rPr>
        <w:rFonts w:ascii="Symbol" w:hAnsi="Symbol" w:hint="default"/>
      </w:rPr>
    </w:lvl>
    <w:lvl w:ilvl="7" w:tplc="BB7E8B62">
      <w:start w:val="1"/>
      <w:numFmt w:val="bullet"/>
      <w:lvlText w:val="o"/>
      <w:lvlJc w:val="left"/>
      <w:pPr>
        <w:ind w:left="5760" w:hanging="360"/>
      </w:pPr>
      <w:rPr>
        <w:rFonts w:ascii="Courier New" w:hAnsi="Courier New" w:hint="default"/>
      </w:rPr>
    </w:lvl>
    <w:lvl w:ilvl="8" w:tplc="9E0EFF4C">
      <w:start w:val="1"/>
      <w:numFmt w:val="bullet"/>
      <w:lvlText w:val=""/>
      <w:lvlJc w:val="left"/>
      <w:pPr>
        <w:ind w:left="6480" w:hanging="360"/>
      </w:pPr>
      <w:rPr>
        <w:rFonts w:ascii="Wingdings" w:hAnsi="Wingdings" w:hint="default"/>
      </w:rPr>
    </w:lvl>
  </w:abstractNum>
  <w:abstractNum w:abstractNumId="12" w15:restartNumberingAfterBreak="0">
    <w:nsid w:val="57149682"/>
    <w:multiLevelType w:val="hybridMultilevel"/>
    <w:tmpl w:val="C6BEF476"/>
    <w:lvl w:ilvl="0" w:tplc="4802F3E0">
      <w:start w:val="1"/>
      <w:numFmt w:val="bullet"/>
      <w:lvlText w:val="o"/>
      <w:lvlJc w:val="left"/>
      <w:pPr>
        <w:ind w:left="811" w:hanging="360"/>
      </w:pPr>
      <w:rPr>
        <w:rFonts w:ascii="Courier New" w:hAnsi="Courier New" w:hint="default"/>
      </w:rPr>
    </w:lvl>
    <w:lvl w:ilvl="1" w:tplc="93F6D4E6">
      <w:start w:val="1"/>
      <w:numFmt w:val="bullet"/>
      <w:lvlText w:val="o"/>
      <w:lvlJc w:val="left"/>
      <w:pPr>
        <w:ind w:left="1440" w:hanging="360"/>
      </w:pPr>
      <w:rPr>
        <w:rFonts w:ascii="Courier New" w:hAnsi="Courier New" w:hint="default"/>
      </w:rPr>
    </w:lvl>
    <w:lvl w:ilvl="2" w:tplc="FC481572">
      <w:start w:val="1"/>
      <w:numFmt w:val="bullet"/>
      <w:lvlText w:val=""/>
      <w:lvlJc w:val="left"/>
      <w:pPr>
        <w:ind w:left="2160" w:hanging="360"/>
      </w:pPr>
      <w:rPr>
        <w:rFonts w:ascii="Wingdings" w:hAnsi="Wingdings" w:hint="default"/>
      </w:rPr>
    </w:lvl>
    <w:lvl w:ilvl="3" w:tplc="21CAC05C">
      <w:start w:val="1"/>
      <w:numFmt w:val="bullet"/>
      <w:lvlText w:val=""/>
      <w:lvlJc w:val="left"/>
      <w:pPr>
        <w:ind w:left="2880" w:hanging="360"/>
      </w:pPr>
      <w:rPr>
        <w:rFonts w:ascii="Symbol" w:hAnsi="Symbol" w:hint="default"/>
      </w:rPr>
    </w:lvl>
    <w:lvl w:ilvl="4" w:tplc="072A56B8">
      <w:start w:val="1"/>
      <w:numFmt w:val="bullet"/>
      <w:lvlText w:val="o"/>
      <w:lvlJc w:val="left"/>
      <w:pPr>
        <w:ind w:left="3600" w:hanging="360"/>
      </w:pPr>
      <w:rPr>
        <w:rFonts w:ascii="Courier New" w:hAnsi="Courier New" w:hint="default"/>
      </w:rPr>
    </w:lvl>
    <w:lvl w:ilvl="5" w:tplc="45509596">
      <w:start w:val="1"/>
      <w:numFmt w:val="bullet"/>
      <w:lvlText w:val=""/>
      <w:lvlJc w:val="left"/>
      <w:pPr>
        <w:ind w:left="4320" w:hanging="360"/>
      </w:pPr>
      <w:rPr>
        <w:rFonts w:ascii="Wingdings" w:hAnsi="Wingdings" w:hint="default"/>
      </w:rPr>
    </w:lvl>
    <w:lvl w:ilvl="6" w:tplc="2AA0B82C">
      <w:start w:val="1"/>
      <w:numFmt w:val="bullet"/>
      <w:lvlText w:val=""/>
      <w:lvlJc w:val="left"/>
      <w:pPr>
        <w:ind w:left="5040" w:hanging="360"/>
      </w:pPr>
      <w:rPr>
        <w:rFonts w:ascii="Symbol" w:hAnsi="Symbol" w:hint="default"/>
      </w:rPr>
    </w:lvl>
    <w:lvl w:ilvl="7" w:tplc="0D6677A6">
      <w:start w:val="1"/>
      <w:numFmt w:val="bullet"/>
      <w:lvlText w:val="o"/>
      <w:lvlJc w:val="left"/>
      <w:pPr>
        <w:ind w:left="5760" w:hanging="360"/>
      </w:pPr>
      <w:rPr>
        <w:rFonts w:ascii="Courier New" w:hAnsi="Courier New" w:hint="default"/>
      </w:rPr>
    </w:lvl>
    <w:lvl w:ilvl="8" w:tplc="A782D9E6">
      <w:start w:val="1"/>
      <w:numFmt w:val="bullet"/>
      <w:lvlText w:val=""/>
      <w:lvlJc w:val="left"/>
      <w:pPr>
        <w:ind w:left="6480" w:hanging="360"/>
      </w:pPr>
      <w:rPr>
        <w:rFonts w:ascii="Wingdings" w:hAnsi="Wingdings" w:hint="default"/>
      </w:rPr>
    </w:lvl>
  </w:abstractNum>
  <w:abstractNum w:abstractNumId="1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4" w15:restartNumberingAfterBreak="0">
    <w:nsid w:val="5C70D34B"/>
    <w:multiLevelType w:val="hybridMultilevel"/>
    <w:tmpl w:val="FFFFFFFF"/>
    <w:lvl w:ilvl="0" w:tplc="FAD68056">
      <w:start w:val="1"/>
      <w:numFmt w:val="bullet"/>
      <w:lvlText w:val="o"/>
      <w:lvlJc w:val="left"/>
      <w:pPr>
        <w:ind w:left="720" w:hanging="360"/>
      </w:pPr>
      <w:rPr>
        <w:rFonts w:ascii="Courier New" w:hAnsi="Courier New" w:hint="default"/>
      </w:rPr>
    </w:lvl>
    <w:lvl w:ilvl="1" w:tplc="D9C2708C">
      <w:start w:val="1"/>
      <w:numFmt w:val="bullet"/>
      <w:lvlText w:val="o"/>
      <w:lvlJc w:val="left"/>
      <w:pPr>
        <w:ind w:left="1440" w:hanging="360"/>
      </w:pPr>
      <w:rPr>
        <w:rFonts w:ascii="Courier New" w:hAnsi="Courier New" w:hint="default"/>
      </w:rPr>
    </w:lvl>
    <w:lvl w:ilvl="2" w:tplc="13FACEFC">
      <w:start w:val="1"/>
      <w:numFmt w:val="bullet"/>
      <w:lvlText w:val=""/>
      <w:lvlJc w:val="left"/>
      <w:pPr>
        <w:ind w:left="2160" w:hanging="360"/>
      </w:pPr>
      <w:rPr>
        <w:rFonts w:ascii="Wingdings" w:hAnsi="Wingdings" w:hint="default"/>
      </w:rPr>
    </w:lvl>
    <w:lvl w:ilvl="3" w:tplc="1F08CCCC">
      <w:start w:val="1"/>
      <w:numFmt w:val="bullet"/>
      <w:lvlText w:val=""/>
      <w:lvlJc w:val="left"/>
      <w:pPr>
        <w:ind w:left="2880" w:hanging="360"/>
      </w:pPr>
      <w:rPr>
        <w:rFonts w:ascii="Symbol" w:hAnsi="Symbol" w:hint="default"/>
      </w:rPr>
    </w:lvl>
    <w:lvl w:ilvl="4" w:tplc="46EC62E0">
      <w:start w:val="1"/>
      <w:numFmt w:val="bullet"/>
      <w:lvlText w:val="o"/>
      <w:lvlJc w:val="left"/>
      <w:pPr>
        <w:ind w:left="3600" w:hanging="360"/>
      </w:pPr>
      <w:rPr>
        <w:rFonts w:ascii="Courier New" w:hAnsi="Courier New" w:hint="default"/>
      </w:rPr>
    </w:lvl>
    <w:lvl w:ilvl="5" w:tplc="863AD454">
      <w:start w:val="1"/>
      <w:numFmt w:val="bullet"/>
      <w:lvlText w:val=""/>
      <w:lvlJc w:val="left"/>
      <w:pPr>
        <w:ind w:left="4320" w:hanging="360"/>
      </w:pPr>
      <w:rPr>
        <w:rFonts w:ascii="Wingdings" w:hAnsi="Wingdings" w:hint="default"/>
      </w:rPr>
    </w:lvl>
    <w:lvl w:ilvl="6" w:tplc="129AFECC">
      <w:start w:val="1"/>
      <w:numFmt w:val="bullet"/>
      <w:lvlText w:val=""/>
      <w:lvlJc w:val="left"/>
      <w:pPr>
        <w:ind w:left="5040" w:hanging="360"/>
      </w:pPr>
      <w:rPr>
        <w:rFonts w:ascii="Symbol" w:hAnsi="Symbol" w:hint="default"/>
      </w:rPr>
    </w:lvl>
    <w:lvl w:ilvl="7" w:tplc="79342A84">
      <w:start w:val="1"/>
      <w:numFmt w:val="bullet"/>
      <w:lvlText w:val="o"/>
      <w:lvlJc w:val="left"/>
      <w:pPr>
        <w:ind w:left="5760" w:hanging="360"/>
      </w:pPr>
      <w:rPr>
        <w:rFonts w:ascii="Courier New" w:hAnsi="Courier New" w:hint="default"/>
      </w:rPr>
    </w:lvl>
    <w:lvl w:ilvl="8" w:tplc="4D88EC08">
      <w:start w:val="1"/>
      <w:numFmt w:val="bullet"/>
      <w:lvlText w:val=""/>
      <w:lvlJc w:val="left"/>
      <w:pPr>
        <w:ind w:left="6480" w:hanging="360"/>
      </w:pPr>
      <w:rPr>
        <w:rFonts w:ascii="Wingdings" w:hAnsi="Wingdings" w:hint="default"/>
      </w:rPr>
    </w:lvl>
  </w:abstractNum>
  <w:abstractNum w:abstractNumId="15" w15:restartNumberingAfterBreak="0">
    <w:nsid w:val="5D4732AE"/>
    <w:multiLevelType w:val="hybridMultilevel"/>
    <w:tmpl w:val="F0687B5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841A01"/>
    <w:multiLevelType w:val="hybridMultilevel"/>
    <w:tmpl w:val="9EC0CA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2B497A"/>
    <w:multiLevelType w:val="hybridMultilevel"/>
    <w:tmpl w:val="FFFFFFFF"/>
    <w:lvl w:ilvl="0" w:tplc="5320614C">
      <w:start w:val="1"/>
      <w:numFmt w:val="bullet"/>
      <w:lvlText w:val="o"/>
      <w:lvlJc w:val="left"/>
      <w:pPr>
        <w:ind w:left="720" w:hanging="360"/>
      </w:pPr>
      <w:rPr>
        <w:rFonts w:ascii="Courier New" w:hAnsi="Courier New" w:hint="default"/>
      </w:rPr>
    </w:lvl>
    <w:lvl w:ilvl="1" w:tplc="F45CEE98">
      <w:start w:val="1"/>
      <w:numFmt w:val="bullet"/>
      <w:lvlText w:val="o"/>
      <w:lvlJc w:val="left"/>
      <w:pPr>
        <w:ind w:left="1440" w:hanging="360"/>
      </w:pPr>
      <w:rPr>
        <w:rFonts w:ascii="Courier New" w:hAnsi="Courier New" w:hint="default"/>
      </w:rPr>
    </w:lvl>
    <w:lvl w:ilvl="2" w:tplc="DE7866AC">
      <w:start w:val="1"/>
      <w:numFmt w:val="bullet"/>
      <w:lvlText w:val=""/>
      <w:lvlJc w:val="left"/>
      <w:pPr>
        <w:ind w:left="2160" w:hanging="360"/>
      </w:pPr>
      <w:rPr>
        <w:rFonts w:ascii="Wingdings" w:hAnsi="Wingdings" w:hint="default"/>
      </w:rPr>
    </w:lvl>
    <w:lvl w:ilvl="3" w:tplc="3A3A3A78">
      <w:start w:val="1"/>
      <w:numFmt w:val="bullet"/>
      <w:lvlText w:val=""/>
      <w:lvlJc w:val="left"/>
      <w:pPr>
        <w:ind w:left="2880" w:hanging="360"/>
      </w:pPr>
      <w:rPr>
        <w:rFonts w:ascii="Symbol" w:hAnsi="Symbol" w:hint="default"/>
      </w:rPr>
    </w:lvl>
    <w:lvl w:ilvl="4" w:tplc="58C04BB6">
      <w:start w:val="1"/>
      <w:numFmt w:val="bullet"/>
      <w:lvlText w:val="o"/>
      <w:lvlJc w:val="left"/>
      <w:pPr>
        <w:ind w:left="3600" w:hanging="360"/>
      </w:pPr>
      <w:rPr>
        <w:rFonts w:ascii="Courier New" w:hAnsi="Courier New" w:hint="default"/>
      </w:rPr>
    </w:lvl>
    <w:lvl w:ilvl="5" w:tplc="0DFE3F3C">
      <w:start w:val="1"/>
      <w:numFmt w:val="bullet"/>
      <w:lvlText w:val=""/>
      <w:lvlJc w:val="left"/>
      <w:pPr>
        <w:ind w:left="4320" w:hanging="360"/>
      </w:pPr>
      <w:rPr>
        <w:rFonts w:ascii="Wingdings" w:hAnsi="Wingdings" w:hint="default"/>
      </w:rPr>
    </w:lvl>
    <w:lvl w:ilvl="6" w:tplc="64103A0A">
      <w:start w:val="1"/>
      <w:numFmt w:val="bullet"/>
      <w:lvlText w:val=""/>
      <w:lvlJc w:val="left"/>
      <w:pPr>
        <w:ind w:left="5040" w:hanging="360"/>
      </w:pPr>
      <w:rPr>
        <w:rFonts w:ascii="Symbol" w:hAnsi="Symbol" w:hint="default"/>
      </w:rPr>
    </w:lvl>
    <w:lvl w:ilvl="7" w:tplc="0450B140">
      <w:start w:val="1"/>
      <w:numFmt w:val="bullet"/>
      <w:lvlText w:val="o"/>
      <w:lvlJc w:val="left"/>
      <w:pPr>
        <w:ind w:left="5760" w:hanging="360"/>
      </w:pPr>
      <w:rPr>
        <w:rFonts w:ascii="Courier New" w:hAnsi="Courier New" w:hint="default"/>
      </w:rPr>
    </w:lvl>
    <w:lvl w:ilvl="8" w:tplc="7BA4C868">
      <w:start w:val="1"/>
      <w:numFmt w:val="bullet"/>
      <w:lvlText w:val=""/>
      <w:lvlJc w:val="left"/>
      <w:pPr>
        <w:ind w:left="6480" w:hanging="360"/>
      </w:pPr>
      <w:rPr>
        <w:rFonts w:ascii="Wingdings" w:hAnsi="Wingdings" w:hint="default"/>
      </w:rPr>
    </w:lvl>
  </w:abstractNum>
  <w:num w:numId="1" w16cid:durableId="1450123769">
    <w:abstractNumId w:val="0"/>
  </w:num>
  <w:num w:numId="2" w16cid:durableId="182462027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20343022">
    <w:abstractNumId w:val="17"/>
  </w:num>
  <w:num w:numId="4" w16cid:durableId="1574000377">
    <w:abstractNumId w:val="4"/>
  </w:num>
  <w:num w:numId="5" w16cid:durableId="2113893297">
    <w:abstractNumId w:val="13"/>
  </w:num>
  <w:num w:numId="6" w16cid:durableId="297148006">
    <w:abstractNumId w:val="8"/>
  </w:num>
  <w:num w:numId="7" w16cid:durableId="994718793">
    <w:abstractNumId w:val="11"/>
  </w:num>
  <w:num w:numId="8" w16cid:durableId="884567381">
    <w:abstractNumId w:val="14"/>
  </w:num>
  <w:num w:numId="9" w16cid:durableId="1639992473">
    <w:abstractNumId w:val="7"/>
  </w:num>
  <w:num w:numId="10" w16cid:durableId="2066223005">
    <w:abstractNumId w:val="15"/>
  </w:num>
  <w:num w:numId="11" w16cid:durableId="1726876824">
    <w:abstractNumId w:val="2"/>
  </w:num>
  <w:num w:numId="12" w16cid:durableId="1878228863">
    <w:abstractNumId w:val="12"/>
  </w:num>
  <w:num w:numId="13" w16cid:durableId="354499264">
    <w:abstractNumId w:val="10"/>
  </w:num>
  <w:num w:numId="14" w16cid:durableId="745420936">
    <w:abstractNumId w:val="16"/>
  </w:num>
  <w:num w:numId="15" w16cid:durableId="1257861533">
    <w:abstractNumId w:val="9"/>
  </w:num>
  <w:num w:numId="16" w16cid:durableId="481124214">
    <w:abstractNumId w:val="6"/>
  </w:num>
  <w:num w:numId="17" w16cid:durableId="271018374">
    <w:abstractNumId w:val="5"/>
  </w:num>
  <w:num w:numId="18" w16cid:durableId="354691134">
    <w:abstractNumId w:val="18"/>
  </w:num>
  <w:num w:numId="19" w16cid:durableId="628247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 w:name="dgnword-docGUID" w:val="{5A59780F-9B2B-4B16-B203-EFC5E9534CA7}"/>
    <w:docVar w:name="dgnword-eventsink" w:val="584193824"/>
  </w:docVars>
  <w:rsids>
    <w:rsidRoot w:val="00A066F1"/>
    <w:rsid w:val="000041EA"/>
    <w:rsid w:val="00022A29"/>
    <w:rsid w:val="000355FD"/>
    <w:rsid w:val="00041009"/>
    <w:rsid w:val="00044CD3"/>
    <w:rsid w:val="00051E39"/>
    <w:rsid w:val="00056577"/>
    <w:rsid w:val="0006773B"/>
    <w:rsid w:val="00067D4B"/>
    <w:rsid w:val="000726BA"/>
    <w:rsid w:val="00075C63"/>
    <w:rsid w:val="00077239"/>
    <w:rsid w:val="00080905"/>
    <w:rsid w:val="000822BE"/>
    <w:rsid w:val="00086491"/>
    <w:rsid w:val="00091346"/>
    <w:rsid w:val="0009498B"/>
    <w:rsid w:val="00094DF0"/>
    <w:rsid w:val="000B5E7B"/>
    <w:rsid w:val="000D3E1A"/>
    <w:rsid w:val="000D4637"/>
    <w:rsid w:val="000D5DBA"/>
    <w:rsid w:val="000E359D"/>
    <w:rsid w:val="000E3874"/>
    <w:rsid w:val="000E4CFC"/>
    <w:rsid w:val="000F1176"/>
    <w:rsid w:val="000F437C"/>
    <w:rsid w:val="000F73FF"/>
    <w:rsid w:val="00102458"/>
    <w:rsid w:val="0010345E"/>
    <w:rsid w:val="001078C7"/>
    <w:rsid w:val="00114CF7"/>
    <w:rsid w:val="00123B68"/>
    <w:rsid w:val="00126F2E"/>
    <w:rsid w:val="00134A08"/>
    <w:rsid w:val="00142B0A"/>
    <w:rsid w:val="00146F6F"/>
    <w:rsid w:val="00147DA1"/>
    <w:rsid w:val="00151184"/>
    <w:rsid w:val="00152957"/>
    <w:rsid w:val="00162E80"/>
    <w:rsid w:val="0016469C"/>
    <w:rsid w:val="00166374"/>
    <w:rsid w:val="00174623"/>
    <w:rsid w:val="00174DF1"/>
    <w:rsid w:val="001800D3"/>
    <w:rsid w:val="00187BD9"/>
    <w:rsid w:val="00190B55"/>
    <w:rsid w:val="00194CFB"/>
    <w:rsid w:val="001951E3"/>
    <w:rsid w:val="001A5087"/>
    <w:rsid w:val="001A618B"/>
    <w:rsid w:val="001B1CF5"/>
    <w:rsid w:val="001B2ED3"/>
    <w:rsid w:val="001B5292"/>
    <w:rsid w:val="001B57A8"/>
    <w:rsid w:val="001C3B5F"/>
    <w:rsid w:val="001D058F"/>
    <w:rsid w:val="001D43A7"/>
    <w:rsid w:val="001D6175"/>
    <w:rsid w:val="001D7A75"/>
    <w:rsid w:val="001E2771"/>
    <w:rsid w:val="001F7A92"/>
    <w:rsid w:val="002009EA"/>
    <w:rsid w:val="00202BFA"/>
    <w:rsid w:val="00202CA0"/>
    <w:rsid w:val="00212949"/>
    <w:rsid w:val="0021351B"/>
    <w:rsid w:val="002154A6"/>
    <w:rsid w:val="002162CD"/>
    <w:rsid w:val="00217F68"/>
    <w:rsid w:val="00224289"/>
    <w:rsid w:val="002255B3"/>
    <w:rsid w:val="002316E1"/>
    <w:rsid w:val="00236E8A"/>
    <w:rsid w:val="0024630C"/>
    <w:rsid w:val="002466C3"/>
    <w:rsid w:val="00251BAB"/>
    <w:rsid w:val="00262321"/>
    <w:rsid w:val="00271316"/>
    <w:rsid w:val="00272A7C"/>
    <w:rsid w:val="00285C05"/>
    <w:rsid w:val="00292A8E"/>
    <w:rsid w:val="00293DE2"/>
    <w:rsid w:val="0029503C"/>
    <w:rsid w:val="00296313"/>
    <w:rsid w:val="002B744F"/>
    <w:rsid w:val="002C3103"/>
    <w:rsid w:val="002D58BE"/>
    <w:rsid w:val="002E7DF9"/>
    <w:rsid w:val="002F01E3"/>
    <w:rsid w:val="003011AA"/>
    <w:rsid w:val="003013EE"/>
    <w:rsid w:val="00305834"/>
    <w:rsid w:val="0032151A"/>
    <w:rsid w:val="0032646C"/>
    <w:rsid w:val="00337708"/>
    <w:rsid w:val="00340913"/>
    <w:rsid w:val="0034264F"/>
    <w:rsid w:val="00372A77"/>
    <w:rsid w:val="00377BD3"/>
    <w:rsid w:val="00384088"/>
    <w:rsid w:val="0038489B"/>
    <w:rsid w:val="0039169B"/>
    <w:rsid w:val="003A7F8C"/>
    <w:rsid w:val="003B532E"/>
    <w:rsid w:val="003B6F14"/>
    <w:rsid w:val="003B7D04"/>
    <w:rsid w:val="003D0435"/>
    <w:rsid w:val="003D0F8B"/>
    <w:rsid w:val="003D3ACD"/>
    <w:rsid w:val="003D45E1"/>
    <w:rsid w:val="003F4994"/>
    <w:rsid w:val="00406208"/>
    <w:rsid w:val="004063C5"/>
    <w:rsid w:val="0040711F"/>
    <w:rsid w:val="004131D4"/>
    <w:rsid w:val="0041348E"/>
    <w:rsid w:val="004162FF"/>
    <w:rsid w:val="00416BE8"/>
    <w:rsid w:val="00421884"/>
    <w:rsid w:val="00432538"/>
    <w:rsid w:val="00432970"/>
    <w:rsid w:val="00447308"/>
    <w:rsid w:val="00456505"/>
    <w:rsid w:val="004623F0"/>
    <w:rsid w:val="00463D2C"/>
    <w:rsid w:val="00467D2D"/>
    <w:rsid w:val="004765FF"/>
    <w:rsid w:val="00486F68"/>
    <w:rsid w:val="00492075"/>
    <w:rsid w:val="004969AD"/>
    <w:rsid w:val="004B13CB"/>
    <w:rsid w:val="004B150A"/>
    <w:rsid w:val="004B4FDF"/>
    <w:rsid w:val="004D3425"/>
    <w:rsid w:val="004D5D5C"/>
    <w:rsid w:val="004E5CF5"/>
    <w:rsid w:val="004F0EAE"/>
    <w:rsid w:val="004F7D98"/>
    <w:rsid w:val="0050139F"/>
    <w:rsid w:val="005131CC"/>
    <w:rsid w:val="00516A11"/>
    <w:rsid w:val="00521223"/>
    <w:rsid w:val="0052273C"/>
    <w:rsid w:val="00524DF1"/>
    <w:rsid w:val="005254A7"/>
    <w:rsid w:val="00533926"/>
    <w:rsid w:val="00535D3F"/>
    <w:rsid w:val="0055124D"/>
    <w:rsid w:val="0055140B"/>
    <w:rsid w:val="00554C4F"/>
    <w:rsid w:val="00554E59"/>
    <w:rsid w:val="00561D72"/>
    <w:rsid w:val="0056541A"/>
    <w:rsid w:val="0058411B"/>
    <w:rsid w:val="00591BD8"/>
    <w:rsid w:val="005964AB"/>
    <w:rsid w:val="00597A49"/>
    <w:rsid w:val="005A28B3"/>
    <w:rsid w:val="005A511B"/>
    <w:rsid w:val="005B44F5"/>
    <w:rsid w:val="005C099A"/>
    <w:rsid w:val="005C31A5"/>
    <w:rsid w:val="005C6B96"/>
    <w:rsid w:val="005D736D"/>
    <w:rsid w:val="005D7E39"/>
    <w:rsid w:val="005E10C9"/>
    <w:rsid w:val="005E2544"/>
    <w:rsid w:val="005E2C5D"/>
    <w:rsid w:val="005E3BD5"/>
    <w:rsid w:val="005E61DD"/>
    <w:rsid w:val="005E6321"/>
    <w:rsid w:val="005F071D"/>
    <w:rsid w:val="005F6D0D"/>
    <w:rsid w:val="006023DF"/>
    <w:rsid w:val="00607D3E"/>
    <w:rsid w:val="00630200"/>
    <w:rsid w:val="00631D58"/>
    <w:rsid w:val="0064322F"/>
    <w:rsid w:val="00644A72"/>
    <w:rsid w:val="00651678"/>
    <w:rsid w:val="00657DE0"/>
    <w:rsid w:val="00660F02"/>
    <w:rsid w:val="0066229E"/>
    <w:rsid w:val="00664FDF"/>
    <w:rsid w:val="0067199F"/>
    <w:rsid w:val="0067293A"/>
    <w:rsid w:val="006773A3"/>
    <w:rsid w:val="00677E06"/>
    <w:rsid w:val="00680FBE"/>
    <w:rsid w:val="00685313"/>
    <w:rsid w:val="00693422"/>
    <w:rsid w:val="00696C58"/>
    <w:rsid w:val="006A05D4"/>
    <w:rsid w:val="006A09B8"/>
    <w:rsid w:val="006A6E9B"/>
    <w:rsid w:val="006B27DC"/>
    <w:rsid w:val="006B42E4"/>
    <w:rsid w:val="006B7C2A"/>
    <w:rsid w:val="006C23DA"/>
    <w:rsid w:val="006D333B"/>
    <w:rsid w:val="006E1B84"/>
    <w:rsid w:val="006E3D45"/>
    <w:rsid w:val="006E54DC"/>
    <w:rsid w:val="006F0DA5"/>
    <w:rsid w:val="0070415A"/>
    <w:rsid w:val="00713E10"/>
    <w:rsid w:val="007149F9"/>
    <w:rsid w:val="00733A30"/>
    <w:rsid w:val="00741425"/>
    <w:rsid w:val="00745AEE"/>
    <w:rsid w:val="007479EA"/>
    <w:rsid w:val="00750F10"/>
    <w:rsid w:val="00755129"/>
    <w:rsid w:val="00756D08"/>
    <w:rsid w:val="00763EDA"/>
    <w:rsid w:val="007709A0"/>
    <w:rsid w:val="007742CA"/>
    <w:rsid w:val="00775887"/>
    <w:rsid w:val="00775C0E"/>
    <w:rsid w:val="00791FEB"/>
    <w:rsid w:val="00794D83"/>
    <w:rsid w:val="0079564A"/>
    <w:rsid w:val="007B020E"/>
    <w:rsid w:val="007D06F0"/>
    <w:rsid w:val="007D45E3"/>
    <w:rsid w:val="007D5320"/>
    <w:rsid w:val="007F2D90"/>
    <w:rsid w:val="007F735C"/>
    <w:rsid w:val="00800972"/>
    <w:rsid w:val="00804475"/>
    <w:rsid w:val="00811633"/>
    <w:rsid w:val="008137AB"/>
    <w:rsid w:val="00815C0C"/>
    <w:rsid w:val="00815C56"/>
    <w:rsid w:val="00821CEF"/>
    <w:rsid w:val="008265BC"/>
    <w:rsid w:val="00832828"/>
    <w:rsid w:val="0083645A"/>
    <w:rsid w:val="00840B0F"/>
    <w:rsid w:val="00845242"/>
    <w:rsid w:val="0085099B"/>
    <w:rsid w:val="0085137E"/>
    <w:rsid w:val="00866EA4"/>
    <w:rsid w:val="008711AE"/>
    <w:rsid w:val="00872758"/>
    <w:rsid w:val="00872FC8"/>
    <w:rsid w:val="00877206"/>
    <w:rsid w:val="008801D3"/>
    <w:rsid w:val="008845D0"/>
    <w:rsid w:val="008917B5"/>
    <w:rsid w:val="008B43F2"/>
    <w:rsid w:val="008B61EA"/>
    <w:rsid w:val="008B6CFF"/>
    <w:rsid w:val="008D41F4"/>
    <w:rsid w:val="008D7991"/>
    <w:rsid w:val="008E1563"/>
    <w:rsid w:val="008F0B73"/>
    <w:rsid w:val="008F428A"/>
    <w:rsid w:val="008F6501"/>
    <w:rsid w:val="00905A6F"/>
    <w:rsid w:val="00907654"/>
    <w:rsid w:val="00910B26"/>
    <w:rsid w:val="00912362"/>
    <w:rsid w:val="00914AD2"/>
    <w:rsid w:val="00917571"/>
    <w:rsid w:val="009249C1"/>
    <w:rsid w:val="00925266"/>
    <w:rsid w:val="009274B4"/>
    <w:rsid w:val="00934EA2"/>
    <w:rsid w:val="00935867"/>
    <w:rsid w:val="00935F4B"/>
    <w:rsid w:val="00943D45"/>
    <w:rsid w:val="00944A5C"/>
    <w:rsid w:val="00952A66"/>
    <w:rsid w:val="00960B9B"/>
    <w:rsid w:val="00961D12"/>
    <w:rsid w:val="00967954"/>
    <w:rsid w:val="00970377"/>
    <w:rsid w:val="009903FC"/>
    <w:rsid w:val="009A6939"/>
    <w:rsid w:val="009B2988"/>
    <w:rsid w:val="009B78D5"/>
    <w:rsid w:val="009C2C5F"/>
    <w:rsid w:val="009C56E5"/>
    <w:rsid w:val="009D3060"/>
    <w:rsid w:val="009E5FC8"/>
    <w:rsid w:val="009E687A"/>
    <w:rsid w:val="009E77CF"/>
    <w:rsid w:val="009F710E"/>
    <w:rsid w:val="00A03C5C"/>
    <w:rsid w:val="00A066F1"/>
    <w:rsid w:val="00A10B6A"/>
    <w:rsid w:val="00A141AF"/>
    <w:rsid w:val="00A16D29"/>
    <w:rsid w:val="00A20E5E"/>
    <w:rsid w:val="00A30305"/>
    <w:rsid w:val="00A31D2D"/>
    <w:rsid w:val="00A327AF"/>
    <w:rsid w:val="00A4600A"/>
    <w:rsid w:val="00A538A6"/>
    <w:rsid w:val="00A54C25"/>
    <w:rsid w:val="00A56DDD"/>
    <w:rsid w:val="00A62167"/>
    <w:rsid w:val="00A63ECD"/>
    <w:rsid w:val="00A710E7"/>
    <w:rsid w:val="00A734FE"/>
    <w:rsid w:val="00A7372E"/>
    <w:rsid w:val="00A8163F"/>
    <w:rsid w:val="00A81F12"/>
    <w:rsid w:val="00A8555F"/>
    <w:rsid w:val="00A864A5"/>
    <w:rsid w:val="00A86714"/>
    <w:rsid w:val="00A87895"/>
    <w:rsid w:val="00A93B85"/>
    <w:rsid w:val="00AA0B18"/>
    <w:rsid w:val="00AA25E0"/>
    <w:rsid w:val="00AA666F"/>
    <w:rsid w:val="00AB4927"/>
    <w:rsid w:val="00AC2258"/>
    <w:rsid w:val="00AC69A2"/>
    <w:rsid w:val="00AC7340"/>
    <w:rsid w:val="00AD2C7C"/>
    <w:rsid w:val="00AF1AEE"/>
    <w:rsid w:val="00AF411C"/>
    <w:rsid w:val="00B004E5"/>
    <w:rsid w:val="00B00F40"/>
    <w:rsid w:val="00B07862"/>
    <w:rsid w:val="00B15F9D"/>
    <w:rsid w:val="00B273DF"/>
    <w:rsid w:val="00B350C7"/>
    <w:rsid w:val="00B5062F"/>
    <w:rsid w:val="00B52B82"/>
    <w:rsid w:val="00B639E9"/>
    <w:rsid w:val="00B71908"/>
    <w:rsid w:val="00B817CD"/>
    <w:rsid w:val="00B911B2"/>
    <w:rsid w:val="00B951D0"/>
    <w:rsid w:val="00B96DDD"/>
    <w:rsid w:val="00BA2B42"/>
    <w:rsid w:val="00BB29C8"/>
    <w:rsid w:val="00BB3A95"/>
    <w:rsid w:val="00BB4BF4"/>
    <w:rsid w:val="00BC0218"/>
    <w:rsid w:val="00BC0382"/>
    <w:rsid w:val="00BC3D4B"/>
    <w:rsid w:val="00BD2B33"/>
    <w:rsid w:val="00BD7039"/>
    <w:rsid w:val="00C0018F"/>
    <w:rsid w:val="00C010A9"/>
    <w:rsid w:val="00C074D6"/>
    <w:rsid w:val="00C1132C"/>
    <w:rsid w:val="00C1192C"/>
    <w:rsid w:val="00C11F15"/>
    <w:rsid w:val="00C14ECE"/>
    <w:rsid w:val="00C20428"/>
    <w:rsid w:val="00C20466"/>
    <w:rsid w:val="00C214ED"/>
    <w:rsid w:val="00C234E6"/>
    <w:rsid w:val="00C24C58"/>
    <w:rsid w:val="00C24D0D"/>
    <w:rsid w:val="00C31666"/>
    <w:rsid w:val="00C324A8"/>
    <w:rsid w:val="00C3615F"/>
    <w:rsid w:val="00C3620A"/>
    <w:rsid w:val="00C54517"/>
    <w:rsid w:val="00C57A72"/>
    <w:rsid w:val="00C57D56"/>
    <w:rsid w:val="00C64CD8"/>
    <w:rsid w:val="00C726F9"/>
    <w:rsid w:val="00C72BFA"/>
    <w:rsid w:val="00C73BED"/>
    <w:rsid w:val="00C76335"/>
    <w:rsid w:val="00C766A2"/>
    <w:rsid w:val="00C83DA9"/>
    <w:rsid w:val="00C87A2C"/>
    <w:rsid w:val="00C97C68"/>
    <w:rsid w:val="00CA1981"/>
    <w:rsid w:val="00CA1A47"/>
    <w:rsid w:val="00CA734F"/>
    <w:rsid w:val="00CC247A"/>
    <w:rsid w:val="00CC34BE"/>
    <w:rsid w:val="00CE358A"/>
    <w:rsid w:val="00CE4135"/>
    <w:rsid w:val="00CE5E47"/>
    <w:rsid w:val="00CF020F"/>
    <w:rsid w:val="00CF2433"/>
    <w:rsid w:val="00CF2B5B"/>
    <w:rsid w:val="00D14CE0"/>
    <w:rsid w:val="00D201D9"/>
    <w:rsid w:val="00D22342"/>
    <w:rsid w:val="00D22735"/>
    <w:rsid w:val="00D22765"/>
    <w:rsid w:val="00D36333"/>
    <w:rsid w:val="00D45F9F"/>
    <w:rsid w:val="00D515CC"/>
    <w:rsid w:val="00D5651D"/>
    <w:rsid w:val="00D6625E"/>
    <w:rsid w:val="00D712B0"/>
    <w:rsid w:val="00D74898"/>
    <w:rsid w:val="00D777C2"/>
    <w:rsid w:val="00D801ED"/>
    <w:rsid w:val="00D83BF5"/>
    <w:rsid w:val="00D86467"/>
    <w:rsid w:val="00D87A4F"/>
    <w:rsid w:val="00D925BB"/>
    <w:rsid w:val="00D925C2"/>
    <w:rsid w:val="00D936BC"/>
    <w:rsid w:val="00D95BA3"/>
    <w:rsid w:val="00D9621A"/>
    <w:rsid w:val="00D96530"/>
    <w:rsid w:val="00D96B4B"/>
    <w:rsid w:val="00DA2345"/>
    <w:rsid w:val="00DA453A"/>
    <w:rsid w:val="00DA7078"/>
    <w:rsid w:val="00DB1EB3"/>
    <w:rsid w:val="00DB3D7E"/>
    <w:rsid w:val="00DC1608"/>
    <w:rsid w:val="00DC465C"/>
    <w:rsid w:val="00DD08B4"/>
    <w:rsid w:val="00DD44AF"/>
    <w:rsid w:val="00DE18D5"/>
    <w:rsid w:val="00DE2AC3"/>
    <w:rsid w:val="00DE434C"/>
    <w:rsid w:val="00DE5692"/>
    <w:rsid w:val="00DE6E6C"/>
    <w:rsid w:val="00DE7069"/>
    <w:rsid w:val="00DF47CA"/>
    <w:rsid w:val="00DF4DFF"/>
    <w:rsid w:val="00DF6F8E"/>
    <w:rsid w:val="00E00AE3"/>
    <w:rsid w:val="00E03C94"/>
    <w:rsid w:val="00E03E36"/>
    <w:rsid w:val="00E046A5"/>
    <w:rsid w:val="00E07105"/>
    <w:rsid w:val="00E14630"/>
    <w:rsid w:val="00E252F1"/>
    <w:rsid w:val="00E26226"/>
    <w:rsid w:val="00E318C5"/>
    <w:rsid w:val="00E4165C"/>
    <w:rsid w:val="00E45D05"/>
    <w:rsid w:val="00E46B58"/>
    <w:rsid w:val="00E47145"/>
    <w:rsid w:val="00E50D44"/>
    <w:rsid w:val="00E55816"/>
    <w:rsid w:val="00E55AEF"/>
    <w:rsid w:val="00E5608C"/>
    <w:rsid w:val="00E65679"/>
    <w:rsid w:val="00E80D1A"/>
    <w:rsid w:val="00E85949"/>
    <w:rsid w:val="00E90E58"/>
    <w:rsid w:val="00E976C1"/>
    <w:rsid w:val="00EA12E5"/>
    <w:rsid w:val="00EA2CB0"/>
    <w:rsid w:val="00EC043A"/>
    <w:rsid w:val="00EC0E1A"/>
    <w:rsid w:val="00ED0C12"/>
    <w:rsid w:val="00ED5706"/>
    <w:rsid w:val="00EF1503"/>
    <w:rsid w:val="00EF1C92"/>
    <w:rsid w:val="00EF4BDF"/>
    <w:rsid w:val="00EF6F6B"/>
    <w:rsid w:val="00F01013"/>
    <w:rsid w:val="00F02766"/>
    <w:rsid w:val="00F04067"/>
    <w:rsid w:val="00F05BD4"/>
    <w:rsid w:val="00F11A98"/>
    <w:rsid w:val="00F1450C"/>
    <w:rsid w:val="00F21A1D"/>
    <w:rsid w:val="00F25C88"/>
    <w:rsid w:val="00F30AFF"/>
    <w:rsid w:val="00F40E33"/>
    <w:rsid w:val="00F41260"/>
    <w:rsid w:val="00F415A8"/>
    <w:rsid w:val="00F4654C"/>
    <w:rsid w:val="00F475E2"/>
    <w:rsid w:val="00F57442"/>
    <w:rsid w:val="00F618BE"/>
    <w:rsid w:val="00F65C19"/>
    <w:rsid w:val="00F703EC"/>
    <w:rsid w:val="00F71732"/>
    <w:rsid w:val="00F80279"/>
    <w:rsid w:val="00F861F9"/>
    <w:rsid w:val="00F96B80"/>
    <w:rsid w:val="00FA4490"/>
    <w:rsid w:val="00FA56EA"/>
    <w:rsid w:val="00FA77A8"/>
    <w:rsid w:val="00FB6E5E"/>
    <w:rsid w:val="00FB74D7"/>
    <w:rsid w:val="00FC1110"/>
    <w:rsid w:val="00FC245B"/>
    <w:rsid w:val="00FC30E4"/>
    <w:rsid w:val="00FD2546"/>
    <w:rsid w:val="00FD47E8"/>
    <w:rsid w:val="00FD6FAE"/>
    <w:rsid w:val="00FD772E"/>
    <w:rsid w:val="00FD79AD"/>
    <w:rsid w:val="00FE3926"/>
    <w:rsid w:val="00FE78C7"/>
    <w:rsid w:val="00FF0EC8"/>
    <w:rsid w:val="00FF43AC"/>
    <w:rsid w:val="00FF47CE"/>
    <w:rsid w:val="00FF79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AAD99"/>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NUMBERED PARAGRAPH,List Paragraph 1,List Paragraph (numbered (a)),Use Case List Paragraph,References,ReferencesCxSpLast,lp1,List Paragraph1,Recommendation,List Paragraph11,Bullet List,FooterText,numbered,Paragraphe de liste1,Bullet 1,O5,?"/>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40711F"/>
    <w:rPr>
      <w:color w:val="800080" w:themeColor="followedHyperlink"/>
      <w:u w:val="single"/>
    </w:rPr>
  </w:style>
  <w:style w:type="character" w:styleId="PageNumber">
    <w:name w:val="page number"/>
    <w:basedOn w:val="DefaultParagraphFont"/>
    <w:rsid w:val="00372A77"/>
    <w:rPr>
      <w:rFonts w:asciiTheme="minorHAnsi" w:hAnsiTheme="minorHAnsi"/>
    </w:rPr>
  </w:style>
  <w:style w:type="character" w:styleId="UnresolvedMention">
    <w:name w:val="Unresolved Mention"/>
    <w:basedOn w:val="DefaultParagraphFont"/>
    <w:uiPriority w:val="99"/>
    <w:semiHidden/>
    <w:unhideWhenUsed/>
    <w:rsid w:val="00B00F40"/>
    <w:rPr>
      <w:color w:val="605E5C"/>
      <w:shd w:val="clear" w:color="auto" w:fill="E1DFDD"/>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O5 Char"/>
    <w:basedOn w:val="DefaultParagraphFont"/>
    <w:link w:val="ListParagraph"/>
    <w:uiPriority w:val="34"/>
    <w:qFormat/>
    <w:locked/>
    <w:rsid w:val="006773A3"/>
    <w:rPr>
      <w:rFonts w:asciiTheme="minorHAnsi" w:hAnsiTheme="minorHAnsi"/>
      <w:sz w:val="24"/>
      <w:lang w:val="en-GB" w:eastAsia="en-US"/>
    </w:rPr>
  </w:style>
  <w:style w:type="table" w:customStyle="1" w:styleId="TableGrid3">
    <w:name w:val="Table Grid3"/>
    <w:basedOn w:val="TableNormal"/>
    <w:next w:val="TableGrid"/>
    <w:uiPriority w:val="39"/>
    <w:rsid w:val="006773A3"/>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7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C69A2"/>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011AA"/>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24289"/>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4E5CF5"/>
    <w:rPr>
      <w:rFonts w:asciiTheme="minorHAnsi" w:eastAsiaTheme="minorHAnsi" w:hAnsiTheme="minorHAnsi" w:cstheme="minorBidi"/>
      <w:kern w:val="2"/>
      <w:sz w:val="22"/>
      <w:szCs w:val="22"/>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1B1CF5"/>
    <w:rPr>
      <w:rFonts w:asciiTheme="minorHAnsi" w:eastAsiaTheme="minorHAnsi" w:hAnsiTheme="minorHAnsi" w:cstheme="minorBidi"/>
      <w:kern w:val="2"/>
      <w:sz w:val="22"/>
      <w:szCs w:val="22"/>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C57D56"/>
    <w:rPr>
      <w:rFonts w:asciiTheme="minorHAnsi" w:eastAsiaTheme="minorHAnsi" w:hAnsiTheme="minorHAnsi" w:cstheme="minorBidi"/>
      <w:kern w:val="2"/>
      <w:sz w:val="22"/>
      <w:szCs w:val="22"/>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C57D56"/>
    <w:rPr>
      <w:rFonts w:asciiTheme="minorHAnsi" w:eastAsiaTheme="minorHAnsi" w:hAnsiTheme="minorHAnsi" w:cstheme="minorBidi"/>
      <w:kern w:val="2"/>
      <w:sz w:val="22"/>
      <w:szCs w:val="22"/>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57A72"/>
    <w:rPr>
      <w:sz w:val="16"/>
      <w:szCs w:val="16"/>
    </w:rPr>
  </w:style>
  <w:style w:type="paragraph" w:styleId="CommentText">
    <w:name w:val="annotation text"/>
    <w:basedOn w:val="Normal"/>
    <w:link w:val="CommentTextChar"/>
    <w:semiHidden/>
    <w:unhideWhenUsed/>
    <w:rsid w:val="00C57A72"/>
    <w:rPr>
      <w:sz w:val="20"/>
    </w:rPr>
  </w:style>
  <w:style w:type="character" w:customStyle="1" w:styleId="CommentTextChar">
    <w:name w:val="Comment Text Char"/>
    <w:basedOn w:val="DefaultParagraphFont"/>
    <w:link w:val="CommentText"/>
    <w:semiHidden/>
    <w:rsid w:val="00C57A72"/>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C57A72"/>
    <w:rPr>
      <w:b/>
      <w:bCs/>
    </w:rPr>
  </w:style>
  <w:style w:type="character" w:customStyle="1" w:styleId="CommentSubjectChar">
    <w:name w:val="Comment Subject Char"/>
    <w:basedOn w:val="CommentTextChar"/>
    <w:link w:val="CommentSubject"/>
    <w:semiHidden/>
    <w:rsid w:val="00C57A72"/>
    <w:rPr>
      <w:rFonts w:asciiTheme="minorHAnsi" w:hAnsiTheme="minorHAnsi"/>
      <w:b/>
      <w:bCs/>
      <w:lang w:val="en-GB" w:eastAsia="en-US"/>
    </w:rPr>
  </w:style>
  <w:style w:type="paragraph" w:styleId="Revision">
    <w:name w:val="Revision"/>
    <w:hidden/>
    <w:uiPriority w:val="99"/>
    <w:semiHidden/>
    <w:rsid w:val="00C57A72"/>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19808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itu-d/meetings/digital-skills-forum/" TargetMode="External"/><Relationship Id="rId21" Type="http://schemas.openxmlformats.org/officeDocument/2006/relationships/hyperlink" Target="https://www.itu.int/md/D22-RPMCIS-C-0002/en" TargetMode="External"/><Relationship Id="rId63" Type="http://schemas.openxmlformats.org/officeDocument/2006/relationships/hyperlink" Target="https://www.itu.int/en/ITU-D/Technology/Pages/infrastructure_mapping_and_analysis.aspx" TargetMode="External"/><Relationship Id="rId159" Type="http://schemas.openxmlformats.org/officeDocument/2006/relationships/hyperlink" Target="https://www.itu.int/itu-d/reports/statistics/sddt/" TargetMode="External"/><Relationship Id="rId170" Type="http://schemas.openxmlformats.org/officeDocument/2006/relationships/hyperlink" Target="https://www.itu.int/en/ITU-D/Innovation/Pages/RIA/Regional-Initiative-Accelerator.aspx" TargetMode="External"/><Relationship Id="rId226" Type="http://schemas.openxmlformats.org/officeDocument/2006/relationships/hyperlink" Target="https://www.itu.int/en/ITU-D/Study-Groups/2022-2025/Pages/reference/Ongoing-Work.aspx" TargetMode="External"/><Relationship Id="rId268" Type="http://schemas.openxmlformats.org/officeDocument/2006/relationships/hyperlink" Target="https://www.itu.int/itu-d/sites/digital-impact-unlocked/inclusive-digital-education-for-visually-impaired-people-in-pakistan/" TargetMode="External"/><Relationship Id="rId32" Type="http://schemas.openxmlformats.org/officeDocument/2006/relationships/hyperlink" Target="https://www.itu.int/md/D22-RPMCIS-C-0002/fr" TargetMode="External"/><Relationship Id="rId74" Type="http://schemas.openxmlformats.org/officeDocument/2006/relationships/hyperlink" Target="https://www.itu.int/md/D22-SG01-C-0488/en" TargetMode="External"/><Relationship Id="rId128" Type="http://schemas.openxmlformats.org/officeDocument/2006/relationships/hyperlink" Target="https://www.itu.int/dms_pub/itu-d/opb/res/D-RES-D.48-2022-PDF-F.pdf" TargetMode="External"/><Relationship Id="rId5" Type="http://schemas.openxmlformats.org/officeDocument/2006/relationships/numbering" Target="numbering.xml"/><Relationship Id="rId181" Type="http://schemas.openxmlformats.org/officeDocument/2006/relationships/hyperlink" Target="https://www.itu.int/en/ITU-D/Innovation/Pages/RIA/Regional-Initiative-Accelerator.aspx" TargetMode="External"/><Relationship Id="rId237" Type="http://schemas.openxmlformats.org/officeDocument/2006/relationships/hyperlink" Target="https://www.itu.int/dms_pub/itu-d/opb/res/D-RES-D.9-2022-PDF-F.pdf" TargetMode="External"/><Relationship Id="rId279" Type="http://schemas.openxmlformats.org/officeDocument/2006/relationships/hyperlink" Target="https://greeningdigital.itu.int/" TargetMode="External"/><Relationship Id="rId43" Type="http://schemas.openxmlformats.org/officeDocument/2006/relationships/hyperlink" Target="https://www.itu.int/en/ITU-D/Emergency-Telecommunications/Pages/AI-Sub-Group-EW4All-.aspx" TargetMode="External"/><Relationship Id="rId139" Type="http://schemas.openxmlformats.org/officeDocument/2006/relationships/hyperlink" Target="https://app.gen5.digital/tracker/metrics" TargetMode="External"/><Relationship Id="rId290" Type="http://schemas.openxmlformats.org/officeDocument/2006/relationships/footer" Target="footer3.xml"/><Relationship Id="rId85" Type="http://schemas.openxmlformats.org/officeDocument/2006/relationships/hyperlink" Target="https://www.itu.int/itu-d/sites/innovation-alliance/" TargetMode="External"/><Relationship Id="rId150" Type="http://schemas.openxmlformats.org/officeDocument/2006/relationships/hyperlink" Target="https://www.itu.int/en/ITU-D/Statistics/Pages/expertgroups.aspx" TargetMode="External"/><Relationship Id="rId192" Type="http://schemas.openxmlformats.org/officeDocument/2006/relationships/hyperlink" Target="https://www.itu.int/itu-d/sites/digital-impact-unlocked/bdt4impact-case-study-record-breaking-cyber-response-trainings/" TargetMode="External"/><Relationship Id="rId206" Type="http://schemas.openxmlformats.org/officeDocument/2006/relationships/hyperlink" Target="https://www.itu.int/cop/askme/" TargetMode="External"/><Relationship Id="rId248" Type="http://schemas.openxmlformats.org/officeDocument/2006/relationships/hyperlink" Target="https://www.itu.int/en/ITU-D/Conferences/TDAG/Pages/2024/TDAG_ICG_GYS.aspx" TargetMode="External"/><Relationship Id="rId12" Type="http://schemas.openxmlformats.org/officeDocument/2006/relationships/image" Target="media/image2.png"/><Relationship Id="rId33" Type="http://schemas.openxmlformats.org/officeDocument/2006/relationships/hyperlink" Target="https://earlywarningsforall.org/site/early-warnings-all/about-ew4all" TargetMode="External"/><Relationship Id="rId108" Type="http://schemas.openxmlformats.org/officeDocument/2006/relationships/hyperlink" Target="https://academy.itu.int/itu-d/projects-activities/itu-academy-training-centres/itu-atc-overview" TargetMode="External"/><Relationship Id="rId129" Type="http://schemas.openxmlformats.org/officeDocument/2006/relationships/hyperlink" Target="https://www.itu.int/itu-d/meetings/gsr-23/fr/" TargetMode="External"/><Relationship Id="rId280" Type="http://schemas.openxmlformats.org/officeDocument/2006/relationships/hyperlink" Target="https://www.itu.int/en/ITU-D/Conferences/GSR/Pages/GSR.aspx" TargetMode="External"/><Relationship Id="rId54" Type="http://schemas.openxmlformats.org/officeDocument/2006/relationships/hyperlink" Target="https://www.itu.int/en/ITU-D/Emergency-Telecommunications/Pages/TampereConvention.aspx" TargetMode="External"/><Relationship Id="rId75" Type="http://schemas.openxmlformats.org/officeDocument/2006/relationships/hyperlink" Target="https://www.itu.int/en/ITU-D/Study-Groups/2022-2025/Pages/events_workshops.aspx" TargetMode="External"/><Relationship Id="rId96" Type="http://schemas.openxmlformats.org/officeDocument/2006/relationships/hyperlink" Target="https://www.itu.int/en/ITU-D/Regional-Presence/Europe/Pages/Events/2025/02.11-13_Regional%20Initiative%20Accelerator%20Workshop/Western-Balkan-Countries.aspx" TargetMode="External"/><Relationship Id="rId140" Type="http://schemas.openxmlformats.org/officeDocument/2006/relationships/hyperlink" Target="https://app.gen5.digital/benchmark/metrics" TargetMode="External"/><Relationship Id="rId161" Type="http://schemas.openxmlformats.org/officeDocument/2006/relationships/hyperlink" Target="https://datahub.itu.int/dashboards/idi/?y=2025" TargetMode="External"/><Relationship Id="rId182" Type="http://schemas.openxmlformats.org/officeDocument/2006/relationships/hyperlink" Target="https://chrome-extension://efaidnbmnnnibpcajpcglclefindmkaj/https:/www.itu.int/en/ITU-D/Regional-Presence/Europe/Documents/May%202025_Maltas%20Innovation%20Landscape%20Best%20Practices%20and%20Future%20Directions_vf%20with%20cover.pdf" TargetMode="External"/><Relationship Id="rId217" Type="http://schemas.openxmlformats.org/officeDocument/2006/relationships/hyperlink" Target="https://www.itu.int/en/ITU-D/Cybersecurity/Pages/Skills-Development/Cyber-Diplomacy/RSCCD-25.aspx" TargetMode="External"/><Relationship Id="rId6" Type="http://schemas.openxmlformats.org/officeDocument/2006/relationships/styles" Target="styles.xml"/><Relationship Id="rId238" Type="http://schemas.openxmlformats.org/officeDocument/2006/relationships/hyperlink" Target="https://www.itu.int/en/ITU-D/Study-Groups/2022-2025/Pages/Publications.aspx" TargetMode="External"/><Relationship Id="rId259" Type="http://schemas.openxmlformats.org/officeDocument/2006/relationships/hyperlink" Target="https://www.itu.int/en/ITU-D/Pages/accessible-events/2025/default.aspx" TargetMode="External"/><Relationship Id="rId23" Type="http://schemas.openxmlformats.org/officeDocument/2006/relationships/hyperlink" Target="https://www.itu.int/md/D22-WTDC25-C-0002" TargetMode="External"/><Relationship Id="rId119" Type="http://schemas.openxmlformats.org/officeDocument/2006/relationships/hyperlink" Target="https://academy.itu.int/index.php/main-activities/ilo-itu-digital-skills-campaign" TargetMode="External"/><Relationship Id="rId270" Type="http://schemas.openxmlformats.org/officeDocument/2006/relationships/hyperlink" Target="https://www.itu.int/md/D22-SG01-C-0490/en" TargetMode="External"/><Relationship Id="rId291" Type="http://schemas.openxmlformats.org/officeDocument/2006/relationships/footer" Target="footer4.xml"/><Relationship Id="rId44" Type="http://schemas.openxmlformats.org/officeDocument/2006/relationships/hyperlink" Target="https://www.itu.int/en/ITU-D/Emergency-Telecommunications/Pages/EW4ALL/EW4ALL%20AI%20Solutions/AI-for-EW4ALL.aspx" TargetMode="External"/><Relationship Id="rId65" Type="http://schemas.openxmlformats.org/officeDocument/2006/relationships/hyperlink" Target="https://www.itu.int/hub/publication/d-pref-ef-ict_struct_kit-2023/" TargetMode="External"/><Relationship Id="rId86" Type="http://schemas.openxmlformats.org/officeDocument/2006/relationships/hyperlink" Target="https://www.itu.int/itu-d/sites/innovation-alliance/network-of-itu-acceleration-centres/" TargetMode="External"/><Relationship Id="rId130" Type="http://schemas.openxmlformats.org/officeDocument/2006/relationships/hyperlink" Target="ttps://www.itu.int/itu-d/meetings/gsr-23/wp-content/uploads/sites/20/2023/06/GSR-23_Best-Practice-Guidelines-F.pdf" TargetMode="External"/><Relationship Id="rId151" Type="http://schemas.openxmlformats.org/officeDocument/2006/relationships/hyperlink" Target="https://www.itu.int/en/ITU-D/Statistics/Pages/IDI/default.aspx" TargetMode="External"/><Relationship Id="rId172" Type="http://schemas.openxmlformats.org/officeDocument/2006/relationships/hyperlink" Target="https://www.itu.int/dms_pub/itu-d/opb/res/D-RES-D.73-2022-PDF-F.pdf" TargetMode="External"/><Relationship Id="rId193" Type="http://schemas.openxmlformats.org/officeDocument/2006/relationships/hyperlink" Target="https://www.itu.int/itu-d/sites/digital-impact-unlocked/itu-global-cyberdrill-2025-makes-an-impact-around-the-world/" TargetMode="External"/><Relationship Id="rId207" Type="http://schemas.openxmlformats.org/officeDocument/2006/relationships/hyperlink" Target="https://www.itu.int/cop/sangosadventures/" TargetMode="External"/><Relationship Id="rId228" Type="http://schemas.openxmlformats.org/officeDocument/2006/relationships/hyperlink" Target="https://www.itu.int/itu-d/sites/membership/iagdi-cro/" TargetMode="External"/><Relationship Id="rId249" Type="http://schemas.openxmlformats.org/officeDocument/2006/relationships/hyperlink" Target="https://www.itu.int/generationconnect/empower/generation-connect-young-leadership-programme-in-partnership-with-huawei/itu-generation-connect-young-leadership-programme-cohort-2025/" TargetMode="External"/><Relationship Id="rId13" Type="http://schemas.openxmlformats.org/officeDocument/2006/relationships/hyperlink" Target="https://www.itu.int/dms_pub/itu-d/opb/tdc/D-TDC-WTDC-2022-PDF-F.pdf" TargetMode="External"/><Relationship Id="rId109" Type="http://schemas.openxmlformats.org/officeDocument/2006/relationships/hyperlink" Target="https://academy.itu.int/itu-d/projects-activities/itu-academy-training-centres/itu-atc-overview" TargetMode="External"/><Relationship Id="rId260" Type="http://schemas.openxmlformats.org/officeDocument/2006/relationships/hyperlink" Target="https://www.itu.int/en/ITU-D/Pages/accessible-events/2025/default.aspx" TargetMode="External"/><Relationship Id="rId281" Type="http://schemas.openxmlformats.org/officeDocument/2006/relationships/hyperlink" Target="https://www.itu.int/pub/D-HDB-E%20WASTE-2023-WB/fr" TargetMode="External"/><Relationship Id="rId34" Type="http://schemas.openxmlformats.org/officeDocument/2006/relationships/hyperlink" Target="https://www.itu.int/pub/D-RES-D.34-2022/fr" TargetMode="External"/><Relationship Id="rId55" Type="http://schemas.openxmlformats.org/officeDocument/2006/relationships/hyperlink" Target="https://www.itu.int/en/ITU-D/Study-Groups/2022-2025/Pages/events_workshops.aspx" TargetMode="External"/><Relationship Id="rId76" Type="http://schemas.openxmlformats.org/officeDocument/2006/relationships/hyperlink" Target="https://www.itu.int/md/D22-SG02-C-0361/en" TargetMode="External"/><Relationship Id="rId97" Type="http://schemas.openxmlformats.org/officeDocument/2006/relationships/hyperlink" Target="https://www.itu.int/en/ITU-D/ICT-Applications/Pages/digital-government.aspx" TargetMode="External"/><Relationship Id="rId120" Type="http://schemas.openxmlformats.org/officeDocument/2006/relationships/hyperlink" Target="https://www.itu.int/en/ITU-D/Regional-Presence/Americas/Pages/ACTVTS/DTK/DTK-AMS.aspx" TargetMode="External"/><Relationship Id="rId141" Type="http://schemas.openxmlformats.org/officeDocument/2006/relationships/hyperlink" Target="https://gen5.digital/" TargetMode="External"/><Relationship Id="rId7" Type="http://schemas.openxmlformats.org/officeDocument/2006/relationships/settings" Target="settings.xml"/><Relationship Id="rId162" Type="http://schemas.openxmlformats.org/officeDocument/2006/relationships/hyperlink" Target="https://www.worldbank.org/en/programs/global-data-facility/brief/putting-mobile-phone-data-to-work-for-policy" TargetMode="External"/><Relationship Id="rId183" Type="http://schemas.openxmlformats.org/officeDocument/2006/relationships/hyperlink" Target="https://www.itu.int/itu-d/meetings/gif-24/" TargetMode="External"/><Relationship Id="rId218" Type="http://schemas.openxmlformats.org/officeDocument/2006/relationships/hyperlink" Target="https://www.itu.int/en/ITU-D/Cybersecurity/Pages/CyberDrill-2023/ARB-CIS-CD-2023.aspx" TargetMode="External"/><Relationship Id="rId239" Type="http://schemas.openxmlformats.org/officeDocument/2006/relationships/hyperlink" Target="https://www.itu.int/dms_pub/itu-d/opb/res/D-RES-D.30-2022-PDF-F.pdf" TargetMode="External"/><Relationship Id="rId250" Type="http://schemas.openxmlformats.org/officeDocument/2006/relationships/hyperlink" Target="https://www.itu.int/en/ITU-D/Digital-Inclusion/Women-and-Girls/NoW/Pages/default.aspx" TargetMode="External"/><Relationship Id="rId271" Type="http://schemas.openxmlformats.org/officeDocument/2006/relationships/hyperlink" Target="https://www.itu.int/dms_pub/itu-d/opb/res/D-RES-D.66-2022-PDF-F.pdf" TargetMode="External"/><Relationship Id="rId292" Type="http://schemas.openxmlformats.org/officeDocument/2006/relationships/header" Target="header4.xml"/><Relationship Id="rId24" Type="http://schemas.openxmlformats.org/officeDocument/2006/relationships/hyperlink" Target="https://www.itu.int/md/D22-WTDC25-C-0002" TargetMode="External"/><Relationship Id="rId45" Type="http://schemas.openxmlformats.org/officeDocument/2006/relationships/hyperlink" Target="https://www.itu.int/en/ITU-D/Emergency-Telecommunications/Pages/Early-Warnings-for-All-Initiative.aspx" TargetMode="External"/><Relationship Id="rId66" Type="http://schemas.openxmlformats.org/officeDocument/2006/relationships/hyperlink" Target="https://www.itu.int/hub/publication/d-pref-ef-ict_struct_kit-2023/" TargetMode="External"/><Relationship Id="rId87" Type="http://schemas.openxmlformats.org/officeDocument/2006/relationships/hyperlink" Target="https://www.itu.int/en/ITU-D/Regional-Presence/AsiaPacific/Pages/v2/RD's%20Corner/2023/ITU-South-Asia-Presence-for-Inclusive-Digital-Transformation-.aspx" TargetMode="External"/><Relationship Id="rId110" Type="http://schemas.openxmlformats.org/officeDocument/2006/relationships/hyperlink" Target="https://academy.itu.int/partners/capacity-development-digital-transformation-project" TargetMode="External"/><Relationship Id="rId131" Type="http://schemas.openxmlformats.org/officeDocument/2006/relationships/hyperlink" Target="https://www.itu.int/itu-d/meetings/gsr-24/" TargetMode="External"/><Relationship Id="rId152" Type="http://schemas.openxmlformats.org/officeDocument/2006/relationships/hyperlink" Target="https://www.itu.int/en/ITU-D/Statistics/Documents/publications/manual/ITU_HHManual_ICTskills_rev2025.pdf" TargetMode="External"/><Relationship Id="rId173" Type="http://schemas.openxmlformats.org/officeDocument/2006/relationships/hyperlink" Target="https://www.itu.int/dms_pub/itu-d/opb/res/D-RES-D.73-2022-PDF-E.pdf" TargetMode="External"/><Relationship Id="rId194" Type="http://schemas.openxmlformats.org/officeDocument/2006/relationships/hyperlink" Target="https://www.itu.int/itu-d/sites/digital-impact-unlocked/bdt4impact-case-study-record-breaking-cyber-response-trainings/" TargetMode="External"/><Relationship Id="rId208" Type="http://schemas.openxmlformats.org/officeDocument/2006/relationships/hyperlink" Target="https://www.itu.int/cop/sangosadventures/" TargetMode="External"/><Relationship Id="rId229" Type="http://schemas.openxmlformats.org/officeDocument/2006/relationships/hyperlink" Target="https://www.itu.int/net/epub/BDT/2024-GSR-24-Best-Practice-Guidelines/" TargetMode="External"/><Relationship Id="rId240" Type="http://schemas.openxmlformats.org/officeDocument/2006/relationships/hyperlink" Target="https://www.itu.int/dms_pub/itu-d/opb/res/D-RES-D.88-2022-PDF-F.pdf" TargetMode="External"/><Relationship Id="rId261" Type="http://schemas.openxmlformats.org/officeDocument/2006/relationships/hyperlink" Target="https://www.itu.int/women-and-girls/girls-in-ict/" TargetMode="External"/><Relationship Id="rId14" Type="http://schemas.openxmlformats.org/officeDocument/2006/relationships/hyperlink" Target="https://www.itu.int/md/D22-TDAG30-C-0002/fr" TargetMode="External"/><Relationship Id="rId35" Type="http://schemas.openxmlformats.org/officeDocument/2006/relationships/hyperlink" Target="https://earlywarningsforall.org/site/early-warnings-all/about-ew4all" TargetMode="External"/><Relationship Id="rId56" Type="http://schemas.openxmlformats.org/officeDocument/2006/relationships/hyperlink" Target="https://www.itu.int/hub/publication/d-stg-sg01.01.03.05-2024/" TargetMode="External"/><Relationship Id="rId77" Type="http://schemas.openxmlformats.org/officeDocument/2006/relationships/hyperlink" Target="https://www.itu.int/en/ITU-D/Study-Groups/2022-2025/Pages/events_workshops.aspx" TargetMode="External"/><Relationship Id="rId100" Type="http://schemas.openxmlformats.org/officeDocument/2006/relationships/hyperlink" Target="https://www.itu.int/dms_pub/itu-d/opb/res/D-RES-D.85-2022-PDF-F.pdf" TargetMode="External"/><Relationship Id="rId282" Type="http://schemas.openxmlformats.org/officeDocument/2006/relationships/hyperlink" Target="https://www.itu.int/en/ITU-D/Emergency-Telecommunications/Pages/Events/2023/COP-28-EW4All.aspx" TargetMode="External"/><Relationship Id="rId8" Type="http://schemas.openxmlformats.org/officeDocument/2006/relationships/webSettings" Target="webSettings.xml"/><Relationship Id="rId98" Type="http://schemas.openxmlformats.org/officeDocument/2006/relationships/hyperlink" Target="https://govstack.global/about/govstack-principles/" TargetMode="External"/><Relationship Id="rId121" Type="http://schemas.openxmlformats.org/officeDocument/2006/relationships/hyperlink" Target="https://www.itu.int/en/ITU-D/Regional-Presence/Americas/Pages/ACTVTS/DTK/DTK-AMS.aspx" TargetMode="External"/><Relationship Id="rId142" Type="http://schemas.openxmlformats.org/officeDocument/2006/relationships/hyperlink" Target="https://www.itu.int/en/ITU-D/Regulatory-Market/Pages/gdro23.aspx" TargetMode="External"/><Relationship Id="rId163" Type="http://schemas.openxmlformats.org/officeDocument/2006/relationships/hyperlink" Target="https://www.itu.int/en/ITU-D/Statistics/Pages/capacitydev/default.aspx" TargetMode="External"/><Relationship Id="rId184" Type="http://schemas.openxmlformats.org/officeDocument/2006/relationships/hyperlink" Target="https://www.itu.int/dms_pub/itu-d/opb/res/D-RES-D.45-2022-PDF-F.pdf" TargetMode="External"/><Relationship Id="rId219" Type="http://schemas.openxmlformats.org/officeDocument/2006/relationships/hyperlink" Target="https://www.itu.int/en/ITU-D/Cybersecurity/Pages/CyberDrill-2023/ARB-CIS-CD-2023.aspx" TargetMode="External"/><Relationship Id="rId230" Type="http://schemas.openxmlformats.org/officeDocument/2006/relationships/hyperlink" Target="https://www.itu.int/dms_pub/itu-d/opb/res/D-RES-D.71-2022-PDF-F.pdf" TargetMode="External"/><Relationship Id="rId251" Type="http://schemas.openxmlformats.org/officeDocument/2006/relationships/hyperlink" Target="https://www.itu.int/en/ITU-D/Digital-Inclusion/Women-and-Girls/NoW/Pages/mentorship/2024/Empowering-Women-Leaders-Mentorship-Programme.aspx" TargetMode="External"/><Relationship Id="rId25" Type="http://schemas.openxmlformats.org/officeDocument/2006/relationships/hyperlink" Target="https://www.itu.int/md/D22-WTDC25-C-0002" TargetMode="External"/><Relationship Id="rId46" Type="http://schemas.openxmlformats.org/officeDocument/2006/relationships/hyperlink" Target="https://www.itu.int/en/ITU-D/Emergency-Telecommunications/Pages/Common-Alerting-Protocol-and-Call-to-Action.aspx" TargetMode="External"/><Relationship Id="rId67" Type="http://schemas.openxmlformats.org/officeDocument/2006/relationships/hyperlink" Target="https://www.itu.int/dms_pub/itu-d/opb/res/D-RES-D.9-2022-PDF-F.pdf" TargetMode="External"/><Relationship Id="rId272" Type="http://schemas.openxmlformats.org/officeDocument/2006/relationships/hyperlink" Target="https://academy.itu.int/training-courses/full-catalogue/e-waste-policy-and-extended-producer-responsibility-epr" TargetMode="External"/><Relationship Id="rId293" Type="http://schemas.openxmlformats.org/officeDocument/2006/relationships/footer" Target="footer5.xml"/><Relationship Id="rId88" Type="http://schemas.openxmlformats.org/officeDocument/2006/relationships/hyperlink" Target="https://www.itu.int/en/ITU-D/Innovation/Pages/Digital-Transformation-Lab.aspx" TargetMode="External"/><Relationship Id="rId111" Type="http://schemas.openxmlformats.org/officeDocument/2006/relationships/hyperlink" Target="https://academy.itu.int/partners/capacity-development-digital-transformation-project" TargetMode="External"/><Relationship Id="rId132" Type="http://schemas.openxmlformats.org/officeDocument/2006/relationships/hyperlink" Target="https://www.itu.int/itu-d/meetings/gsr-24/wp-content/uploads/sites/24/2024/08/GSR-2024_BestPracticeGuidelines.pdf" TargetMode="External"/><Relationship Id="rId153" Type="http://schemas.openxmlformats.org/officeDocument/2006/relationships/hyperlink" Target="https://www.itu.int/en/ITU-D/Statistics/Documents/ICT_Prices/ITU_IPBQManual_2025.pdf" TargetMode="External"/><Relationship Id="rId174" Type="http://schemas.openxmlformats.org/officeDocument/2006/relationships/hyperlink" Target="https://www.itu.int/itu-d/sites/i-codi/" TargetMode="External"/><Relationship Id="rId195" Type="http://schemas.openxmlformats.org/officeDocument/2006/relationships/hyperlink" Target="https://www.itu.int/itu-d/sites/digital-impact-unlocked/itu-global-cyberdrill-2025-makes-an-impact-around-the-world/" TargetMode="External"/><Relationship Id="rId209" Type="http://schemas.openxmlformats.org/officeDocument/2006/relationships/hyperlink" Target="https://www.youtube.com/watch?v=JaViMZqdvV4&amp;list=PLpoIPNlF8P2OR11LS6OrAuzUr7aJHwP0X&amp;index=1&amp;pp=iAQB" TargetMode="External"/><Relationship Id="rId220" Type="http://schemas.openxmlformats.org/officeDocument/2006/relationships/hyperlink" Target="https://www.itu.int/en/ITU-D/Regional-Presence/CIS/Pages/Events/2024/CyberDrill.aspx" TargetMode="External"/><Relationship Id="rId241" Type="http://schemas.openxmlformats.org/officeDocument/2006/relationships/hyperlink" Target="https://www.itu.int/fr/ITU-D/Study-Groups/2022-2025/Pages/reference/Questions-under-study.aspx" TargetMode="External"/><Relationship Id="rId15" Type="http://schemas.openxmlformats.org/officeDocument/2006/relationships/hyperlink" Target="https://www.itu.int/md/D22-TDAG31-C-0002/fr" TargetMode="External"/><Relationship Id="rId36" Type="http://schemas.openxmlformats.org/officeDocument/2006/relationships/hyperlink" Target="https://www.itu.int/pub/D-RES-D.34-2022" TargetMode="External"/><Relationship Id="rId57" Type="http://schemas.openxmlformats.org/officeDocument/2006/relationships/hyperlink" Target="https://www.itu.int/en/ITU-D/Study-Groups/2022-2025/Pages/events_workshops.aspx" TargetMode="External"/><Relationship Id="rId262" Type="http://schemas.openxmlformats.org/officeDocument/2006/relationships/hyperlink" Target="https://www.itu.int/itu-d/meetings/global-youth-summit-25/" TargetMode="External"/><Relationship Id="rId283" Type="http://schemas.openxmlformats.org/officeDocument/2006/relationships/hyperlink" Target="https://www.itu.int/initiatives/green-digital-action/events/all/cop29/" TargetMode="External"/><Relationship Id="rId78" Type="http://schemas.openxmlformats.org/officeDocument/2006/relationships/hyperlink" Target="https://www.itu.int/md/D22-SG02-C-0361/en" TargetMode="External"/><Relationship Id="rId99" Type="http://schemas.openxmlformats.org/officeDocument/2006/relationships/hyperlink" Target="https://www.itu.int/itu-d/sites/digital-impact-unlocked/digital-training-empowers-vanilla-farmers-in-papua-new-guinea-to-find-new-markets/" TargetMode="External"/><Relationship Id="rId101" Type="http://schemas.openxmlformats.org/officeDocument/2006/relationships/hyperlink" Target="https://www.itu.int/en/ITU-D/Regional-Presence/AsiaPacific/Pages/Events/2023/Smart-Village-Pakistan-Project-Official-Launch-of-Gokina-Smart-Village.aspx" TargetMode="External"/><Relationship Id="rId122" Type="http://schemas.openxmlformats.org/officeDocument/2006/relationships/hyperlink" Target="https://www.itu.int/en/ITU-D/Regional-Presence/Europe/Pages/Projects/AE/About.aspx" TargetMode="External"/><Relationship Id="rId143" Type="http://schemas.openxmlformats.org/officeDocument/2006/relationships/hyperlink" Target="https://www.itu.int/en/ITU-D/Regulatory-Market/Pages/collaborative-regulation-country-reviews/default.aspx" TargetMode="External"/><Relationship Id="rId164" Type="http://schemas.openxmlformats.org/officeDocument/2006/relationships/hyperlink" Target="https://www.itu.int/itu-d/sites/projectumc/information-hub/events/" TargetMode="External"/><Relationship Id="rId185" Type="http://schemas.openxmlformats.org/officeDocument/2006/relationships/hyperlink" Target="https://www.itu.int/dms_pub/itu-d/opb/res/D-RES-D.45-2022-PDF-E.pdf" TargetMode="External"/><Relationship Id="rId9" Type="http://schemas.openxmlformats.org/officeDocument/2006/relationships/footnotes" Target="footnotes.xml"/><Relationship Id="rId210" Type="http://schemas.openxmlformats.org/officeDocument/2006/relationships/hyperlink" Target="https://www.itu.int/en/ITU-D/Cybersecurity/Pages/COP/COP%20Industry%20Connect/COP-Industry-Connect.aspx" TargetMode="External"/><Relationship Id="rId26" Type="http://schemas.openxmlformats.org/officeDocument/2006/relationships/header" Target="header1.xml"/><Relationship Id="rId231" Type="http://schemas.openxmlformats.org/officeDocument/2006/relationships/hyperlink" Target="https://www.itu.int/md/D22-WTDC25-INF-0001/" TargetMode="External"/><Relationship Id="rId252" Type="http://schemas.openxmlformats.org/officeDocument/2006/relationships/hyperlink" Target="https://www.itu.int/en/ITU-D/Digital-Inclusion/Indigenous-Peoples/Pages/default.aspx" TargetMode="External"/><Relationship Id="rId273" Type="http://schemas.openxmlformats.org/officeDocument/2006/relationships/hyperlink" Target="https://academy.itu.int/" TargetMode="External"/><Relationship Id="rId294" Type="http://schemas.openxmlformats.org/officeDocument/2006/relationships/fontTable" Target="fontTable.xml"/><Relationship Id="rId47" Type="http://schemas.openxmlformats.org/officeDocument/2006/relationships/hyperlink" Target="https://www.itu.int/en/ITU-D/Emergency-Telecommunications/Pages/AI-Sub-Group-EW4All-.aspx" TargetMode="External"/><Relationship Id="rId68" Type="http://schemas.openxmlformats.org/officeDocument/2006/relationships/hyperlink" Target="https://www.itu.int/dms_pub/itu-d/opb/res/D-RES-D.9-2022-PDF-E.pdf" TargetMode="External"/><Relationship Id="rId89" Type="http://schemas.openxmlformats.org/officeDocument/2006/relationships/hyperlink" Target="https://www.itu.int/itu-d/sites/innovation-alliance/board-members/" TargetMode="External"/><Relationship Id="rId112" Type="http://schemas.openxmlformats.org/officeDocument/2006/relationships/hyperlink" Target="https://academy.itu.int/itu-d/projects-activities/digital-transformation-centres-initiative" TargetMode="External"/><Relationship Id="rId133" Type="http://schemas.openxmlformats.org/officeDocument/2006/relationships/hyperlink" Target="https://www.itu.int/itu-d/meetings/gsr-25/" TargetMode="External"/><Relationship Id="rId154" Type="http://schemas.openxmlformats.org/officeDocument/2006/relationships/hyperlink" Target="https://www.itu.int/en/ITU-D/Statistics/Pages/publications/anapub.aspx" TargetMode="External"/><Relationship Id="rId175" Type="http://schemas.openxmlformats.org/officeDocument/2006/relationships/hyperlink" Target="https://www.itu.int/itu-d/sites/innovation-alliance/" TargetMode="External"/><Relationship Id="rId196" Type="http://schemas.openxmlformats.org/officeDocument/2006/relationships/hyperlink" Target="https://www.itu.int/dms_pub/itu-d/opb/res/D-RES-D.69-2022-PDF-F.pdf" TargetMode="External"/><Relationship Id="rId200" Type="http://schemas.openxmlformats.org/officeDocument/2006/relationships/hyperlink" Target="https://www.itu.int/en/ITU-D/Cybersecurity/Pages/Skills-Development/Her-CyberTracks.aspx" TargetMode="External"/><Relationship Id="rId16" Type="http://schemas.openxmlformats.org/officeDocument/2006/relationships/hyperlink" Target="https://www.itu.int/md/D22-TDAG32-C-0002/fr" TargetMode="External"/><Relationship Id="rId221" Type="http://schemas.openxmlformats.org/officeDocument/2006/relationships/hyperlink" Target="https://www.itu.int/en/ITU-D/Regional-Presence/CIS/Pages/Events/2024/CyberDrill.aspx" TargetMode="External"/><Relationship Id="rId242" Type="http://schemas.openxmlformats.org/officeDocument/2006/relationships/hyperlink" Target="https://www.itu.int/itu-d/meetings/rdf/" TargetMode="External"/><Relationship Id="rId263" Type="http://schemas.openxmlformats.org/officeDocument/2006/relationships/hyperlink" Target="https://www.itu.int/en/ITU-D/Digital-Inclusion/Documents/2025/itu-who-toolkit/ITU-WHO-Implementation-toolkit-for-accessible-telehealth-services.pdf" TargetMode="External"/><Relationship Id="rId284" Type="http://schemas.openxmlformats.org/officeDocument/2006/relationships/hyperlink" Target="https://www.itu.int/en/ITU-D/Study-Groups/2022-2025/Pages/events_workshops.aspx" TargetMode="External"/><Relationship Id="rId37" Type="http://schemas.openxmlformats.org/officeDocument/2006/relationships/hyperlink" Target="https://www.itu.int/en/ITU-D/Emergency-Telecommunications/Pages/Disaster-Connectivity-Map.aspx" TargetMode="External"/><Relationship Id="rId58" Type="http://schemas.openxmlformats.org/officeDocument/2006/relationships/hyperlink" Target="https://www.itu.int/hub/publication/d-stg-sg01.01.03.05-2024/" TargetMode="External"/><Relationship Id="rId79" Type="http://schemas.openxmlformats.org/officeDocument/2006/relationships/hyperlink" Target="https://www.itu.int/en/ITU-D/Study-Groups/2022-2025/Pages/events_workshops.aspx" TargetMode="External"/><Relationship Id="rId102" Type="http://schemas.openxmlformats.org/officeDocument/2006/relationships/hyperlink" Target="https://www.itu.int/en/ITU-D/Regional-Presence/Europe/Pages/Events/2023/0313%20-%20Workshop%20on%20Rethinking%20Public%20Services/Workshop-on-%E2%80%9CRethinking-Public-Services-Strategies-for-Achieving-Digital-Transformation-Goals%E2%80%9D.aspx" TargetMode="External"/><Relationship Id="rId123" Type="http://schemas.openxmlformats.org/officeDocument/2006/relationships/hyperlink" Target="https://www.itu.int/en/ITU-D/Regional-Presence/Europe/Pages/Projects/AE/About.aspx" TargetMode="External"/><Relationship Id="rId144" Type="http://schemas.openxmlformats.org/officeDocument/2006/relationships/hyperlink" Target="https://www.itu.int/hub/publication/d-pref-dig.01-2025/" TargetMode="External"/><Relationship Id="rId90" Type="http://schemas.openxmlformats.org/officeDocument/2006/relationships/hyperlink" Target="https://www.itu.int/itu-d/sites/innovation-alliance/the-expert-network/" TargetMode="External"/><Relationship Id="rId165" Type="http://schemas.openxmlformats.org/officeDocument/2006/relationships/hyperlink" Target="https://academy.itu.int/training-courses/full-catalogue/summer-school-evidence-based-digital-policies-universal-and-meaningful-connectivity" TargetMode="External"/><Relationship Id="rId186" Type="http://schemas.openxmlformats.org/officeDocument/2006/relationships/hyperlink" Target="https://www.itu.int/en/ITU-D/Cybersecurity/pages/cyberdrills.aspx" TargetMode="External"/><Relationship Id="rId211" Type="http://schemas.openxmlformats.org/officeDocument/2006/relationships/hyperlink" Target="https://www.itu.int/en/ITU-D/Cybersecurity/Pages/COP/COP%20Industry%20Connect/COP-Industry-Connect.aspx" TargetMode="External"/><Relationship Id="rId232" Type="http://schemas.openxmlformats.org/officeDocument/2006/relationships/hyperlink" Target="https://www.itu.int/en/ITU-D/Study-Groups/2022-2025/Pages/reference/Questions-under-study.aspx" TargetMode="External"/><Relationship Id="rId253" Type="http://schemas.openxmlformats.org/officeDocument/2006/relationships/hyperlink" Target="https://www.itu.int/women-and-girls/women-in-ict/ai-skills-accelerator-for-girls/" TargetMode="External"/><Relationship Id="rId274" Type="http://schemas.openxmlformats.org/officeDocument/2006/relationships/hyperlink" Target="https://academy.itu.int/training-courses/full-catalogue/green-and-digital-entrepreneurship" TargetMode="External"/><Relationship Id="rId295" Type="http://schemas.openxmlformats.org/officeDocument/2006/relationships/theme" Target="theme/theme1.xml"/><Relationship Id="rId27" Type="http://schemas.openxmlformats.org/officeDocument/2006/relationships/footer" Target="footer1.xml"/><Relationship Id="rId48" Type="http://schemas.openxmlformats.org/officeDocument/2006/relationships/hyperlink" Target="https://www.itu.int/en/ITU-D/Emergency-Telecommunications/Pages/EW4ALL/EW4ALL%20AI%20Solutions/AI-for-EW4ALL.aspx" TargetMode="External"/><Relationship Id="rId69" Type="http://schemas.openxmlformats.org/officeDocument/2006/relationships/hyperlink" Target="https://www.itu.int/en/ITU-D/Study-Groups/2022-2025/Pages/events_workshops.aspx" TargetMode="External"/><Relationship Id="rId113" Type="http://schemas.openxmlformats.org/officeDocument/2006/relationships/hyperlink" Target="https://academy.itu.int/itu-d/projects-activities/digital-transformation-centres-initiative" TargetMode="External"/><Relationship Id="rId134" Type="http://schemas.openxmlformats.org/officeDocument/2006/relationships/hyperlink" Target="https://www.itu.int/net/epub/BDT/2025-GSR-25-Best-Practice-Guidelines-F/index.html" TargetMode="External"/><Relationship Id="rId80" Type="http://schemas.openxmlformats.org/officeDocument/2006/relationships/hyperlink" Target="https://www.itu.int/md/D22-SG02-C-0364/en" TargetMode="External"/><Relationship Id="rId155" Type="http://schemas.openxmlformats.org/officeDocument/2006/relationships/hyperlink" Target="https://www.itu.int/itu-d/sites/projectumc/" TargetMode="External"/><Relationship Id="rId176" Type="http://schemas.openxmlformats.org/officeDocument/2006/relationships/hyperlink" Target="https://www.itu.int/itu-d/sites/i-codi/" TargetMode="External"/><Relationship Id="rId197" Type="http://schemas.openxmlformats.org/officeDocument/2006/relationships/hyperlink" Target="https://www.itu.int/dms_pub/itu-d/opb/res/D-RES-D.69-2022-PDF-E.pdf" TargetMode="External"/><Relationship Id="rId201" Type="http://schemas.openxmlformats.org/officeDocument/2006/relationships/hyperlink" Target="https://www.itu.int/en/ITU-D/Cybersecurity/Pages/COP/COP.aspx" TargetMode="External"/><Relationship Id="rId222" Type="http://schemas.openxmlformats.org/officeDocument/2006/relationships/hyperlink" Target="https://www.itu.int/en/ITU-D/Study-Groups/2022-2025/Pages/events_workshops.aspx" TargetMode="External"/><Relationship Id="rId243" Type="http://schemas.openxmlformats.org/officeDocument/2006/relationships/hyperlink" Target="https://www.itu.int/dms_pub/itu-d/opb/res/D-RES-D.46-2022-PDF-F.pdf" TargetMode="External"/><Relationship Id="rId264" Type="http://schemas.openxmlformats.org/officeDocument/2006/relationships/hyperlink" Target="https://www.itu.int/en/ITU-D/Digital-Inclusion/Pages/itu-ilo/default.aspx" TargetMode="External"/><Relationship Id="rId285" Type="http://schemas.openxmlformats.org/officeDocument/2006/relationships/hyperlink" Target="https://www.itu.int/md/D22-SG02-C-0363/en" TargetMode="External"/><Relationship Id="rId17" Type="http://schemas.openxmlformats.org/officeDocument/2006/relationships/hyperlink" Target="https://www.itu.int/md/D22-RPMCIS-C-0002/fr" TargetMode="External"/><Relationship Id="rId38" Type="http://schemas.openxmlformats.org/officeDocument/2006/relationships/hyperlink" Target="https://www.itu.int/en/ITU-D/Emergency-Telecommunications/Pages/AI-Sub-Group-EW4All-.aspx" TargetMode="External"/><Relationship Id="rId59" Type="http://schemas.openxmlformats.org/officeDocument/2006/relationships/hyperlink" Target="https://www.itu.int/en/ITU-D/Technology/Pages/infrastructure_mapping_and_analysis.aspx" TargetMode="External"/><Relationship Id="rId103" Type="http://schemas.openxmlformats.org/officeDocument/2006/relationships/hyperlink" Target="https://www.itu.int/en/ITU-D/Regional-Presence/CIS/Pages/Events/2023/Minsk-SSC.aspx" TargetMode="External"/><Relationship Id="rId124" Type="http://schemas.openxmlformats.org/officeDocument/2006/relationships/hyperlink" Target="https://www.itu.int/en/ITU-D/Study-Groups/2022-2025/Pages/events_workshops.aspx" TargetMode="External"/><Relationship Id="rId70" Type="http://schemas.openxmlformats.org/officeDocument/2006/relationships/hyperlink" Target="https://www.itu.int/hub/publication/d-stg-sg01.01.03.05-2024/" TargetMode="External"/><Relationship Id="rId91" Type="http://schemas.openxmlformats.org/officeDocument/2006/relationships/hyperlink" Target="https://www.itu.int/fr/ITU-D/Innovation/Pages/Global-Innovation-Forum.aspx" TargetMode="External"/><Relationship Id="rId145" Type="http://schemas.openxmlformats.org/officeDocument/2006/relationships/hyperlink" Target="https://www.itu.int/hub/publication/d-pref-asean-01-2023/" TargetMode="External"/><Relationship Id="rId166" Type="http://schemas.openxmlformats.org/officeDocument/2006/relationships/hyperlink" Target="https://www.itu.int/en/ITU-D/Statistics/Pages/events/default.aspx" TargetMode="External"/><Relationship Id="rId187" Type="http://schemas.openxmlformats.org/officeDocument/2006/relationships/hyperlink" Target="https://www.itu.int/en/ITU-D/Cybersecurity/Pages/national-CIRT.aspx" TargetMode="External"/><Relationship Id="rId1" Type="http://schemas.openxmlformats.org/officeDocument/2006/relationships/customXml" Target="../customXml/item1.xml"/><Relationship Id="rId212" Type="http://schemas.openxmlformats.org/officeDocument/2006/relationships/hyperlink" Target="https://www.itu-cop-guidelines.com/implementation" TargetMode="External"/><Relationship Id="rId233" Type="http://schemas.openxmlformats.org/officeDocument/2006/relationships/hyperlink" Target="https://www.itu.int/md/D22-WTDC25-C-0011/en" TargetMode="External"/><Relationship Id="rId254" Type="http://schemas.openxmlformats.org/officeDocument/2006/relationships/hyperlink" Target="https://www.itu.int/en/ITU-D/Regional-Presence/Americas/Pages/EVENTS/2023/AA-2023.aspx" TargetMode="External"/><Relationship Id="rId28" Type="http://schemas.openxmlformats.org/officeDocument/2006/relationships/footer" Target="footer2.xml"/><Relationship Id="rId49" Type="http://schemas.openxmlformats.org/officeDocument/2006/relationships/hyperlink" Target="https://www.itu.int/en/ITU-D/Emergency-Telecommunications/Pages/NETPs.aspx" TargetMode="External"/><Relationship Id="rId114" Type="http://schemas.openxmlformats.org/officeDocument/2006/relationships/hyperlink" Target="https://www.itu.int/en/ITU-D/Digital-Inclusion/Youth-and-Children/Pages/Digital-Skills-Toolkit.aspx" TargetMode="External"/><Relationship Id="rId275" Type="http://schemas.openxmlformats.org/officeDocument/2006/relationships/hyperlink" Target="https://www.itu.int/en/ITU-D/Environment/Pages/Publications/The-Global-E-waste-Monitor-2024.aspx" TargetMode="External"/><Relationship Id="rId60" Type="http://schemas.openxmlformats.org/officeDocument/2006/relationships/hyperlink" Target="https://www.itu.int/en/ITU-D/Technology/Pages/infrastructure_mapping_and_analysis.aspx" TargetMode="External"/><Relationship Id="rId81" Type="http://schemas.openxmlformats.org/officeDocument/2006/relationships/hyperlink" Target="https://www.itu.int/en/ITU-D/Study-Groups/2022-2025/Pages/events_workshops.aspx" TargetMode="External"/><Relationship Id="rId135" Type="http://schemas.openxmlformats.org/officeDocument/2006/relationships/hyperlink" Target="https://www.itu.int/itu-d/sites/ra-network/" TargetMode="External"/><Relationship Id="rId156" Type="http://schemas.openxmlformats.org/officeDocument/2006/relationships/hyperlink" Target="https://www.itu.int/en/ITU-D/Statistics/Pages/facts/default.aspx" TargetMode="External"/><Relationship Id="rId177" Type="http://schemas.openxmlformats.org/officeDocument/2006/relationships/hyperlink" Target="https://www.itu.int/itu-d/sites/innovation-alliance/" TargetMode="External"/><Relationship Id="rId198" Type="http://schemas.openxmlformats.org/officeDocument/2006/relationships/hyperlink" Target="https://www.itu.int/en/ITU-D/Cybersecurity/Pages/Women-in-Cyber/Women-in-Cyber-Mentorship-Programme.aspx" TargetMode="External"/><Relationship Id="rId202" Type="http://schemas.openxmlformats.org/officeDocument/2006/relationships/hyperlink" Target="https://www.itu.int/dms_pub/itu-d/opb/res/D-RES-D.67-2022-PDF-F.pdf" TargetMode="External"/><Relationship Id="rId223" Type="http://schemas.openxmlformats.org/officeDocument/2006/relationships/hyperlink" Target="https://www.itu.int/en/ITU-D/Study-Groups/2022-2025/Pages/reference/Ongoing-Work.aspx" TargetMode="External"/><Relationship Id="rId244" Type="http://schemas.openxmlformats.org/officeDocument/2006/relationships/hyperlink" Target="https://www.itu.int/dms_pub/itu-d/opb/res/D-RES-D.55-2022-PDF-F.pdf" TargetMode="External"/><Relationship Id="rId18" Type="http://schemas.openxmlformats.org/officeDocument/2006/relationships/hyperlink" Target="https://www.itu.int/md/D22-TDAG30-C-0002/en" TargetMode="External"/><Relationship Id="rId39" Type="http://schemas.openxmlformats.org/officeDocument/2006/relationships/hyperlink" Target="https://www.itu.int/en/ITU-D/Emergency-Telecommunications/Pages/Disaster-Connectivity-Map.aspx" TargetMode="External"/><Relationship Id="rId265" Type="http://schemas.openxmlformats.org/officeDocument/2006/relationships/hyperlink" Target="https://www.itu.int/hub/publication/d-hdb-gender-2023-01/" TargetMode="External"/><Relationship Id="rId286" Type="http://schemas.openxmlformats.org/officeDocument/2006/relationships/hyperlink" Target="https://www.itu.int/pub/D-RES-D.52-2014/fr" TargetMode="External"/><Relationship Id="rId50" Type="http://schemas.openxmlformats.org/officeDocument/2006/relationships/hyperlink" Target="https://www.itu.int/en/ITU-D/Emergency-Telecommunications/Pages/NETPs.aspx" TargetMode="External"/><Relationship Id="rId104" Type="http://schemas.openxmlformats.org/officeDocument/2006/relationships/hyperlink" Target="https://www.itu.int/en/ITU-D/Study-Groups/2022-2025/Pages/events_workshops.aspx" TargetMode="External"/><Relationship Id="rId125" Type="http://schemas.openxmlformats.org/officeDocument/2006/relationships/hyperlink" Target="https://www.itu.int/md/D22-SG02-C-0362/fr" TargetMode="External"/><Relationship Id="rId146" Type="http://schemas.openxmlformats.org/officeDocument/2006/relationships/hyperlink" Target="https://www.itu.int/en/ITU-D/Regional-Presence/AsiaPacific/Pages/Projects/Regional%20Initiative%20Policy%20Repository/DATA-REPOSITORY-ON-ICT-POLICIES,-LEGAL,-AND-REGULATORY.aspx" TargetMode="External"/><Relationship Id="rId167" Type="http://schemas.openxmlformats.org/officeDocument/2006/relationships/hyperlink" Target="https://www.itu.int/itu-d/meetings/wtis25/" TargetMode="External"/><Relationship Id="rId188" Type="http://schemas.openxmlformats.org/officeDocument/2006/relationships/hyperlink" Target="https://www.itu.int/en/ITU-D/Cybersecurity/pages/global-cybersecurity-index.aspx" TargetMode="External"/><Relationship Id="rId71" Type="http://schemas.openxmlformats.org/officeDocument/2006/relationships/hyperlink" Target="https://www.itu.int/md/D22-SG01-C-0488/en" TargetMode="External"/><Relationship Id="rId92" Type="http://schemas.openxmlformats.org/officeDocument/2006/relationships/hyperlink" Target="https://www.itu.int/itu-d/meetings/gif-24/" TargetMode="External"/><Relationship Id="rId213" Type="http://schemas.openxmlformats.org/officeDocument/2006/relationships/hyperlink" Target="https://www.itu-cop-guidelines.com/implementation" TargetMode="External"/><Relationship Id="rId234" Type="http://schemas.openxmlformats.org/officeDocument/2006/relationships/hyperlink" Target="https://www.itu.int/md/D22-WTDC25-C-0012/en" TargetMode="External"/><Relationship Id="rId2" Type="http://schemas.openxmlformats.org/officeDocument/2006/relationships/customXml" Target="../customXml/item2.xml"/><Relationship Id="rId29" Type="http://schemas.openxmlformats.org/officeDocument/2006/relationships/hyperlink" Target="https://www.itu.int/md/D22-TDAG30-C-0002/fr" TargetMode="External"/><Relationship Id="rId255" Type="http://schemas.openxmlformats.org/officeDocument/2006/relationships/hyperlink" Target="https://www.itu.int/en/ITU-D/Regional-Presence/Americas/Pages/EVENTS/2024/AA-2024.aspx" TargetMode="External"/><Relationship Id="rId276" Type="http://schemas.openxmlformats.org/officeDocument/2006/relationships/hyperlink" Target="https://www.itu.int/en/ITU-D/Environment/Pages/Publications/GDC-25.aspx" TargetMode="External"/><Relationship Id="rId40" Type="http://schemas.openxmlformats.org/officeDocument/2006/relationships/hyperlink" Target="https://www.itu.int/en/ITU-D/Emergency-Telecommunications/Pages/AI-Sub-Group-EW4All-.aspx" TargetMode="External"/><Relationship Id="rId115" Type="http://schemas.openxmlformats.org/officeDocument/2006/relationships/hyperlink" Target="https://www.itu.int/en/ITU-D/Digital-Inclusion/Youth-and-Children/Pages/Digital-Skills-Toolkit.aspx" TargetMode="External"/><Relationship Id="rId136" Type="http://schemas.openxmlformats.org/officeDocument/2006/relationships/hyperlink" Target="https://digitalregulation.org/" TargetMode="External"/><Relationship Id="rId157" Type="http://schemas.openxmlformats.org/officeDocument/2006/relationships/hyperlink" Target="https://www.itu.int/itu-d/reports/statistics/idi2025/" TargetMode="External"/><Relationship Id="rId178" Type="http://schemas.openxmlformats.org/officeDocument/2006/relationships/hyperlink" Target="https://www.itu.int/en/ITU-D/Innovation/Pages/RIA/Regional-Initiative-Accelerator.aspx" TargetMode="External"/><Relationship Id="rId61" Type="http://schemas.openxmlformats.org/officeDocument/2006/relationships/hyperlink" Target="https://www.itu.int/en/ITU-D/Technology/Pages/bbmaps-toolkit.aspx" TargetMode="External"/><Relationship Id="rId82" Type="http://schemas.openxmlformats.org/officeDocument/2006/relationships/hyperlink" Target="https://www.itu.int/md/D22-SG02-C-0364/en" TargetMode="External"/><Relationship Id="rId199" Type="http://schemas.openxmlformats.org/officeDocument/2006/relationships/hyperlink" Target="https://www.itu.int/en/ITU-D/Cybersecurity/Pages/Women-in-Cyber/Women-in-Cyber-Mentorship-Programme.aspx" TargetMode="External"/><Relationship Id="rId203" Type="http://schemas.openxmlformats.org/officeDocument/2006/relationships/hyperlink" Target="https://www.itu.int/en/ITU-D/Cybersecurity/Pages/COP/Trainings.aspx" TargetMode="External"/><Relationship Id="rId19" Type="http://schemas.openxmlformats.org/officeDocument/2006/relationships/hyperlink" Target="https://www.itu.int/md/D22-TDAG31-C-0002/en" TargetMode="External"/><Relationship Id="rId224" Type="http://schemas.openxmlformats.org/officeDocument/2006/relationships/hyperlink" Target="https://www.itu.int/md/D22-SG02-C-0360/fr" TargetMode="External"/><Relationship Id="rId245" Type="http://schemas.openxmlformats.org/officeDocument/2006/relationships/hyperlink" Target="https://www.itu.int/dms_pub/itu-d/opb/res/D-RES-D.58-2022-PDF-F.pdf" TargetMode="External"/><Relationship Id="rId266" Type="http://schemas.openxmlformats.org/officeDocument/2006/relationships/hyperlink" Target="https://www.equalsintech.org/_files/ugd/04bfff_cc8e6f166c2e41beabc88cbb3226f66f.pdf" TargetMode="External"/><Relationship Id="rId287" Type="http://schemas.openxmlformats.org/officeDocument/2006/relationships/hyperlink" Target="https://www.itu.int/pub/D-RES-D.16-2017" TargetMode="External"/><Relationship Id="rId30" Type="http://schemas.openxmlformats.org/officeDocument/2006/relationships/hyperlink" Target="https://www.itu.int/md/D22-TDAG31-C-0002/fr" TargetMode="External"/><Relationship Id="rId105" Type="http://schemas.openxmlformats.org/officeDocument/2006/relationships/hyperlink" Target="https://www.itu.int/md/D22-SG02-C-0358/fr" TargetMode="External"/><Relationship Id="rId126" Type="http://schemas.openxmlformats.org/officeDocument/2006/relationships/hyperlink" Target="https://www.itu.int/en/ITU-D/Study-Groups/2022-2025/Pages/events_workshops.aspx" TargetMode="External"/><Relationship Id="rId147" Type="http://schemas.openxmlformats.org/officeDocument/2006/relationships/hyperlink" Target="https://www.itu.int/en/ITU-D/Regional-Presence/Americas/Pages/EVENTS/2025/IPEC-2025.aspx" TargetMode="External"/><Relationship Id="rId168" Type="http://schemas.openxmlformats.org/officeDocument/2006/relationships/hyperlink" Target="https://www.itu.int/itu-d/sites/projectumc/home/the-umc-project/" TargetMode="External"/><Relationship Id="rId51" Type="http://schemas.openxmlformats.org/officeDocument/2006/relationships/hyperlink" Target="https://www.itu.int/en/ITU-D/Regional-Presence/AsiaPacific/Pages/Events/2025/Resilience%20Japan/WORKSHOP-ON-RESILIENT-INFRASTRUCTURE-FOR-EFFECTIVE-EARLY-WARNING-DISSEMINATION.aspx" TargetMode="External"/><Relationship Id="rId72" Type="http://schemas.openxmlformats.org/officeDocument/2006/relationships/hyperlink" Target="https://www.itu.int/en/ITU-D/Study-Groups/2022-2025/Pages/events_workshops.aspx" TargetMode="External"/><Relationship Id="rId93" Type="http://schemas.openxmlformats.org/officeDocument/2006/relationships/hyperlink" Target="https://www.itu.int/en/ITU-D/Regional-Presence/Europe/Documents/May%202025_Maltas%20Innovation%20Landscape%20Best%20Practices%20and%20Future%20Directions_vf%20with%20cover.pdf" TargetMode="External"/><Relationship Id="rId189" Type="http://schemas.openxmlformats.org/officeDocument/2006/relationships/hyperlink" Target="https://www.itu.int/en/ITU-D/Cybersecurity/pages/cyberdrills.aspx" TargetMode="External"/><Relationship Id="rId3" Type="http://schemas.openxmlformats.org/officeDocument/2006/relationships/customXml" Target="../customXml/item3.xml"/><Relationship Id="rId214" Type="http://schemas.openxmlformats.org/officeDocument/2006/relationships/hyperlink" Target="https://www.itu.int/en/ITU-D/Cybersecurity/Pages/COP/POP.aspx" TargetMode="External"/><Relationship Id="rId235" Type="http://schemas.openxmlformats.org/officeDocument/2006/relationships/hyperlink" Target="https://www.itu.int/en/ITU-D/Study-Groups/2022-2025/Pages/events_workshops.aspx" TargetMode="External"/><Relationship Id="rId256" Type="http://schemas.openxmlformats.org/officeDocument/2006/relationships/hyperlink" Target="https://www.itu.int/en/ITU-D/Regional-Presence/Europe/Pages/Events/2023/1205-06%20-%20Accessible%20Europe/Accessible-Europe-23.aspx" TargetMode="External"/><Relationship Id="rId277" Type="http://schemas.openxmlformats.org/officeDocument/2006/relationships/hyperlink" Target="https://www.itu.int/en/ITU-D/Statistics/Pages/expertgroups.aspx" TargetMode="External"/><Relationship Id="rId116" Type="http://schemas.openxmlformats.org/officeDocument/2006/relationships/hyperlink" Target="https://www.itu.int/itu-d/meetings/digital-skills-forum/" TargetMode="External"/><Relationship Id="rId137" Type="http://schemas.openxmlformats.org/officeDocument/2006/relationships/hyperlink" Target="https://www.itu.int/itu-d/reports/regulatory-market/usf-financial-efficiency-toolkit/" TargetMode="External"/><Relationship Id="rId158" Type="http://schemas.openxmlformats.org/officeDocument/2006/relationships/hyperlink" Target="https://datahub.itu.int/dashboards/idi/?y=2025" TargetMode="External"/><Relationship Id="rId20" Type="http://schemas.openxmlformats.org/officeDocument/2006/relationships/hyperlink" Target="https://www.itu.int/md/D22-TDAG32-C-0002/en" TargetMode="External"/><Relationship Id="rId41" Type="http://schemas.openxmlformats.org/officeDocument/2006/relationships/hyperlink" Target="https://www.itu.int/en/ITU-D/Emergency-Telecommunications/Pages/Early-Warnings-for-All-Initiative.aspx" TargetMode="External"/><Relationship Id="rId62" Type="http://schemas.openxmlformats.org/officeDocument/2006/relationships/hyperlink" Target="https://www.itu.int/en/ITU-D/Technology/Pages/infrastructure_mapping_and_analysis.aspx" TargetMode="External"/><Relationship Id="rId83" Type="http://schemas.openxmlformats.org/officeDocument/2006/relationships/hyperlink" Target="https://www.itu.int/dms_pub/itu-d/opb/res/D-RES-D.89-2022-PDF-F.pdf" TargetMode="External"/><Relationship Id="rId179" Type="http://schemas.openxmlformats.org/officeDocument/2006/relationships/hyperlink" Target="https://www.itu.int/en/ITU-D/Regional-Presence/Europe/Documents/May%202025_Maltas%20Innovation%20Landscape%20Best%20Practices%20and%20Future%20Directions_vf%20with%20cover.pdf" TargetMode="External"/><Relationship Id="rId190" Type="http://schemas.openxmlformats.org/officeDocument/2006/relationships/hyperlink" Target="https://www.itu.int/en/ITU-D/Cybersecurity/Pages/national-CIRT.aspx" TargetMode="External"/><Relationship Id="rId204" Type="http://schemas.openxmlformats.org/officeDocument/2006/relationships/hyperlink" Target="https://www.itu.int/en/ITU-D/Cybersecurity/Pages/COP/Trainings.aspx" TargetMode="External"/><Relationship Id="rId225" Type="http://schemas.openxmlformats.org/officeDocument/2006/relationships/hyperlink" Target="https://www.itu.int/en/ITU-D/Study-Groups/2022-2025/Pages/events_workshops.aspx" TargetMode="External"/><Relationship Id="rId246" Type="http://schemas.openxmlformats.org/officeDocument/2006/relationships/hyperlink" Target="https://www.itu.int/dms_pub/itu-d/opb/res/D-RES-D.76-2022-PDF-F.pdf" TargetMode="External"/><Relationship Id="rId267" Type="http://schemas.openxmlformats.org/officeDocument/2006/relationships/hyperlink" Target="https://equalsbadges.itu.int/equals" TargetMode="External"/><Relationship Id="rId288" Type="http://schemas.openxmlformats.org/officeDocument/2006/relationships/header" Target="header2.xml"/><Relationship Id="rId106" Type="http://schemas.openxmlformats.org/officeDocument/2006/relationships/hyperlink" Target="https://www.itu.int/en/ITU-D/Study-Groups/2022-2025/Pages/events_workshops.aspx" TargetMode="External"/><Relationship Id="rId127" Type="http://schemas.openxmlformats.org/officeDocument/2006/relationships/hyperlink" Target="https://www.itu.int/md/D22-SG02-C-0362/en" TargetMode="External"/><Relationship Id="rId10" Type="http://schemas.openxmlformats.org/officeDocument/2006/relationships/endnotes" Target="endnotes.xml"/><Relationship Id="rId31" Type="http://schemas.openxmlformats.org/officeDocument/2006/relationships/hyperlink" Target="https://www.itu.int/md/D22-TDAG32-C-0002/fr" TargetMode="External"/><Relationship Id="rId52" Type="http://schemas.openxmlformats.org/officeDocument/2006/relationships/hyperlink" Target="https://www.itu.int/en/ITU-D/Regional-Presence/AsiaPacific/Pages/Events/2025/Resilience%20Japan/WORKSHOP-ON-RESILIENT-INFRASTRUCTURE-FOR-EFFECTIVE-EARLY-WARNING-DISSEMINATION.aspx" TargetMode="External"/><Relationship Id="rId73" Type="http://schemas.openxmlformats.org/officeDocument/2006/relationships/hyperlink" Target="https://www.itu.int/hub/publication/d-stg-sg01.01.03.05-2024/" TargetMode="External"/><Relationship Id="rId94" Type="http://schemas.openxmlformats.org/officeDocument/2006/relationships/hyperlink" Target="https://www.itu.int/fr/ITU-D/Innovation/Pages/Ecosystem-Development-Strategies-and-Roadmaps.aspx" TargetMode="External"/><Relationship Id="rId148" Type="http://schemas.openxmlformats.org/officeDocument/2006/relationships/hyperlink" Target="https://www.itu.int/dms_pub/itu-d/opb/res/D-RES-D.8-2022-PDF-F.pdf" TargetMode="External"/><Relationship Id="rId169" Type="http://schemas.openxmlformats.org/officeDocument/2006/relationships/hyperlink" Target="https://www.itu.int/en/ITU-D/Regional-Presence/Americas/Pages/EVENTS/2024/IPEC-2024.aspx" TargetMode="External"/><Relationship Id="rId4" Type="http://schemas.openxmlformats.org/officeDocument/2006/relationships/customXml" Target="../customXml/item4.xml"/><Relationship Id="rId180" Type="http://schemas.openxmlformats.org/officeDocument/2006/relationships/hyperlink" Target="https://www.itu.int/itu-d/meetings/gif-24/" TargetMode="External"/><Relationship Id="rId215" Type="http://schemas.openxmlformats.org/officeDocument/2006/relationships/hyperlink" Target="https://www.itu.int/en/ITU-D/Cybersecurity/Pages/COP/POP.aspx" TargetMode="External"/><Relationship Id="rId236" Type="http://schemas.openxmlformats.org/officeDocument/2006/relationships/hyperlink" Target="https://www.itu.int/en/ITU-D/Study-Groups/2022-2025/Pages/reference/Ongoing-Work.aspx" TargetMode="External"/><Relationship Id="rId257" Type="http://schemas.openxmlformats.org/officeDocument/2006/relationships/hyperlink" Target="https://www.itu.int/en/ITU-D/Regional-Presence/ArabStates/Pages/Events/2023/AccessibleARB/Accessible-ARB2023.aspx" TargetMode="External"/><Relationship Id="rId278" Type="http://schemas.openxmlformats.org/officeDocument/2006/relationships/hyperlink" Target="https://www.itu.int/en/ITU-D/Environment/Pages/Climate-Change/EGTI-Sub-group-GHG.aspx" TargetMode="External"/><Relationship Id="rId42" Type="http://schemas.openxmlformats.org/officeDocument/2006/relationships/hyperlink" Target="https://www.itu.int/en/ITU-D/Emergency-Telecommunications/Pages/Common-Alerting-Protocol-and-Call-to-Action.aspx" TargetMode="External"/><Relationship Id="rId84" Type="http://schemas.openxmlformats.org/officeDocument/2006/relationships/hyperlink" Target="https://www.itu.int/dms_pub/itu-d/opb/res/D-RES-D.90-2022-PDF-F.pdf" TargetMode="External"/><Relationship Id="rId138" Type="http://schemas.openxmlformats.org/officeDocument/2006/relationships/hyperlink" Target="https://app.gen5.digital/unified-framework/about" TargetMode="External"/><Relationship Id="rId191" Type="http://schemas.openxmlformats.org/officeDocument/2006/relationships/hyperlink" Target="https://www.itu.int/en/ITU-D/Cybersecurity/pages/global-cybersecurity-index.aspx" TargetMode="External"/><Relationship Id="rId205" Type="http://schemas.openxmlformats.org/officeDocument/2006/relationships/hyperlink" Target="https://www.youtube.com/watch?v=JaViMZqdvV4&amp;list=PLpoIPNlF8P2OR11LS6OrAuzUr7aJHwP0X&amp;index=1&amp;pp=iAQB" TargetMode="External"/><Relationship Id="rId247" Type="http://schemas.openxmlformats.org/officeDocument/2006/relationships/hyperlink" Target="https://www.itu.int/generationconnect/generation-connect-youth-envoys/" TargetMode="External"/><Relationship Id="rId107" Type="http://schemas.openxmlformats.org/officeDocument/2006/relationships/hyperlink" Target="https://www.itu.int/md/D22-SG02-C-0359/fr" TargetMode="External"/><Relationship Id="rId289" Type="http://schemas.openxmlformats.org/officeDocument/2006/relationships/header" Target="header3.xml"/><Relationship Id="rId11" Type="http://schemas.openxmlformats.org/officeDocument/2006/relationships/image" Target="media/image1.jpeg"/><Relationship Id="rId53" Type="http://schemas.openxmlformats.org/officeDocument/2006/relationships/hyperlink" Target="https://www.itu.int/en/ITU-D/Emergency-Telecommunications/Pages/TampereConvention.aspx" TargetMode="External"/><Relationship Id="rId149" Type="http://schemas.openxmlformats.org/officeDocument/2006/relationships/hyperlink" Target="https://www.itu.int/en/ITU-D/Statistics/Pages/expertgroups.aspx" TargetMode="External"/><Relationship Id="rId95" Type="http://schemas.openxmlformats.org/officeDocument/2006/relationships/hyperlink" Target="https://www.itu.int/en/ITU-D/Innovation/Pages/RIA/Workshop%20Concept%20on%20Asia%20and%20the%20Pacific%20Regional%20Initiative/Workshop-Concept-on-Asia-and-th.aspx" TargetMode="External"/><Relationship Id="rId160" Type="http://schemas.openxmlformats.org/officeDocument/2006/relationships/hyperlink" Target="https://www.itu.int/en/ITU-D/Statistics/Pages/ICTprices/default.aspx" TargetMode="External"/><Relationship Id="rId216" Type="http://schemas.openxmlformats.org/officeDocument/2006/relationships/hyperlink" Target="https://www.itu.int/en/ITU-D/Cybersecurity/Pages/Skills-Development/Cyber-Diplomacy/RSCCD-25.aspx" TargetMode="External"/><Relationship Id="rId258" Type="http://schemas.openxmlformats.org/officeDocument/2006/relationships/hyperlink" Target="https://www.itu.int/en/ITU-D/Pages/accessible-events/2025/default.aspx" TargetMode="External"/><Relationship Id="rId22" Type="http://schemas.openxmlformats.org/officeDocument/2006/relationships/hyperlink" Target="https://www.itu.int/md/D22-WTDC25-C-0002" TargetMode="External"/><Relationship Id="rId64" Type="http://schemas.openxmlformats.org/officeDocument/2006/relationships/hyperlink" Target="https://www.itu.int/en/ITU-D/Technology/Pages/bbmaps-toolkit.aspx" TargetMode="External"/><Relationship Id="rId118" Type="http://schemas.openxmlformats.org/officeDocument/2006/relationships/hyperlink" Target="https://academy.itu.int/itu-d/projects-activities/ilo-itu-digital-skills-campaign" TargetMode="External"/><Relationship Id="rId171" Type="http://schemas.openxmlformats.org/officeDocument/2006/relationships/hyperlink" Target="https://giga.global/" TargetMode="External"/><Relationship Id="rId227" Type="http://schemas.openxmlformats.org/officeDocument/2006/relationships/hyperlink" Target="https://www.itu.int/md/D22-SG02-C-0360/en" TargetMode="External"/><Relationship Id="rId269" Type="http://schemas.openxmlformats.org/officeDocument/2006/relationships/hyperlink" Target="https://www.itu.int/en/ITU-D/Study-Groups/2022-2025/Pages/events_workshop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PM_x0020_Version xmlns="b6109c62-af78-494c-a825-80e1ffe32798" xsi:nil="true"/>
    <DateandTime xmlns="b6109c62-af78-494c-a825-80e1ffe32798" xsi:nil="true"/>
    <Order0 xmlns="b6109c62-af78-494c-a825-80e1ffe32798" xsi:nil="true"/>
    <Approval xmlns="b6109c62-af78-494c-a825-80e1ffe32798">Pending</Approval>
    <DPM_x0020_Author xmlns="b6109c62-af78-494c-a825-80e1ffe32798" xsi:nil="true"/>
    <DPM_x0020_File_x0020_name xmlns="b6109c62-af78-494c-a825-80e1ffe32798" xsi:nil="true"/>
    <ApprovalStatus xmlns="b6109c62-af78-494c-a825-80e1ffe327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C67D6-CEFE-4AFE-8EC3-4585BFEF5BAE}">
  <ds:schemaRefs>
    <ds:schemaRef ds:uri="http://schemas.microsoft.com/office/2006/documentManagement/types"/>
    <ds:schemaRef ds:uri="http://purl.org/dc/elements/1.1/"/>
    <ds:schemaRef ds:uri="bc0b450c-ff0a-44fa-a43c-58f6e857e634"/>
    <ds:schemaRef ds:uri="http://purl.org/dc/terms/"/>
    <ds:schemaRef ds:uri="060e8e06-0ab1-43d2-b04a-41299106b25a"/>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02A2FAB-8362-498D-9D59-BF834A8443DA}"/>
</file>

<file path=customXml/itemProps3.xml><?xml version="1.0" encoding="utf-8"?>
<ds:datastoreItem xmlns:ds="http://schemas.openxmlformats.org/officeDocument/2006/customXml" ds:itemID="{05E376DC-7944-4952-A0D0-48F7030FEB7C}">
  <ds:schemaRefs>
    <ds:schemaRef ds:uri="http://schemas.openxmlformats.org/officeDocument/2006/bibliography"/>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73</Pages>
  <Words>43004</Words>
  <Characters>268629</Characters>
  <Application>Microsoft Office Word</Application>
  <DocSecurity>0</DocSecurity>
  <Lines>2238</Lines>
  <Paragraphs>622</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311011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French</cp:lastModifiedBy>
  <cp:revision>23</cp:revision>
  <cp:lastPrinted>2017-03-10T07:43:00Z</cp:lastPrinted>
  <dcterms:created xsi:type="dcterms:W3CDTF">2025-11-10T08:55:00Z</dcterms:created>
  <dcterms:modified xsi:type="dcterms:W3CDTF">2025-11-11T12:33:00Z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