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7" w:type="pct"/>
        <w:tblLayout w:type="fixed"/>
        <w:tblLook w:val="0000" w:firstRow="0" w:lastRow="0" w:firstColumn="0" w:lastColumn="0" w:noHBand="0" w:noVBand="0"/>
      </w:tblPr>
      <w:tblGrid>
        <w:gridCol w:w="1498"/>
        <w:gridCol w:w="4886"/>
        <w:gridCol w:w="1554"/>
        <w:gridCol w:w="1984"/>
      </w:tblGrid>
      <w:tr w:rsidR="00961D12" w:rsidRPr="004E4750" w14:paraId="23658664" w14:textId="77777777" w:rsidTr="00AC2258">
        <w:trPr>
          <w:cantSplit/>
          <w:trHeight w:val="1134"/>
        </w:trPr>
        <w:tc>
          <w:tcPr>
            <w:tcW w:w="755" w:type="pct"/>
          </w:tcPr>
          <w:p w14:paraId="7B75E2CA" w14:textId="2314B8B9" w:rsidR="00E80D1A" w:rsidRPr="004E4750" w:rsidRDefault="00A864A5" w:rsidP="00AA25E0">
            <w:pPr>
              <w:tabs>
                <w:tab w:val="clear" w:pos="1134"/>
              </w:tabs>
              <w:rPr>
                <w:b/>
                <w:bCs/>
                <w:szCs w:val="24"/>
                <w:lang w:val="fr-FR"/>
              </w:rPr>
            </w:pPr>
            <w:r w:rsidRPr="004E4750">
              <w:rPr>
                <w:lang w:val="fr-FR" w:eastAsia="fr-FR"/>
              </w:rPr>
              <w:drawing>
                <wp:inline distT="0" distB="0" distL="0" distR="0" wp14:anchorId="6CFF4907" wp14:editId="18A177B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5" w:type="pct"/>
            <w:gridSpan w:val="2"/>
          </w:tcPr>
          <w:p w14:paraId="7B7782C2" w14:textId="2059173A" w:rsidR="00E80D1A" w:rsidRPr="004E4750" w:rsidRDefault="00E80D1A" w:rsidP="0055124D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fr-FR"/>
              </w:rPr>
            </w:pPr>
            <w:r w:rsidRPr="004E4750">
              <w:rPr>
                <w:b/>
                <w:bCs/>
                <w:sz w:val="30"/>
                <w:szCs w:val="30"/>
                <w:lang w:val="fr-FR"/>
              </w:rPr>
              <w:t>Conférence mondiale de développement des télécommunications de 2025 (CMDT-25)</w:t>
            </w:r>
            <w:r w:rsidRPr="004E4750">
              <w:rPr>
                <w:b/>
                <w:bCs/>
                <w:sz w:val="32"/>
                <w:szCs w:val="32"/>
                <w:lang w:val="fr-FR"/>
              </w:rPr>
              <w:br/>
            </w:r>
            <w:r w:rsidRPr="004E4750">
              <w:rPr>
                <w:b/>
                <w:bCs/>
                <w:szCs w:val="24"/>
                <w:lang w:val="fr-FR"/>
              </w:rPr>
              <w:t>Bakou (République d'Azerbaïdjan), 17</w:t>
            </w:r>
            <w:r w:rsidR="009903FC" w:rsidRPr="004E4750">
              <w:rPr>
                <w:b/>
                <w:bCs/>
                <w:szCs w:val="24"/>
                <w:lang w:val="fr-FR"/>
              </w:rPr>
              <w:t>-</w:t>
            </w:r>
            <w:r w:rsidRPr="004E4750">
              <w:rPr>
                <w:b/>
                <w:bCs/>
                <w:szCs w:val="24"/>
                <w:lang w:val="fr-FR"/>
              </w:rPr>
              <w:t>28 novembre 2025</w:t>
            </w:r>
          </w:p>
        </w:tc>
        <w:tc>
          <w:tcPr>
            <w:tcW w:w="1000" w:type="pct"/>
          </w:tcPr>
          <w:p w14:paraId="2C5DBE98" w14:textId="2E00326C" w:rsidR="00E80D1A" w:rsidRPr="004E4750" w:rsidRDefault="00A864A5" w:rsidP="0055124D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 w:rsidRPr="004E4750">
              <w:rPr>
                <w:b/>
                <w:bCs/>
                <w:sz w:val="32"/>
                <w:szCs w:val="32"/>
                <w:lang w:val="fr-FR"/>
              </w:rPr>
              <w:drawing>
                <wp:inline distT="0" distB="0" distL="0" distR="0" wp14:anchorId="589B2DD4" wp14:editId="5439FAA0">
                  <wp:extent cx="1080000" cy="1008000"/>
                  <wp:effectExtent l="0" t="0" r="6350" b="0"/>
                  <wp:docPr id="1284228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9" t="8474" r="25062" b="15570"/>
                          <a:stretch/>
                        </pic:blipFill>
                        <pic:spPr bwMode="auto">
                          <a:xfrm>
                            <a:off x="0" y="0"/>
                            <a:ext cx="1080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E4750" w14:paraId="679DB3BF" w14:textId="77777777" w:rsidTr="00AC2258">
        <w:trPr>
          <w:cantSplit/>
        </w:trPr>
        <w:tc>
          <w:tcPr>
            <w:tcW w:w="3217" w:type="pct"/>
            <w:gridSpan w:val="2"/>
            <w:tcBorders>
              <w:top w:val="single" w:sz="12" w:space="0" w:color="auto"/>
            </w:tcBorders>
          </w:tcPr>
          <w:p w14:paraId="4C62B06C" w14:textId="77777777" w:rsidR="00D83BF5" w:rsidRPr="004E4750" w:rsidRDefault="00D83BF5" w:rsidP="00A327AF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  <w:bookmarkStart w:id="0" w:name="dhead"/>
          </w:p>
        </w:tc>
        <w:tc>
          <w:tcPr>
            <w:tcW w:w="1783" w:type="pct"/>
            <w:gridSpan w:val="2"/>
            <w:tcBorders>
              <w:top w:val="single" w:sz="12" w:space="0" w:color="auto"/>
            </w:tcBorders>
          </w:tcPr>
          <w:p w14:paraId="0116ED64" w14:textId="77777777" w:rsidR="00D83BF5" w:rsidRPr="004E4750" w:rsidRDefault="00D83BF5" w:rsidP="00A327AF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D83BF5" w:rsidRPr="004E4750" w14:paraId="2DE0DADC" w14:textId="77777777" w:rsidTr="00AC2258">
        <w:trPr>
          <w:cantSplit/>
          <w:trHeight w:val="23"/>
        </w:trPr>
        <w:tc>
          <w:tcPr>
            <w:tcW w:w="3217" w:type="pct"/>
            <w:gridSpan w:val="2"/>
            <w:shd w:val="clear" w:color="auto" w:fill="auto"/>
          </w:tcPr>
          <w:p w14:paraId="28059CDA" w14:textId="152BF734" w:rsidR="00D83BF5" w:rsidRPr="004E4750" w:rsidRDefault="00F40E33" w:rsidP="00A327AF">
            <w:pPr>
              <w:pStyle w:val="Committee"/>
              <w:framePr w:hSpace="0" w:wrap="auto" w:hAnchor="text" w:yAlign="inline"/>
              <w:rPr>
                <w:lang w:val="fr-FR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4E4750">
              <w:rPr>
                <w:lang w:val="fr-FR"/>
              </w:rPr>
              <w:t>SÉANCE PLÉNIÈRE</w:t>
            </w:r>
          </w:p>
        </w:tc>
        <w:tc>
          <w:tcPr>
            <w:tcW w:w="1783" w:type="pct"/>
            <w:gridSpan w:val="2"/>
          </w:tcPr>
          <w:p w14:paraId="7A5F1CCD" w14:textId="0A30472D" w:rsidR="00D83BF5" w:rsidRPr="004E4750" w:rsidRDefault="00F40E33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4E4750">
              <w:rPr>
                <w:lang w:val="fr-FR"/>
              </w:rPr>
              <w:t xml:space="preserve">Document </w:t>
            </w:r>
            <w:r w:rsidR="009D3060" w:rsidRPr="004E4750">
              <w:rPr>
                <w:bCs/>
                <w:lang w:val="fr-FR"/>
              </w:rPr>
              <w:t>WTDC-25/</w:t>
            </w:r>
            <w:r w:rsidR="004E4750" w:rsidRPr="004E4750">
              <w:rPr>
                <w:bCs/>
                <w:lang w:val="fr-FR"/>
              </w:rPr>
              <w:t>2(Ann.3)</w:t>
            </w:r>
            <w:r w:rsidRPr="004E4750">
              <w:rPr>
                <w:lang w:val="fr-FR"/>
              </w:rPr>
              <w:t>-F</w:t>
            </w:r>
          </w:p>
        </w:tc>
      </w:tr>
      <w:tr w:rsidR="00D83BF5" w:rsidRPr="004E4750" w14:paraId="54C2D06A" w14:textId="77777777" w:rsidTr="00AC2258">
        <w:trPr>
          <w:cantSplit/>
          <w:trHeight w:val="23"/>
        </w:trPr>
        <w:tc>
          <w:tcPr>
            <w:tcW w:w="3217" w:type="pct"/>
            <w:gridSpan w:val="2"/>
            <w:shd w:val="clear" w:color="auto" w:fill="auto"/>
          </w:tcPr>
          <w:p w14:paraId="26390377" w14:textId="50BB1F0F" w:rsidR="00D83BF5" w:rsidRPr="004E4750" w:rsidRDefault="00D83BF5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1783" w:type="pct"/>
            <w:gridSpan w:val="2"/>
          </w:tcPr>
          <w:p w14:paraId="7446A207" w14:textId="037B2642" w:rsidR="00D83BF5" w:rsidRPr="004E4750" w:rsidRDefault="004E4750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4E4750">
              <w:rPr>
                <w:lang w:val="fr-FR"/>
              </w:rPr>
              <w:t>14 novembre 2025</w:t>
            </w:r>
          </w:p>
        </w:tc>
      </w:tr>
      <w:tr w:rsidR="00D83BF5" w:rsidRPr="004E4750" w14:paraId="7D1F02CB" w14:textId="77777777" w:rsidTr="00AC2258">
        <w:trPr>
          <w:cantSplit/>
          <w:trHeight w:val="23"/>
        </w:trPr>
        <w:tc>
          <w:tcPr>
            <w:tcW w:w="3217" w:type="pct"/>
            <w:gridSpan w:val="2"/>
            <w:shd w:val="clear" w:color="auto" w:fill="auto"/>
          </w:tcPr>
          <w:p w14:paraId="50C265AC" w14:textId="74C2AF68" w:rsidR="00D83BF5" w:rsidRPr="004E4750" w:rsidRDefault="00D83BF5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1783" w:type="pct"/>
            <w:gridSpan w:val="2"/>
          </w:tcPr>
          <w:p w14:paraId="4CC3584B" w14:textId="100AE8BD" w:rsidR="00D83BF5" w:rsidRPr="004E4750" w:rsidRDefault="00F40E33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4E4750">
              <w:rPr>
                <w:lang w:val="fr-FR"/>
              </w:rPr>
              <w:t>Original: anglais</w:t>
            </w:r>
          </w:p>
        </w:tc>
      </w:tr>
      <w:tr w:rsidR="00D83BF5" w:rsidRPr="004E4750" w14:paraId="0BA8CD3B" w14:textId="77777777" w:rsidTr="00AC2258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29BB25E0" w14:textId="57E32A52" w:rsidR="00D83BF5" w:rsidRPr="004E4750" w:rsidRDefault="004E4750" w:rsidP="00A327AF">
            <w:pPr>
              <w:pStyle w:val="Source"/>
              <w:spacing w:before="240" w:after="240"/>
              <w:rPr>
                <w:lang w:val="fr-FR"/>
              </w:rPr>
            </w:pPr>
            <w:r w:rsidRPr="004E4750">
              <w:rPr>
                <w:lang w:val="fr-FR"/>
              </w:rPr>
              <w:t>Directeur du Bureau de développement des télécommunications</w:t>
            </w:r>
          </w:p>
        </w:tc>
      </w:tr>
      <w:tr w:rsidR="00D83BF5" w:rsidRPr="004E4750" w14:paraId="610454EC" w14:textId="77777777" w:rsidTr="00AC2258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5C5D3AC" w14:textId="1DE84025" w:rsidR="004E4750" w:rsidRPr="004E4750" w:rsidRDefault="004E4750" w:rsidP="004E4750">
            <w:pPr>
              <w:pStyle w:val="Title1"/>
              <w:spacing w:after="120"/>
              <w:rPr>
                <w:b/>
                <w:bCs/>
                <w:lang w:val="fr-FR"/>
              </w:rPr>
            </w:pPr>
            <w:r w:rsidRPr="004E4750">
              <w:rPr>
                <w:b/>
                <w:bCs/>
                <w:lang w:val="fr-FR"/>
              </w:rPr>
              <w:t>TABLEAUX DE BORD</w:t>
            </w:r>
          </w:p>
          <w:p w14:paraId="65D61584" w14:textId="735F7C38" w:rsidR="00D83BF5" w:rsidRPr="004E4750" w:rsidRDefault="004E4750" w:rsidP="004E4750">
            <w:pPr>
              <w:pStyle w:val="Title1"/>
              <w:spacing w:before="120" w:after="120"/>
              <w:rPr>
                <w:lang w:val="fr-FR"/>
              </w:rPr>
            </w:pPr>
            <w:r w:rsidRPr="004E4750">
              <w:rPr>
                <w:b/>
                <w:bCs/>
                <w:lang w:val="fr-FR"/>
              </w:rPr>
              <w:t>PLAN OPÉRATIONNEL ET RÉSOLUTIONS ET</w:t>
            </w:r>
            <w:r w:rsidRPr="004E4750">
              <w:rPr>
                <w:b/>
                <w:bCs/>
                <w:lang w:val="fr-FR"/>
              </w:rPr>
              <w:t xml:space="preserve"> </w:t>
            </w:r>
            <w:r w:rsidRPr="004E4750">
              <w:rPr>
                <w:b/>
                <w:bCs/>
                <w:lang w:val="fr-FR"/>
              </w:rPr>
              <w:t>INITIATIVES</w:t>
            </w:r>
            <w:r w:rsidRPr="004E4750">
              <w:rPr>
                <w:b/>
                <w:bCs/>
                <w:lang w:val="fr-FR"/>
              </w:rPr>
              <w:br/>
            </w:r>
            <w:r w:rsidRPr="004E4750">
              <w:rPr>
                <w:b/>
                <w:bCs/>
                <w:lang w:val="fr-FR"/>
              </w:rPr>
              <w:t>RÉGIONALES DE LA CMDT-22</w:t>
            </w:r>
          </w:p>
        </w:tc>
      </w:tr>
      <w:tr w:rsidR="00D83BF5" w:rsidRPr="004E4750" w14:paraId="3281F6CD" w14:textId="77777777" w:rsidTr="00AC2258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7E3AD81E" w14:textId="1D4A4EF4" w:rsidR="00D83BF5" w:rsidRPr="004E4750" w:rsidRDefault="00D83BF5" w:rsidP="00A327AF">
            <w:pPr>
              <w:pStyle w:val="Title2"/>
              <w:spacing w:before="240"/>
              <w:rPr>
                <w:lang w:val="fr-FR"/>
              </w:rPr>
            </w:pPr>
          </w:p>
        </w:tc>
      </w:tr>
      <w:tr w:rsidR="00EF1503" w:rsidRPr="004E4750" w14:paraId="3F37EAAA" w14:textId="77777777" w:rsidTr="00AC2258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5E5D5FFA" w14:textId="195955EA" w:rsidR="00EF1503" w:rsidRPr="004E4750" w:rsidRDefault="00EF1503" w:rsidP="00A327AF">
            <w:pPr>
              <w:pStyle w:val="Title2"/>
              <w:spacing w:before="240"/>
              <w:rPr>
                <w:lang w:val="fr-FR"/>
              </w:rPr>
            </w:pPr>
          </w:p>
        </w:tc>
      </w:tr>
      <w:bookmarkEnd w:id="5"/>
      <w:bookmarkEnd w:id="6"/>
      <w:tr w:rsidR="00AF411C" w:rsidRPr="004E4750" w14:paraId="07261AB8" w14:textId="77777777" w:rsidTr="00AC2258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260" w14:textId="1FCDC2AC" w:rsidR="004E4750" w:rsidRPr="004E4750" w:rsidRDefault="004E4750" w:rsidP="004E4750">
            <w:pPr>
              <w:tabs>
                <w:tab w:val="clear" w:pos="1134"/>
                <w:tab w:val="clear" w:pos="1871"/>
                <w:tab w:val="clear" w:pos="2268"/>
                <w:tab w:val="left" w:pos="2015"/>
                <w:tab w:val="left" w:pos="2298"/>
              </w:tabs>
              <w:rPr>
                <w:lang w:val="fr-FR"/>
              </w:rPr>
            </w:pPr>
            <w:r w:rsidRPr="004E4750">
              <w:rPr>
                <w:b/>
                <w:bCs/>
                <w:szCs w:val="24"/>
                <w:lang w:val="fr-FR"/>
              </w:rPr>
              <w:t>Résumé</w:t>
            </w:r>
            <w:r w:rsidR="000F437C" w:rsidRPr="004E4750">
              <w:rPr>
                <w:rFonts w:ascii="Calibri" w:eastAsia="SimSun" w:hAnsi="Calibri" w:cs="Traditional Arabic"/>
                <w:b/>
                <w:bCs/>
                <w:szCs w:val="24"/>
                <w:lang w:val="fr-FR"/>
              </w:rPr>
              <w:t>:</w:t>
            </w:r>
          </w:p>
          <w:p w14:paraId="238F4C61" w14:textId="157D99CE" w:rsidR="000F437C" w:rsidRPr="004E4750" w:rsidRDefault="004E4750" w:rsidP="004E4750">
            <w:pPr>
              <w:rPr>
                <w:lang w:val="fr-FR"/>
              </w:rPr>
            </w:pPr>
            <w:r w:rsidRPr="004E4750">
              <w:rPr>
                <w:lang w:val="fr-FR"/>
              </w:rPr>
              <w:t>Le présent document présente deux tableaux de bord interactifs, à savoir 1) un aperçu du Plan opérationnel de l</w:t>
            </w:r>
            <w:r w:rsidRPr="004E4750">
              <w:rPr>
                <w:lang w:val="fr-FR"/>
              </w:rPr>
              <w:t>'</w:t>
            </w:r>
            <w:r w:rsidRPr="004E4750">
              <w:rPr>
                <w:lang w:val="fr-FR"/>
              </w:rPr>
              <w:t xml:space="preserve">UIT-D portant à la fois sur la mise en </w:t>
            </w:r>
            <w:r w:rsidRPr="004E4750">
              <w:rPr>
                <w:lang w:val="fr-FR"/>
              </w:rPr>
              <w:t>œ</w:t>
            </w:r>
            <w:r w:rsidRPr="004E4750">
              <w:rPr>
                <w:lang w:val="fr-FR"/>
              </w:rPr>
              <w:t>uvre du budget et sur les résultats obtenus en matière de gestion axée sur les résultats dans les six régions et à l</w:t>
            </w:r>
            <w:r w:rsidRPr="004E4750">
              <w:rPr>
                <w:lang w:val="fr-FR"/>
              </w:rPr>
              <w:t>'</w:t>
            </w:r>
            <w:r w:rsidRPr="004E4750">
              <w:rPr>
                <w:lang w:val="fr-FR"/>
              </w:rPr>
              <w:t>échelle multirégionale; et</w:t>
            </w:r>
            <w:r w:rsidRPr="004E4750">
              <w:rPr>
                <w:lang w:val="fr-FR"/>
              </w:rPr>
              <w:t> </w:t>
            </w:r>
            <w:r w:rsidRPr="004E4750">
              <w:rPr>
                <w:lang w:val="fr-FR"/>
              </w:rPr>
              <w:t>2)</w:t>
            </w:r>
            <w:r w:rsidRPr="004E4750">
              <w:rPr>
                <w:lang w:val="fr-FR"/>
              </w:rPr>
              <w:t> </w:t>
            </w:r>
            <w:r w:rsidRPr="004E4750">
              <w:rPr>
                <w:lang w:val="fr-FR"/>
              </w:rPr>
              <w:t>la</w:t>
            </w:r>
            <w:r w:rsidRPr="004E4750">
              <w:rPr>
                <w:lang w:val="fr-FR"/>
              </w:rPr>
              <w:t> </w:t>
            </w:r>
            <w:r w:rsidRPr="004E4750">
              <w:rPr>
                <w:lang w:val="fr-FR"/>
              </w:rPr>
              <w:t>contribution des activités relatives au Plan opérationnel et des projets de l</w:t>
            </w:r>
            <w:r w:rsidRPr="004E4750">
              <w:rPr>
                <w:lang w:val="fr-FR"/>
              </w:rPr>
              <w:t>'</w:t>
            </w:r>
            <w:r w:rsidRPr="004E4750">
              <w:rPr>
                <w:lang w:val="fr-FR"/>
              </w:rPr>
              <w:t>UIT-D à la</w:t>
            </w:r>
            <w:r w:rsidRPr="004E4750">
              <w:rPr>
                <w:lang w:val="fr-FR"/>
              </w:rPr>
              <w:t> </w:t>
            </w:r>
            <w:r w:rsidRPr="004E4750">
              <w:rPr>
                <w:lang w:val="fr-FR"/>
              </w:rPr>
              <w:t>mise</w:t>
            </w:r>
            <w:r w:rsidRPr="004E4750">
              <w:rPr>
                <w:lang w:val="fr-FR"/>
              </w:rPr>
              <w:t> </w:t>
            </w:r>
            <w:r w:rsidRPr="004E4750">
              <w:rPr>
                <w:lang w:val="fr-FR"/>
              </w:rPr>
              <w:t>en</w:t>
            </w:r>
            <w:r w:rsidRPr="004E4750">
              <w:rPr>
                <w:lang w:val="fr-FR"/>
              </w:rPr>
              <w:t> </w:t>
            </w:r>
            <w:r w:rsidRPr="004E4750">
              <w:rPr>
                <w:lang w:val="fr-FR"/>
              </w:rPr>
              <w:t>œuvre des Résolutions et des initiatives régionales de la CMDT-22.</w:t>
            </w:r>
          </w:p>
          <w:p w14:paraId="6AB959D8" w14:textId="0291CD57" w:rsidR="00AF411C" w:rsidRPr="004E4750" w:rsidRDefault="004E4750" w:rsidP="00AF411C">
            <w:pPr>
              <w:spacing w:after="120"/>
              <w:rPr>
                <w:b/>
                <w:bCs/>
                <w:szCs w:val="24"/>
                <w:lang w:val="fr-FR"/>
              </w:rPr>
            </w:pPr>
            <w:r w:rsidRPr="004E4750">
              <w:rPr>
                <w:b/>
                <w:bCs/>
                <w:szCs w:val="24"/>
                <w:lang w:val="fr-FR"/>
              </w:rPr>
              <w:t>Suite à donner:</w:t>
            </w:r>
          </w:p>
          <w:p w14:paraId="63B8B278" w14:textId="1FACDD91" w:rsidR="00AF411C" w:rsidRPr="004E4750" w:rsidRDefault="004E4750" w:rsidP="00AF411C">
            <w:pPr>
              <w:spacing w:after="120"/>
              <w:rPr>
                <w:szCs w:val="24"/>
                <w:lang w:val="fr-FR"/>
              </w:rPr>
            </w:pPr>
            <w:r w:rsidRPr="004E4750">
              <w:rPr>
                <w:szCs w:val="24"/>
                <w:lang w:val="fr-FR"/>
              </w:rPr>
              <w:t>Le CMDT est invitée à prendre note des tableaux de bord et à fournir les indications qu'elle jugera nécessaires.</w:t>
            </w:r>
          </w:p>
          <w:p w14:paraId="3FA3A13A" w14:textId="77777777" w:rsidR="00AF411C" w:rsidRPr="004E4750" w:rsidRDefault="00AF411C" w:rsidP="00AF411C">
            <w:pPr>
              <w:spacing w:after="120"/>
              <w:rPr>
                <w:b/>
                <w:bCs/>
                <w:szCs w:val="24"/>
                <w:lang w:val="fr-FR"/>
              </w:rPr>
            </w:pPr>
            <w:r w:rsidRPr="004E4750">
              <w:rPr>
                <w:b/>
                <w:bCs/>
                <w:szCs w:val="24"/>
                <w:lang w:val="fr-FR"/>
              </w:rPr>
              <w:t>Références:</w:t>
            </w:r>
          </w:p>
          <w:p w14:paraId="11A767B9" w14:textId="7BD97675" w:rsidR="004E4750" w:rsidRPr="004E4750" w:rsidRDefault="004E4750" w:rsidP="004E4750">
            <w:pPr>
              <w:spacing w:after="120"/>
              <w:rPr>
                <w:lang w:val="fr-FR"/>
              </w:rPr>
            </w:pPr>
            <w:r w:rsidRPr="004E4750">
              <w:rPr>
                <w:lang w:val="fr-FR"/>
              </w:rPr>
              <w:t xml:space="preserve">Document </w:t>
            </w:r>
            <w:hyperlink r:id="rId13" w:history="1">
              <w:r w:rsidRPr="004E4750">
                <w:rPr>
                  <w:rStyle w:val="Hyperlink"/>
                  <w:lang w:val="fr-FR"/>
                </w:rPr>
                <w:t>2</w:t>
              </w:r>
            </w:hyperlink>
            <w:r w:rsidRPr="004E4750">
              <w:rPr>
                <w:lang w:val="fr-FR"/>
              </w:rPr>
              <w:t xml:space="preserve"> de la CMDT-25: Rapport sur la mise en œuvre du Plan d'action de Kigali</w:t>
            </w:r>
          </w:p>
          <w:p w14:paraId="5E42EA57" w14:textId="48141B4E" w:rsidR="004E4750" w:rsidRPr="004E4750" w:rsidRDefault="004E4750" w:rsidP="004E4750">
            <w:pPr>
              <w:spacing w:after="120"/>
              <w:rPr>
                <w:lang w:val="fr-FR"/>
              </w:rPr>
            </w:pPr>
            <w:r w:rsidRPr="004E4750">
              <w:rPr>
                <w:lang w:val="fr-FR"/>
              </w:rPr>
              <w:t xml:space="preserve">Document </w:t>
            </w:r>
            <w:hyperlink r:id="rId14" w:history="1">
              <w:r w:rsidRPr="004E4750">
                <w:rPr>
                  <w:rStyle w:val="Hyperlink"/>
                  <w:lang w:val="fr-FR"/>
                </w:rPr>
                <w:t>WTDC-25/2(Ann.1)</w:t>
              </w:r>
            </w:hyperlink>
            <w:r w:rsidRPr="004E4750">
              <w:rPr>
                <w:lang w:val="fr-FR"/>
              </w:rPr>
              <w:t xml:space="preserve"> – Mise en correspondance de la contribution des projets de l'UIT-D avec la mise en œuvre des initiatives régionales approuvées par la CMDT-22</w:t>
            </w:r>
          </w:p>
          <w:p w14:paraId="036CFCAD" w14:textId="6CFC64C9" w:rsidR="00AF411C" w:rsidRPr="004E4750" w:rsidRDefault="004E4750" w:rsidP="004E4750">
            <w:pPr>
              <w:spacing w:after="120"/>
              <w:rPr>
                <w:lang w:val="fr-FR"/>
              </w:rPr>
            </w:pPr>
            <w:r w:rsidRPr="004E4750">
              <w:rPr>
                <w:lang w:val="fr-FR"/>
              </w:rPr>
              <w:t xml:space="preserve">Document </w:t>
            </w:r>
            <w:hyperlink r:id="rId15" w:history="1">
              <w:r w:rsidRPr="004E4750">
                <w:rPr>
                  <w:rStyle w:val="Hyperlink"/>
                  <w:lang w:val="fr-FR"/>
                </w:rPr>
                <w:t>WTDC-25/2(Ann.2)</w:t>
              </w:r>
            </w:hyperlink>
            <w:r w:rsidRPr="004E4750">
              <w:rPr>
                <w:lang w:val="fr-FR"/>
              </w:rPr>
              <w:t xml:space="preserve"> – Contribution des activités relatives au Plan opérationnel et des projets de l'UIT-D à la mise en œuvre des Résolutions de la CMDT-22</w:t>
            </w:r>
          </w:p>
        </w:tc>
      </w:tr>
    </w:tbl>
    <w:p w14:paraId="71B846AC" w14:textId="77777777" w:rsidR="004E4750" w:rsidRPr="004E4750" w:rsidRDefault="004E475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4E4750">
        <w:rPr>
          <w:lang w:val="fr-FR"/>
        </w:rPr>
        <w:br w:type="page"/>
      </w:r>
    </w:p>
    <w:p w14:paraId="01450CDA" w14:textId="0AFB343C" w:rsidR="004E4750" w:rsidRPr="004E4750" w:rsidRDefault="004E4750" w:rsidP="004E4750">
      <w:pPr>
        <w:pStyle w:val="Heading1"/>
        <w:rPr>
          <w:lang w:val="fr-FR"/>
        </w:rPr>
      </w:pPr>
      <w:r w:rsidRPr="004E4750">
        <w:rPr>
          <w:lang w:val="fr-FR"/>
        </w:rPr>
        <w:lastRenderedPageBreak/>
        <w:t>1</w:t>
      </w:r>
      <w:r w:rsidRPr="004E4750">
        <w:rPr>
          <w:lang w:val="fr-FR"/>
        </w:rPr>
        <w:tab/>
        <w:t>Introduction</w:t>
      </w:r>
    </w:p>
    <w:p w14:paraId="510AAEAF" w14:textId="6835D03D" w:rsidR="004E4750" w:rsidRPr="004E4750" w:rsidRDefault="004E4750" w:rsidP="004E4750">
      <w:pPr>
        <w:rPr>
          <w:lang w:val="fr-FR"/>
        </w:rPr>
      </w:pPr>
      <w:r w:rsidRPr="004E4750">
        <w:rPr>
          <w:lang w:val="fr-FR"/>
        </w:rPr>
        <w:t>Les tableaux de bord concernant la mise en œuvre du budget du plan opérationnel et du cadre de gestion axée sur les résultats pour l</w:t>
      </w:r>
      <w:r w:rsidRPr="004E4750">
        <w:rPr>
          <w:lang w:val="fr-FR"/>
        </w:rPr>
        <w:t>'</w:t>
      </w:r>
      <w:r w:rsidRPr="004E4750">
        <w:rPr>
          <w:lang w:val="fr-FR"/>
        </w:rPr>
        <w:t>exécution du Plan d</w:t>
      </w:r>
      <w:r w:rsidRPr="004E4750">
        <w:rPr>
          <w:lang w:val="fr-FR"/>
        </w:rPr>
        <w:t>'</w:t>
      </w:r>
      <w:r w:rsidRPr="004E4750">
        <w:rPr>
          <w:lang w:val="fr-FR"/>
        </w:rPr>
        <w:t>action de Kigali ainsi que les résolutions et les initiatives régionales de la CMDT-22 sont accessibles aux titulaires d'un compte TIES à l</w:t>
      </w:r>
      <w:r w:rsidRPr="004E4750">
        <w:rPr>
          <w:lang w:val="fr-FR"/>
        </w:rPr>
        <w:t>'</w:t>
      </w:r>
      <w:r w:rsidRPr="004E4750">
        <w:rPr>
          <w:lang w:val="fr-FR"/>
        </w:rPr>
        <w:t xml:space="preserve">adresse suivante: </w:t>
      </w:r>
      <w:hyperlink r:id="rId16" w:anchor="/fr" w:history="1">
        <w:r w:rsidRPr="004E4750">
          <w:rPr>
            <w:rStyle w:val="Hyperlink"/>
            <w:lang w:val="fr-FR"/>
          </w:rPr>
          <w:t>Tableaux de bord</w:t>
        </w:r>
      </w:hyperlink>
      <w:r w:rsidRPr="004E4750">
        <w:rPr>
          <w:lang w:val="fr-FR"/>
        </w:rPr>
        <w:t>.</w:t>
      </w:r>
    </w:p>
    <w:p w14:paraId="21DC3EDA" w14:textId="55846A9B" w:rsidR="004E4750" w:rsidRPr="004E4750" w:rsidRDefault="004E4750" w:rsidP="004E4750">
      <w:pPr>
        <w:rPr>
          <w:lang w:val="fr-FR"/>
        </w:rPr>
      </w:pPr>
      <w:r w:rsidRPr="004E4750">
        <w:rPr>
          <w:lang w:val="fr-FR"/>
        </w:rPr>
        <w:t>Les outils d</w:t>
      </w:r>
      <w:r w:rsidRPr="004E4750">
        <w:rPr>
          <w:lang w:val="fr-FR"/>
        </w:rPr>
        <w:t>'</w:t>
      </w:r>
      <w:r w:rsidRPr="004E4750">
        <w:rPr>
          <w:lang w:val="fr-FR"/>
        </w:rPr>
        <w:t>établissement de rapports soulignent l</w:t>
      </w:r>
      <w:r w:rsidRPr="004E4750">
        <w:rPr>
          <w:lang w:val="fr-FR"/>
        </w:rPr>
        <w:t>'</w:t>
      </w:r>
      <w:r w:rsidRPr="004E4750">
        <w:rPr>
          <w:lang w:val="fr-FR"/>
        </w:rPr>
        <w:t>engagement du BDT en faveur de la responsabilité, de la transparence et de l</w:t>
      </w:r>
      <w:r w:rsidRPr="004E4750">
        <w:rPr>
          <w:lang w:val="fr-FR"/>
        </w:rPr>
        <w:t>'</w:t>
      </w:r>
      <w:r w:rsidRPr="004E4750">
        <w:rPr>
          <w:lang w:val="fr-FR"/>
        </w:rPr>
        <w:t>efficacité dans l</w:t>
      </w:r>
      <w:r w:rsidRPr="004E4750">
        <w:rPr>
          <w:lang w:val="fr-FR"/>
        </w:rPr>
        <w:t>'</w:t>
      </w:r>
      <w:r w:rsidRPr="004E4750">
        <w:rPr>
          <w:lang w:val="fr-FR"/>
        </w:rPr>
        <w:t>ensemble de ses activités et processus.</w:t>
      </w:r>
    </w:p>
    <w:p w14:paraId="1963F6E2" w14:textId="620FA1C9" w:rsidR="004E4750" w:rsidRPr="004E4750" w:rsidRDefault="004E4750" w:rsidP="004E4750">
      <w:pPr>
        <w:rPr>
          <w:lang w:val="fr-FR"/>
        </w:rPr>
      </w:pPr>
      <w:r w:rsidRPr="004E4750">
        <w:rPr>
          <w:lang w:val="fr-FR"/>
        </w:rPr>
        <w:t>La CMDT est invitée à prendre note du présent document et à fournir les indications qu'elle jugera nécessaires.</w:t>
      </w:r>
    </w:p>
    <w:p w14:paraId="62303C48" w14:textId="4076EA79" w:rsidR="000F437C" w:rsidRPr="004E4750" w:rsidRDefault="004E4750" w:rsidP="004E4750">
      <w:pPr>
        <w:jc w:val="center"/>
        <w:rPr>
          <w:lang w:val="fr-FR"/>
        </w:rPr>
      </w:pPr>
      <w:r w:rsidRPr="004E4750">
        <w:rPr>
          <w:lang w:val="fr-FR"/>
        </w:rPr>
        <w:t>______________</w:t>
      </w:r>
    </w:p>
    <w:sectPr w:rsidR="000F437C" w:rsidRPr="004E4750" w:rsidSect="00A327AF">
      <w:headerReference w:type="default" r:id="rId17"/>
      <w:footerReference w:type="even" r:id="rId18"/>
      <w:footerReference w:type="first" r:id="rId19"/>
      <w:pgSz w:w="11907" w:h="16840" w:code="9"/>
      <w:pgMar w:top="1134" w:right="1134" w:bottom="1134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8118" w14:textId="77777777" w:rsidR="009B78D5" w:rsidRDefault="009B78D5">
      <w:r>
        <w:separator/>
      </w:r>
    </w:p>
  </w:endnote>
  <w:endnote w:type="continuationSeparator" w:id="0">
    <w:p w14:paraId="2DAA0B74" w14:textId="77777777" w:rsidR="009B78D5" w:rsidRDefault="009B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895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A32805" w14:textId="46DB92FD" w:rsidR="00E45D05" w:rsidRPr="00C1192C" w:rsidRDefault="00E45D05">
    <w:pPr>
      <w:ind w:right="360"/>
      <w:rPr>
        <w:lang w:val="es-ES_tradnl"/>
      </w:rPr>
    </w:pPr>
    <w:r>
      <w:fldChar w:fldCharType="begin"/>
    </w:r>
    <w:r w:rsidRPr="00C1192C">
      <w:rPr>
        <w:lang w:val="es-ES_tradnl"/>
      </w:rPr>
      <w:instrText xml:space="preserve"> FILENAME \p  \* MERGEFORMAT </w:instrText>
    </w:r>
    <w:r>
      <w:fldChar w:fldCharType="separate"/>
    </w:r>
    <w:r w:rsidR="004B150A">
      <w:rPr>
        <w:noProof/>
        <w:lang w:val="es-ES_tradnl"/>
      </w:rPr>
      <w:t>P:\FRA\ITU-D\CONF-D\WTDC17\DIV\413949F.docx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53AE7">
      <w:rPr>
        <w:noProof/>
      </w:rPr>
      <w:t>08.10.25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B150A">
      <w:rPr>
        <w:noProof/>
      </w:rPr>
      <w:t>10.03.17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4E4750" w:rsidRPr="004D495C" w14:paraId="18C23297" w14:textId="77777777" w:rsidTr="008B61EA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6D62A8E7" w14:textId="77777777" w:rsidR="004E4750" w:rsidRPr="004D495C" w:rsidRDefault="004E4750" w:rsidP="004E475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7CF692A3" w14:textId="77777777" w:rsidR="004E4750" w:rsidRPr="004D495C" w:rsidRDefault="004E4750" w:rsidP="004E4750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Nom</w:t>
          </w:r>
          <w:r w:rsidRPr="004D495C">
            <w:rPr>
              <w:sz w:val="18"/>
              <w:szCs w:val="18"/>
              <w:lang w:val="en-US"/>
            </w:rPr>
            <w:t>/Organi</w:t>
          </w:r>
          <w:r>
            <w:rPr>
              <w:sz w:val="18"/>
              <w:szCs w:val="18"/>
              <w:lang w:val="en-US"/>
            </w:rPr>
            <w:t>s</w:t>
          </w:r>
          <w:r w:rsidRPr="004D495C">
            <w:rPr>
              <w:sz w:val="18"/>
              <w:szCs w:val="18"/>
              <w:lang w:val="en-US"/>
            </w:rPr>
            <w:t>ation/Entit</w:t>
          </w:r>
          <w:r>
            <w:rPr>
              <w:sz w:val="18"/>
              <w:szCs w:val="18"/>
              <w:lang w:val="en-US"/>
            </w:rPr>
            <w:t>é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  <w:shd w:val="clear" w:color="auto" w:fill="auto"/>
        </w:tcPr>
        <w:p w14:paraId="1A6466A3" w14:textId="00B7290A" w:rsidR="004E4750" w:rsidRPr="004E4750" w:rsidRDefault="004E4750" w:rsidP="004E4750">
          <w:pPr>
            <w:pStyle w:val="FirstFooter"/>
            <w:tabs>
              <w:tab w:val="clear" w:pos="1871"/>
            </w:tabs>
            <w:rPr>
              <w:sz w:val="18"/>
              <w:szCs w:val="18"/>
              <w:highlight w:val="yellow"/>
              <w:lang w:val="en-US"/>
            </w:rPr>
          </w:pPr>
          <w:bookmarkStart w:id="7" w:name="OrgName"/>
          <w:bookmarkEnd w:id="7"/>
          <w:r w:rsidRPr="004E4750">
            <w:rPr>
              <w:sz w:val="18"/>
              <w:szCs w:val="18"/>
            </w:rPr>
            <w:t>Mme Archana Gulati, Adjointe au Directeur du Bureau de développement des télécommunications</w:t>
          </w:r>
        </w:p>
      </w:tc>
    </w:tr>
    <w:tr w:rsidR="004E4750" w:rsidRPr="004D495C" w14:paraId="16F44343" w14:textId="77777777" w:rsidTr="008B61EA">
      <w:tc>
        <w:tcPr>
          <w:tcW w:w="1526" w:type="dxa"/>
          <w:shd w:val="clear" w:color="auto" w:fill="auto"/>
        </w:tcPr>
        <w:p w14:paraId="6D1B873F" w14:textId="77777777" w:rsidR="004E4750" w:rsidRPr="004D495C" w:rsidRDefault="004E4750" w:rsidP="004E4750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54206529" w14:textId="77777777" w:rsidR="004E4750" w:rsidRPr="004D495C" w:rsidRDefault="004E4750" w:rsidP="004E475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Numéro de téléphone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shd w:val="clear" w:color="auto" w:fill="auto"/>
        </w:tcPr>
        <w:p w14:paraId="79D5B7AC" w14:textId="0DAE18B6" w:rsidR="004E4750" w:rsidRPr="004E4750" w:rsidRDefault="004E4750" w:rsidP="004E4750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8" w:name="PhoneNo"/>
          <w:bookmarkEnd w:id="8"/>
          <w:r w:rsidRPr="004E4750">
            <w:rPr>
              <w:sz w:val="18"/>
              <w:szCs w:val="18"/>
            </w:rPr>
            <w:t>+41 22 730 6475</w:t>
          </w:r>
        </w:p>
      </w:tc>
    </w:tr>
    <w:tr w:rsidR="004E4750" w:rsidRPr="004D495C" w14:paraId="3D5D6A22" w14:textId="77777777" w:rsidTr="008B61EA">
      <w:tc>
        <w:tcPr>
          <w:tcW w:w="1526" w:type="dxa"/>
          <w:shd w:val="clear" w:color="auto" w:fill="auto"/>
        </w:tcPr>
        <w:p w14:paraId="33C52BE5" w14:textId="77777777" w:rsidR="004E4750" w:rsidRPr="004D495C" w:rsidRDefault="004E4750" w:rsidP="004E4750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2E31BFC4" w14:textId="77777777" w:rsidR="004E4750" w:rsidRPr="004D495C" w:rsidRDefault="004E4750" w:rsidP="004E475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Courriel:</w:t>
          </w:r>
        </w:p>
      </w:tc>
      <w:bookmarkStart w:id="9" w:name="Email"/>
      <w:bookmarkEnd w:id="9"/>
      <w:tc>
        <w:tcPr>
          <w:tcW w:w="5987" w:type="dxa"/>
          <w:shd w:val="clear" w:color="auto" w:fill="auto"/>
        </w:tcPr>
        <w:p w14:paraId="4596984C" w14:textId="5727FB1E" w:rsidR="004E4750" w:rsidRPr="004E4750" w:rsidRDefault="004E4750" w:rsidP="004E4750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HYPERLINK "mailto:</w:instrText>
          </w:r>
          <w:r w:rsidRPr="004E4750">
            <w:rPr>
              <w:sz w:val="18"/>
              <w:szCs w:val="18"/>
            </w:rPr>
            <w:instrText>archana.gulati@itu.int</w:instrText>
          </w:r>
          <w:r>
            <w:rPr>
              <w:sz w:val="18"/>
              <w:szCs w:val="18"/>
            </w:rPr>
            <w:instrText xml:space="preserve">" </w:instrText>
          </w:r>
          <w:r>
            <w:rPr>
              <w:sz w:val="18"/>
              <w:szCs w:val="18"/>
            </w:rPr>
            <w:fldChar w:fldCharType="separate"/>
          </w:r>
          <w:r w:rsidRPr="00587EAB">
            <w:rPr>
              <w:rStyle w:val="Hyperlink"/>
              <w:sz w:val="18"/>
              <w:szCs w:val="18"/>
            </w:rPr>
            <w:t>archana.gulati@itu.int</w:t>
          </w:r>
          <w:r>
            <w:rPr>
              <w:sz w:val="18"/>
              <w:szCs w:val="18"/>
            </w:rPr>
            <w:fldChar w:fldCharType="end"/>
          </w:r>
        </w:p>
      </w:tc>
    </w:tr>
  </w:tbl>
  <w:bookmarkStart w:id="10" w:name="_Hlk56495155"/>
  <w:p w14:paraId="43BD81FA" w14:textId="59AC052A" w:rsidR="00D83BF5" w:rsidRPr="00784E03" w:rsidRDefault="003B7D04" w:rsidP="003B7D04">
    <w:pPr>
      <w:jc w:val="center"/>
      <w:rPr>
        <w:sz w:val="20"/>
      </w:rPr>
    </w:pPr>
    <w:r>
      <w:rPr>
        <w:sz w:val="20"/>
      </w:rPr>
      <w:fldChar w:fldCharType="begin"/>
    </w:r>
    <w:r w:rsidR="009903FC">
      <w:rPr>
        <w:sz w:val="20"/>
      </w:rPr>
      <w:instrText>HYPERLINK "https://www.itu.int/itu-d/meetings/wtdc25/" \l "/fr"</w:instrText>
    </w:r>
    <w:r>
      <w:rPr>
        <w:sz w:val="20"/>
      </w:rPr>
      <w:fldChar w:fldCharType="separate"/>
    </w:r>
    <w:r>
      <w:rPr>
        <w:rStyle w:val="Hyperlink"/>
        <w:sz w:val="20"/>
      </w:rPr>
      <w:t>CMDT</w:t>
    </w:r>
    <w:r>
      <w:rPr>
        <w:caps/>
        <w:sz w:val="20"/>
      </w:rPr>
      <w:fldChar w:fldCharType="end"/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0EB8" w14:textId="77777777" w:rsidR="009B78D5" w:rsidRDefault="009B78D5">
      <w:r>
        <w:rPr>
          <w:b/>
        </w:rPr>
        <w:t>_______________</w:t>
      </w:r>
    </w:p>
  </w:footnote>
  <w:footnote w:type="continuationSeparator" w:id="0">
    <w:p w14:paraId="22DE9C62" w14:textId="77777777" w:rsidR="009B78D5" w:rsidRDefault="009B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8D34" w14:textId="233D6E68" w:rsidR="00A066F1" w:rsidRPr="00D83BF5" w:rsidRDefault="00D83BF5" w:rsidP="00F41260">
    <w:pPr>
      <w:tabs>
        <w:tab w:val="clear" w:pos="1134"/>
        <w:tab w:val="clear" w:pos="1871"/>
        <w:tab w:val="clear" w:pos="2268"/>
        <w:tab w:val="center" w:pos="5103"/>
        <w:tab w:val="right" w:pos="10206"/>
      </w:tabs>
      <w:spacing w:after="160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="00EF1503" w:rsidRPr="00EF1503">
      <w:rPr>
        <w:sz w:val="22"/>
        <w:szCs w:val="22"/>
        <w:lang w:val="de-CH"/>
      </w:rPr>
      <w:t>WTDC</w:t>
    </w:r>
    <w:r w:rsidR="009D3060">
      <w:rPr>
        <w:sz w:val="22"/>
        <w:szCs w:val="22"/>
        <w:lang w:val="de-CH"/>
      </w:rPr>
      <w:t>-</w:t>
    </w:r>
    <w:r w:rsidR="00E14630">
      <w:rPr>
        <w:sz w:val="22"/>
        <w:szCs w:val="22"/>
        <w:lang w:val="de-CH"/>
      </w:rPr>
      <w:t>2</w:t>
    </w:r>
    <w:r w:rsidR="00F40E33">
      <w:rPr>
        <w:sz w:val="22"/>
        <w:szCs w:val="22"/>
        <w:lang w:val="de-CH"/>
      </w:rPr>
      <w:t>5</w:t>
    </w:r>
    <w:r w:rsidR="00EF1503" w:rsidRPr="00EF1503">
      <w:rPr>
        <w:sz w:val="22"/>
        <w:szCs w:val="22"/>
        <w:lang w:val="de-CH"/>
      </w:rPr>
      <w:t>/</w:t>
    </w:r>
    <w:r w:rsidR="004E4750">
      <w:rPr>
        <w:sz w:val="22"/>
        <w:szCs w:val="22"/>
        <w:lang w:val="de-CH"/>
      </w:rPr>
      <w:t>2(Ann.3)</w:t>
    </w:r>
    <w:r w:rsidR="00F40E33">
      <w:rPr>
        <w:sz w:val="22"/>
        <w:szCs w:val="22"/>
      </w:rPr>
      <w:t>-F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1B57A8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84968">
    <w:abstractNumId w:val="0"/>
  </w:num>
  <w:num w:numId="2" w16cid:durableId="209073058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60647635">
    <w:abstractNumId w:val="4"/>
  </w:num>
  <w:num w:numId="4" w16cid:durableId="988679742">
    <w:abstractNumId w:val="2"/>
  </w:num>
  <w:num w:numId="5" w16cid:durableId="179398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  <w:docVar w:name="dgnword-docGUID" w:val="{5A59780F-9B2B-4B16-B203-EFC5E9534CA7}"/>
    <w:docVar w:name="dgnword-eventsink" w:val="584193824"/>
  </w:docVars>
  <w:rsids>
    <w:rsidRoot w:val="00A066F1"/>
    <w:rsid w:val="000041EA"/>
    <w:rsid w:val="00022A29"/>
    <w:rsid w:val="000355FD"/>
    <w:rsid w:val="00044CD3"/>
    <w:rsid w:val="00051E39"/>
    <w:rsid w:val="00075C63"/>
    <w:rsid w:val="00077239"/>
    <w:rsid w:val="00080905"/>
    <w:rsid w:val="000822BE"/>
    <w:rsid w:val="00086491"/>
    <w:rsid w:val="00091346"/>
    <w:rsid w:val="000D3E1A"/>
    <w:rsid w:val="000E359D"/>
    <w:rsid w:val="000F437C"/>
    <w:rsid w:val="000F73FF"/>
    <w:rsid w:val="0010345E"/>
    <w:rsid w:val="00114CF7"/>
    <w:rsid w:val="00123B68"/>
    <w:rsid w:val="00126F2E"/>
    <w:rsid w:val="00146F6F"/>
    <w:rsid w:val="00147DA1"/>
    <w:rsid w:val="00152957"/>
    <w:rsid w:val="00166374"/>
    <w:rsid w:val="00174623"/>
    <w:rsid w:val="001800D3"/>
    <w:rsid w:val="00187BD9"/>
    <w:rsid w:val="00190B55"/>
    <w:rsid w:val="00194CFB"/>
    <w:rsid w:val="001B2ED3"/>
    <w:rsid w:val="001B57A8"/>
    <w:rsid w:val="001C3B5F"/>
    <w:rsid w:val="001D058F"/>
    <w:rsid w:val="002009EA"/>
    <w:rsid w:val="00202CA0"/>
    <w:rsid w:val="002154A6"/>
    <w:rsid w:val="002162CD"/>
    <w:rsid w:val="002255B3"/>
    <w:rsid w:val="00236E8A"/>
    <w:rsid w:val="0024630C"/>
    <w:rsid w:val="00271316"/>
    <w:rsid w:val="00296313"/>
    <w:rsid w:val="002D58BE"/>
    <w:rsid w:val="003013EE"/>
    <w:rsid w:val="00377BD3"/>
    <w:rsid w:val="00384088"/>
    <w:rsid w:val="0038489B"/>
    <w:rsid w:val="0039169B"/>
    <w:rsid w:val="003A7F8C"/>
    <w:rsid w:val="003B532E"/>
    <w:rsid w:val="003B6F14"/>
    <w:rsid w:val="003B7D04"/>
    <w:rsid w:val="003D0F8B"/>
    <w:rsid w:val="00406208"/>
    <w:rsid w:val="004063C5"/>
    <w:rsid w:val="0040711F"/>
    <w:rsid w:val="004131D4"/>
    <w:rsid w:val="0041348E"/>
    <w:rsid w:val="00447308"/>
    <w:rsid w:val="004765FF"/>
    <w:rsid w:val="00492075"/>
    <w:rsid w:val="004969AD"/>
    <w:rsid w:val="004B13CB"/>
    <w:rsid w:val="004B150A"/>
    <w:rsid w:val="004B4FDF"/>
    <w:rsid w:val="004D5D5C"/>
    <w:rsid w:val="004E4750"/>
    <w:rsid w:val="004F0EAE"/>
    <w:rsid w:val="0050139F"/>
    <w:rsid w:val="00521223"/>
    <w:rsid w:val="00524DF1"/>
    <w:rsid w:val="005254A7"/>
    <w:rsid w:val="00533926"/>
    <w:rsid w:val="0055124D"/>
    <w:rsid w:val="0055140B"/>
    <w:rsid w:val="00554C4F"/>
    <w:rsid w:val="00561D72"/>
    <w:rsid w:val="00591BD8"/>
    <w:rsid w:val="005964AB"/>
    <w:rsid w:val="005A511B"/>
    <w:rsid w:val="005B44F5"/>
    <w:rsid w:val="005C099A"/>
    <w:rsid w:val="005C31A5"/>
    <w:rsid w:val="005D7E39"/>
    <w:rsid w:val="005E10C9"/>
    <w:rsid w:val="005E61DD"/>
    <w:rsid w:val="005E6321"/>
    <w:rsid w:val="006023DF"/>
    <w:rsid w:val="00607D3E"/>
    <w:rsid w:val="0064322F"/>
    <w:rsid w:val="00657DE0"/>
    <w:rsid w:val="0067199F"/>
    <w:rsid w:val="00680FBE"/>
    <w:rsid w:val="00685313"/>
    <w:rsid w:val="006A6E9B"/>
    <w:rsid w:val="006B7C2A"/>
    <w:rsid w:val="006C23DA"/>
    <w:rsid w:val="006E1B84"/>
    <w:rsid w:val="006E3D45"/>
    <w:rsid w:val="007149F9"/>
    <w:rsid w:val="00733A30"/>
    <w:rsid w:val="00745AEE"/>
    <w:rsid w:val="007479EA"/>
    <w:rsid w:val="00750F10"/>
    <w:rsid w:val="007742CA"/>
    <w:rsid w:val="007D06F0"/>
    <w:rsid w:val="007D45E3"/>
    <w:rsid w:val="007D5320"/>
    <w:rsid w:val="007F735C"/>
    <w:rsid w:val="00800972"/>
    <w:rsid w:val="00804475"/>
    <w:rsid w:val="00811633"/>
    <w:rsid w:val="00815C0C"/>
    <w:rsid w:val="00821CEF"/>
    <w:rsid w:val="00832828"/>
    <w:rsid w:val="0083645A"/>
    <w:rsid w:val="00840B0F"/>
    <w:rsid w:val="008711AE"/>
    <w:rsid w:val="00872758"/>
    <w:rsid w:val="00872FC8"/>
    <w:rsid w:val="008801D3"/>
    <w:rsid w:val="008845D0"/>
    <w:rsid w:val="008B43F2"/>
    <w:rsid w:val="008B61EA"/>
    <w:rsid w:val="008B6CFF"/>
    <w:rsid w:val="008D7991"/>
    <w:rsid w:val="008F0B73"/>
    <w:rsid w:val="00907654"/>
    <w:rsid w:val="00910B26"/>
    <w:rsid w:val="009249C1"/>
    <w:rsid w:val="009274B4"/>
    <w:rsid w:val="00934EA2"/>
    <w:rsid w:val="00944A5C"/>
    <w:rsid w:val="00952A66"/>
    <w:rsid w:val="00961D12"/>
    <w:rsid w:val="009903FC"/>
    <w:rsid w:val="009B78D5"/>
    <w:rsid w:val="009C56E5"/>
    <w:rsid w:val="009D3060"/>
    <w:rsid w:val="009E5FC8"/>
    <w:rsid w:val="009E687A"/>
    <w:rsid w:val="009E77CF"/>
    <w:rsid w:val="00A03C5C"/>
    <w:rsid w:val="00A066F1"/>
    <w:rsid w:val="00A141AF"/>
    <w:rsid w:val="00A16D29"/>
    <w:rsid w:val="00A20E5E"/>
    <w:rsid w:val="00A30305"/>
    <w:rsid w:val="00A31D2D"/>
    <w:rsid w:val="00A327AF"/>
    <w:rsid w:val="00A4600A"/>
    <w:rsid w:val="00A538A6"/>
    <w:rsid w:val="00A54C25"/>
    <w:rsid w:val="00A710E7"/>
    <w:rsid w:val="00A7372E"/>
    <w:rsid w:val="00A864A5"/>
    <w:rsid w:val="00A93B85"/>
    <w:rsid w:val="00AA0B18"/>
    <w:rsid w:val="00AA25E0"/>
    <w:rsid w:val="00AA666F"/>
    <w:rsid w:val="00AB4927"/>
    <w:rsid w:val="00AC2258"/>
    <w:rsid w:val="00AF411C"/>
    <w:rsid w:val="00B004E5"/>
    <w:rsid w:val="00B15F9D"/>
    <w:rsid w:val="00B639E9"/>
    <w:rsid w:val="00B817CD"/>
    <w:rsid w:val="00B911B2"/>
    <w:rsid w:val="00B951D0"/>
    <w:rsid w:val="00BB29C8"/>
    <w:rsid w:val="00BB3A95"/>
    <w:rsid w:val="00BC0382"/>
    <w:rsid w:val="00C0018F"/>
    <w:rsid w:val="00C010A9"/>
    <w:rsid w:val="00C1132C"/>
    <w:rsid w:val="00C1192C"/>
    <w:rsid w:val="00C20466"/>
    <w:rsid w:val="00C214ED"/>
    <w:rsid w:val="00C234E6"/>
    <w:rsid w:val="00C324A8"/>
    <w:rsid w:val="00C53AE7"/>
    <w:rsid w:val="00C54517"/>
    <w:rsid w:val="00C64CD8"/>
    <w:rsid w:val="00C766A2"/>
    <w:rsid w:val="00C97C68"/>
    <w:rsid w:val="00CA1A47"/>
    <w:rsid w:val="00CC247A"/>
    <w:rsid w:val="00CE5E47"/>
    <w:rsid w:val="00CF020F"/>
    <w:rsid w:val="00CF2B5B"/>
    <w:rsid w:val="00D14CE0"/>
    <w:rsid w:val="00D22342"/>
    <w:rsid w:val="00D36333"/>
    <w:rsid w:val="00D5651D"/>
    <w:rsid w:val="00D6625E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14630"/>
    <w:rsid w:val="00E26226"/>
    <w:rsid w:val="00E4165C"/>
    <w:rsid w:val="00E45D05"/>
    <w:rsid w:val="00E46B58"/>
    <w:rsid w:val="00E55816"/>
    <w:rsid w:val="00E55AEF"/>
    <w:rsid w:val="00E80D1A"/>
    <w:rsid w:val="00E976C1"/>
    <w:rsid w:val="00EA12E5"/>
    <w:rsid w:val="00EC043A"/>
    <w:rsid w:val="00EF1503"/>
    <w:rsid w:val="00EF4BDF"/>
    <w:rsid w:val="00EF6F6B"/>
    <w:rsid w:val="00F02766"/>
    <w:rsid w:val="00F04067"/>
    <w:rsid w:val="00F05BD4"/>
    <w:rsid w:val="00F11A98"/>
    <w:rsid w:val="00F21A1D"/>
    <w:rsid w:val="00F40E33"/>
    <w:rsid w:val="00F41260"/>
    <w:rsid w:val="00F65C19"/>
    <w:rsid w:val="00F71732"/>
    <w:rsid w:val="00F861F9"/>
    <w:rsid w:val="00FB74D7"/>
    <w:rsid w:val="00FC30E4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AAD99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071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WTDC25-C-0002/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d/meetings/wtdc25/dashboards/all-dashboard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WTDC25-C-0002/f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WTDC25-C-0002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DPM_x0020_Version xmlns="b6109c62-af78-494c-a825-80e1ffe32798" xsi:nil="true"/>
    <DateandTime xmlns="b6109c62-af78-494c-a825-80e1ffe32798" xsi:nil="true"/>
    <Order0 xmlns="b6109c62-af78-494c-a825-80e1ffe32798" xsi:nil="true"/>
    <Approval xmlns="b6109c62-af78-494c-a825-80e1ffe32798">Pending</Approval>
    <DPM_x0020_Author xmlns="b6109c62-af78-494c-a825-80e1ffe32798" xsi:nil="true"/>
    <DPM_x0020_File_x0020_name xmlns="b6109c62-af78-494c-a825-80e1ffe32798" xsi:nil="true"/>
    <ApprovalStatus xmlns="b6109c62-af78-494c-a825-80e1ffe327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documentManagement/types"/>
    <ds:schemaRef ds:uri="http://purl.org/dc/elements/1.1/"/>
    <ds:schemaRef ds:uri="bc0b450c-ff0a-44fa-a43c-58f6e857e634"/>
    <ds:schemaRef ds:uri="http://purl.org/dc/terms/"/>
    <ds:schemaRef ds:uri="060e8e06-0ab1-43d2-b04a-41299106b25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E376DC-7944-4952-A0D0-48F7030FE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0A622D-9C61-49C6-B1CA-F533ADA73E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2341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French</cp:lastModifiedBy>
  <cp:revision>3</cp:revision>
  <cp:lastPrinted>2017-03-10T07:43:00Z</cp:lastPrinted>
  <dcterms:created xsi:type="dcterms:W3CDTF">2025-11-14T11:06:00Z</dcterms:created>
  <dcterms:modified xsi:type="dcterms:W3CDTF">2025-11-14T11:15:00Z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