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41"/>
        <w:tblW w:w="5000" w:type="pct"/>
        <w:tblLayout w:type="fixed"/>
        <w:tblLook w:val="0000" w:firstRow="0" w:lastRow="0" w:firstColumn="0" w:lastColumn="0" w:noHBand="0" w:noVBand="0"/>
      </w:tblPr>
      <w:tblGrid>
        <w:gridCol w:w="1561"/>
        <w:gridCol w:w="4540"/>
        <w:gridCol w:w="1554"/>
        <w:gridCol w:w="1984"/>
      </w:tblGrid>
      <w:tr w:rsidR="005A56C7" w:rsidRPr="002025F7" w14:paraId="7F53F92C" w14:textId="77777777" w:rsidTr="00827D4F">
        <w:trPr>
          <w:cantSplit/>
          <w:trHeight w:val="1134"/>
        </w:trPr>
        <w:tc>
          <w:tcPr>
            <w:tcW w:w="810" w:type="pct"/>
          </w:tcPr>
          <w:p w14:paraId="04042567" w14:textId="201B02F0" w:rsidR="005A56C7" w:rsidRPr="005254A7" w:rsidRDefault="002025F7" w:rsidP="005A56C7">
            <w:pPr>
              <w:tabs>
                <w:tab w:val="clear" w:pos="1134"/>
              </w:tabs>
              <w:rPr>
                <w:b/>
                <w:bCs/>
                <w:szCs w:val="24"/>
                <w:lang w:val="fr-CH"/>
              </w:rPr>
            </w:pPr>
            <w:bookmarkStart w:id="0" w:name="_Hlk209775578"/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474C7C44" wp14:editId="5C4816B1">
                  <wp:extent cx="712470" cy="785495"/>
                  <wp:effectExtent l="0" t="0" r="0" b="0"/>
                  <wp:docPr id="1" name="Picture 1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pct"/>
            <w:gridSpan w:val="2"/>
          </w:tcPr>
          <w:p w14:paraId="2E1B964B" w14:textId="64A80342" w:rsidR="005A56C7" w:rsidRPr="00815C0C" w:rsidRDefault="005A56C7" w:rsidP="005A56C7">
            <w:pPr>
              <w:tabs>
                <w:tab w:val="clear" w:pos="1134"/>
              </w:tabs>
              <w:spacing w:before="240" w:line="240" w:lineRule="atLeast"/>
              <w:ind w:left="34"/>
              <w:rPr>
                <w:rFonts w:cstheme="minorHAnsi"/>
                <w:lang w:val="fr-FR" w:eastAsia="zh-CN"/>
              </w:rPr>
            </w:pPr>
            <w:r w:rsidRPr="005A56C7">
              <w:rPr>
                <w:b/>
                <w:bCs/>
                <w:sz w:val="32"/>
                <w:szCs w:val="32"/>
                <w:lang w:val="fr-CH" w:eastAsia="zh-CN"/>
              </w:rPr>
              <w:t>2025</w:t>
            </w:r>
            <w:r w:rsidRPr="00350AAA">
              <w:rPr>
                <w:rFonts w:hint="eastAsia"/>
                <w:b/>
                <w:bCs/>
                <w:sz w:val="32"/>
                <w:szCs w:val="32"/>
                <w:lang w:eastAsia="zh-CN"/>
              </w:rPr>
              <w:t>年世界电信发展大会</w:t>
            </w:r>
            <w:r w:rsidRPr="005A56C7">
              <w:rPr>
                <w:rFonts w:hint="eastAsia"/>
                <w:b/>
                <w:bCs/>
                <w:sz w:val="32"/>
                <w:szCs w:val="32"/>
                <w:lang w:val="fr-CH" w:eastAsia="zh-CN"/>
              </w:rPr>
              <w:t>（</w:t>
            </w:r>
            <w:r w:rsidRPr="005A56C7">
              <w:rPr>
                <w:b/>
                <w:bCs/>
                <w:sz w:val="32"/>
                <w:szCs w:val="32"/>
                <w:lang w:val="fr-CH" w:eastAsia="zh-CN"/>
              </w:rPr>
              <w:t>WTDC-25</w:t>
            </w:r>
            <w:r w:rsidRPr="005A56C7">
              <w:rPr>
                <w:rFonts w:hint="eastAsia"/>
                <w:b/>
                <w:bCs/>
                <w:sz w:val="32"/>
                <w:szCs w:val="32"/>
                <w:lang w:val="fr-CH" w:eastAsia="zh-CN"/>
              </w:rPr>
              <w:t>）</w:t>
            </w:r>
            <w:r w:rsidRPr="005A56C7">
              <w:rPr>
                <w:b/>
                <w:bCs/>
                <w:sz w:val="32"/>
                <w:szCs w:val="32"/>
                <w:lang w:val="fr-CH" w:eastAsia="zh-CN"/>
              </w:rPr>
              <w:br/>
            </w:r>
            <w:r w:rsidRPr="001B2627">
              <w:rPr>
                <w:b/>
                <w:bCs/>
                <w:szCs w:val="24"/>
                <w:lang w:val="fr-CH" w:eastAsia="zh-CN"/>
              </w:rPr>
              <w:t>2025</w:t>
            </w:r>
            <w:r w:rsidRPr="001B2627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Pr="001B2627">
              <w:rPr>
                <w:b/>
                <w:bCs/>
                <w:szCs w:val="24"/>
                <w:lang w:val="fr-CH" w:eastAsia="zh-CN"/>
              </w:rPr>
              <w:t>11</w:t>
            </w:r>
            <w:r w:rsidRPr="001B2627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Pr="001B2627">
              <w:rPr>
                <w:b/>
                <w:bCs/>
                <w:szCs w:val="24"/>
                <w:lang w:val="fr-CH" w:eastAsia="zh-CN"/>
              </w:rPr>
              <w:t>17</w:t>
            </w:r>
            <w:r w:rsidR="00827D4F" w:rsidRPr="001B2627">
              <w:rPr>
                <w:b/>
                <w:bCs/>
                <w:sz w:val="26"/>
                <w:szCs w:val="26"/>
                <w:lang w:eastAsia="zh-CN"/>
              </w:rPr>
              <w:t>-</w:t>
            </w:r>
            <w:r w:rsidRPr="001B2627">
              <w:rPr>
                <w:b/>
                <w:bCs/>
                <w:szCs w:val="24"/>
                <w:lang w:val="fr-CH" w:eastAsia="zh-CN"/>
              </w:rPr>
              <w:t>28</w:t>
            </w:r>
            <w:r w:rsidRPr="001B2627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  <w:r w:rsidRPr="005A56C7">
              <w:rPr>
                <w:rFonts w:hint="eastAsia"/>
                <w:b/>
                <w:bCs/>
                <w:szCs w:val="24"/>
                <w:lang w:val="fr-CH" w:eastAsia="zh-CN"/>
              </w:rPr>
              <w:t>，</w:t>
            </w:r>
            <w:r w:rsidRPr="00350AAA">
              <w:rPr>
                <w:rFonts w:hint="eastAsia"/>
                <w:b/>
                <w:bCs/>
                <w:szCs w:val="24"/>
                <w:lang w:eastAsia="zh-CN"/>
              </w:rPr>
              <w:t>阿塞拜疆共和国巴库</w:t>
            </w:r>
          </w:p>
        </w:tc>
        <w:tc>
          <w:tcPr>
            <w:tcW w:w="1029" w:type="pct"/>
          </w:tcPr>
          <w:p w14:paraId="736185B9" w14:textId="17AF63D8" w:rsidR="005A56C7" w:rsidRPr="00815C0C" w:rsidRDefault="002025F7" w:rsidP="005A56C7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  <w:lang w:val="fr-FR"/>
              </w:rPr>
            </w:pPr>
            <w:r>
              <w:rPr>
                <w:b/>
                <w:bCs/>
                <w:noProof/>
                <w:sz w:val="32"/>
                <w:szCs w:val="32"/>
                <w:lang w:eastAsia="zh-CN"/>
              </w:rPr>
              <w:drawing>
                <wp:inline distT="0" distB="0" distL="0" distR="0" wp14:anchorId="3E960F2A" wp14:editId="4236810D">
                  <wp:extent cx="1080000" cy="946800"/>
                  <wp:effectExtent l="0" t="0" r="6350" b="571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70" t="7859" r="25189" b="18123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6C7" w:rsidRPr="002025F7" w14:paraId="7337B2C6" w14:textId="77777777" w:rsidTr="002025F7">
        <w:trPr>
          <w:cantSplit/>
        </w:trPr>
        <w:tc>
          <w:tcPr>
            <w:tcW w:w="3165" w:type="pct"/>
            <w:gridSpan w:val="2"/>
            <w:tcBorders>
              <w:top w:val="single" w:sz="12" w:space="0" w:color="auto"/>
            </w:tcBorders>
          </w:tcPr>
          <w:p w14:paraId="538B0DA3" w14:textId="77777777" w:rsidR="005A56C7" w:rsidRPr="00815C0C" w:rsidRDefault="005A56C7" w:rsidP="005A56C7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fr-FR"/>
              </w:rPr>
            </w:pPr>
          </w:p>
        </w:tc>
        <w:tc>
          <w:tcPr>
            <w:tcW w:w="1835" w:type="pct"/>
            <w:gridSpan w:val="2"/>
            <w:tcBorders>
              <w:top w:val="single" w:sz="12" w:space="0" w:color="auto"/>
            </w:tcBorders>
          </w:tcPr>
          <w:p w14:paraId="1896FB69" w14:textId="77777777" w:rsidR="005A56C7" w:rsidRPr="00815C0C" w:rsidRDefault="005A56C7" w:rsidP="005A56C7">
            <w:pPr>
              <w:spacing w:before="0" w:line="240" w:lineRule="atLeast"/>
              <w:rPr>
                <w:rFonts w:cstheme="minorHAnsi"/>
                <w:sz w:val="20"/>
                <w:lang w:val="fr-FR"/>
              </w:rPr>
            </w:pPr>
          </w:p>
        </w:tc>
      </w:tr>
      <w:tr w:rsidR="00861D88" w:rsidRPr="0038489B" w14:paraId="326FB31F" w14:textId="77777777" w:rsidTr="002025F7">
        <w:trPr>
          <w:cantSplit/>
          <w:trHeight w:val="23"/>
        </w:trPr>
        <w:tc>
          <w:tcPr>
            <w:tcW w:w="3165" w:type="pct"/>
            <w:gridSpan w:val="2"/>
          </w:tcPr>
          <w:p w14:paraId="3AD248A5" w14:textId="44CA3561" w:rsidR="00861D88" w:rsidRPr="00D96B4B" w:rsidRDefault="00861D88" w:rsidP="00861D88">
            <w:pPr>
              <w:pStyle w:val="Committee"/>
              <w:framePr w:hSpace="0" w:wrap="auto" w:hAnchor="text" w:yAlign="inline"/>
            </w:pPr>
          </w:p>
        </w:tc>
        <w:tc>
          <w:tcPr>
            <w:tcW w:w="1835" w:type="pct"/>
            <w:gridSpan w:val="2"/>
          </w:tcPr>
          <w:p w14:paraId="3039BF61" w14:textId="05E0FD21" w:rsidR="00861D88" w:rsidRPr="00B57FF3" w:rsidRDefault="00861D88" w:rsidP="00861D88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_tradnl"/>
              </w:rPr>
            </w:pPr>
            <w:proofErr w:type="spellStart"/>
            <w:r w:rsidRPr="00B57FF3">
              <w:rPr>
                <w:rFonts w:ascii="Verdana" w:hAnsi="Verdana" w:hint="eastAsia"/>
                <w:b/>
                <w:szCs w:val="24"/>
              </w:rPr>
              <w:t>文件</w:t>
            </w:r>
            <w:proofErr w:type="spellEnd"/>
            <w:r w:rsidRPr="00B57FF3">
              <w:rPr>
                <w:rFonts w:ascii="Verdana" w:hAnsi="Verdana"/>
                <w:b/>
                <w:szCs w:val="24"/>
              </w:rPr>
              <w:t xml:space="preserve"> </w:t>
            </w:r>
            <w:r w:rsidRPr="00B57FF3">
              <w:rPr>
                <w:b/>
                <w:szCs w:val="24"/>
                <w:lang w:val="es-ES"/>
              </w:rPr>
              <w:t>WTDC-25/</w:t>
            </w:r>
            <w:r w:rsidR="00C45211" w:rsidRPr="051E8577">
              <w:rPr>
                <w:b/>
                <w:bCs/>
                <w:lang w:val="en-US"/>
              </w:rPr>
              <w:t>2(Ann.</w:t>
            </w:r>
            <w:r w:rsidR="00C45211">
              <w:rPr>
                <w:b/>
                <w:bCs/>
                <w:lang w:val="en-US"/>
              </w:rPr>
              <w:t>3</w:t>
            </w:r>
            <w:r w:rsidR="00C45211" w:rsidRPr="051E8577">
              <w:rPr>
                <w:b/>
                <w:bCs/>
                <w:lang w:val="en-US"/>
              </w:rPr>
              <w:t>)</w:t>
            </w:r>
            <w:r w:rsidRPr="00B57FF3">
              <w:rPr>
                <w:rFonts w:cstheme="minorHAnsi"/>
                <w:b/>
                <w:szCs w:val="24"/>
              </w:rPr>
              <w:t>-C</w:t>
            </w:r>
          </w:p>
        </w:tc>
      </w:tr>
      <w:tr w:rsidR="00861D88" w:rsidRPr="00C324A8" w14:paraId="152C76B2" w14:textId="77777777" w:rsidTr="002025F7">
        <w:trPr>
          <w:cantSplit/>
          <w:trHeight w:val="23"/>
        </w:trPr>
        <w:tc>
          <w:tcPr>
            <w:tcW w:w="3165" w:type="pct"/>
            <w:gridSpan w:val="2"/>
          </w:tcPr>
          <w:p w14:paraId="02377FA9" w14:textId="36E9503B" w:rsidR="00861D88" w:rsidRPr="00E07105" w:rsidRDefault="00861D88" w:rsidP="00861D88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</w:p>
        </w:tc>
        <w:tc>
          <w:tcPr>
            <w:tcW w:w="1835" w:type="pct"/>
            <w:gridSpan w:val="2"/>
          </w:tcPr>
          <w:p w14:paraId="2629303E" w14:textId="5FB457BD" w:rsidR="00861D88" w:rsidRPr="00B57FF3" w:rsidRDefault="00861D88" w:rsidP="00861D88">
            <w:pPr>
              <w:spacing w:before="0" w:line="240" w:lineRule="atLeast"/>
              <w:rPr>
                <w:rFonts w:cstheme="minorHAnsi"/>
                <w:szCs w:val="24"/>
              </w:rPr>
            </w:pPr>
            <w:r w:rsidRPr="00B57FF3">
              <w:rPr>
                <w:rFonts w:cstheme="minorHAnsi"/>
                <w:b/>
                <w:szCs w:val="24"/>
              </w:rPr>
              <w:t>2025</w:t>
            </w:r>
            <w:r w:rsidRPr="00B57FF3">
              <w:rPr>
                <w:rFonts w:ascii="Verdana" w:hAnsi="Verdana" w:hint="eastAsia"/>
                <w:b/>
                <w:bCs/>
                <w:szCs w:val="24"/>
              </w:rPr>
              <w:t>年</w:t>
            </w:r>
            <w:r w:rsidR="00C45211">
              <w:rPr>
                <w:rFonts w:cstheme="minorHAnsi" w:hint="eastAsia"/>
                <w:b/>
                <w:szCs w:val="24"/>
                <w:lang w:eastAsia="zh-CN"/>
              </w:rPr>
              <w:t>11</w:t>
            </w:r>
            <w:r w:rsidRPr="00B57FF3">
              <w:rPr>
                <w:rFonts w:ascii="Verdana" w:hAnsi="Verdana" w:hint="eastAsia"/>
                <w:b/>
                <w:bCs/>
                <w:szCs w:val="24"/>
              </w:rPr>
              <w:t>月</w:t>
            </w:r>
            <w:r w:rsidR="00C45211">
              <w:rPr>
                <w:rFonts w:cstheme="minorHAnsi" w:hint="eastAsia"/>
                <w:b/>
                <w:szCs w:val="24"/>
                <w:lang w:eastAsia="zh-CN"/>
              </w:rPr>
              <w:t>14</w:t>
            </w:r>
            <w:r w:rsidRPr="00B57FF3">
              <w:rPr>
                <w:rFonts w:ascii="Verdana" w:hAnsi="Verdana" w:hint="eastAsia"/>
                <w:b/>
                <w:bCs/>
                <w:szCs w:val="24"/>
              </w:rPr>
              <w:t>日</w:t>
            </w:r>
          </w:p>
        </w:tc>
      </w:tr>
      <w:tr w:rsidR="00861D88" w:rsidRPr="00C324A8" w14:paraId="5D00B58E" w14:textId="77777777" w:rsidTr="002025F7">
        <w:trPr>
          <w:cantSplit/>
          <w:trHeight w:val="23"/>
        </w:trPr>
        <w:tc>
          <w:tcPr>
            <w:tcW w:w="3165" w:type="pct"/>
            <w:gridSpan w:val="2"/>
          </w:tcPr>
          <w:p w14:paraId="65D24FAC" w14:textId="77777777" w:rsidR="00861D88" w:rsidRPr="00D96B4B" w:rsidRDefault="00861D88" w:rsidP="00861D88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1835" w:type="pct"/>
            <w:gridSpan w:val="2"/>
          </w:tcPr>
          <w:p w14:paraId="50475E7D" w14:textId="127C66C4" w:rsidR="00861D88" w:rsidRPr="00B57FF3" w:rsidRDefault="00861D88" w:rsidP="00861D88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proofErr w:type="spellStart"/>
            <w:r w:rsidRPr="00B57FF3">
              <w:rPr>
                <w:rFonts w:ascii="Verdana" w:hAnsi="Verdana" w:hint="eastAsia"/>
                <w:b/>
                <w:bCs/>
                <w:szCs w:val="24"/>
              </w:rPr>
              <w:t>原文：英文</w:t>
            </w:r>
            <w:proofErr w:type="spellEnd"/>
          </w:p>
        </w:tc>
      </w:tr>
      <w:tr w:rsidR="00861D88" w:rsidRPr="00C324A8" w14:paraId="1D7E6270" w14:textId="77777777" w:rsidTr="002025F7">
        <w:trPr>
          <w:cantSplit/>
          <w:trHeight w:val="23"/>
        </w:trPr>
        <w:tc>
          <w:tcPr>
            <w:tcW w:w="5000" w:type="pct"/>
            <w:gridSpan w:val="4"/>
          </w:tcPr>
          <w:p w14:paraId="7F41E1BF" w14:textId="2AEA9FF9" w:rsidR="00861D88" w:rsidRPr="00D83BF5" w:rsidRDefault="00C45211" w:rsidP="00861D88">
            <w:pPr>
              <w:pStyle w:val="Source"/>
              <w:spacing w:before="240" w:after="240"/>
            </w:pPr>
            <w:proofErr w:type="spellStart"/>
            <w:r w:rsidRPr="00C45211">
              <w:rPr>
                <w:rFonts w:hint="eastAsia"/>
              </w:rPr>
              <w:t>电信发展局主任</w:t>
            </w:r>
            <w:proofErr w:type="spellEnd"/>
          </w:p>
        </w:tc>
      </w:tr>
      <w:tr w:rsidR="00861D88" w:rsidRPr="00C324A8" w14:paraId="6986DDC6" w14:textId="77777777" w:rsidTr="002025F7">
        <w:trPr>
          <w:cantSplit/>
          <w:trHeight w:val="23"/>
        </w:trPr>
        <w:tc>
          <w:tcPr>
            <w:tcW w:w="5000" w:type="pct"/>
            <w:gridSpan w:val="4"/>
            <w:vAlign w:val="center"/>
          </w:tcPr>
          <w:p w14:paraId="57C91EB7" w14:textId="1C235FE0" w:rsidR="00C45211" w:rsidRPr="00D076FF" w:rsidRDefault="005E7D5B" w:rsidP="00C45211">
            <w:pPr>
              <w:pStyle w:val="Title1"/>
              <w:spacing w:after="120"/>
              <w:rPr>
                <w:b/>
                <w:bCs/>
                <w:szCs w:val="28"/>
                <w:lang w:eastAsia="zh-CN"/>
              </w:rPr>
            </w:pPr>
            <w:r w:rsidRPr="00D076FF">
              <w:rPr>
                <w:rFonts w:hint="eastAsia"/>
                <w:b/>
                <w:bCs/>
                <w:szCs w:val="28"/>
                <w:lang w:eastAsia="zh-CN"/>
              </w:rPr>
              <w:t>信息概览</w:t>
            </w:r>
          </w:p>
          <w:p w14:paraId="14931485" w14:textId="49930775" w:rsidR="00861D88" w:rsidRPr="008D7991" w:rsidRDefault="005E7D5B" w:rsidP="00C45211">
            <w:pPr>
              <w:pStyle w:val="Title1"/>
              <w:spacing w:before="120" w:after="120"/>
              <w:rPr>
                <w:lang w:eastAsia="zh-CN"/>
              </w:rPr>
            </w:pPr>
            <w:r w:rsidRPr="00D076FF">
              <w:rPr>
                <w:rFonts w:hint="eastAsia"/>
                <w:b/>
                <w:bCs/>
                <w:szCs w:val="28"/>
                <w:lang w:eastAsia="zh-CN"/>
              </w:rPr>
              <w:t>运作规划和</w:t>
            </w:r>
            <w:r w:rsidRPr="00D076FF">
              <w:rPr>
                <w:rFonts w:hint="eastAsia"/>
                <w:b/>
                <w:bCs/>
                <w:szCs w:val="28"/>
                <w:lang w:eastAsia="zh-CN"/>
              </w:rPr>
              <w:t>WTDC-22</w:t>
            </w:r>
            <w:r w:rsidRPr="00D076FF">
              <w:rPr>
                <w:rFonts w:hint="eastAsia"/>
                <w:b/>
                <w:bCs/>
                <w:szCs w:val="28"/>
                <w:lang w:eastAsia="zh-CN"/>
              </w:rPr>
              <w:t>决议及区域性举措</w:t>
            </w:r>
          </w:p>
        </w:tc>
      </w:tr>
      <w:tr w:rsidR="00861D88" w:rsidRPr="00C324A8" w14:paraId="2C0A7C26" w14:textId="77777777" w:rsidTr="00B3268C">
        <w:trPr>
          <w:cantSplit/>
          <w:trHeight w:val="23"/>
        </w:trPr>
        <w:tc>
          <w:tcPr>
            <w:tcW w:w="5000" w:type="pct"/>
            <w:gridSpan w:val="4"/>
          </w:tcPr>
          <w:p w14:paraId="525899A0" w14:textId="34EF7686" w:rsidR="00861D88" w:rsidRPr="001260B7" w:rsidRDefault="00861D88" w:rsidP="00861D88">
            <w:pPr>
              <w:pStyle w:val="Title1"/>
              <w:spacing w:before="120" w:after="120"/>
              <w:rPr>
                <w:caps w:val="0"/>
                <w:szCs w:val="28"/>
                <w:lang w:eastAsia="zh-CN"/>
              </w:rPr>
            </w:pPr>
          </w:p>
        </w:tc>
      </w:tr>
      <w:tr w:rsidR="00861D88" w:rsidRPr="00C324A8" w14:paraId="497F2393" w14:textId="77777777" w:rsidTr="00B57FF3">
        <w:trPr>
          <w:cantSplit/>
          <w:trHeight w:val="2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133DEB78" w14:textId="77777777" w:rsidR="00861D88" w:rsidRPr="001260B7" w:rsidRDefault="00861D88" w:rsidP="005A56C7">
            <w:pPr>
              <w:pStyle w:val="Title1"/>
              <w:spacing w:before="120" w:after="120"/>
              <w:rPr>
                <w:caps w:val="0"/>
                <w:szCs w:val="28"/>
                <w:lang w:eastAsia="zh-CN"/>
              </w:rPr>
            </w:pPr>
          </w:p>
        </w:tc>
      </w:tr>
      <w:tr w:rsidR="005A56C7" w:rsidRPr="00C324A8" w14:paraId="1A6C95F6" w14:textId="77777777" w:rsidTr="00B57FF3">
        <w:trPr>
          <w:cantSplit/>
          <w:trHeight w:val="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8D5D" w14:textId="649C8D7E" w:rsidR="00861D88" w:rsidRPr="005E7D5B" w:rsidRDefault="006140BF" w:rsidP="00861D88">
            <w:pPr>
              <w:pStyle w:val="Headingb"/>
              <w:rPr>
                <w:b w:val="0"/>
                <w:bCs/>
                <w:szCs w:val="24"/>
                <w:lang w:val="en-GB" w:eastAsia="zh-CN"/>
              </w:rPr>
            </w:pPr>
            <w:r>
              <w:rPr>
                <w:rFonts w:hint="eastAsia"/>
                <w:bCs/>
                <w:szCs w:val="24"/>
                <w:lang w:eastAsia="zh-CN"/>
              </w:rPr>
              <w:t>摘要</w:t>
            </w:r>
            <w:r w:rsidR="00861D88" w:rsidRPr="005E7D5B">
              <w:rPr>
                <w:rFonts w:hint="eastAsia"/>
                <w:bCs/>
                <w:szCs w:val="24"/>
                <w:lang w:val="en-GB" w:eastAsia="zh-CN"/>
              </w:rPr>
              <w:t>：</w:t>
            </w:r>
          </w:p>
          <w:p w14:paraId="693EFB6E" w14:textId="7BD682DE" w:rsidR="00861D88" w:rsidRPr="00133537" w:rsidRDefault="005E7D5B" w:rsidP="00C45211">
            <w:pPr>
              <w:spacing w:after="120"/>
              <w:ind w:firstLineChars="200" w:firstLine="480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33537">
              <w:rPr>
                <w:rFonts w:ascii="Calibri" w:eastAsia="SimSun" w:hAnsi="Calibri" w:cs="Calibri" w:hint="eastAsia"/>
                <w:lang w:eastAsia="zh-CN"/>
              </w:rPr>
              <w:t>本文件</w:t>
            </w:r>
            <w:r w:rsidR="00D076FF" w:rsidRPr="00133537">
              <w:rPr>
                <w:rFonts w:ascii="Calibri" w:eastAsia="SimSun" w:hAnsi="Calibri" w:cs="Calibri" w:hint="eastAsia"/>
                <w:lang w:eastAsia="zh-CN"/>
              </w:rPr>
              <w:t>介绍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了两个交互式信息概览：</w:t>
            </w:r>
            <w:r w:rsidRPr="00133537">
              <w:rPr>
                <w:rFonts w:ascii="Calibri" w:eastAsia="SimSun" w:hAnsi="Calibri" w:cs="Calibri"/>
                <w:lang w:eastAsia="zh-CN"/>
              </w:rPr>
              <w:t xml:space="preserve">1) 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ITU-D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运作规划（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OP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）概述</w:t>
            </w:r>
            <w:r w:rsidR="00D076FF" w:rsidRPr="00133537">
              <w:rPr>
                <w:rFonts w:ascii="Calibri" w:eastAsia="SimSun" w:hAnsi="Calibri" w:cs="Calibri" w:hint="eastAsia"/>
                <w:lang w:eastAsia="zh-CN"/>
              </w:rPr>
              <w:t>，其中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包括六个区域和跨区域的预算执行信息以及基于结果的管理绩效</w:t>
            </w:r>
            <w:r w:rsidR="00D076FF" w:rsidRPr="00133537">
              <w:rPr>
                <w:rFonts w:ascii="Calibri" w:eastAsia="SimSun" w:hAnsi="Calibri" w:cs="Calibri" w:hint="eastAsia"/>
                <w:lang w:eastAsia="zh-CN"/>
              </w:rPr>
              <w:t>情况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，</w:t>
            </w:r>
            <w:r w:rsidRPr="00133537">
              <w:rPr>
                <w:rFonts w:ascii="Calibri" w:eastAsia="SimSun" w:hAnsi="Calibri" w:cs="Calibri"/>
                <w:lang w:eastAsia="zh-CN"/>
              </w:rPr>
              <w:t xml:space="preserve">2) 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OP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活动和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ITU-D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项目对实施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WTDC-22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决议及区域性举措的贡献。</w:t>
            </w:r>
          </w:p>
          <w:p w14:paraId="30409237" w14:textId="3DD666F3" w:rsidR="00861D88" w:rsidRPr="00133537" w:rsidRDefault="00C45211" w:rsidP="00861D88">
            <w:pPr>
              <w:pStyle w:val="Headingb"/>
              <w:rPr>
                <w:rFonts w:ascii="Calibri" w:eastAsia="SimSun" w:hAnsi="Calibri" w:cs="Calibri"/>
                <w:b w:val="0"/>
                <w:bCs/>
                <w:szCs w:val="24"/>
                <w:lang w:val="en-GB" w:eastAsia="zh-CN"/>
              </w:rPr>
            </w:pPr>
            <w:r w:rsidRPr="00133537">
              <w:rPr>
                <w:rFonts w:ascii="Calibri" w:eastAsia="SimSun" w:hAnsi="Calibri" w:cs="Calibri" w:hint="eastAsia"/>
                <w:bCs/>
                <w:szCs w:val="24"/>
                <w:lang w:eastAsia="zh-CN"/>
              </w:rPr>
              <w:t>需采取的行动</w:t>
            </w:r>
            <w:r w:rsidR="00861D88" w:rsidRPr="00133537">
              <w:rPr>
                <w:rFonts w:ascii="Calibri" w:eastAsia="SimSun" w:hAnsi="Calibri" w:cs="Calibri" w:hint="eastAsia"/>
                <w:bCs/>
                <w:szCs w:val="24"/>
                <w:lang w:val="en-GB" w:eastAsia="zh-CN"/>
              </w:rPr>
              <w:t>：</w:t>
            </w:r>
          </w:p>
          <w:p w14:paraId="383606FF" w14:textId="70AB39E6" w:rsidR="00861D88" w:rsidRPr="00133537" w:rsidRDefault="005E7D5B" w:rsidP="00C45211">
            <w:pPr>
              <w:spacing w:after="120"/>
              <w:ind w:firstLineChars="200" w:firstLine="480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33537">
              <w:rPr>
                <w:rFonts w:ascii="Calibri" w:eastAsia="SimSun" w:hAnsi="Calibri" w:cs="Calibri" w:hint="eastAsia"/>
                <w:lang w:eastAsia="zh-CN"/>
              </w:rPr>
              <w:t>请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WTDC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将这些信息概览记录在案并酌情提出意见。</w:t>
            </w:r>
          </w:p>
          <w:p w14:paraId="0BB73543" w14:textId="77777777" w:rsidR="00861D88" w:rsidRPr="00133537" w:rsidRDefault="00861D88" w:rsidP="00861D88">
            <w:pPr>
              <w:pStyle w:val="Headingb"/>
              <w:rPr>
                <w:rFonts w:ascii="Calibri" w:eastAsia="SimSun" w:hAnsi="Calibri" w:cs="Calibri"/>
                <w:b w:val="0"/>
                <w:bCs/>
                <w:szCs w:val="24"/>
                <w:lang w:val="en-GB" w:eastAsia="zh-CN"/>
              </w:rPr>
            </w:pPr>
            <w:r w:rsidRPr="00133537">
              <w:rPr>
                <w:rFonts w:ascii="Calibri" w:eastAsia="SimSun" w:hAnsi="Calibri" w:cs="Calibri" w:hint="eastAsia"/>
                <w:bCs/>
                <w:szCs w:val="24"/>
                <w:lang w:eastAsia="zh-CN"/>
              </w:rPr>
              <w:t>参考文件</w:t>
            </w:r>
            <w:r w:rsidRPr="00133537">
              <w:rPr>
                <w:rFonts w:ascii="Calibri" w:eastAsia="SimSun" w:hAnsi="Calibri" w:cs="Calibri" w:hint="eastAsia"/>
                <w:bCs/>
                <w:szCs w:val="24"/>
                <w:lang w:val="en-GB" w:eastAsia="zh-CN"/>
              </w:rPr>
              <w:t>：</w:t>
            </w:r>
          </w:p>
          <w:p w14:paraId="5ECD75EF" w14:textId="2361FE23" w:rsidR="00C45211" w:rsidRPr="00133537" w:rsidRDefault="00133537" w:rsidP="00C45211">
            <w:pPr>
              <w:spacing w:after="120"/>
              <w:ind w:firstLineChars="200" w:firstLine="480"/>
              <w:rPr>
                <w:rFonts w:ascii="Calibri" w:eastAsia="SimSun" w:hAnsi="Calibri" w:cs="Calibri"/>
                <w:lang w:eastAsia="zh-CN"/>
              </w:rPr>
            </w:pPr>
            <w:hyperlink r:id="rId14" w:history="1">
              <w:r w:rsidR="00C45211" w:rsidRPr="00133537">
                <w:rPr>
                  <w:rStyle w:val="Hyperlink"/>
                  <w:rFonts w:ascii="Calibri" w:eastAsia="SimSun" w:hAnsi="Calibri" w:cs="Calibri"/>
                  <w:lang w:val="en-US" w:eastAsia="zh-CN"/>
                </w:rPr>
                <w:t>WTDC-25</w:t>
              </w:r>
              <w:r w:rsidR="005E7D5B" w:rsidRPr="00133537">
                <w:rPr>
                  <w:rStyle w:val="Hyperlink"/>
                  <w:rFonts w:ascii="Calibri" w:eastAsia="SimSun" w:hAnsi="Calibri" w:cs="Calibri" w:hint="eastAsia"/>
                  <w:lang w:val="en-US" w:eastAsia="zh-CN"/>
                </w:rPr>
                <w:t>的</w:t>
              </w:r>
              <w:r w:rsidR="00C45211" w:rsidRPr="00133537">
                <w:rPr>
                  <w:rStyle w:val="Hyperlink"/>
                  <w:rFonts w:ascii="Calibri" w:eastAsia="SimSun" w:hAnsi="Calibri" w:cs="Calibri"/>
                  <w:lang w:val="en-US" w:eastAsia="zh-CN"/>
                </w:rPr>
                <w:t>2</w:t>
              </w:r>
              <w:r w:rsidR="005E7D5B" w:rsidRPr="00133537">
                <w:rPr>
                  <w:rStyle w:val="Hyperlink"/>
                  <w:rFonts w:ascii="Calibri" w:eastAsia="SimSun" w:hAnsi="Calibri" w:cs="Calibri" w:hint="eastAsia"/>
                  <w:lang w:val="en-US" w:eastAsia="zh-CN"/>
                </w:rPr>
                <w:t>号文件</w:t>
              </w:r>
            </w:hyperlink>
            <w:r w:rsidR="00C45211" w:rsidRPr="00133537">
              <w:rPr>
                <w:rFonts w:ascii="Calibri" w:eastAsia="SimSun" w:hAnsi="Calibri" w:cs="Calibri" w:hint="eastAsia"/>
                <w:lang w:val="en-US" w:eastAsia="zh-CN"/>
              </w:rPr>
              <w:t>：</w:t>
            </w:r>
            <w:r w:rsidR="00C45211" w:rsidRPr="00133537">
              <w:rPr>
                <w:rFonts w:ascii="Calibri" w:eastAsia="SimSun" w:hAnsi="Calibri" w:cs="Calibri" w:hint="eastAsia"/>
                <w:lang w:eastAsia="zh-CN"/>
              </w:rPr>
              <w:t>《基加利行动计划》（</w:t>
            </w:r>
            <w:r w:rsidR="00C45211" w:rsidRPr="00133537">
              <w:rPr>
                <w:rFonts w:ascii="Calibri" w:eastAsia="SimSun" w:hAnsi="Calibri" w:cs="Calibri" w:hint="eastAsia"/>
                <w:lang w:eastAsia="zh-CN"/>
              </w:rPr>
              <w:t>KAP</w:t>
            </w:r>
            <w:r w:rsidR="00C45211" w:rsidRPr="00133537">
              <w:rPr>
                <w:rFonts w:ascii="Calibri" w:eastAsia="SimSun" w:hAnsi="Calibri" w:cs="Calibri" w:hint="eastAsia"/>
                <w:lang w:eastAsia="zh-CN"/>
              </w:rPr>
              <w:t>）的实施报告</w:t>
            </w:r>
          </w:p>
          <w:p w14:paraId="0B323555" w14:textId="0D982AE4" w:rsidR="00C45211" w:rsidRPr="00133537" w:rsidRDefault="00C45211" w:rsidP="00C45211">
            <w:pPr>
              <w:spacing w:after="120"/>
              <w:ind w:firstLineChars="200" w:firstLine="480"/>
              <w:rPr>
                <w:rFonts w:ascii="Calibri" w:eastAsia="SimSun" w:hAnsi="Calibri" w:cs="Calibri"/>
                <w:lang w:eastAsia="zh-CN"/>
              </w:rPr>
            </w:pPr>
            <w:hyperlink r:id="rId15">
              <w:r w:rsidRPr="00133537">
                <w:rPr>
                  <w:rFonts w:ascii="Calibri" w:eastAsia="SimSun" w:hAnsi="Calibri" w:cs="Calibri"/>
                  <w:color w:val="0000FF"/>
                  <w:szCs w:val="24"/>
                  <w:u w:val="single"/>
                  <w:lang w:eastAsia="zh-CN"/>
                </w:rPr>
                <w:t>WTDC-25/2(Ann.1)</w:t>
              </w:r>
            </w:hyperlink>
            <w:r w:rsidR="005E7D5B" w:rsidRPr="00133537">
              <w:rPr>
                <w:rFonts w:ascii="Calibri" w:eastAsia="SimSun" w:hAnsi="Calibri" w:cs="Calibri" w:hint="eastAsia"/>
                <w:szCs w:val="24"/>
                <w:lang w:eastAsia="zh-CN"/>
              </w:rPr>
              <w:t>号文件</w:t>
            </w:r>
            <w:r w:rsidR="00185249" w:rsidRPr="00133537">
              <w:rPr>
                <w:rFonts w:ascii="Calibri" w:eastAsia="SimSun" w:hAnsi="Calibri" w:cs="Calibri" w:hint="eastAsia"/>
                <w:szCs w:val="24"/>
                <w:lang w:eastAsia="zh-CN"/>
              </w:rPr>
              <w:t xml:space="preserve"> </w:t>
            </w:r>
            <w:r w:rsidRPr="00133537">
              <w:rPr>
                <w:rFonts w:ascii="Calibri" w:eastAsia="SimSun" w:hAnsi="Calibri" w:cs="Calibri"/>
                <w:szCs w:val="24"/>
                <w:lang w:eastAsia="zh-CN"/>
              </w:rPr>
              <w:t xml:space="preserve">– 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ITU-D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项目对实施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WTDC-22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区域性举措所做贡献的对照</w:t>
            </w:r>
          </w:p>
          <w:p w14:paraId="75F6DC41" w14:textId="21B23104" w:rsidR="005A56C7" w:rsidRPr="00C45211" w:rsidRDefault="00C45211" w:rsidP="00C45211">
            <w:pPr>
              <w:spacing w:after="120"/>
              <w:ind w:firstLineChars="200" w:firstLine="480"/>
              <w:jc w:val="both"/>
              <w:rPr>
                <w:rFonts w:eastAsia="Batang"/>
                <w:szCs w:val="24"/>
                <w:lang w:eastAsia="zh-CN"/>
              </w:rPr>
            </w:pPr>
            <w:hyperlink r:id="rId16" w:history="1">
              <w:r w:rsidRPr="00133537">
                <w:rPr>
                  <w:rFonts w:ascii="Calibri" w:eastAsia="SimSun" w:hAnsi="Calibri" w:cs="Calibri"/>
                  <w:color w:val="0000FF"/>
                  <w:szCs w:val="24"/>
                  <w:u w:val="single"/>
                  <w:lang w:eastAsia="zh-CN"/>
                </w:rPr>
                <w:t>WTDC-25/2(Ann.2)</w:t>
              </w:r>
            </w:hyperlink>
            <w:r w:rsidR="005E7D5B" w:rsidRPr="00133537">
              <w:rPr>
                <w:rFonts w:ascii="Calibri" w:eastAsia="SimSun" w:hAnsi="Calibri" w:cs="Calibri" w:hint="eastAsia"/>
                <w:szCs w:val="24"/>
                <w:lang w:eastAsia="zh-CN"/>
              </w:rPr>
              <w:t>号文件</w:t>
            </w:r>
            <w:r w:rsidR="00185249" w:rsidRPr="00133537">
              <w:rPr>
                <w:rFonts w:ascii="Calibri" w:eastAsia="SimSun" w:hAnsi="Calibri" w:cs="Calibri" w:hint="eastAsia"/>
                <w:szCs w:val="24"/>
                <w:lang w:eastAsia="zh-CN"/>
              </w:rPr>
              <w:t xml:space="preserve"> </w:t>
            </w:r>
            <w:r w:rsidRPr="00133537">
              <w:rPr>
                <w:rFonts w:ascii="Calibri" w:eastAsia="SimSun" w:hAnsi="Calibri" w:cs="Calibri"/>
                <w:szCs w:val="24"/>
                <w:lang w:eastAsia="zh-CN"/>
              </w:rPr>
              <w:t xml:space="preserve">– 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运作规划活动和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ITU-D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项目对落实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WTDC-22</w:t>
            </w:r>
            <w:r w:rsidRPr="00133537">
              <w:rPr>
                <w:rFonts w:ascii="Calibri" w:eastAsia="SimSun" w:hAnsi="Calibri" w:cs="Calibri" w:hint="eastAsia"/>
                <w:lang w:eastAsia="zh-CN"/>
              </w:rPr>
              <w:t>决议的贡献</w:t>
            </w:r>
          </w:p>
        </w:tc>
      </w:tr>
      <w:bookmarkEnd w:id="0"/>
    </w:tbl>
    <w:p w14:paraId="2EEED7C0" w14:textId="3B5CEDDF" w:rsidR="00827D4F" w:rsidRPr="00C45211" w:rsidRDefault="00827D4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  <w:lang w:eastAsia="zh-CN"/>
        </w:rPr>
      </w:pPr>
      <w:r w:rsidRPr="00C45211">
        <w:rPr>
          <w:szCs w:val="24"/>
          <w:lang w:eastAsia="zh-CN"/>
        </w:rPr>
        <w:br w:type="page"/>
      </w:r>
    </w:p>
    <w:p w14:paraId="6C792271" w14:textId="0F763157" w:rsidR="00001EE2" w:rsidRPr="001743B1" w:rsidRDefault="00001EE2" w:rsidP="001743B1">
      <w:pPr>
        <w:pStyle w:val="Heading1"/>
      </w:pPr>
      <w:r w:rsidRPr="001743B1">
        <w:rPr>
          <w:rFonts w:hint="eastAsia"/>
        </w:rPr>
        <w:lastRenderedPageBreak/>
        <w:t>1</w:t>
      </w:r>
      <w:r w:rsidRPr="001743B1">
        <w:tab/>
      </w:r>
      <w:proofErr w:type="spellStart"/>
      <w:r w:rsidR="00DB4E57" w:rsidRPr="001743B1">
        <w:rPr>
          <w:rFonts w:hint="eastAsia"/>
        </w:rPr>
        <w:t>引言</w:t>
      </w:r>
      <w:proofErr w:type="spellEnd"/>
    </w:p>
    <w:p w14:paraId="46E5F379" w14:textId="00884F79" w:rsidR="00D076FF" w:rsidRDefault="00D076FF" w:rsidP="00D076FF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本文所述信息概览针对为执行《基加利行动计划》以及</w:t>
      </w:r>
      <w:r>
        <w:rPr>
          <w:rFonts w:hint="eastAsia"/>
          <w:lang w:eastAsia="zh-CN"/>
        </w:rPr>
        <w:t>WTDC-22</w:t>
      </w:r>
      <w:r>
        <w:rPr>
          <w:rFonts w:hint="eastAsia"/>
          <w:lang w:eastAsia="zh-CN"/>
        </w:rPr>
        <w:t>决议和区域性举措而制定的运作规划预算和</w:t>
      </w:r>
      <w:r>
        <w:rPr>
          <w:rFonts w:hint="eastAsia"/>
          <w:lang w:eastAsia="zh-CN"/>
        </w:rPr>
        <w:t>RBM</w:t>
      </w:r>
      <w:r>
        <w:rPr>
          <w:rFonts w:hint="eastAsia"/>
          <w:lang w:eastAsia="zh-CN"/>
        </w:rPr>
        <w:t>框架做出总结归纳，可通过以下链接提供的受保护的</w:t>
      </w:r>
      <w:r>
        <w:rPr>
          <w:rFonts w:hint="eastAsia"/>
          <w:lang w:eastAsia="zh-CN"/>
        </w:rPr>
        <w:t>TIES</w:t>
      </w:r>
      <w:r>
        <w:rPr>
          <w:rFonts w:hint="eastAsia"/>
          <w:lang w:eastAsia="zh-CN"/>
        </w:rPr>
        <w:t>账户访问：</w:t>
      </w:r>
      <w:hyperlink r:id="rId17" w:anchor="/zh" w:history="1">
        <w:r>
          <w:rPr>
            <w:rStyle w:val="Hyperlink"/>
            <w:rFonts w:cs="Traditional Arabic" w:hint="eastAsia"/>
            <w:szCs w:val="22"/>
            <w:lang w:eastAsia="zh-CN"/>
          </w:rPr>
          <w:t>信息概览</w:t>
        </w:r>
      </w:hyperlink>
      <w:r>
        <w:rPr>
          <w:rFonts w:hint="eastAsia"/>
          <w:lang w:eastAsia="zh-CN"/>
        </w:rPr>
        <w:t>。</w:t>
      </w:r>
    </w:p>
    <w:p w14:paraId="7EBA45A4" w14:textId="6C9CAF0F" w:rsidR="00D076FF" w:rsidRDefault="00D076FF" w:rsidP="00D076FF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这些报告工具着重强调电信发展</w:t>
      </w:r>
      <w:proofErr w:type="gramStart"/>
      <w:r>
        <w:rPr>
          <w:rFonts w:hint="eastAsia"/>
          <w:lang w:eastAsia="zh-CN"/>
        </w:rPr>
        <w:t>局承诺</w:t>
      </w:r>
      <w:proofErr w:type="gramEnd"/>
      <w:r>
        <w:rPr>
          <w:rFonts w:hint="eastAsia"/>
          <w:lang w:eastAsia="zh-CN"/>
        </w:rPr>
        <w:t>在各项活动和流程中坚持问责制、透明度和效率至上。</w:t>
      </w:r>
    </w:p>
    <w:p w14:paraId="0D30FC5E" w14:textId="4B0E98DE" w:rsidR="00D076FF" w:rsidRPr="00C45211" w:rsidRDefault="00D076FF" w:rsidP="00D076FF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WTDC</w:t>
      </w:r>
      <w:r>
        <w:rPr>
          <w:rFonts w:hint="eastAsia"/>
          <w:lang w:eastAsia="zh-CN"/>
        </w:rPr>
        <w:t>注意这些信息概览并提供必要的指导。</w:t>
      </w:r>
    </w:p>
    <w:p w14:paraId="771E530F" w14:textId="5000988C" w:rsidR="005A56C7" w:rsidRPr="00827D4F" w:rsidRDefault="00827D4F" w:rsidP="000165C5">
      <w:pPr>
        <w:spacing w:before="360"/>
        <w:jc w:val="center"/>
      </w:pPr>
      <w:r>
        <w:t>______________</w:t>
      </w:r>
    </w:p>
    <w:sectPr w:rsidR="005A56C7" w:rsidRPr="00827D4F" w:rsidSect="0039169B">
      <w:headerReference w:type="default" r:id="rId18"/>
      <w:footerReference w:type="even" r:id="rId19"/>
      <w:footerReference w:type="first" r:id="rId20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7776" w14:textId="77777777" w:rsidR="001F3E85" w:rsidRDefault="001F3E85">
      <w:r>
        <w:separator/>
      </w:r>
    </w:p>
  </w:endnote>
  <w:endnote w:type="continuationSeparator" w:id="0">
    <w:p w14:paraId="57981F80" w14:textId="77777777" w:rsidR="001F3E85" w:rsidRDefault="001F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5476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8B1EEBC" w14:textId="44E87B9D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EC111E">
      <w:rPr>
        <w:noProof/>
        <w:lang w:val="en-US"/>
      </w:rPr>
      <w:t>P:\TRAD\C\ITU-D\CONF-D\WTDC17\Div\413949C.docx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B4B1F">
      <w:rPr>
        <w:noProof/>
      </w:rPr>
      <w:t>14.11.25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C111E">
      <w:rPr>
        <w:noProof/>
      </w:rPr>
      <w:t>10.03.17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D83BF5" w:rsidRPr="00643AAD" w14:paraId="7DFA1D7C" w14:textId="77777777" w:rsidTr="008B61EA">
      <w:tc>
        <w:tcPr>
          <w:tcW w:w="1526" w:type="dxa"/>
          <w:tcBorders>
            <w:top w:val="single" w:sz="4" w:space="0" w:color="000000"/>
          </w:tcBorders>
        </w:tcPr>
        <w:p w14:paraId="7178E202" w14:textId="77777777" w:rsidR="00D83BF5" w:rsidRPr="00643AAD" w:rsidRDefault="00B10248" w:rsidP="00B10248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643AAD">
            <w:rPr>
              <w:rFonts w:hint="eastAsia"/>
              <w:sz w:val="18"/>
              <w:szCs w:val="18"/>
              <w:lang w:val="en-US" w:eastAsia="zh-CN"/>
            </w:rPr>
            <w:t>联系人：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45836B20" w14:textId="77777777" w:rsidR="00D83BF5" w:rsidRPr="00643AAD" w:rsidRDefault="00B10248" w:rsidP="00B10248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643AAD">
            <w:rPr>
              <w:rFonts w:hint="eastAsia"/>
              <w:sz w:val="18"/>
              <w:szCs w:val="18"/>
              <w:lang w:val="en-US" w:eastAsia="zh-CN"/>
            </w:rPr>
            <w:t>姓名</w:t>
          </w:r>
          <w:r w:rsidR="00D83BF5" w:rsidRPr="00643AAD">
            <w:rPr>
              <w:sz w:val="18"/>
              <w:szCs w:val="18"/>
              <w:lang w:val="en-US"/>
            </w:rPr>
            <w:t>/</w:t>
          </w:r>
          <w:r w:rsidRPr="00643AAD">
            <w:rPr>
              <w:rFonts w:hint="eastAsia"/>
              <w:sz w:val="18"/>
              <w:szCs w:val="18"/>
              <w:lang w:val="en-US" w:eastAsia="zh-CN"/>
            </w:rPr>
            <w:t>组织</w:t>
          </w:r>
          <w:r w:rsidR="00D83BF5" w:rsidRPr="00643AAD">
            <w:rPr>
              <w:sz w:val="18"/>
              <w:szCs w:val="18"/>
              <w:lang w:val="en-US"/>
            </w:rPr>
            <w:t>/</w:t>
          </w:r>
          <w:r w:rsidRPr="00643AAD">
            <w:rPr>
              <w:rFonts w:hint="eastAsia"/>
              <w:sz w:val="18"/>
              <w:szCs w:val="18"/>
              <w:lang w:val="en-US" w:eastAsia="zh-CN"/>
            </w:rPr>
            <w:t>实体：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5DB182F7" w14:textId="46CA3ADF" w:rsidR="00D83BF5" w:rsidRPr="00DE6F5D" w:rsidRDefault="00D076FF" w:rsidP="00D728C2">
          <w:pPr>
            <w:pStyle w:val="FirstFooter"/>
            <w:tabs>
              <w:tab w:val="left" w:pos="0"/>
            </w:tabs>
            <w:rPr>
              <w:rFonts w:ascii="Calibri" w:eastAsia="SimSun" w:hAnsi="Calibri" w:cs="Calibri"/>
              <w:sz w:val="18"/>
              <w:szCs w:val="18"/>
              <w:highlight w:val="yellow"/>
              <w:lang w:val="en-US" w:eastAsia="zh-CN"/>
            </w:rPr>
          </w:pPr>
          <w:bookmarkStart w:id="2" w:name="OrgName"/>
          <w:bookmarkEnd w:id="2"/>
          <w:r w:rsidRPr="00DE6F5D">
            <w:rPr>
              <w:rFonts w:ascii="Calibri" w:eastAsia="SimSun" w:hAnsi="Calibri" w:cs="Calibri" w:hint="eastAsia"/>
              <w:sz w:val="18"/>
              <w:szCs w:val="18"/>
              <w:lang w:val="en-US" w:eastAsia="zh-CN"/>
            </w:rPr>
            <w:t>电信发展局副主任</w:t>
          </w:r>
          <w:r w:rsidRPr="00DE6F5D">
            <w:rPr>
              <w:rFonts w:ascii="Calibri" w:eastAsia="SimSun" w:hAnsi="Calibri" w:cs="Calibri" w:hint="eastAsia"/>
              <w:sz w:val="18"/>
              <w:szCs w:val="18"/>
              <w:lang w:val="en-US" w:eastAsia="zh-CN"/>
            </w:rPr>
            <w:t>Archana Gulati</w:t>
          </w:r>
          <w:r w:rsidRPr="00DE6F5D">
            <w:rPr>
              <w:rFonts w:ascii="Calibri" w:eastAsia="SimSun" w:hAnsi="Calibri" w:cs="Calibri" w:hint="eastAsia"/>
              <w:sz w:val="18"/>
              <w:szCs w:val="18"/>
              <w:lang w:val="en-US" w:eastAsia="zh-CN"/>
            </w:rPr>
            <w:t>女士</w:t>
          </w:r>
        </w:p>
      </w:tc>
    </w:tr>
    <w:tr w:rsidR="00D83BF5" w:rsidRPr="00643AAD" w14:paraId="7E290ACD" w14:textId="77777777" w:rsidTr="008B61EA">
      <w:tc>
        <w:tcPr>
          <w:tcW w:w="1526" w:type="dxa"/>
        </w:tcPr>
        <w:p w14:paraId="7F4A237E" w14:textId="77777777" w:rsidR="00D83BF5" w:rsidRPr="00643AAD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 w:eastAsia="zh-CN"/>
            </w:rPr>
          </w:pPr>
        </w:p>
      </w:tc>
      <w:tc>
        <w:tcPr>
          <w:tcW w:w="2410" w:type="dxa"/>
        </w:tcPr>
        <w:p w14:paraId="5A4085F1" w14:textId="77777777" w:rsidR="00D83BF5" w:rsidRPr="00643AAD" w:rsidRDefault="00B10248" w:rsidP="00B10248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643AAD">
            <w:rPr>
              <w:rFonts w:hint="eastAsia"/>
              <w:sz w:val="18"/>
              <w:szCs w:val="18"/>
              <w:lang w:val="en-US" w:eastAsia="zh-CN"/>
            </w:rPr>
            <w:t>电话号码：</w:t>
          </w:r>
        </w:p>
      </w:tc>
      <w:tc>
        <w:tcPr>
          <w:tcW w:w="5987" w:type="dxa"/>
        </w:tcPr>
        <w:p w14:paraId="785F616A" w14:textId="636F928C" w:rsidR="00D83BF5" w:rsidRPr="00643AAD" w:rsidRDefault="00D728C2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bookmarkStart w:id="3" w:name="PhoneNo"/>
          <w:bookmarkEnd w:id="3"/>
          <w:r>
            <w:rPr>
              <w:sz w:val="18"/>
              <w:szCs w:val="18"/>
              <w:lang w:val="en-US"/>
            </w:rPr>
            <w:t>+41 22 730 6475</w:t>
          </w:r>
        </w:p>
      </w:tc>
    </w:tr>
    <w:tr w:rsidR="00D83BF5" w:rsidRPr="00643AAD" w14:paraId="42651E3A" w14:textId="77777777" w:rsidTr="008B61EA">
      <w:tc>
        <w:tcPr>
          <w:tcW w:w="1526" w:type="dxa"/>
        </w:tcPr>
        <w:p w14:paraId="07905EE0" w14:textId="77777777" w:rsidR="00D83BF5" w:rsidRPr="00643AAD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4894695A" w14:textId="77777777" w:rsidR="00D83BF5" w:rsidRPr="00643AAD" w:rsidRDefault="00B10248" w:rsidP="00B10248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643AAD">
            <w:rPr>
              <w:rFonts w:hint="eastAsia"/>
              <w:sz w:val="18"/>
              <w:szCs w:val="18"/>
              <w:lang w:val="en-US" w:eastAsia="zh-CN"/>
            </w:rPr>
            <w:t>电子邮件：</w:t>
          </w:r>
        </w:p>
      </w:tc>
      <w:bookmarkStart w:id="4" w:name="Email"/>
      <w:bookmarkEnd w:id="4"/>
      <w:tc>
        <w:tcPr>
          <w:tcW w:w="5987" w:type="dxa"/>
        </w:tcPr>
        <w:p w14:paraId="009A8175" w14:textId="2A4B6B54" w:rsidR="00D83BF5" w:rsidRPr="00643AAD" w:rsidRDefault="00D728C2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>
            <w:fldChar w:fldCharType="begin"/>
          </w:r>
          <w:r>
            <w:instrText>HYPERLINK "mailto:archana.gulati@itu.int"</w:instrText>
          </w:r>
          <w:r>
            <w:fldChar w:fldCharType="separate"/>
          </w:r>
          <w:r w:rsidRPr="0023206A">
            <w:rPr>
              <w:rStyle w:val="Hyperlink"/>
              <w:sz w:val="18"/>
              <w:szCs w:val="18"/>
            </w:rPr>
            <w:t>archana.gulati@itu.int</w:t>
          </w:r>
          <w:r>
            <w:fldChar w:fldCharType="end"/>
          </w:r>
        </w:p>
      </w:tc>
    </w:tr>
  </w:tbl>
  <w:p w14:paraId="4C2C78C2" w14:textId="0BB26A3E" w:rsidR="00E45D05" w:rsidRPr="00D83BF5" w:rsidRDefault="008B61EA" w:rsidP="00666A09">
    <w:pPr>
      <w:jc w:val="center"/>
    </w:pPr>
    <w:hyperlink r:id="rId1" w:anchor="/zh" w:history="1">
      <w:r w:rsidRPr="00954A08">
        <w:rPr>
          <w:rStyle w:val="Hyperlink"/>
          <w:sz w:val="20"/>
        </w:rPr>
        <w:t>WTDC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D259B" w14:textId="77777777" w:rsidR="001F3E85" w:rsidRDefault="001F3E85">
      <w:r>
        <w:rPr>
          <w:b/>
        </w:rPr>
        <w:t>_______________</w:t>
      </w:r>
    </w:p>
  </w:footnote>
  <w:footnote w:type="continuationSeparator" w:id="0">
    <w:p w14:paraId="3965F05B" w14:textId="77777777" w:rsidR="001F3E85" w:rsidRDefault="001F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3BBF" w14:textId="4BFD7D65" w:rsidR="00A066F1" w:rsidRPr="00BC0E23" w:rsidRDefault="00D83BF5" w:rsidP="00F21BF3">
    <w:pPr>
      <w:tabs>
        <w:tab w:val="clear" w:pos="1134"/>
        <w:tab w:val="clear" w:pos="1871"/>
        <w:tab w:val="clear" w:pos="2268"/>
        <w:tab w:val="center" w:pos="5103"/>
        <w:tab w:val="right" w:pos="10206"/>
      </w:tabs>
      <w:ind w:right="1"/>
      <w:rPr>
        <w:sz w:val="22"/>
        <w:szCs w:val="22"/>
        <w:lang w:val="es-ES_tradnl"/>
      </w:rPr>
    </w:pPr>
    <w:r w:rsidRPr="00BC0E23">
      <w:rPr>
        <w:sz w:val="22"/>
        <w:szCs w:val="22"/>
      </w:rPr>
      <w:tab/>
    </w:r>
    <w:r w:rsidR="00827D4F" w:rsidRPr="00814CFC">
      <w:rPr>
        <w:sz w:val="22"/>
        <w:szCs w:val="22"/>
        <w:lang w:val="es-ES"/>
      </w:rPr>
      <w:t>WTDC-25/</w:t>
    </w:r>
    <w:bookmarkStart w:id="1" w:name="DocNo2"/>
    <w:bookmarkEnd w:id="1"/>
    <w:r w:rsidR="00001EE2">
      <w:rPr>
        <w:sz w:val="22"/>
        <w:szCs w:val="22"/>
        <w:lang w:val="es-ES_tradnl"/>
      </w:rPr>
      <w:t>2(Ann.3)</w:t>
    </w:r>
    <w:r w:rsidR="00827D4F" w:rsidRPr="00814CFC">
      <w:rPr>
        <w:sz w:val="22"/>
        <w:szCs w:val="22"/>
        <w:lang w:val="es-ES"/>
      </w:rPr>
      <w:t>-</w:t>
    </w:r>
    <w:r w:rsidR="00827D4F">
      <w:rPr>
        <w:rFonts w:hint="eastAsia"/>
        <w:sz w:val="22"/>
        <w:szCs w:val="22"/>
        <w:lang w:val="es-ES" w:eastAsia="zh-CN"/>
      </w:rPr>
      <w:t>C</w:t>
    </w:r>
    <w:r w:rsidRPr="00BC0E23">
      <w:rPr>
        <w:sz w:val="22"/>
        <w:szCs w:val="22"/>
        <w:lang w:val="es-ES_tradnl"/>
      </w:rPr>
      <w:tab/>
    </w:r>
    <w:r w:rsidR="007B460E">
      <w:rPr>
        <w:rFonts w:hint="eastAsia"/>
        <w:sz w:val="22"/>
        <w:szCs w:val="22"/>
        <w:lang w:val="es-ES_tradnl" w:eastAsia="zh-CN"/>
      </w:rPr>
      <w:t>第</w:t>
    </w:r>
    <w:r w:rsidR="007B460E" w:rsidRPr="00BC0E23">
      <w:rPr>
        <w:sz w:val="22"/>
        <w:szCs w:val="22"/>
      </w:rPr>
      <w:fldChar w:fldCharType="begin"/>
    </w:r>
    <w:r w:rsidR="007B460E" w:rsidRPr="00BC0E23">
      <w:rPr>
        <w:sz w:val="22"/>
        <w:szCs w:val="22"/>
        <w:lang w:val="es-ES_tradnl"/>
      </w:rPr>
      <w:instrText xml:space="preserve"> PAGE </w:instrText>
    </w:r>
    <w:r w:rsidR="007B460E" w:rsidRPr="00BC0E23">
      <w:rPr>
        <w:sz w:val="22"/>
        <w:szCs w:val="22"/>
      </w:rPr>
      <w:fldChar w:fldCharType="separate"/>
    </w:r>
    <w:r w:rsidR="007B460E">
      <w:rPr>
        <w:sz w:val="22"/>
        <w:szCs w:val="22"/>
      </w:rPr>
      <w:t>2</w:t>
    </w:r>
    <w:r w:rsidR="007B460E" w:rsidRPr="00BC0E23">
      <w:rPr>
        <w:sz w:val="22"/>
        <w:szCs w:val="22"/>
      </w:rPr>
      <w:fldChar w:fldCharType="end"/>
    </w:r>
    <w:r w:rsidR="007B460E">
      <w:rPr>
        <w:rFonts w:hint="eastAsia"/>
        <w:sz w:val="22"/>
        <w:szCs w:val="22"/>
        <w:lang w:eastAsia="zh-CN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3D5E31"/>
    <w:multiLevelType w:val="multilevel"/>
    <w:tmpl w:val="B4022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25378">
    <w:abstractNumId w:val="0"/>
  </w:num>
  <w:num w:numId="2" w16cid:durableId="44388652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1357232">
    <w:abstractNumId w:val="5"/>
  </w:num>
  <w:num w:numId="4" w16cid:durableId="226577952">
    <w:abstractNumId w:val="2"/>
  </w:num>
  <w:num w:numId="5" w16cid:durableId="562377074">
    <w:abstractNumId w:val="4"/>
  </w:num>
  <w:num w:numId="6" w16cid:durableId="25525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1EE2"/>
    <w:rsid w:val="000041EA"/>
    <w:rsid w:val="00012BE3"/>
    <w:rsid w:val="000149DE"/>
    <w:rsid w:val="000165C5"/>
    <w:rsid w:val="00017314"/>
    <w:rsid w:val="00022A29"/>
    <w:rsid w:val="000355FD"/>
    <w:rsid w:val="0003598A"/>
    <w:rsid w:val="00035FD9"/>
    <w:rsid w:val="00051E39"/>
    <w:rsid w:val="00075C63"/>
    <w:rsid w:val="00077239"/>
    <w:rsid w:val="00080905"/>
    <w:rsid w:val="000822BE"/>
    <w:rsid w:val="00086491"/>
    <w:rsid w:val="00091346"/>
    <w:rsid w:val="00092F97"/>
    <w:rsid w:val="000C6C7A"/>
    <w:rsid w:val="000E16B7"/>
    <w:rsid w:val="000F667A"/>
    <w:rsid w:val="000F73FF"/>
    <w:rsid w:val="00114CF7"/>
    <w:rsid w:val="00123B68"/>
    <w:rsid w:val="00126F2E"/>
    <w:rsid w:val="00133537"/>
    <w:rsid w:val="00146F6F"/>
    <w:rsid w:val="00147DA1"/>
    <w:rsid w:val="00152957"/>
    <w:rsid w:val="001743B1"/>
    <w:rsid w:val="001749BC"/>
    <w:rsid w:val="001774F0"/>
    <w:rsid w:val="00185249"/>
    <w:rsid w:val="001875A6"/>
    <w:rsid w:val="00187BD9"/>
    <w:rsid w:val="00190B55"/>
    <w:rsid w:val="00194CFB"/>
    <w:rsid w:val="001A3CFA"/>
    <w:rsid w:val="001B2627"/>
    <w:rsid w:val="001B2ED3"/>
    <w:rsid w:val="001C3B5F"/>
    <w:rsid w:val="001D058F"/>
    <w:rsid w:val="001D6BD7"/>
    <w:rsid w:val="001F3E85"/>
    <w:rsid w:val="002009EA"/>
    <w:rsid w:val="002025F7"/>
    <w:rsid w:val="00202CA0"/>
    <w:rsid w:val="002154A6"/>
    <w:rsid w:val="002162CD"/>
    <w:rsid w:val="00217377"/>
    <w:rsid w:val="002255B3"/>
    <w:rsid w:val="00236E8A"/>
    <w:rsid w:val="00271316"/>
    <w:rsid w:val="00296313"/>
    <w:rsid w:val="002B0E90"/>
    <w:rsid w:val="002D58BE"/>
    <w:rsid w:val="002E68B9"/>
    <w:rsid w:val="002F16EC"/>
    <w:rsid w:val="002F415A"/>
    <w:rsid w:val="002F5092"/>
    <w:rsid w:val="003013EE"/>
    <w:rsid w:val="00302C2E"/>
    <w:rsid w:val="00350AAA"/>
    <w:rsid w:val="0035787E"/>
    <w:rsid w:val="00377BD3"/>
    <w:rsid w:val="00384088"/>
    <w:rsid w:val="0038489B"/>
    <w:rsid w:val="0039169B"/>
    <w:rsid w:val="003A5F96"/>
    <w:rsid w:val="003A7F8C"/>
    <w:rsid w:val="003B223B"/>
    <w:rsid w:val="003B532E"/>
    <w:rsid w:val="003B6F14"/>
    <w:rsid w:val="003D0F8B"/>
    <w:rsid w:val="004131D4"/>
    <w:rsid w:val="0041348E"/>
    <w:rsid w:val="00430667"/>
    <w:rsid w:val="00447308"/>
    <w:rsid w:val="004765FF"/>
    <w:rsid w:val="00476E4B"/>
    <w:rsid w:val="00492075"/>
    <w:rsid w:val="004969AD"/>
    <w:rsid w:val="004B13CB"/>
    <w:rsid w:val="004B4FDF"/>
    <w:rsid w:val="004D5D5C"/>
    <w:rsid w:val="004F136C"/>
    <w:rsid w:val="0050139F"/>
    <w:rsid w:val="005141CE"/>
    <w:rsid w:val="00521223"/>
    <w:rsid w:val="005223A2"/>
    <w:rsid w:val="00524DF1"/>
    <w:rsid w:val="0055140B"/>
    <w:rsid w:val="00554C4F"/>
    <w:rsid w:val="005551F1"/>
    <w:rsid w:val="00561D72"/>
    <w:rsid w:val="00571F0B"/>
    <w:rsid w:val="005964AB"/>
    <w:rsid w:val="005A56C7"/>
    <w:rsid w:val="005B0676"/>
    <w:rsid w:val="005B44F5"/>
    <w:rsid w:val="005C099A"/>
    <w:rsid w:val="005C31A5"/>
    <w:rsid w:val="005E0F53"/>
    <w:rsid w:val="005E10C9"/>
    <w:rsid w:val="005E61DD"/>
    <w:rsid w:val="005E6321"/>
    <w:rsid w:val="005E7D5B"/>
    <w:rsid w:val="005F370C"/>
    <w:rsid w:val="006023DF"/>
    <w:rsid w:val="00612D56"/>
    <w:rsid w:val="0061320F"/>
    <w:rsid w:val="00613A7C"/>
    <w:rsid w:val="006140BF"/>
    <w:rsid w:val="0064322F"/>
    <w:rsid w:val="0064367E"/>
    <w:rsid w:val="00643AAD"/>
    <w:rsid w:val="00657DE0"/>
    <w:rsid w:val="006629C7"/>
    <w:rsid w:val="00666A09"/>
    <w:rsid w:val="0067199F"/>
    <w:rsid w:val="00685313"/>
    <w:rsid w:val="006A6E9B"/>
    <w:rsid w:val="006B7C2A"/>
    <w:rsid w:val="006C23DA"/>
    <w:rsid w:val="006E3D45"/>
    <w:rsid w:val="007149F9"/>
    <w:rsid w:val="00733A30"/>
    <w:rsid w:val="00745AEE"/>
    <w:rsid w:val="007479EA"/>
    <w:rsid w:val="00750F10"/>
    <w:rsid w:val="00754754"/>
    <w:rsid w:val="007649F7"/>
    <w:rsid w:val="007742CA"/>
    <w:rsid w:val="007866D5"/>
    <w:rsid w:val="007B460E"/>
    <w:rsid w:val="007D06F0"/>
    <w:rsid w:val="007D21C5"/>
    <w:rsid w:val="007D45E3"/>
    <w:rsid w:val="007D5320"/>
    <w:rsid w:val="007F735C"/>
    <w:rsid w:val="00800972"/>
    <w:rsid w:val="00804475"/>
    <w:rsid w:val="00804A2A"/>
    <w:rsid w:val="00811633"/>
    <w:rsid w:val="00821CEF"/>
    <w:rsid w:val="00827D4F"/>
    <w:rsid w:val="00832828"/>
    <w:rsid w:val="0083645A"/>
    <w:rsid w:val="00840B0F"/>
    <w:rsid w:val="00853DF4"/>
    <w:rsid w:val="00861D88"/>
    <w:rsid w:val="00862D17"/>
    <w:rsid w:val="00867413"/>
    <w:rsid w:val="008711AE"/>
    <w:rsid w:val="00872FC8"/>
    <w:rsid w:val="008801D3"/>
    <w:rsid w:val="008845D0"/>
    <w:rsid w:val="00890524"/>
    <w:rsid w:val="0089558D"/>
    <w:rsid w:val="008A69C9"/>
    <w:rsid w:val="008B43F2"/>
    <w:rsid w:val="008B61EA"/>
    <w:rsid w:val="008B6CFF"/>
    <w:rsid w:val="008E4A61"/>
    <w:rsid w:val="00900967"/>
    <w:rsid w:val="00910B26"/>
    <w:rsid w:val="009274B4"/>
    <w:rsid w:val="00933808"/>
    <w:rsid w:val="00934EA2"/>
    <w:rsid w:val="00944A5C"/>
    <w:rsid w:val="00952A66"/>
    <w:rsid w:val="00954A08"/>
    <w:rsid w:val="009B2B61"/>
    <w:rsid w:val="009B4B1F"/>
    <w:rsid w:val="009C56E5"/>
    <w:rsid w:val="009E5FC8"/>
    <w:rsid w:val="009E687A"/>
    <w:rsid w:val="00A03C5C"/>
    <w:rsid w:val="00A066F1"/>
    <w:rsid w:val="00A141AF"/>
    <w:rsid w:val="00A16D29"/>
    <w:rsid w:val="00A20E5E"/>
    <w:rsid w:val="00A22E8C"/>
    <w:rsid w:val="00A24FFD"/>
    <w:rsid w:val="00A30305"/>
    <w:rsid w:val="00A31D2D"/>
    <w:rsid w:val="00A3514E"/>
    <w:rsid w:val="00A4600A"/>
    <w:rsid w:val="00A538A6"/>
    <w:rsid w:val="00A54231"/>
    <w:rsid w:val="00A54C25"/>
    <w:rsid w:val="00A705BD"/>
    <w:rsid w:val="00A710E7"/>
    <w:rsid w:val="00A7372E"/>
    <w:rsid w:val="00A93B85"/>
    <w:rsid w:val="00AA0222"/>
    <w:rsid w:val="00AA0B18"/>
    <w:rsid w:val="00AA666F"/>
    <w:rsid w:val="00AB4927"/>
    <w:rsid w:val="00AB5398"/>
    <w:rsid w:val="00B004E5"/>
    <w:rsid w:val="00B10248"/>
    <w:rsid w:val="00B15F9D"/>
    <w:rsid w:val="00B57FF3"/>
    <w:rsid w:val="00B639E9"/>
    <w:rsid w:val="00B817CD"/>
    <w:rsid w:val="00B911B2"/>
    <w:rsid w:val="00B951D0"/>
    <w:rsid w:val="00BB29C8"/>
    <w:rsid w:val="00BB3A95"/>
    <w:rsid w:val="00BC0382"/>
    <w:rsid w:val="00BC0E23"/>
    <w:rsid w:val="00BE4F08"/>
    <w:rsid w:val="00C0018F"/>
    <w:rsid w:val="00C20466"/>
    <w:rsid w:val="00C214ED"/>
    <w:rsid w:val="00C234E6"/>
    <w:rsid w:val="00C324A8"/>
    <w:rsid w:val="00C45211"/>
    <w:rsid w:val="00C54517"/>
    <w:rsid w:val="00C63427"/>
    <w:rsid w:val="00C64CD8"/>
    <w:rsid w:val="00C65122"/>
    <w:rsid w:val="00C82641"/>
    <w:rsid w:val="00C97C68"/>
    <w:rsid w:val="00CA1A47"/>
    <w:rsid w:val="00CC15F7"/>
    <w:rsid w:val="00CC247A"/>
    <w:rsid w:val="00CD4A40"/>
    <w:rsid w:val="00CE1120"/>
    <w:rsid w:val="00CE5E47"/>
    <w:rsid w:val="00CF020F"/>
    <w:rsid w:val="00CF2B5B"/>
    <w:rsid w:val="00D076FF"/>
    <w:rsid w:val="00D14CE0"/>
    <w:rsid w:val="00D313A6"/>
    <w:rsid w:val="00D36333"/>
    <w:rsid w:val="00D52079"/>
    <w:rsid w:val="00D5651D"/>
    <w:rsid w:val="00D728C2"/>
    <w:rsid w:val="00D73B6E"/>
    <w:rsid w:val="00D74898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7078"/>
    <w:rsid w:val="00DB4E57"/>
    <w:rsid w:val="00DC4EA1"/>
    <w:rsid w:val="00DD08B4"/>
    <w:rsid w:val="00DD44AF"/>
    <w:rsid w:val="00DD63A5"/>
    <w:rsid w:val="00DE2AC3"/>
    <w:rsid w:val="00DE434C"/>
    <w:rsid w:val="00DE5692"/>
    <w:rsid w:val="00DE6F5D"/>
    <w:rsid w:val="00DF6F8E"/>
    <w:rsid w:val="00E03C94"/>
    <w:rsid w:val="00E07105"/>
    <w:rsid w:val="00E26226"/>
    <w:rsid w:val="00E4165C"/>
    <w:rsid w:val="00E43A89"/>
    <w:rsid w:val="00E45D05"/>
    <w:rsid w:val="00E55816"/>
    <w:rsid w:val="00E55AEF"/>
    <w:rsid w:val="00E60DB5"/>
    <w:rsid w:val="00E976C1"/>
    <w:rsid w:val="00EA12E5"/>
    <w:rsid w:val="00EB19B2"/>
    <w:rsid w:val="00EC111E"/>
    <w:rsid w:val="00EC3651"/>
    <w:rsid w:val="00ED22A0"/>
    <w:rsid w:val="00ED2457"/>
    <w:rsid w:val="00ED710F"/>
    <w:rsid w:val="00EE289E"/>
    <w:rsid w:val="00EE7099"/>
    <w:rsid w:val="00F02766"/>
    <w:rsid w:val="00F04067"/>
    <w:rsid w:val="00F05BD4"/>
    <w:rsid w:val="00F11A98"/>
    <w:rsid w:val="00F21A1D"/>
    <w:rsid w:val="00F21BF3"/>
    <w:rsid w:val="00F65C19"/>
    <w:rsid w:val="00F9433D"/>
    <w:rsid w:val="00FD2546"/>
    <w:rsid w:val="00FD772E"/>
    <w:rsid w:val="00FE3926"/>
    <w:rsid w:val="00FE4A55"/>
    <w:rsid w:val="00FE7310"/>
    <w:rsid w:val="00FE78C7"/>
    <w:rsid w:val="00FE7DA9"/>
    <w:rsid w:val="00FF090D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2AB06"/>
  <w15:docId w15:val="{7D733B7E-A215-4CBA-9D53-9B4C0394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BD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476E4B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8E4A61"/>
    <w:pPr>
      <w:spacing w:before="160"/>
    </w:pPr>
    <w:rPr>
      <w:rFonts w:ascii="Calibri" w:eastAsia="STKaiti" w:hAnsi="Calibri"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4A08"/>
    <w:rPr>
      <w:color w:val="605E5C"/>
      <w:shd w:val="clear" w:color="auto" w:fill="E1DFDD"/>
    </w:rPr>
  </w:style>
  <w:style w:type="character" w:customStyle="1" w:styleId="CallChar">
    <w:name w:val="Call Char"/>
    <w:basedOn w:val="DefaultParagraphFont"/>
    <w:link w:val="Call"/>
    <w:locked/>
    <w:rsid w:val="00476E4B"/>
    <w:rPr>
      <w:rFonts w:asciiTheme="minorHAnsi" w:eastAsia="STKaiti" w:hAnsiTheme="minorHAns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3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itu.int/itu-d/meetings/wtdc25/dashboards/all-dashboard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WTDC25-C-0002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md/D22-WTDC25-C-0002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22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D22-WTDC25-C-0002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itu-d/meetings/wtdc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25" ma:contentTypeDescription="Create a new document." ma:contentTypeScope="" ma:versionID="828997ff14c7b602ab12ed3e47e772d7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6ba4e7d468aa3e2c5be62f8bd596abe1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  <xsd:element ref="ns2:Approval" minOccurs="0"/>
                <xsd:element ref="ns2:ApprovalStatus" minOccurs="0"/>
                <xsd:element ref="ns2:DateandTime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  <xsd:element name="Approval" ma:index="24" nillable="true" ma:displayName="Approval" ma:default="Pending" ma:format="Dropdown" ma:internalName="Approval">
      <xsd:simpleType>
        <xsd:restriction base="dms:Choice">
          <xsd:enumeration value="Pending"/>
          <xsd:enumeration value="Approved"/>
          <xsd:enumeration value="Rejected"/>
        </xsd:restriction>
      </xsd:simpleType>
    </xsd:element>
    <xsd:element name="ApprovalStatus" ma:index="25" nillable="true" ma:displayName="Approval Status" ma:format="Dropdown" ma:internalName="ApprovalStatus">
      <xsd:simpleType>
        <xsd:restriction base="dms:Choice">
          <xsd:enumeration value="Rejected"/>
          <xsd:enumeration value="Approved"/>
          <xsd:enumeration value="Pending"/>
        </xsd:restriction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DPM_x0020_Author" ma:index="27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8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9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b6109c62-af78-494c-a825-80e1ffe32798" xsi:nil="true"/>
    <DPM_x0020_Author xmlns="b6109c62-af78-494c-a825-80e1ffe32798" xsi:nil="true"/>
    <DPM_x0020_Version xmlns="b6109c62-af78-494c-a825-80e1ffe32798" xsi:nil="true"/>
    <lcf76f155ced4ddcb4097134ff3c332f xmlns="b6109c62-af78-494c-a825-80e1ffe32798">
      <Terms xmlns="http://schemas.microsoft.com/office/infopath/2007/PartnerControls"/>
    </lcf76f155ced4ddcb4097134ff3c332f>
    <DateandTime xmlns="b6109c62-af78-494c-a825-80e1ffe32798" xsi:nil="true"/>
    <Order0 xmlns="b6109c62-af78-494c-a825-80e1ffe32798" xsi:nil="true"/>
    <TaxCatchAll xmlns="54151c7f-6a84-4427-a6ce-bf1d7f28364f" xsi:nil="true"/>
    <Approval xmlns="b6109c62-af78-494c-a825-80e1ffe32798">Pending</Approval>
    <ApprovalStatus xmlns="b6109c62-af78-494c-a825-80e1ffe32798" xsi:nil="true"/>
  </documentManagement>
</p:properties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000647-DC4C-4AA1-9D5C-C760254C17F7}"/>
</file>

<file path=customXml/itemProps3.xml><?xml version="1.0" encoding="utf-8"?>
<ds:datastoreItem xmlns:ds="http://schemas.openxmlformats.org/officeDocument/2006/customXml" ds:itemID="{2E39299F-E6E9-48E6-B0B1-E74DBFFE2B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WTDC-25</vt:lpstr>
    </vt:vector>
  </TitlesOfParts>
  <Manager>General Secretariat - Pool</Manager>
  <Company>ITU</Company>
  <LinksUpToDate>false</LinksUpToDate>
  <CharactersWithSpaces>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creator>Manias, Michel</dc:creator>
  <cp:lastModifiedBy>LING-C(LZ)</cp:lastModifiedBy>
  <cp:revision>14</cp:revision>
  <cp:lastPrinted>2017-03-10T13:45:00Z</cp:lastPrinted>
  <dcterms:created xsi:type="dcterms:W3CDTF">2025-11-14T12:01:00Z</dcterms:created>
  <dcterms:modified xsi:type="dcterms:W3CDTF">2025-11-14T12:23:00Z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