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320"/>
        <w:tblW w:w="5000" w:type="pct"/>
        <w:tblLayout w:type="fixed"/>
        <w:tblLook w:val="0000" w:firstRow="0" w:lastRow="0" w:firstColumn="0" w:lastColumn="0" w:noHBand="0" w:noVBand="0"/>
      </w:tblPr>
      <w:tblGrid>
        <w:gridCol w:w="3071"/>
        <w:gridCol w:w="4469"/>
        <w:gridCol w:w="2099"/>
      </w:tblGrid>
      <w:tr w:rsidR="00BF3D7D" w:rsidRPr="00EF4BDF" w14:paraId="0E218B64" w14:textId="77777777" w:rsidTr="00BF3D7D">
        <w:trPr>
          <w:cantSplit/>
          <w:trHeight w:val="1134"/>
        </w:trPr>
        <w:tc>
          <w:tcPr>
            <w:tcW w:w="3911" w:type="pct"/>
            <w:gridSpan w:val="2"/>
            <w:vAlign w:val="center"/>
          </w:tcPr>
          <w:p w14:paraId="6E40FE14" w14:textId="77777777" w:rsidR="00BF3D7D" w:rsidRPr="00C47185" w:rsidRDefault="00BF3D7D" w:rsidP="00961460">
            <w:pPr>
              <w:jc w:val="left"/>
              <w:rPr>
                <w:b/>
                <w:bCs/>
                <w:sz w:val="24"/>
                <w:szCs w:val="24"/>
                <w:rtl/>
                <w:lang w:bidi="ar-EG"/>
              </w:rPr>
            </w:pPr>
            <w:bookmarkStart w:id="0" w:name="_Hlk209775578"/>
            <w:r>
              <w:rPr>
                <w:noProof/>
                <w:lang w:val="fr-FR" w:eastAsia="fr-FR"/>
              </w:rPr>
              <w:drawing>
                <wp:anchor distT="0" distB="0" distL="114300" distR="114300" simplePos="0" relativeHeight="251658240" behindDoc="0" locked="0" layoutInCell="1" allowOverlap="1" wp14:anchorId="2F07A950" wp14:editId="53F736CE">
                  <wp:simplePos x="0" y="0"/>
                  <wp:positionH relativeFrom="column">
                    <wp:posOffset>120650</wp:posOffset>
                  </wp:positionH>
                  <wp:positionV relativeFrom="paragraph">
                    <wp:posOffset>48895</wp:posOffset>
                  </wp:positionV>
                  <wp:extent cx="712470" cy="785495"/>
                  <wp:effectExtent l="0" t="0" r="0" b="0"/>
                  <wp:wrapNone/>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14:sizeRelH relativeFrom="margin">
                    <wp14:pctWidth>0</wp14:pctWidth>
                  </wp14:sizeRelH>
                  <wp14:sizeRelV relativeFrom="margin">
                    <wp14:pctHeight>0</wp14:pctHeight>
                  </wp14:sizeRelV>
                </wp:anchor>
              </w:drawing>
            </w:r>
            <w:r>
              <w:rPr>
                <w:rFonts w:hint="cs"/>
                <w:b/>
                <w:bCs/>
                <w:sz w:val="32"/>
                <w:szCs w:val="32"/>
                <w:rtl/>
                <w:lang w:bidi="ar-EG"/>
              </w:rPr>
              <w:t xml:space="preserve">المؤتمر العالمي لتنمية الاتصالات </w:t>
            </w:r>
            <w:r>
              <w:rPr>
                <w:b/>
                <w:bCs/>
                <w:sz w:val="32"/>
                <w:szCs w:val="32"/>
                <w:rtl/>
                <w:lang w:bidi="ar-EG"/>
              </w:rPr>
              <w:br/>
            </w:r>
            <w:r>
              <w:rPr>
                <w:rFonts w:hint="cs"/>
                <w:b/>
                <w:bCs/>
                <w:sz w:val="32"/>
                <w:szCs w:val="32"/>
                <w:rtl/>
                <w:lang w:bidi="ar-EG"/>
              </w:rPr>
              <w:t xml:space="preserve">لعام </w:t>
            </w:r>
            <w:r>
              <w:rPr>
                <w:b/>
                <w:bCs/>
                <w:sz w:val="32"/>
                <w:szCs w:val="32"/>
                <w:lang w:bidi="ar-EG"/>
              </w:rPr>
              <w:t>2025</w:t>
            </w:r>
            <w:r>
              <w:rPr>
                <w:rFonts w:hint="cs"/>
                <w:b/>
                <w:bCs/>
                <w:sz w:val="32"/>
                <w:szCs w:val="32"/>
                <w:rtl/>
                <w:lang w:bidi="ar-EG"/>
              </w:rPr>
              <w:t xml:space="preserve"> </w:t>
            </w:r>
            <w:r>
              <w:rPr>
                <w:b/>
                <w:bCs/>
                <w:sz w:val="32"/>
                <w:szCs w:val="32"/>
                <w:lang w:bidi="ar-EG"/>
              </w:rPr>
              <w:t>(WTDC-25)</w:t>
            </w:r>
          </w:p>
          <w:p w14:paraId="4E602D31" w14:textId="77777777" w:rsidR="00BF3D7D" w:rsidRPr="00815C0C" w:rsidRDefault="00BF3D7D" w:rsidP="00961460">
            <w:pPr>
              <w:ind w:left="34"/>
              <w:rPr>
                <w:rFonts w:cstheme="minorHAnsi"/>
                <w:lang w:val="fr-FR"/>
              </w:rPr>
            </w:pPr>
            <w:r w:rsidRPr="00A87A59">
              <w:rPr>
                <w:rFonts w:hint="cs"/>
                <w:b/>
                <w:bCs/>
                <w:sz w:val="24"/>
                <w:szCs w:val="24"/>
                <w:rtl/>
              </w:rPr>
              <w:t xml:space="preserve">باكو، جمهورية أذربيجان، </w:t>
            </w:r>
            <w:r w:rsidRPr="00A87A59">
              <w:rPr>
                <w:b/>
                <w:bCs/>
                <w:sz w:val="24"/>
                <w:szCs w:val="24"/>
                <w:lang w:bidi="ar-EG"/>
              </w:rPr>
              <w:t>17</w:t>
            </w:r>
            <w:r>
              <w:rPr>
                <w:rFonts w:hint="cs"/>
                <w:b/>
                <w:bCs/>
                <w:sz w:val="24"/>
                <w:szCs w:val="24"/>
                <w:rtl/>
                <w:lang w:bidi="ar-EG"/>
              </w:rPr>
              <w:t>-</w:t>
            </w:r>
            <w:r w:rsidRPr="00A87A59">
              <w:rPr>
                <w:b/>
                <w:bCs/>
                <w:sz w:val="24"/>
                <w:szCs w:val="24"/>
                <w:lang w:bidi="ar-EG"/>
              </w:rPr>
              <w:t>28</w:t>
            </w:r>
            <w:r w:rsidRPr="00A87A59">
              <w:rPr>
                <w:rFonts w:hint="cs"/>
                <w:b/>
                <w:bCs/>
                <w:sz w:val="24"/>
                <w:szCs w:val="24"/>
                <w:rtl/>
                <w:lang w:bidi="ar-EG"/>
              </w:rPr>
              <w:t xml:space="preserve"> نوفمبر </w:t>
            </w:r>
            <w:r w:rsidRPr="00A87A59">
              <w:rPr>
                <w:b/>
                <w:bCs/>
                <w:sz w:val="24"/>
                <w:szCs w:val="24"/>
                <w:lang w:bidi="ar-EG"/>
              </w:rPr>
              <w:t>2025</w:t>
            </w:r>
          </w:p>
        </w:tc>
        <w:tc>
          <w:tcPr>
            <w:tcW w:w="1089" w:type="pct"/>
            <w:vAlign w:val="center"/>
          </w:tcPr>
          <w:p w14:paraId="5AB2883E" w14:textId="77777777" w:rsidR="00BF3D7D" w:rsidRPr="00815C0C" w:rsidRDefault="00BF3D7D" w:rsidP="00A04FDF">
            <w:pPr>
              <w:ind w:left="34"/>
              <w:jc w:val="center"/>
              <w:rPr>
                <w:rFonts w:cstheme="minorHAnsi"/>
                <w:lang w:val="fr-FR"/>
              </w:rPr>
            </w:pPr>
            <w:r>
              <w:rPr>
                <w:b/>
                <w:bCs/>
                <w:noProof/>
                <w:sz w:val="28"/>
                <w:szCs w:val="28"/>
                <w:lang w:bidi="ar-SY"/>
              </w:rPr>
              <w:drawing>
                <wp:inline distT="0" distB="0" distL="0" distR="0" wp14:anchorId="4DFE6762" wp14:editId="33D0FFAE">
                  <wp:extent cx="1080000" cy="990000"/>
                  <wp:effectExtent l="0" t="0" r="6350" b="63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7655" t="8159" r="25763" b="17753"/>
                          <a:stretch/>
                        </pic:blipFill>
                        <pic:spPr bwMode="auto">
                          <a:xfrm>
                            <a:off x="0" y="0"/>
                            <a:ext cx="1080000" cy="99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B45F4" w:rsidRPr="00EF4BDF" w14:paraId="34448EC8" w14:textId="77777777" w:rsidTr="00961460">
        <w:trPr>
          <w:cantSplit/>
        </w:trPr>
        <w:tc>
          <w:tcPr>
            <w:tcW w:w="1593" w:type="pct"/>
            <w:tcBorders>
              <w:top w:val="single" w:sz="12" w:space="0" w:color="auto"/>
            </w:tcBorders>
          </w:tcPr>
          <w:p w14:paraId="37ED3F24" w14:textId="77777777" w:rsidR="002B45F4" w:rsidRPr="00815C0C" w:rsidRDefault="002B45F4" w:rsidP="00BF3D7D">
            <w:pPr>
              <w:spacing w:beforeLines="20" w:before="48" w:afterLines="20" w:after="48" w:line="300" w:lineRule="exact"/>
              <w:rPr>
                <w:rFonts w:cstheme="minorHAnsi"/>
                <w:b/>
                <w:smallCaps/>
                <w:sz w:val="20"/>
                <w:lang w:val="fr-FR"/>
              </w:rPr>
            </w:pPr>
            <w:bookmarkStart w:id="1" w:name="dhead"/>
          </w:p>
        </w:tc>
        <w:tc>
          <w:tcPr>
            <w:tcW w:w="3407" w:type="pct"/>
            <w:gridSpan w:val="2"/>
            <w:tcBorders>
              <w:top w:val="single" w:sz="12" w:space="0" w:color="auto"/>
            </w:tcBorders>
          </w:tcPr>
          <w:p w14:paraId="239C0A51" w14:textId="77777777" w:rsidR="002B45F4" w:rsidRPr="00815C0C" w:rsidRDefault="002B45F4" w:rsidP="00BF3D7D">
            <w:pPr>
              <w:spacing w:beforeLines="20" w:before="48" w:afterLines="20" w:after="48" w:line="300" w:lineRule="exact"/>
              <w:rPr>
                <w:rFonts w:cstheme="minorHAnsi"/>
                <w:sz w:val="20"/>
                <w:lang w:val="fr-FR"/>
              </w:rPr>
            </w:pPr>
          </w:p>
        </w:tc>
      </w:tr>
      <w:tr w:rsidR="002B45F4" w:rsidRPr="0038489B" w14:paraId="17688B53" w14:textId="77777777" w:rsidTr="00961460">
        <w:trPr>
          <w:cantSplit/>
          <w:trHeight w:val="23"/>
        </w:trPr>
        <w:tc>
          <w:tcPr>
            <w:tcW w:w="1593" w:type="pct"/>
          </w:tcPr>
          <w:p w14:paraId="452661D4" w14:textId="2C4C7423" w:rsidR="002B45F4" w:rsidRPr="003151E2" w:rsidRDefault="0045756B" w:rsidP="00BF3D7D">
            <w:pPr>
              <w:tabs>
                <w:tab w:val="left" w:pos="851"/>
              </w:tabs>
              <w:spacing w:beforeLines="20" w:before="48" w:afterLines="20" w:after="48" w:line="300" w:lineRule="exact"/>
              <w:jc w:val="left"/>
              <w:rPr>
                <w:b/>
                <w:bCs/>
                <w:lang w:val="en-GB" w:bidi="ar-EG"/>
              </w:rPr>
            </w:pPr>
            <w:bookmarkStart w:id="2" w:name="dnum" w:colFirst="1" w:colLast="1"/>
            <w:bookmarkStart w:id="3" w:name="dmeeting" w:colFirst="0" w:colLast="0"/>
            <w:bookmarkEnd w:id="1"/>
            <w:r w:rsidRPr="003151E2">
              <w:rPr>
                <w:rFonts w:eastAsia="SimSun"/>
                <w:b/>
                <w:bCs/>
                <w:rtl/>
                <w:lang w:bidi="ar-SY"/>
              </w:rPr>
              <w:t xml:space="preserve">الوثيقة </w:t>
            </w:r>
            <w:r w:rsidRPr="003151E2">
              <w:rPr>
                <w:rFonts w:eastAsia="SimSun"/>
                <w:b/>
                <w:bCs/>
              </w:rPr>
              <w:t>WTDC-25/2</w:t>
            </w:r>
            <w:r w:rsidR="003151E2">
              <w:rPr>
                <w:rFonts w:eastAsia="SimSun"/>
                <w:b/>
                <w:bCs/>
              </w:rPr>
              <w:t>(Ann.3)</w:t>
            </w:r>
            <w:r w:rsidRPr="003151E2">
              <w:rPr>
                <w:rFonts w:eastAsia="SimSun"/>
                <w:b/>
                <w:bCs/>
              </w:rPr>
              <w:t>-A</w:t>
            </w:r>
          </w:p>
        </w:tc>
        <w:tc>
          <w:tcPr>
            <w:tcW w:w="3407" w:type="pct"/>
            <w:gridSpan w:val="2"/>
          </w:tcPr>
          <w:p w14:paraId="6C83CD51" w14:textId="77777777" w:rsidR="002B45F4" w:rsidRPr="003151E2" w:rsidRDefault="002B45F4" w:rsidP="003151E2">
            <w:pPr>
              <w:pStyle w:val="Committee"/>
              <w:framePr w:hSpace="0" w:wrap="auto" w:yAlign="inline"/>
            </w:pPr>
            <w:r w:rsidRPr="003151E2">
              <w:rPr>
                <w:rtl/>
              </w:rPr>
              <w:t>الجلسة العامة</w:t>
            </w:r>
          </w:p>
        </w:tc>
      </w:tr>
      <w:tr w:rsidR="002B45F4" w:rsidRPr="00C324A8" w14:paraId="306CB3E8" w14:textId="77777777" w:rsidTr="00961460">
        <w:trPr>
          <w:cantSplit/>
          <w:trHeight w:val="23"/>
        </w:trPr>
        <w:tc>
          <w:tcPr>
            <w:tcW w:w="1593" w:type="pct"/>
          </w:tcPr>
          <w:p w14:paraId="20B59C09" w14:textId="77777777" w:rsidR="002B45F4" w:rsidRPr="003151E2" w:rsidRDefault="002B45F4" w:rsidP="00BF3D7D">
            <w:pPr>
              <w:tabs>
                <w:tab w:val="left" w:pos="851"/>
              </w:tabs>
              <w:spacing w:beforeLines="20" w:before="48" w:afterLines="20" w:after="48" w:line="300" w:lineRule="exact"/>
              <w:jc w:val="left"/>
              <w:rPr>
                <w:rFonts w:cstheme="minorHAnsi"/>
                <w:b/>
                <w:bCs/>
                <w:lang w:val="es-ES_tradnl"/>
              </w:rPr>
            </w:pPr>
            <w:bookmarkStart w:id="4" w:name="ddate" w:colFirst="1" w:colLast="1"/>
            <w:bookmarkStart w:id="5" w:name="dblank" w:colFirst="0" w:colLast="0"/>
            <w:bookmarkEnd w:id="2"/>
            <w:bookmarkEnd w:id="3"/>
            <w:r w:rsidRPr="003151E2">
              <w:rPr>
                <w:rFonts w:eastAsia="SimSun"/>
                <w:b/>
                <w:bCs/>
              </w:rPr>
              <w:t>14</w:t>
            </w:r>
            <w:r w:rsidRPr="003151E2">
              <w:rPr>
                <w:rFonts w:eastAsia="SimSun"/>
                <w:b/>
                <w:bCs/>
                <w:rtl/>
              </w:rPr>
              <w:t xml:space="preserve"> نوفمبر </w:t>
            </w:r>
            <w:r w:rsidRPr="003151E2">
              <w:rPr>
                <w:rFonts w:eastAsia="SimSun"/>
                <w:b/>
                <w:bCs/>
              </w:rPr>
              <w:t>2025</w:t>
            </w:r>
          </w:p>
        </w:tc>
        <w:tc>
          <w:tcPr>
            <w:tcW w:w="3407" w:type="pct"/>
            <w:gridSpan w:val="2"/>
          </w:tcPr>
          <w:p w14:paraId="722FD78A" w14:textId="77777777" w:rsidR="002B45F4" w:rsidRPr="003151E2" w:rsidRDefault="002B45F4" w:rsidP="00BF3D7D">
            <w:pPr>
              <w:spacing w:beforeLines="20" w:before="48" w:afterLines="20" w:after="48" w:line="300" w:lineRule="exact"/>
              <w:rPr>
                <w:rFonts w:cstheme="minorHAnsi"/>
                <w:b/>
                <w:bCs/>
              </w:rPr>
            </w:pPr>
          </w:p>
        </w:tc>
      </w:tr>
      <w:tr w:rsidR="002B45F4" w:rsidRPr="00C324A8" w14:paraId="7E7F2A2D" w14:textId="77777777" w:rsidTr="00961460">
        <w:trPr>
          <w:cantSplit/>
          <w:trHeight w:val="23"/>
        </w:trPr>
        <w:tc>
          <w:tcPr>
            <w:tcW w:w="1593" w:type="pct"/>
          </w:tcPr>
          <w:p w14:paraId="553E9EFA" w14:textId="77777777" w:rsidR="002B45F4" w:rsidRPr="003151E2" w:rsidRDefault="002B45F4" w:rsidP="00BF3D7D">
            <w:pPr>
              <w:tabs>
                <w:tab w:val="left" w:pos="851"/>
              </w:tabs>
              <w:spacing w:beforeLines="20" w:before="48" w:afterLines="20" w:after="48" w:line="300" w:lineRule="exact"/>
              <w:jc w:val="left"/>
              <w:rPr>
                <w:rFonts w:cstheme="minorHAnsi"/>
                <w:b/>
                <w:bCs/>
              </w:rPr>
            </w:pPr>
            <w:bookmarkStart w:id="6" w:name="dbluepink" w:colFirst="0" w:colLast="0"/>
            <w:bookmarkStart w:id="7" w:name="dorlang" w:colFirst="1" w:colLast="1"/>
            <w:bookmarkEnd w:id="4"/>
            <w:bookmarkEnd w:id="5"/>
            <w:r w:rsidRPr="003151E2">
              <w:rPr>
                <w:b/>
                <w:bCs/>
                <w:rtl/>
              </w:rPr>
              <w:t>الأصل: بالإنكليزية</w:t>
            </w:r>
          </w:p>
        </w:tc>
        <w:tc>
          <w:tcPr>
            <w:tcW w:w="3407" w:type="pct"/>
            <w:gridSpan w:val="2"/>
          </w:tcPr>
          <w:p w14:paraId="5E65B289" w14:textId="77777777" w:rsidR="002B45F4" w:rsidRPr="003151E2" w:rsidRDefault="002B45F4" w:rsidP="00BF3D7D">
            <w:pPr>
              <w:tabs>
                <w:tab w:val="left" w:pos="993"/>
              </w:tabs>
              <w:spacing w:beforeLines="20" w:before="48" w:afterLines="20" w:after="48" w:line="300" w:lineRule="exact"/>
              <w:rPr>
                <w:rFonts w:cstheme="minorHAnsi"/>
                <w:b/>
                <w:bCs/>
              </w:rPr>
            </w:pPr>
          </w:p>
        </w:tc>
      </w:tr>
      <w:tr w:rsidR="002B45F4" w:rsidRPr="00C324A8" w14:paraId="68C399E5" w14:textId="77777777" w:rsidTr="00961460">
        <w:trPr>
          <w:cantSplit/>
          <w:trHeight w:val="23"/>
        </w:trPr>
        <w:tc>
          <w:tcPr>
            <w:tcW w:w="5000" w:type="pct"/>
            <w:gridSpan w:val="3"/>
          </w:tcPr>
          <w:p w14:paraId="6F81FC94" w14:textId="77777777" w:rsidR="002B45F4" w:rsidRPr="00D83BF5" w:rsidRDefault="002B45F4" w:rsidP="003151E2">
            <w:pPr>
              <w:pStyle w:val="Source"/>
              <w:rPr>
                <w:rtl/>
                <w:lang w:bidi="ar-EG"/>
              </w:rPr>
            </w:pPr>
            <w:r w:rsidRPr="00EF1503">
              <w:rPr>
                <w:rtl/>
              </w:rPr>
              <w:t>مدير مكتب تنمية الاتصالات</w:t>
            </w:r>
          </w:p>
        </w:tc>
      </w:tr>
      <w:tr w:rsidR="002B45F4" w:rsidRPr="00C324A8" w14:paraId="521F7F42" w14:textId="77777777" w:rsidTr="00961460">
        <w:trPr>
          <w:cantSplit/>
          <w:trHeight w:val="23"/>
        </w:trPr>
        <w:tc>
          <w:tcPr>
            <w:tcW w:w="5000" w:type="pct"/>
            <w:gridSpan w:val="3"/>
            <w:vAlign w:val="center"/>
          </w:tcPr>
          <w:p w14:paraId="32F3E831" w14:textId="22B7B676" w:rsidR="002B45F4" w:rsidRPr="003151E2" w:rsidRDefault="003151E2" w:rsidP="003151E2">
            <w:pPr>
              <w:pStyle w:val="Title1"/>
            </w:pPr>
            <w:r w:rsidRPr="003151E2">
              <w:rPr>
                <w:rtl/>
              </w:rPr>
              <w:t>لوحتا المعلومات</w:t>
            </w:r>
            <w:r>
              <w:rPr>
                <w:rtl/>
              </w:rPr>
              <w:br/>
            </w:r>
            <w:r w:rsidRPr="003151E2">
              <w:rPr>
                <w:rtl/>
              </w:rPr>
              <w:t>الخطة التشغيلية وقرارات المؤتمر العالمي لتنمية الاتصالات لعام 2022 والمبادرات الإقليمية</w:t>
            </w:r>
          </w:p>
        </w:tc>
      </w:tr>
      <w:tr w:rsidR="002B45F4" w:rsidRPr="00C324A8" w14:paraId="51562870" w14:textId="77777777" w:rsidTr="00961460">
        <w:trPr>
          <w:cantSplit/>
          <w:trHeight w:val="23"/>
        </w:trPr>
        <w:tc>
          <w:tcPr>
            <w:tcW w:w="5000" w:type="pct"/>
            <w:gridSpan w:val="3"/>
          </w:tcPr>
          <w:p w14:paraId="1D61F08E" w14:textId="77777777" w:rsidR="002B45F4" w:rsidRPr="00B911B2" w:rsidRDefault="002B45F4" w:rsidP="00961460">
            <w:pPr>
              <w:pStyle w:val="Title2"/>
            </w:pPr>
          </w:p>
        </w:tc>
      </w:tr>
      <w:tr w:rsidR="002B45F4" w:rsidRPr="00C324A8" w14:paraId="2D96B244" w14:textId="77777777" w:rsidTr="00961460">
        <w:trPr>
          <w:cantSplit/>
          <w:trHeight w:val="23"/>
        </w:trPr>
        <w:tc>
          <w:tcPr>
            <w:tcW w:w="5000" w:type="pct"/>
            <w:gridSpan w:val="3"/>
          </w:tcPr>
          <w:p w14:paraId="715A3B02" w14:textId="77777777" w:rsidR="002B45F4" w:rsidRPr="00EF1503" w:rsidRDefault="002B45F4" w:rsidP="00961460">
            <w:pPr>
              <w:pStyle w:val="Title2"/>
            </w:pPr>
          </w:p>
        </w:tc>
      </w:tr>
      <w:bookmarkEnd w:id="0"/>
      <w:bookmarkEnd w:id="6"/>
      <w:bookmarkEnd w:id="7"/>
      <w:tr w:rsidR="00CF6AA0" w14:paraId="0494C41F" w14:textId="77777777">
        <w:tc>
          <w:tcPr>
            <w:tcW w:w="10031" w:type="dxa"/>
            <w:gridSpan w:val="3"/>
            <w:tcBorders>
              <w:top w:val="single" w:sz="4" w:space="0" w:color="auto"/>
              <w:left w:val="single" w:sz="4" w:space="0" w:color="auto"/>
              <w:bottom w:val="single" w:sz="4" w:space="0" w:color="auto"/>
              <w:right w:val="single" w:sz="4" w:space="0" w:color="auto"/>
            </w:tcBorders>
          </w:tcPr>
          <w:p w14:paraId="09419BF8" w14:textId="6FF1F078" w:rsidR="00CF6AA0" w:rsidRPr="003151E2" w:rsidRDefault="003151E2">
            <w:pPr>
              <w:rPr>
                <w:b/>
                <w:bCs/>
              </w:rPr>
            </w:pPr>
            <w:r>
              <w:rPr>
                <w:rFonts w:eastAsia="SimSun" w:hint="cs"/>
                <w:b/>
                <w:bCs/>
                <w:rtl/>
              </w:rPr>
              <w:t>ملخص:</w:t>
            </w:r>
          </w:p>
          <w:p w14:paraId="0218057E" w14:textId="7051B517" w:rsidR="003151E2" w:rsidRPr="003151E2" w:rsidRDefault="003151E2" w:rsidP="003151E2">
            <w:r w:rsidRPr="003151E2">
              <w:rPr>
                <w:rtl/>
              </w:rPr>
              <w:t>تعرض هذه الوثيقة لوحتي معلومات تفاعليتين، (1) لمحة عامة عن الخطة التشغيلية (</w:t>
            </w:r>
            <w:r w:rsidRPr="003151E2">
              <w:t>OP</w:t>
            </w:r>
            <w:r w:rsidRPr="003151E2">
              <w:rPr>
                <w:rtl/>
              </w:rPr>
              <w:t xml:space="preserve">) لقطاع تنمية الاتصالات بما في ذلك تنفيذ الميزانية وأداء الإدارة القائمة على النتائج في المناطق الست جميعها وعلى مستوى متعدد المناطق، و(2) مساهمة أنشطة </w:t>
            </w:r>
            <w:r>
              <w:rPr>
                <w:rFonts w:hint="cs"/>
                <w:rtl/>
              </w:rPr>
              <w:t xml:space="preserve">الخطة </w:t>
            </w:r>
            <w:r w:rsidRPr="003151E2">
              <w:rPr>
                <w:rtl/>
              </w:rPr>
              <w:t>التشغيلية ومشاريع قطاع تنمية الاتصالات في تنفيذ قرارات المؤتمر العالمي لتنمية الاتصالات لعام 2022 والمبادرات الإقليمية.</w:t>
            </w:r>
          </w:p>
          <w:p w14:paraId="7F68B025" w14:textId="2FA32B6C" w:rsidR="00CF6AA0" w:rsidRPr="003151E2" w:rsidRDefault="003151E2">
            <w:pPr>
              <w:rPr>
                <w:b/>
                <w:bCs/>
              </w:rPr>
            </w:pPr>
            <w:r>
              <w:rPr>
                <w:rFonts w:eastAsia="SimSun" w:hint="cs"/>
                <w:b/>
                <w:bCs/>
                <w:rtl/>
              </w:rPr>
              <w:t>الإجراء المطلوب:</w:t>
            </w:r>
          </w:p>
          <w:p w14:paraId="6E3A7473" w14:textId="34BDF544" w:rsidR="00CF6AA0" w:rsidRPr="003151E2" w:rsidRDefault="003151E2" w:rsidP="003151E2">
            <w:pPr>
              <w:rPr>
                <w:b/>
              </w:rPr>
            </w:pPr>
            <w:r w:rsidRPr="003151E2">
              <w:rPr>
                <w:b/>
                <w:rtl/>
              </w:rPr>
              <w:t>يُدعى المؤتمر العالمي لتنمية الاتصالات إلى الإحاطة علماً بلوحتي المعلومات وإبداء ما يراه لازماً من تعليقات.</w:t>
            </w:r>
          </w:p>
          <w:p w14:paraId="5392471A" w14:textId="77777777" w:rsidR="00CF6AA0" w:rsidRPr="003151E2" w:rsidRDefault="00A92555">
            <w:pPr>
              <w:rPr>
                <w:b/>
                <w:bCs/>
              </w:rPr>
            </w:pPr>
            <w:r w:rsidRPr="003151E2">
              <w:rPr>
                <w:rFonts w:eastAsia="SimSun"/>
                <w:b/>
                <w:bCs/>
                <w:rtl/>
              </w:rPr>
              <w:t>المراجع</w:t>
            </w:r>
          </w:p>
          <w:p w14:paraId="6228815E" w14:textId="327A460B" w:rsidR="003151E2" w:rsidRPr="003151E2" w:rsidRDefault="003151E2" w:rsidP="003151E2">
            <w:pPr>
              <w:rPr>
                <w:rtl/>
                <w:lang w:bidi="en-GB"/>
              </w:rPr>
            </w:pPr>
            <w:hyperlink r:id="rId14" w:history="1">
              <w:r w:rsidRPr="003151E2">
                <w:rPr>
                  <w:rStyle w:val="Hyperlink"/>
                  <w:rtl/>
                </w:rPr>
                <w:t>الوثيقة 2 للمؤتمر العالمي لتنمية الاتصالات لعام 2025 (WTDC-25)</w:t>
              </w:r>
            </w:hyperlink>
            <w:r w:rsidRPr="003151E2">
              <w:rPr>
                <w:rtl/>
              </w:rPr>
              <w:t>: الإبلاغ عن تنفيذ خطة عمل كيغالي (KAP)</w:t>
            </w:r>
          </w:p>
          <w:p w14:paraId="46F7E45D" w14:textId="07BB731F" w:rsidR="003151E2" w:rsidRPr="003151E2" w:rsidRDefault="003151E2" w:rsidP="003151E2">
            <w:pPr>
              <w:rPr>
                <w:rtl/>
                <w:lang w:bidi="en-GB"/>
              </w:rPr>
            </w:pPr>
            <w:r w:rsidRPr="003151E2">
              <w:rPr>
                <w:rtl/>
              </w:rPr>
              <w:t xml:space="preserve">الوثيقة </w:t>
            </w:r>
            <w:hyperlink r:id="rId15" w:history="1">
              <w:r w:rsidRPr="003151E2">
                <w:rPr>
                  <w:rStyle w:val="Hyperlink"/>
                  <w:rtl/>
                </w:rPr>
                <w:t>WTDC-25/2(Ann.1)</w:t>
              </w:r>
            </w:hyperlink>
            <w:r w:rsidRPr="003151E2">
              <w:rPr>
                <w:rtl/>
              </w:rPr>
              <w:t xml:space="preserve"> - خارطة ارتباطات مساهمات مشاريع قطاع تنمية الاتصالات</w:t>
            </w:r>
            <w:r w:rsidRPr="003151E2">
              <w:rPr>
                <w:rtl/>
              </w:rPr>
              <w:t xml:space="preserve"> </w:t>
            </w:r>
            <w:r w:rsidRPr="003151E2">
              <w:rPr>
                <w:rtl/>
              </w:rPr>
              <w:t>في تنفيذ المبادرات الإقليمية للمؤتمر العالمي لتنمية الاتصالات لعام 2022</w:t>
            </w:r>
          </w:p>
          <w:p w14:paraId="2DBE9CDE" w14:textId="1943BF83" w:rsidR="00CF6AA0" w:rsidRPr="003151E2" w:rsidRDefault="003151E2" w:rsidP="003151E2">
            <w:pPr>
              <w:rPr>
                <w:lang w:bidi="en-GB"/>
              </w:rPr>
            </w:pPr>
            <w:r w:rsidRPr="003151E2">
              <w:rPr>
                <w:rtl/>
              </w:rPr>
              <w:t xml:space="preserve">الوثيقة </w:t>
            </w:r>
            <w:hyperlink r:id="rId16" w:history="1">
              <w:r w:rsidRPr="003151E2">
                <w:rPr>
                  <w:rStyle w:val="Hyperlink"/>
                  <w:rtl/>
                </w:rPr>
                <w:t>WTDC-25/2(Ann.2)</w:t>
              </w:r>
            </w:hyperlink>
            <w:r w:rsidRPr="003151E2">
              <w:rPr>
                <w:rtl/>
              </w:rPr>
              <w:t xml:space="preserve"> - مساهمة أنشطة الخطة التشغيلية (OP) ومشاريع قطاع تنمية الاتصالات في تنفيذ قرارات المؤتمر العالمي لتنمية الاتصالات لعام 2022</w:t>
            </w:r>
          </w:p>
        </w:tc>
      </w:tr>
    </w:tbl>
    <w:p w14:paraId="690B7144" w14:textId="6A152B74" w:rsidR="003151E2" w:rsidRPr="003151E2" w:rsidRDefault="00BF3D7D" w:rsidP="003151E2">
      <w:pPr>
        <w:pStyle w:val="Heading1"/>
        <w:rPr>
          <w:lang w:val="ar-SA" w:bidi="ar-EG"/>
        </w:rPr>
      </w:pPr>
      <w:r>
        <w:rPr>
          <w:rtl/>
          <w:lang w:bidi="ar-EG"/>
        </w:rPr>
        <w:br w:type="page"/>
      </w:r>
      <w:r w:rsidR="003151E2">
        <w:rPr>
          <w:rFonts w:hint="cs"/>
          <w:rtl/>
          <w:lang w:bidi="ar-EG"/>
        </w:rPr>
        <w:lastRenderedPageBreak/>
        <w:t>1</w:t>
      </w:r>
      <w:r w:rsidR="003151E2">
        <w:rPr>
          <w:rtl/>
          <w:lang w:bidi="ar-EG"/>
        </w:rPr>
        <w:tab/>
      </w:r>
      <w:r w:rsidR="003151E2" w:rsidRPr="003151E2">
        <w:rPr>
          <w:rtl/>
        </w:rPr>
        <w:t>مقدمة</w:t>
      </w:r>
    </w:p>
    <w:p w14:paraId="77053A02" w14:textId="17FF5779" w:rsidR="003151E2" w:rsidRPr="003151E2" w:rsidRDefault="003151E2" w:rsidP="003151E2">
      <w:pPr>
        <w:rPr>
          <w:rtl/>
          <w:lang w:bidi="en-GB"/>
        </w:rPr>
      </w:pPr>
      <w:r w:rsidRPr="003151E2">
        <w:rPr>
          <w:rtl/>
        </w:rPr>
        <w:t xml:space="preserve">يمكن الاطلاع على لوحتي المعلومات اللتين تلخصان تنفيذ ميزانية الخطة التشغيلية (OP) وإطار الإدارة القائمة على النتائج لتنفيذ خطة عمل كيغالي، علاوةً عن قرارات المؤتمر العالمي لتنمية الاتصالات لعام 2022 والمبادرات الإقليمية عبر حساب محمي بموجب خدمة تبادل معلومات الاتصالات (TIES) على الرابط التالي: </w:t>
      </w:r>
      <w:hyperlink r:id="rId17" w:anchor="/ar" w:history="1">
        <w:r w:rsidRPr="003151E2">
          <w:rPr>
            <w:rStyle w:val="Hyperlink"/>
            <w:rtl/>
          </w:rPr>
          <w:t>لوحتا المعلومات</w:t>
        </w:r>
      </w:hyperlink>
      <w:hyperlink r:id="rId18" w:history="1"/>
    </w:p>
    <w:p w14:paraId="1E8F45AE" w14:textId="77777777" w:rsidR="003151E2" w:rsidRPr="003151E2" w:rsidRDefault="003151E2" w:rsidP="003151E2">
      <w:pPr>
        <w:rPr>
          <w:rtl/>
          <w:lang w:bidi="en-GB"/>
        </w:rPr>
      </w:pPr>
      <w:r w:rsidRPr="003151E2">
        <w:rPr>
          <w:rtl/>
        </w:rPr>
        <w:t>وتسلط أدوات الإبلاغ الضوء على التزام مكتب تنمية الاتصالات (BDT) بالتمسك بالمساءلة والشفافية والكفاءة في جميع أنشطته وعملياته.</w:t>
      </w:r>
    </w:p>
    <w:p w14:paraId="5A349A13" w14:textId="1642B899" w:rsidR="006C5760" w:rsidRDefault="003151E2" w:rsidP="003151E2">
      <w:pPr>
        <w:rPr>
          <w:rtl/>
        </w:rPr>
      </w:pPr>
      <w:r w:rsidRPr="003151E2">
        <w:rPr>
          <w:rtl/>
        </w:rPr>
        <w:t xml:space="preserve">يُدعى المؤتمر العالمي لتنمية الاتصالات إلى الإحاطة علماً بلوحتي </w:t>
      </w:r>
      <w:r>
        <w:rPr>
          <w:rFonts w:hint="cs"/>
          <w:rtl/>
        </w:rPr>
        <w:t>المعلومات</w:t>
      </w:r>
      <w:r w:rsidRPr="003151E2">
        <w:rPr>
          <w:rtl/>
        </w:rPr>
        <w:t xml:space="preserve"> وتقديم ما يراه لازماً من توجيهات</w:t>
      </w:r>
    </w:p>
    <w:p w14:paraId="15CA7E98" w14:textId="1D1DA4B6" w:rsidR="003151E2" w:rsidRPr="006C5760" w:rsidRDefault="003151E2" w:rsidP="003151E2">
      <w:pPr>
        <w:spacing w:before="600"/>
        <w:jc w:val="center"/>
        <w:rPr>
          <w:rtl/>
          <w:lang w:bidi="ar-EG"/>
        </w:rPr>
      </w:pPr>
      <w:r w:rsidRPr="00FC4592">
        <w:rPr>
          <w:rFonts w:hint="cs"/>
          <w:rtl/>
          <w:lang w:bidi="ar-EG"/>
        </w:rPr>
        <w:t>ــــــــــــــــــــــــــــــــــــــــــــــــــــــــــــــــــــــــــــــــــــــــــــــــ</w:t>
      </w:r>
    </w:p>
    <w:sectPr w:rsidR="003151E2" w:rsidRPr="006C5760" w:rsidSect="006C3242">
      <w:headerReference w:type="default" r:id="rId19"/>
      <w:footerReference w:type="first" r:id="rId20"/>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3BB58" w14:textId="77777777" w:rsidR="0080077C" w:rsidRDefault="0080077C" w:rsidP="006C3242">
      <w:pPr>
        <w:spacing w:before="0" w:line="240" w:lineRule="auto"/>
      </w:pPr>
      <w:r>
        <w:separator/>
      </w:r>
    </w:p>
  </w:endnote>
  <w:endnote w:type="continuationSeparator" w:id="0">
    <w:p w14:paraId="6C1F93C9" w14:textId="77777777" w:rsidR="0080077C" w:rsidRDefault="0080077C"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ook w:val="04A0" w:firstRow="1" w:lastRow="0" w:firstColumn="1" w:lastColumn="0" w:noHBand="0" w:noVBand="1"/>
      <w:tblCaption w:val="اسم الشخص الذي يمكن الاتصال به بشأن الوثيقة وبيانات الاتصال الخاصة به"/>
    </w:tblPr>
    <w:tblGrid>
      <w:gridCol w:w="991"/>
      <w:gridCol w:w="2411"/>
      <w:gridCol w:w="6237"/>
    </w:tblGrid>
    <w:tr w:rsidR="00882A17" w:rsidRPr="005874F2" w14:paraId="70D71513" w14:textId="77777777" w:rsidTr="00F03E94">
      <w:tc>
        <w:tcPr>
          <w:tcW w:w="991" w:type="dxa"/>
          <w:tcBorders>
            <w:top w:val="single" w:sz="4" w:space="0" w:color="auto"/>
            <w:left w:val="nil"/>
            <w:bottom w:val="nil"/>
            <w:right w:val="nil"/>
          </w:tcBorders>
          <w:shd w:val="clear" w:color="auto" w:fill="FFFFFF" w:themeFill="background1"/>
          <w:hideMark/>
        </w:tcPr>
        <w:p w14:paraId="3FFE0A5D" w14:textId="77777777" w:rsidR="00882A17" w:rsidRPr="005874F2" w:rsidRDefault="00882A17" w:rsidP="00882A17">
          <w:pPr>
            <w:spacing w:before="60" w:after="40" w:line="260" w:lineRule="exact"/>
            <w:rPr>
              <w:position w:val="2"/>
              <w:sz w:val="18"/>
              <w:szCs w:val="18"/>
              <w:lang w:val="en-GB"/>
            </w:rPr>
          </w:pPr>
          <w:r w:rsidRPr="005874F2">
            <w:rPr>
              <w:position w:val="2"/>
              <w:sz w:val="18"/>
              <w:szCs w:val="18"/>
              <w:rtl/>
              <w:lang w:val="fr-FR" w:bidi="ar-EG"/>
            </w:rPr>
            <w:t>للاتصال:</w:t>
          </w:r>
        </w:p>
      </w:tc>
      <w:tc>
        <w:tcPr>
          <w:tcW w:w="2411" w:type="dxa"/>
          <w:tcBorders>
            <w:top w:val="single" w:sz="4" w:space="0" w:color="auto"/>
            <w:left w:val="nil"/>
            <w:bottom w:val="nil"/>
            <w:right w:val="nil"/>
          </w:tcBorders>
          <w:shd w:val="clear" w:color="auto" w:fill="FFFFFF" w:themeFill="background1"/>
          <w:hideMark/>
        </w:tcPr>
        <w:p w14:paraId="0FE067CE" w14:textId="77777777" w:rsidR="00882A17" w:rsidRPr="005874F2" w:rsidRDefault="00882A17" w:rsidP="00882A17">
          <w:pPr>
            <w:spacing w:before="60" w:after="40" w:line="260" w:lineRule="exact"/>
            <w:rPr>
              <w:position w:val="2"/>
              <w:sz w:val="18"/>
              <w:szCs w:val="18"/>
              <w:lang w:val="en-GB"/>
            </w:rPr>
          </w:pPr>
          <w:r w:rsidRPr="005874F2">
            <w:rPr>
              <w:position w:val="2"/>
              <w:sz w:val="18"/>
              <w:szCs w:val="18"/>
              <w:rtl/>
              <w:lang w:val="fr-FR" w:bidi="ar-EG"/>
            </w:rPr>
            <w:t>الاسم/المنظمة/الكيان:</w:t>
          </w:r>
        </w:p>
      </w:tc>
      <w:tc>
        <w:tcPr>
          <w:tcW w:w="6237" w:type="dxa"/>
          <w:tcBorders>
            <w:top w:val="single" w:sz="4" w:space="0" w:color="auto"/>
            <w:left w:val="nil"/>
            <w:bottom w:val="nil"/>
            <w:right w:val="nil"/>
          </w:tcBorders>
          <w:shd w:val="clear" w:color="auto" w:fill="FFFFFF" w:themeFill="background1"/>
        </w:tcPr>
        <w:p w14:paraId="2EFB1165" w14:textId="74F28496" w:rsidR="00882A17" w:rsidRPr="005874F2" w:rsidRDefault="003151E2" w:rsidP="003151E2">
          <w:pPr>
            <w:spacing w:before="60" w:after="40" w:line="260" w:lineRule="exact"/>
            <w:rPr>
              <w:position w:val="2"/>
              <w:sz w:val="18"/>
              <w:szCs w:val="18"/>
              <w:lang w:val="en-GB"/>
            </w:rPr>
          </w:pPr>
          <w:r w:rsidRPr="003151E2">
            <w:rPr>
              <w:position w:val="2"/>
              <w:sz w:val="18"/>
              <w:szCs w:val="18"/>
              <w:rtl/>
              <w:lang w:val="fr-FR"/>
            </w:rPr>
            <w:t xml:space="preserve">السيدة </w:t>
          </w:r>
          <w:proofErr w:type="spellStart"/>
          <w:r w:rsidRPr="003151E2">
            <w:rPr>
              <w:position w:val="2"/>
              <w:sz w:val="18"/>
              <w:szCs w:val="18"/>
              <w:rtl/>
              <w:lang w:val="fr-FR"/>
            </w:rPr>
            <w:t>Archana</w:t>
          </w:r>
          <w:proofErr w:type="spellEnd"/>
          <w:r w:rsidRPr="003151E2">
            <w:rPr>
              <w:position w:val="2"/>
              <w:sz w:val="18"/>
              <w:szCs w:val="18"/>
              <w:rtl/>
              <w:lang w:val="fr-FR"/>
            </w:rPr>
            <w:t xml:space="preserve"> </w:t>
          </w:r>
          <w:proofErr w:type="spellStart"/>
          <w:r w:rsidRPr="003151E2">
            <w:rPr>
              <w:position w:val="2"/>
              <w:sz w:val="18"/>
              <w:szCs w:val="18"/>
              <w:rtl/>
              <w:lang w:val="fr-FR"/>
            </w:rPr>
            <w:t>Gulati</w:t>
          </w:r>
          <w:proofErr w:type="spellEnd"/>
          <w:r w:rsidRPr="003151E2">
            <w:rPr>
              <w:position w:val="2"/>
              <w:sz w:val="18"/>
              <w:szCs w:val="18"/>
              <w:rtl/>
              <w:lang w:val="fr-FR"/>
            </w:rPr>
            <w:t>، نائبة مدير مكتب تنمية الاتصالات</w:t>
          </w:r>
        </w:p>
      </w:tc>
    </w:tr>
    <w:tr w:rsidR="00882A17" w:rsidRPr="005874F2" w14:paraId="6373ACE2" w14:textId="77777777" w:rsidTr="00F03E94">
      <w:tc>
        <w:tcPr>
          <w:tcW w:w="991" w:type="dxa"/>
        </w:tcPr>
        <w:p w14:paraId="06505B63" w14:textId="77777777" w:rsidR="00882A17" w:rsidRPr="005874F2" w:rsidRDefault="00882A17" w:rsidP="00882A17">
          <w:pPr>
            <w:spacing w:before="60" w:after="40" w:line="260" w:lineRule="exact"/>
            <w:rPr>
              <w:position w:val="2"/>
              <w:sz w:val="18"/>
              <w:szCs w:val="18"/>
              <w:lang w:val="en-GB"/>
            </w:rPr>
          </w:pPr>
        </w:p>
      </w:tc>
      <w:tc>
        <w:tcPr>
          <w:tcW w:w="2411" w:type="dxa"/>
          <w:hideMark/>
        </w:tcPr>
        <w:p w14:paraId="53CEA494" w14:textId="77777777" w:rsidR="00882A17" w:rsidRPr="005874F2" w:rsidRDefault="00882A17" w:rsidP="00882A17">
          <w:pPr>
            <w:spacing w:before="60" w:after="40" w:line="260" w:lineRule="exact"/>
            <w:rPr>
              <w:position w:val="2"/>
              <w:sz w:val="18"/>
              <w:szCs w:val="18"/>
              <w:lang w:val="en-GB"/>
            </w:rPr>
          </w:pPr>
          <w:r w:rsidRPr="005874F2">
            <w:rPr>
              <w:position w:val="2"/>
              <w:sz w:val="18"/>
              <w:szCs w:val="18"/>
              <w:rtl/>
              <w:lang w:val="fr-FR" w:bidi="ar-EG"/>
            </w:rPr>
            <w:t>رقم الهاتف:</w:t>
          </w:r>
        </w:p>
      </w:tc>
      <w:tc>
        <w:tcPr>
          <w:tcW w:w="6237" w:type="dxa"/>
        </w:tcPr>
        <w:p w14:paraId="398CA3C6" w14:textId="35CFBC96" w:rsidR="00882A17" w:rsidRPr="005874F2" w:rsidRDefault="003151E2" w:rsidP="003151E2">
          <w:pPr>
            <w:spacing w:before="60" w:after="40" w:line="260" w:lineRule="exact"/>
            <w:rPr>
              <w:position w:val="2"/>
              <w:sz w:val="18"/>
              <w:szCs w:val="18"/>
              <w:lang w:val="en-GB"/>
            </w:rPr>
          </w:pPr>
          <w:r w:rsidRPr="003151E2">
            <w:rPr>
              <w:position w:val="2"/>
              <w:sz w:val="18"/>
              <w:szCs w:val="18"/>
              <w:lang w:bidi="ar-EG"/>
            </w:rPr>
            <w:t>+41 22 730 6475</w:t>
          </w:r>
        </w:p>
      </w:tc>
    </w:tr>
    <w:tr w:rsidR="00882A17" w:rsidRPr="005874F2" w14:paraId="58B2544D" w14:textId="77777777" w:rsidTr="00F03E94">
      <w:tc>
        <w:tcPr>
          <w:tcW w:w="991" w:type="dxa"/>
        </w:tcPr>
        <w:p w14:paraId="67BC3EA7" w14:textId="77777777" w:rsidR="00882A17" w:rsidRPr="005874F2" w:rsidRDefault="00882A17" w:rsidP="00882A17">
          <w:pPr>
            <w:spacing w:before="60" w:after="40" w:line="260" w:lineRule="exact"/>
            <w:rPr>
              <w:position w:val="2"/>
              <w:sz w:val="18"/>
              <w:szCs w:val="18"/>
              <w:lang w:val="en-GB"/>
            </w:rPr>
          </w:pPr>
        </w:p>
      </w:tc>
      <w:tc>
        <w:tcPr>
          <w:tcW w:w="2411" w:type="dxa"/>
          <w:hideMark/>
        </w:tcPr>
        <w:p w14:paraId="3BBC83BB" w14:textId="77777777" w:rsidR="00882A17" w:rsidRPr="005874F2" w:rsidRDefault="00882A17" w:rsidP="00882A17">
          <w:pPr>
            <w:spacing w:before="60" w:after="40" w:line="260" w:lineRule="exact"/>
            <w:rPr>
              <w:position w:val="2"/>
              <w:sz w:val="18"/>
              <w:szCs w:val="18"/>
              <w:lang w:val="en-GB"/>
            </w:rPr>
          </w:pPr>
          <w:r w:rsidRPr="005874F2">
            <w:rPr>
              <w:position w:val="2"/>
              <w:sz w:val="18"/>
              <w:szCs w:val="18"/>
              <w:rtl/>
              <w:lang w:val="fr-FR" w:bidi="ar-EG"/>
            </w:rPr>
            <w:t>البريد الإلكتروني:</w:t>
          </w:r>
        </w:p>
      </w:tc>
      <w:tc>
        <w:tcPr>
          <w:tcW w:w="6237" w:type="dxa"/>
        </w:tcPr>
        <w:p w14:paraId="4A166876" w14:textId="66B86EC7" w:rsidR="00882A17" w:rsidRPr="005874F2" w:rsidRDefault="003151E2" w:rsidP="003151E2">
          <w:pPr>
            <w:spacing w:before="60" w:after="40" w:line="260" w:lineRule="exact"/>
            <w:rPr>
              <w:position w:val="2"/>
              <w:sz w:val="18"/>
              <w:szCs w:val="18"/>
              <w:rtl/>
              <w:lang w:val="fr-FR" w:bidi="ar-EG"/>
            </w:rPr>
          </w:pPr>
          <w:hyperlink r:id="rId1" w:history="1">
            <w:r w:rsidRPr="003151E2">
              <w:rPr>
                <w:rStyle w:val="Hyperlink"/>
                <w:position w:val="2"/>
                <w:sz w:val="18"/>
                <w:szCs w:val="18"/>
                <w:lang w:val="en-GB" w:bidi="ar-EG"/>
              </w:rPr>
              <w:t>archana.gulati@itu.int</w:t>
            </w:r>
          </w:hyperlink>
        </w:p>
      </w:tc>
    </w:tr>
  </w:tbl>
  <w:p w14:paraId="4C58FB38" w14:textId="77777777" w:rsidR="0006468A" w:rsidRPr="003971E3" w:rsidRDefault="00A92555" w:rsidP="003971E3">
    <w:pPr>
      <w:pStyle w:val="Footer"/>
      <w:tabs>
        <w:tab w:val="clear" w:pos="4153"/>
        <w:tab w:val="clear" w:pos="8306"/>
        <w:tab w:val="center" w:pos="5103"/>
        <w:tab w:val="right" w:pos="9639"/>
      </w:tabs>
      <w:spacing w:before="120"/>
      <w:jc w:val="center"/>
      <w:rPr>
        <w:sz w:val="18"/>
        <w:szCs w:val="18"/>
        <w:lang w:val="fr-FR"/>
      </w:rPr>
    </w:pPr>
    <w:hyperlink r:id="rId2" w:anchor="/ar" w:history="1">
      <w:r w:rsidR="009321A1" w:rsidRPr="00804F44">
        <w:rPr>
          <w:rStyle w:val="Hyperlink"/>
          <w:rFonts w:ascii="Calibri" w:hAnsi="Calibri" w:cs="Calibri"/>
          <w:lang w:val="en-GB"/>
        </w:rPr>
        <w:t>WTDC</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D9152" w14:textId="77777777" w:rsidR="0080077C" w:rsidRDefault="0080077C" w:rsidP="006C3242">
      <w:pPr>
        <w:spacing w:before="0" w:line="240" w:lineRule="auto"/>
      </w:pPr>
      <w:r>
        <w:separator/>
      </w:r>
    </w:p>
  </w:footnote>
  <w:footnote w:type="continuationSeparator" w:id="0">
    <w:p w14:paraId="4C14484C" w14:textId="77777777" w:rsidR="0080077C" w:rsidRDefault="0080077C"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1375531529"/>
      <w:docPartObj>
        <w:docPartGallery w:val="Page Numbers (Top of Page)"/>
        <w:docPartUnique/>
      </w:docPartObj>
    </w:sdtPr>
    <w:sdtEndPr>
      <w:rPr>
        <w:rFonts w:cs="Calibri"/>
        <w:noProof/>
        <w:sz w:val="18"/>
        <w:szCs w:val="18"/>
      </w:rPr>
    </w:sdtEndPr>
    <w:sdtContent>
      <w:p w14:paraId="3F6F041D" w14:textId="4BC4C87C" w:rsidR="00882A17" w:rsidRPr="00FC3D2F" w:rsidRDefault="00882A17" w:rsidP="00D502B6">
        <w:pPr>
          <w:pStyle w:val="Header"/>
          <w:tabs>
            <w:tab w:val="clear" w:pos="794"/>
            <w:tab w:val="clear" w:pos="4680"/>
            <w:tab w:val="clear" w:pos="9360"/>
            <w:tab w:val="center" w:pos="4819"/>
            <w:tab w:val="right" w:pos="9639"/>
          </w:tabs>
          <w:spacing w:before="120" w:line="192" w:lineRule="auto"/>
          <w:rPr>
            <w:sz w:val="20"/>
            <w:szCs w:val="20"/>
            <w:rtl/>
            <w:lang w:bidi="ar-EG"/>
          </w:rPr>
        </w:pPr>
        <w:r w:rsidRPr="00FC3D2F">
          <w:rPr>
            <w:sz w:val="20"/>
            <w:szCs w:val="20"/>
          </w:rPr>
          <w:tab/>
        </w:r>
        <w:bookmarkStart w:id="8" w:name="_Hlk56755748"/>
        <w:r w:rsidR="00D502B6" w:rsidRPr="00D502B6">
          <w:rPr>
            <w:sz w:val="20"/>
            <w:szCs w:val="20"/>
            <w:lang w:val="de-CH"/>
          </w:rPr>
          <w:t>WTDC</w:t>
        </w:r>
        <w:r w:rsidR="00015D21">
          <w:rPr>
            <w:sz w:val="20"/>
            <w:szCs w:val="20"/>
            <w:lang w:val="de-CH"/>
          </w:rPr>
          <w:t>-</w:t>
        </w:r>
        <w:r w:rsidR="008A298B">
          <w:rPr>
            <w:sz w:val="20"/>
            <w:szCs w:val="20"/>
            <w:lang w:val="de-CH"/>
          </w:rPr>
          <w:t>2</w:t>
        </w:r>
        <w:r w:rsidR="0067316D">
          <w:rPr>
            <w:sz w:val="20"/>
            <w:szCs w:val="20"/>
            <w:lang w:val="de-CH"/>
          </w:rPr>
          <w:t>5</w:t>
        </w:r>
        <w:r w:rsidR="00D502B6" w:rsidRPr="00D502B6">
          <w:rPr>
            <w:sz w:val="20"/>
            <w:szCs w:val="20"/>
            <w:lang w:val="de-CH"/>
          </w:rPr>
          <w:t>/</w:t>
        </w:r>
        <w:bookmarkStart w:id="9" w:name="OLE_LINK3"/>
        <w:bookmarkStart w:id="10" w:name="OLE_LINK2"/>
        <w:bookmarkStart w:id="11" w:name="OLE_LINK1"/>
        <w:r w:rsidR="00D502B6" w:rsidRPr="00D502B6">
          <w:rPr>
            <w:sz w:val="20"/>
            <w:szCs w:val="20"/>
            <w:lang w:val="en-GB"/>
          </w:rPr>
          <w:t>2</w:t>
        </w:r>
        <w:bookmarkEnd w:id="9"/>
        <w:bookmarkEnd w:id="10"/>
        <w:bookmarkEnd w:id="11"/>
        <w:r w:rsidR="003151E2">
          <w:rPr>
            <w:sz w:val="20"/>
            <w:szCs w:val="20"/>
            <w:lang w:val="en-GB"/>
          </w:rPr>
          <w:t>(Ann.3)</w:t>
        </w:r>
        <w:r w:rsidR="00D502B6" w:rsidRPr="00D502B6">
          <w:rPr>
            <w:sz w:val="20"/>
            <w:szCs w:val="20"/>
            <w:lang w:val="en-GB"/>
          </w:rPr>
          <w:t>-A</w:t>
        </w:r>
        <w:bookmarkEnd w:id="8"/>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szCs w:val="20"/>
            <w:lang w:val="en-GB"/>
          </w:rPr>
          <w:t>2</w:t>
        </w:r>
        <w:r w:rsidRPr="00FC3D2F">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3D5E31"/>
    <w:multiLevelType w:val="multilevel"/>
    <w:tmpl w:val="0409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24156294">
    <w:abstractNumId w:val="9"/>
  </w:num>
  <w:num w:numId="2" w16cid:durableId="741946456">
    <w:abstractNumId w:val="7"/>
  </w:num>
  <w:num w:numId="3" w16cid:durableId="1983119695">
    <w:abstractNumId w:val="6"/>
  </w:num>
  <w:num w:numId="4" w16cid:durableId="1392848415">
    <w:abstractNumId w:val="5"/>
  </w:num>
  <w:num w:numId="5" w16cid:durableId="1939946313">
    <w:abstractNumId w:val="4"/>
  </w:num>
  <w:num w:numId="6" w16cid:durableId="751898186">
    <w:abstractNumId w:val="8"/>
  </w:num>
  <w:num w:numId="7" w16cid:durableId="672101999">
    <w:abstractNumId w:val="3"/>
  </w:num>
  <w:num w:numId="8" w16cid:durableId="157577924">
    <w:abstractNumId w:val="2"/>
  </w:num>
  <w:num w:numId="9" w16cid:durableId="688601276">
    <w:abstractNumId w:val="1"/>
  </w:num>
  <w:num w:numId="10" w16cid:durableId="1528829727">
    <w:abstractNumId w:val="0"/>
  </w:num>
  <w:num w:numId="11" w16cid:durableId="710761454">
    <w:abstractNumId w:val="11"/>
  </w:num>
  <w:num w:numId="12" w16cid:durableId="255259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89A"/>
    <w:rsid w:val="00015D21"/>
    <w:rsid w:val="00027DD0"/>
    <w:rsid w:val="000554CB"/>
    <w:rsid w:val="0006017B"/>
    <w:rsid w:val="00062311"/>
    <w:rsid w:val="0006468A"/>
    <w:rsid w:val="00090574"/>
    <w:rsid w:val="000C1C0E"/>
    <w:rsid w:val="000C548A"/>
    <w:rsid w:val="000F4E17"/>
    <w:rsid w:val="001004B5"/>
    <w:rsid w:val="00137EC0"/>
    <w:rsid w:val="00190546"/>
    <w:rsid w:val="00195512"/>
    <w:rsid w:val="001B33EE"/>
    <w:rsid w:val="001C0169"/>
    <w:rsid w:val="001C2498"/>
    <w:rsid w:val="001D1D50"/>
    <w:rsid w:val="001D6745"/>
    <w:rsid w:val="001E446E"/>
    <w:rsid w:val="00207E13"/>
    <w:rsid w:val="002154EE"/>
    <w:rsid w:val="0022303E"/>
    <w:rsid w:val="002276D2"/>
    <w:rsid w:val="0023283D"/>
    <w:rsid w:val="0026373E"/>
    <w:rsid w:val="00271C43"/>
    <w:rsid w:val="00290728"/>
    <w:rsid w:val="002978F4"/>
    <w:rsid w:val="002B028D"/>
    <w:rsid w:val="002B45F4"/>
    <w:rsid w:val="002B4CCB"/>
    <w:rsid w:val="002E6541"/>
    <w:rsid w:val="002F031F"/>
    <w:rsid w:val="0030695A"/>
    <w:rsid w:val="003151E2"/>
    <w:rsid w:val="003238D1"/>
    <w:rsid w:val="00334924"/>
    <w:rsid w:val="003409BC"/>
    <w:rsid w:val="003439EE"/>
    <w:rsid w:val="00357185"/>
    <w:rsid w:val="00372FB0"/>
    <w:rsid w:val="00383829"/>
    <w:rsid w:val="003971E3"/>
    <w:rsid w:val="003C4402"/>
    <w:rsid w:val="003F4B29"/>
    <w:rsid w:val="0042686F"/>
    <w:rsid w:val="004317D8"/>
    <w:rsid w:val="00434183"/>
    <w:rsid w:val="00443869"/>
    <w:rsid w:val="00443BA3"/>
    <w:rsid w:val="00447F32"/>
    <w:rsid w:val="0045756B"/>
    <w:rsid w:val="00462040"/>
    <w:rsid w:val="004A38B5"/>
    <w:rsid w:val="004E11DC"/>
    <w:rsid w:val="00525DDD"/>
    <w:rsid w:val="005409AC"/>
    <w:rsid w:val="00541114"/>
    <w:rsid w:val="00551215"/>
    <w:rsid w:val="0055516A"/>
    <w:rsid w:val="0058491B"/>
    <w:rsid w:val="005874F2"/>
    <w:rsid w:val="00592EA5"/>
    <w:rsid w:val="005A3170"/>
    <w:rsid w:val="005A577B"/>
    <w:rsid w:val="005C68A4"/>
    <w:rsid w:val="005F0358"/>
    <w:rsid w:val="0061537F"/>
    <w:rsid w:val="00670BD0"/>
    <w:rsid w:val="0067316D"/>
    <w:rsid w:val="00677396"/>
    <w:rsid w:val="00683E52"/>
    <w:rsid w:val="0069200F"/>
    <w:rsid w:val="006A08E7"/>
    <w:rsid w:val="006A65CB"/>
    <w:rsid w:val="006C3242"/>
    <w:rsid w:val="006C5760"/>
    <w:rsid w:val="006C7CC0"/>
    <w:rsid w:val="006E221A"/>
    <w:rsid w:val="006F63F7"/>
    <w:rsid w:val="007025C7"/>
    <w:rsid w:val="00706D7A"/>
    <w:rsid w:val="00722F0D"/>
    <w:rsid w:val="00732E28"/>
    <w:rsid w:val="0073796B"/>
    <w:rsid w:val="0074420E"/>
    <w:rsid w:val="00747A70"/>
    <w:rsid w:val="0077600E"/>
    <w:rsid w:val="00783A69"/>
    <w:rsid w:val="00783E26"/>
    <w:rsid w:val="007C3BC7"/>
    <w:rsid w:val="007C3BCD"/>
    <w:rsid w:val="007D4ACF"/>
    <w:rsid w:val="007F0787"/>
    <w:rsid w:val="0080077C"/>
    <w:rsid w:val="00810B7B"/>
    <w:rsid w:val="0082358A"/>
    <w:rsid w:val="008235CD"/>
    <w:rsid w:val="008247DE"/>
    <w:rsid w:val="00840B10"/>
    <w:rsid w:val="008513CB"/>
    <w:rsid w:val="008562F3"/>
    <w:rsid w:val="00882A17"/>
    <w:rsid w:val="008A298B"/>
    <w:rsid w:val="008A7F84"/>
    <w:rsid w:val="008B317B"/>
    <w:rsid w:val="008E7999"/>
    <w:rsid w:val="0091702E"/>
    <w:rsid w:val="00923B0C"/>
    <w:rsid w:val="009321A1"/>
    <w:rsid w:val="0093560F"/>
    <w:rsid w:val="0094021C"/>
    <w:rsid w:val="00952F86"/>
    <w:rsid w:val="00961460"/>
    <w:rsid w:val="0096557C"/>
    <w:rsid w:val="00977AB5"/>
    <w:rsid w:val="00982B28"/>
    <w:rsid w:val="00993726"/>
    <w:rsid w:val="00997296"/>
    <w:rsid w:val="009D313F"/>
    <w:rsid w:val="00A04FDF"/>
    <w:rsid w:val="00A23B77"/>
    <w:rsid w:val="00A47A5A"/>
    <w:rsid w:val="00A6683B"/>
    <w:rsid w:val="00A82D34"/>
    <w:rsid w:val="00A87A59"/>
    <w:rsid w:val="00A93F45"/>
    <w:rsid w:val="00A97F94"/>
    <w:rsid w:val="00AA7EA2"/>
    <w:rsid w:val="00B03099"/>
    <w:rsid w:val="00B05BC8"/>
    <w:rsid w:val="00B259C1"/>
    <w:rsid w:val="00B64B47"/>
    <w:rsid w:val="00B71DDD"/>
    <w:rsid w:val="00B93B7B"/>
    <w:rsid w:val="00BA7FE5"/>
    <w:rsid w:val="00BB7407"/>
    <w:rsid w:val="00BD3D15"/>
    <w:rsid w:val="00BF3D7D"/>
    <w:rsid w:val="00BF7814"/>
    <w:rsid w:val="00C002DE"/>
    <w:rsid w:val="00C47185"/>
    <w:rsid w:val="00C53BF8"/>
    <w:rsid w:val="00C66157"/>
    <w:rsid w:val="00C674FE"/>
    <w:rsid w:val="00C67501"/>
    <w:rsid w:val="00C75633"/>
    <w:rsid w:val="00C759AC"/>
    <w:rsid w:val="00CE2EE1"/>
    <w:rsid w:val="00CE3349"/>
    <w:rsid w:val="00CE36E5"/>
    <w:rsid w:val="00CF27F5"/>
    <w:rsid w:val="00CF3FFD"/>
    <w:rsid w:val="00CF6AA0"/>
    <w:rsid w:val="00D10CCF"/>
    <w:rsid w:val="00D4530C"/>
    <w:rsid w:val="00D502B6"/>
    <w:rsid w:val="00D77D0F"/>
    <w:rsid w:val="00D8311F"/>
    <w:rsid w:val="00DA1CF0"/>
    <w:rsid w:val="00DA389A"/>
    <w:rsid w:val="00DC1E02"/>
    <w:rsid w:val="00DC24B4"/>
    <w:rsid w:val="00DC5FB0"/>
    <w:rsid w:val="00DD384C"/>
    <w:rsid w:val="00DE2D5E"/>
    <w:rsid w:val="00DF16DC"/>
    <w:rsid w:val="00E01C3E"/>
    <w:rsid w:val="00E05814"/>
    <w:rsid w:val="00E11C63"/>
    <w:rsid w:val="00E45211"/>
    <w:rsid w:val="00E473C5"/>
    <w:rsid w:val="00E74D8A"/>
    <w:rsid w:val="00E92863"/>
    <w:rsid w:val="00EB796D"/>
    <w:rsid w:val="00EE25F3"/>
    <w:rsid w:val="00EE5CF2"/>
    <w:rsid w:val="00F058DC"/>
    <w:rsid w:val="00F17459"/>
    <w:rsid w:val="00F24FC4"/>
    <w:rsid w:val="00F2676C"/>
    <w:rsid w:val="00F44DC9"/>
    <w:rsid w:val="00F554E4"/>
    <w:rsid w:val="00F7781E"/>
    <w:rsid w:val="00F84366"/>
    <w:rsid w:val="00F85089"/>
    <w:rsid w:val="00F974C5"/>
    <w:rsid w:val="00FA6F46"/>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82415"/>
  <w15:chartTrackingRefBased/>
  <w15:docId w15:val="{EC470FFC-DFAB-4DEF-9D3F-416110AF4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760"/>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E05814"/>
    <w:pPr>
      <w:keepNext/>
      <w:keepLines/>
      <w:spacing w:before="120" w:after="360"/>
    </w:pPr>
    <w:rPr>
      <w:b/>
      <w:bCs/>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44DC9"/>
    <w:pPr>
      <w:keepNext/>
      <w:keepLines/>
      <w:spacing w:after="360"/>
      <w:jc w:val="center"/>
    </w:pPr>
    <w:rPr>
      <w:b/>
      <w:bCs/>
      <w:sz w:val="26"/>
      <w:szCs w:val="26"/>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44DC9"/>
    <w:rPr>
      <w:b/>
      <w:bCs/>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E05814"/>
    <w:pPr>
      <w:spacing w:before="120" w:after="600"/>
    </w:pPr>
    <w:rPr>
      <w:b/>
      <w:bCs/>
      <w:sz w:val="26"/>
      <w:szCs w:val="26"/>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E05814"/>
    <w:pPr>
      <w:spacing w:before="120" w:after="360"/>
    </w:pPr>
    <w:rPr>
      <w:b/>
      <w:bCs/>
    </w:rPr>
  </w:style>
  <w:style w:type="paragraph" w:customStyle="1" w:styleId="enumlev1">
    <w:name w:val="enumlev 1"/>
    <w:basedOn w:val="Normal"/>
    <w:qFormat/>
    <w:rsid w:val="006C5760"/>
    <w:pPr>
      <w:spacing w:before="80" w:after="80"/>
      <w:ind w:left="794" w:hanging="794"/>
      <w:outlineLvl w:val="0"/>
    </w:pPr>
    <w:rPr>
      <w:lang w:bidi="ar-SY"/>
    </w:rPr>
  </w:style>
  <w:style w:type="paragraph" w:customStyle="1" w:styleId="enumlev2">
    <w:name w:val="enumlev 2"/>
    <w:basedOn w:val="Normal"/>
    <w:next w:val="enumlev1"/>
    <w:qFormat/>
    <w:rsid w:val="006C5760"/>
    <w:pPr>
      <w:spacing w:before="80" w:after="80"/>
      <w:ind w:left="1588" w:hanging="794"/>
      <w:outlineLvl w:val="1"/>
    </w:pPr>
  </w:style>
  <w:style w:type="paragraph" w:customStyle="1" w:styleId="enumlev3">
    <w:name w:val="enumlev 3"/>
    <w:basedOn w:val="Normal"/>
    <w:qFormat/>
    <w:rsid w:val="006C5760"/>
    <w:pPr>
      <w:spacing w:before="80" w:after="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autoRedefine/>
    <w:uiPriority w:val="99"/>
    <w:semiHidden/>
    <w:unhideWhenUsed/>
    <w:qFormat/>
    <w:rsid w:val="00747A70"/>
    <w:pPr>
      <w:spacing w:before="60" w:line="168" w:lineRule="auto"/>
    </w:pPr>
    <w:rPr>
      <w:sz w:val="18"/>
      <w:szCs w:val="18"/>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747A70"/>
    <w:rPr>
      <w:rFonts w:ascii="Dubai" w:hAnsi="Dubai" w:cs="Dubai"/>
      <w:sz w:val="18"/>
      <w:szCs w:val="18"/>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E05814"/>
    <w:pPr>
      <w:keepNext/>
      <w:keepLines/>
      <w:spacing w:after="360"/>
      <w:jc w:val="center"/>
    </w:pPr>
    <w:rPr>
      <w:b/>
      <w:bCs/>
      <w:sz w:val="26"/>
      <w:szCs w:val="26"/>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44DC9"/>
    <w:pPr>
      <w:spacing w:before="120" w:after="360"/>
    </w:pPr>
    <w:rPr>
      <w:b/>
      <w:bCs/>
    </w:rPr>
  </w:style>
  <w:style w:type="paragraph" w:customStyle="1" w:styleId="Reftitle">
    <w:name w:val="Ref_title"/>
    <w:basedOn w:val="Normal"/>
    <w:qFormat/>
    <w:rsid w:val="00E05814"/>
    <w:pPr>
      <w:keepNext/>
      <w:keepLines/>
      <w:spacing w:before="480" w:after="240"/>
      <w:jc w:val="center"/>
    </w:pPr>
    <w:rPr>
      <w:b/>
      <w:bCs/>
      <w:sz w:val="26"/>
      <w:szCs w:val="26"/>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44DC9"/>
    <w:pPr>
      <w:keepNext/>
      <w:keepLines/>
      <w:spacing w:after="360"/>
      <w:jc w:val="center"/>
    </w:pPr>
    <w:rPr>
      <w:b/>
      <w:bCs/>
      <w:sz w:val="26"/>
      <w:szCs w:val="26"/>
      <w:lang w:bidi="ar-SY"/>
    </w:rPr>
  </w:style>
  <w:style w:type="paragraph" w:customStyle="1" w:styleId="Source">
    <w:name w:val="Source"/>
    <w:basedOn w:val="Normal"/>
    <w:qFormat/>
    <w:rsid w:val="00F44DC9"/>
    <w:pPr>
      <w:keepNext/>
      <w:keepLines/>
      <w:spacing w:before="840"/>
      <w:jc w:val="center"/>
    </w:pPr>
    <w:rPr>
      <w:b/>
      <w:bCs/>
      <w:sz w:val="30"/>
      <w:szCs w:val="30"/>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E05814"/>
    <w:pPr>
      <w:keepNext/>
      <w:keepLines/>
      <w:spacing w:before="240"/>
      <w:jc w:val="center"/>
    </w:pPr>
    <w:rPr>
      <w:b/>
      <w:bCs/>
      <w:sz w:val="26"/>
      <w:szCs w:val="26"/>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E05814"/>
    <w:pPr>
      <w:keepNext/>
      <w:keepLines/>
      <w:spacing w:after="360"/>
      <w:jc w:val="center"/>
    </w:pPr>
    <w:rPr>
      <w:b/>
      <w:bCs/>
      <w:sz w:val="26"/>
      <w:szCs w:val="26"/>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6C5760"/>
    <w:pPr>
      <w:tabs>
        <w:tab w:val="clear" w:pos="794"/>
        <w:tab w:val="left" w:pos="397"/>
      </w:tabs>
      <w:spacing w:before="60" w:after="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QuestionNo">
    <w:name w:val="Question_No"/>
    <w:basedOn w:val="AnnexNo"/>
    <w:qFormat/>
    <w:rsid w:val="00E05814"/>
    <w:rPr>
      <w:lang w:bidi="ar-EG"/>
    </w:rPr>
  </w:style>
  <w:style w:type="paragraph" w:customStyle="1" w:styleId="Questiontitle">
    <w:name w:val="Question_title"/>
    <w:basedOn w:val="Annextitle"/>
    <w:qFormat/>
    <w:rsid w:val="00E05814"/>
  </w:style>
  <w:style w:type="paragraph" w:customStyle="1" w:styleId="Committee">
    <w:name w:val="Committee"/>
    <w:basedOn w:val="Normal"/>
    <w:qFormat/>
    <w:rsid w:val="003151E2"/>
    <w:pPr>
      <w:framePr w:hSpace="180" w:wrap="around" w:hAnchor="text" w:y="-320"/>
      <w:tabs>
        <w:tab w:val="left" w:pos="851"/>
      </w:tabs>
      <w:spacing w:beforeLines="20" w:before="48" w:afterLines="20" w:after="48" w:line="300" w:lineRule="exact"/>
    </w:pPr>
    <w:rPr>
      <w:b/>
      <w:bCs/>
      <w:lang w:val="en-GB" w:bidi="ar-EG"/>
    </w:rPr>
  </w:style>
  <w:style w:type="character" w:styleId="UnresolvedMention">
    <w:name w:val="Unresolved Mention"/>
    <w:basedOn w:val="DefaultParagraphFont"/>
    <w:uiPriority w:val="99"/>
    <w:semiHidden/>
    <w:unhideWhenUsed/>
    <w:rsid w:val="003151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itu.int/itu-d/meetings/wtdc25/dashboards/all-dashboard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itu.int/itu-d/meetings/wtdc25/dashboards/all-dashboards/" TargetMode="External"/><Relationship Id="rId2" Type="http://schemas.openxmlformats.org/officeDocument/2006/relationships/customXml" Target="../customXml/item2.xml"/><Relationship Id="rId16" Type="http://schemas.openxmlformats.org/officeDocument/2006/relationships/hyperlink" Target="https://www.itu.int/md/D22-WTDC25-C-000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itu.int/md/D22-WTDC25-C-0002"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md/D22-WTDC25-C-0002/en"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www.itu.int/itu-d/meetings/wtdc25/" TargetMode="External"/><Relationship Id="rId1" Type="http://schemas.openxmlformats.org/officeDocument/2006/relationships/hyperlink" Target="mailto:archana.gulati@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73c8c82f-6907-4dfd-9d1d-dae8f8258eae" targetNamespace="http://schemas.microsoft.com/office/2006/metadata/properties" ma:root="true" ma:fieldsID="d41af5c836d734370eb92e7ee5f83852" ns2:_="" ns3:_="">
    <xsd:import namespace="996b2e75-67fd-4955-a3b0-5ab9934cb50b"/>
    <xsd:import namespace="73c8c82f-6907-4dfd-9d1d-dae8f8258eae"/>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73c8c82f-6907-4dfd-9d1d-dae8f8258eae"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73c8c82f-6907-4dfd-9d1d-dae8f8258eae">DPM</DPM_x0020_Author>
    <DPM_x0020_File_x0020_name xmlns="73c8c82f-6907-4dfd-9d1d-dae8f8258eae">D22-WTDC25-C-0002!!MSW-A</DPM_x0020_File_x0020_name>
    <DPM_x0020_Version xmlns="73c8c82f-6907-4dfd-9d1d-dae8f8258eae">DPM_2025.10.23.1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CA4C345D802F49AA39C3CBAC576D5B" ma:contentTypeVersion="16" ma:contentTypeDescription="Create a new document." ma:contentTypeScope="" ma:versionID="547bfdc630d93c53a67703274e9a31f8">
  <xsd:schema xmlns:xsd="http://www.w3.org/2001/XMLSchema" xmlns:xs="http://www.w3.org/2001/XMLSchema" xmlns:p="http://schemas.microsoft.com/office/2006/metadata/properties" xmlns:ns2="060e8e06-0ab1-43d2-b04a-41299106b25a" xmlns:ns3="bc0b450c-ff0a-44fa-a43c-58f6e857e634" targetNamespace="http://schemas.microsoft.com/office/2006/metadata/properties" ma:root="true" ma:fieldsID="a0b3b6c19a69914ba3273524f02aa646" ns2:_="" ns3:_="">
    <xsd:import namespace="060e8e06-0ab1-43d2-b04a-41299106b25a"/>
    <xsd:import namespace="bc0b450c-ff0a-44fa-a43c-58f6e857e6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e8e06-0ab1-43d2-b04a-41299106b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0b450c-ff0a-44fa-a43c-58f6e857e6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aff533-abd9-4fae-b877-d7193a5af840}" ma:internalName="TaxCatchAll" ma:showField="CatchAllData" ma:web="bc0b450c-ff0a-44fa-a43c-58f6e857e6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73c8c82f-6907-4dfd-9d1d-dae8f8258e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8c82f-6907-4dfd-9d1d-dae8f8258e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5A7088-B4EA-4D1A-8B34-12467F5ED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e8e06-0ab1-43d2-b04a-41299106b25a"/>
    <ds:schemaRef ds:uri="bc0b450c-ff0a-44fa-a43c-58f6e857e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0B6CB3-5E02-491E-9D5B-8D5A3D9D773B}">
  <ds:schemaRefs>
    <ds:schemaRef ds:uri="http://schemas.microsoft.com/sharepoint/v3/contenttype/forms"/>
  </ds:schemaRefs>
</ds:datastoreItem>
</file>

<file path=customXml/itemProps5.xml><?xml version="1.0" encoding="utf-8"?>
<ds:datastoreItem xmlns:ds="http://schemas.openxmlformats.org/officeDocument/2006/customXml" ds:itemID="{BB8B221B-6E77-446D-9359-B3AF0B6DB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D22-WTDC25-C-0002!!MSW-A</dc:title>
  <dc:subject/>
  <dc:creator>Documents Proposals Manager (DPM)</dc:creator>
  <cp:keywords>DPM_v2025.11.5.1_prod</cp:keywords>
  <dc:description/>
  <cp:lastModifiedBy>GE</cp:lastModifiedBy>
  <cp:revision>2</cp:revision>
  <dcterms:created xsi:type="dcterms:W3CDTF">2025-11-15T17:00:00Z</dcterms:created>
  <dcterms:modified xsi:type="dcterms:W3CDTF">2025-11-15T17:00:00Z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0x01010095CA4C345D802F49AA39C3CBAC576D5B</vt:lpwstr>
  </property>
  <property fmtid="{D5CDD505-2E9C-101B-9397-08002B2CF9AE}" pid="3" name="MediaServiceImageTags">
    <vt:lpwstr/>
  </property>
</Properties>
</file>