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970"/>
        <w:gridCol w:w="1409"/>
        <w:gridCol w:w="1842"/>
      </w:tblGrid>
      <w:tr w:rsidR="00F55058" w:rsidRPr="002453DF" w14:paraId="475C61A4" w14:textId="77777777" w:rsidTr="00A023EF">
        <w:trPr>
          <w:cantSplit/>
          <w:trHeight w:val="1134"/>
        </w:trPr>
        <w:tc>
          <w:tcPr>
            <w:tcW w:w="1560" w:type="dxa"/>
          </w:tcPr>
          <w:p w14:paraId="48827F7C" w14:textId="744EF8BA" w:rsidR="00F55058" w:rsidRPr="002453DF" w:rsidRDefault="00076615" w:rsidP="006C5E3F">
            <w:pPr>
              <w:tabs>
                <w:tab w:val="clear" w:pos="1134"/>
              </w:tabs>
              <w:ind w:left="34"/>
              <w:rPr>
                <w:b/>
                <w:bCs/>
                <w:szCs w:val="24"/>
                <w:lang w:val="es-ES_tradnl"/>
              </w:rPr>
            </w:pPr>
            <w:r w:rsidRPr="002453DF">
              <w:rPr>
                <w:noProof/>
                <w:lang w:val="es-ES_tradnl" w:eastAsia="zh-CN"/>
              </w:rPr>
              <w:drawing>
                <wp:inline distT="0" distB="0" distL="0" distR="0" wp14:anchorId="14A8F11B" wp14:editId="3036644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39B6E127" w14:textId="0DC2DEF9" w:rsidR="00F55058" w:rsidRPr="002453DF" w:rsidRDefault="00F55058" w:rsidP="00F55058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rFonts w:cstheme="minorHAnsi"/>
                <w:b/>
                <w:bCs/>
                <w:lang w:val="es-ES_tradnl"/>
              </w:rPr>
            </w:pPr>
            <w:r w:rsidRPr="002453DF">
              <w:rPr>
                <w:b/>
                <w:bCs/>
                <w:sz w:val="32"/>
                <w:szCs w:val="32"/>
                <w:lang w:val="es-ES_tradnl"/>
              </w:rPr>
              <w:t>Conferencia Mundial de Desarrollo de las Telecomunicaciones de 2025 (CMDT-25)</w:t>
            </w:r>
            <w:r w:rsidRPr="002453DF">
              <w:rPr>
                <w:b/>
                <w:bCs/>
                <w:sz w:val="32"/>
                <w:szCs w:val="32"/>
                <w:lang w:val="es-ES_tradnl"/>
              </w:rPr>
              <w:br/>
            </w:r>
            <w:r w:rsidRPr="002453DF">
              <w:rPr>
                <w:b/>
                <w:bCs/>
                <w:lang w:val="es-ES_tradnl"/>
              </w:rPr>
              <w:t>Bak</w:t>
            </w:r>
            <w:r w:rsidR="00D90A5E" w:rsidRPr="002453DF">
              <w:rPr>
                <w:b/>
                <w:bCs/>
                <w:lang w:val="es-ES_tradnl"/>
              </w:rPr>
              <w:t>ú</w:t>
            </w:r>
            <w:r w:rsidRPr="002453DF">
              <w:rPr>
                <w:b/>
                <w:bCs/>
                <w:lang w:val="es-ES_tradnl"/>
              </w:rPr>
              <w:t>, República de Azerbaiyán,</w:t>
            </w:r>
            <w:r w:rsidRPr="002453DF">
              <w:rPr>
                <w:b/>
                <w:bCs/>
                <w:szCs w:val="24"/>
                <w:lang w:val="es-ES_tradnl"/>
              </w:rPr>
              <w:t xml:space="preserve"> </w:t>
            </w:r>
            <w:r w:rsidRPr="002453DF">
              <w:rPr>
                <w:b/>
                <w:bCs/>
                <w:lang w:val="es-ES_tradnl"/>
              </w:rPr>
              <w:t>17</w:t>
            </w:r>
            <w:r w:rsidR="00F9616C" w:rsidRPr="002453DF">
              <w:rPr>
                <w:sz w:val="18"/>
                <w:szCs w:val="18"/>
                <w:lang w:val="es-ES_tradnl"/>
              </w:rPr>
              <w:t>-</w:t>
            </w:r>
            <w:r w:rsidRPr="002453DF">
              <w:rPr>
                <w:b/>
                <w:bCs/>
                <w:lang w:val="es-ES_tradnl"/>
              </w:rPr>
              <w:t>28 de noviembre de 2025</w:t>
            </w:r>
          </w:p>
        </w:tc>
        <w:tc>
          <w:tcPr>
            <w:tcW w:w="1842" w:type="dxa"/>
          </w:tcPr>
          <w:p w14:paraId="5CA52A80" w14:textId="7E9EA92E" w:rsidR="00F55058" w:rsidRPr="002453DF" w:rsidRDefault="00D90A5E" w:rsidP="006C5E3F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b/>
                <w:bCs/>
                <w:lang w:val="es-ES_tradnl"/>
              </w:rPr>
            </w:pPr>
            <w:bookmarkStart w:id="0" w:name="ditulogo"/>
            <w:bookmarkEnd w:id="0"/>
            <w:r w:rsidRPr="002453DF">
              <w:rPr>
                <w:noProof/>
                <w:lang w:val="es-ES_tradnl"/>
              </w:rPr>
              <w:drawing>
                <wp:inline distT="0" distB="0" distL="0" distR="0" wp14:anchorId="27CD37EF" wp14:editId="06E786CC">
                  <wp:extent cx="1032510" cy="929005"/>
                  <wp:effectExtent l="0" t="0" r="0" b="4445"/>
                  <wp:docPr id="1395416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416109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05" t="7850" r="24716" b="19549"/>
                          <a:stretch/>
                        </pic:blipFill>
                        <pic:spPr bwMode="auto">
                          <a:xfrm>
                            <a:off x="0" y="0"/>
                            <a:ext cx="103251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2453DF" w14:paraId="55C01F90" w14:textId="77777777" w:rsidTr="00A023EF">
        <w:trPr>
          <w:cantSplit/>
        </w:trPr>
        <w:tc>
          <w:tcPr>
            <w:tcW w:w="6530" w:type="dxa"/>
            <w:gridSpan w:val="2"/>
            <w:tcBorders>
              <w:top w:val="single" w:sz="12" w:space="0" w:color="auto"/>
            </w:tcBorders>
          </w:tcPr>
          <w:p w14:paraId="732B78F2" w14:textId="77777777" w:rsidR="00D83BF5" w:rsidRPr="002453DF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_tradnl"/>
              </w:rPr>
            </w:pPr>
            <w:bookmarkStart w:id="1" w:name="dhead"/>
          </w:p>
        </w:tc>
        <w:tc>
          <w:tcPr>
            <w:tcW w:w="3251" w:type="dxa"/>
            <w:gridSpan w:val="2"/>
            <w:tcBorders>
              <w:top w:val="single" w:sz="12" w:space="0" w:color="auto"/>
            </w:tcBorders>
          </w:tcPr>
          <w:p w14:paraId="65CBC7E2" w14:textId="26BD4E7F" w:rsidR="00D83BF5" w:rsidRPr="002453DF" w:rsidRDefault="00D83BF5" w:rsidP="00B951D0">
            <w:pPr>
              <w:spacing w:before="0" w:line="240" w:lineRule="atLeast"/>
              <w:rPr>
                <w:rFonts w:cstheme="minorHAnsi"/>
                <w:sz w:val="20"/>
                <w:lang w:val="es-ES_tradnl"/>
              </w:rPr>
            </w:pPr>
          </w:p>
        </w:tc>
      </w:tr>
      <w:tr w:rsidR="007A1872" w:rsidRPr="002453DF" w14:paraId="29BC3FC4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4687B7D2" w14:textId="0104720E" w:rsidR="007A1872" w:rsidRPr="002453DF" w:rsidRDefault="007A1872" w:rsidP="0003264C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2453DF">
              <w:rPr>
                <w:rFonts w:cstheme="minorHAnsi"/>
                <w:b/>
                <w:szCs w:val="24"/>
                <w:lang w:val="es-ES_tradnl"/>
              </w:rPr>
              <w:t>SESIÓN PLENARIA</w:t>
            </w:r>
          </w:p>
        </w:tc>
        <w:tc>
          <w:tcPr>
            <w:tcW w:w="3251" w:type="dxa"/>
            <w:gridSpan w:val="2"/>
          </w:tcPr>
          <w:p w14:paraId="5FA3CB54" w14:textId="73F2EF2C" w:rsidR="007A1872" w:rsidRPr="002453DF" w:rsidRDefault="007A1872" w:rsidP="0003264C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r w:rsidRPr="002453DF">
              <w:rPr>
                <w:rFonts w:cstheme="minorHAnsi"/>
                <w:b/>
                <w:szCs w:val="24"/>
                <w:lang w:val="es-ES_tradnl"/>
              </w:rPr>
              <w:t xml:space="preserve">Documento </w:t>
            </w:r>
            <w:r w:rsidR="001451CC" w:rsidRPr="002453DF">
              <w:rPr>
                <w:rFonts w:cstheme="minorHAnsi"/>
                <w:b/>
                <w:szCs w:val="24"/>
                <w:lang w:val="es-ES_tradnl"/>
              </w:rPr>
              <w:t>WTDC-25/</w:t>
            </w:r>
            <w:r w:rsidR="00B72473" w:rsidRPr="002453DF">
              <w:rPr>
                <w:rFonts w:cstheme="minorHAnsi"/>
                <w:b/>
                <w:szCs w:val="24"/>
                <w:lang w:val="es-ES_tradnl"/>
              </w:rPr>
              <w:t>2(Ann.2)</w:t>
            </w:r>
            <w:r w:rsidRPr="002453DF">
              <w:rPr>
                <w:rFonts w:cstheme="minorHAnsi"/>
                <w:b/>
                <w:szCs w:val="24"/>
                <w:lang w:val="es-ES_tradnl"/>
              </w:rPr>
              <w:t>-S</w:t>
            </w:r>
          </w:p>
        </w:tc>
      </w:tr>
      <w:tr w:rsidR="007A1872" w:rsidRPr="002453DF" w14:paraId="4A22DCC8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35E70B69" w14:textId="5BE875FE" w:rsidR="007A1872" w:rsidRPr="002453DF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51" w:type="dxa"/>
            <w:gridSpan w:val="2"/>
          </w:tcPr>
          <w:p w14:paraId="7BAD8060" w14:textId="7D64536B" w:rsidR="007A1872" w:rsidRPr="002453DF" w:rsidRDefault="00B72473" w:rsidP="007A1872">
            <w:pPr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r w:rsidRPr="002453DF">
              <w:rPr>
                <w:rFonts w:cstheme="minorHAnsi"/>
                <w:b/>
                <w:szCs w:val="24"/>
                <w:lang w:val="es-ES_tradnl"/>
              </w:rPr>
              <w:t>13 de octubre</w:t>
            </w:r>
            <w:r w:rsidR="007A1872" w:rsidRPr="002453DF">
              <w:rPr>
                <w:rFonts w:cstheme="minorHAnsi"/>
                <w:b/>
                <w:szCs w:val="24"/>
                <w:lang w:val="es-ES_tradnl"/>
              </w:rPr>
              <w:t xml:space="preserve"> de 2025</w:t>
            </w:r>
          </w:p>
        </w:tc>
      </w:tr>
      <w:tr w:rsidR="007A1872" w:rsidRPr="002453DF" w14:paraId="7CFB63D8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367CD2E0" w14:textId="54957AFE" w:rsidR="007A1872" w:rsidRPr="002453DF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251" w:type="dxa"/>
            <w:gridSpan w:val="2"/>
          </w:tcPr>
          <w:p w14:paraId="6DB2BCA1" w14:textId="5847D3C4" w:rsidR="007A1872" w:rsidRPr="002453DF" w:rsidRDefault="007A1872" w:rsidP="007A1872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s-ES_tradnl"/>
              </w:rPr>
            </w:pPr>
            <w:r w:rsidRPr="002453DF">
              <w:rPr>
                <w:rFonts w:cstheme="minorHAnsi"/>
                <w:b/>
                <w:szCs w:val="24"/>
                <w:lang w:val="es-ES_tradnl"/>
              </w:rPr>
              <w:t>Original: inglés</w:t>
            </w:r>
          </w:p>
        </w:tc>
      </w:tr>
      <w:tr w:rsidR="007A1872" w:rsidRPr="00D97D52" w14:paraId="4F18A1B1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5332634F" w14:textId="4B54D45F" w:rsidR="007A1872" w:rsidRPr="002453DF" w:rsidRDefault="00B72473" w:rsidP="007A1872">
            <w:pPr>
              <w:pStyle w:val="Source"/>
              <w:spacing w:before="240" w:after="240"/>
              <w:rPr>
                <w:lang w:val="es-ES_tradnl"/>
              </w:rPr>
            </w:pPr>
            <w:r w:rsidRPr="002453DF">
              <w:rPr>
                <w:lang w:val="es-ES_tradnl"/>
              </w:rPr>
              <w:t>Director de la Oficina de Desarrollo de las Telecomunicaciones</w:t>
            </w:r>
          </w:p>
        </w:tc>
      </w:tr>
      <w:tr w:rsidR="007A1872" w:rsidRPr="00D97D52" w14:paraId="3C62B6C1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7EFFF4E3" w14:textId="5E9329D8" w:rsidR="007A1872" w:rsidRPr="002453DF" w:rsidRDefault="00B72473" w:rsidP="007A1872">
            <w:pPr>
              <w:pStyle w:val="Title1"/>
              <w:spacing w:before="120" w:after="120"/>
              <w:rPr>
                <w:lang w:val="es-ES_tradnl"/>
              </w:rPr>
            </w:pPr>
            <w:r w:rsidRPr="002453DF">
              <w:rPr>
                <w:lang w:val="es-ES_tradnl"/>
              </w:rPr>
              <w:t>ANEXO 2 AL DOCUMENTO 2 – CONTRIBUCIÓN DE LAS ACTIVIDADES DEL PLAN OPERACIONAL Y LOS PROYECTOS DEL UIT-D A LA APLICACIÓN DE LAS RESOLUCIONES DE LA CMDT-22</w:t>
            </w:r>
          </w:p>
        </w:tc>
      </w:tr>
      <w:bookmarkEnd w:id="6"/>
      <w:bookmarkEnd w:id="7"/>
    </w:tbl>
    <w:p w14:paraId="420F62B3" w14:textId="5E97A1F4" w:rsidR="00A023EF" w:rsidRPr="002453DF" w:rsidRDefault="00A023EF" w:rsidP="00A023EF">
      <w:pPr>
        <w:rPr>
          <w:lang w:val="es-ES_tradnl"/>
        </w:rPr>
      </w:pPr>
    </w:p>
    <w:p w14:paraId="7A2CF7BD" w14:textId="77777777" w:rsidR="00A023EF" w:rsidRPr="002453DF" w:rsidRDefault="00A023E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_tradnl"/>
        </w:rPr>
      </w:pPr>
      <w:r w:rsidRPr="002453DF">
        <w:rPr>
          <w:lang w:val="es-ES_tradnl"/>
        </w:rPr>
        <w:br w:type="page"/>
      </w:r>
    </w:p>
    <w:p w14:paraId="655F8292" w14:textId="77777777" w:rsidR="00713834" w:rsidRPr="002453DF" w:rsidRDefault="00713834" w:rsidP="00713834">
      <w:pPr>
        <w:pStyle w:val="Title1"/>
        <w:spacing w:before="120" w:after="120"/>
        <w:jc w:val="left"/>
        <w:outlineLvl w:val="0"/>
        <w:rPr>
          <w:rFonts w:cstheme="minorHAnsi"/>
          <w:b/>
          <w:szCs w:val="28"/>
          <w:lang w:val="es-ES_tradnl"/>
        </w:rPr>
      </w:pPr>
      <w:bookmarkStart w:id="8" w:name="_Toc209097172"/>
      <w:bookmarkStart w:id="9" w:name="_Toc209618290"/>
      <w:bookmarkStart w:id="10" w:name="_Toc209618323"/>
      <w:bookmarkStart w:id="11" w:name="_Toc209621639"/>
      <w:r w:rsidRPr="002453DF">
        <w:rPr>
          <w:b/>
          <w:bCs/>
          <w:lang w:val="es-ES_tradnl"/>
        </w:rPr>
        <w:lastRenderedPageBreak/>
        <w:t>INTRODUCCIÓN</w:t>
      </w:r>
      <w:bookmarkEnd w:id="8"/>
      <w:bookmarkEnd w:id="9"/>
      <w:bookmarkEnd w:id="10"/>
      <w:bookmarkEnd w:id="11"/>
    </w:p>
    <w:p w14:paraId="1C21036B" w14:textId="57F46332" w:rsidR="00713834" w:rsidRPr="002453DF" w:rsidRDefault="00713834" w:rsidP="003C1CB3">
      <w:pPr>
        <w:rPr>
          <w:rFonts w:cstheme="minorHAnsi"/>
          <w:lang w:val="es-ES_tradnl"/>
        </w:rPr>
      </w:pPr>
      <w:r w:rsidRPr="002453DF">
        <w:rPr>
          <w:lang w:val="es-ES_tradnl"/>
        </w:rPr>
        <w:t>La Conferencia Mundial de Desarrollo de las Telecomunicaciones (CMDT-22), celebrada del 6 al 16</w:t>
      </w:r>
      <w:r w:rsidR="003C1CB3" w:rsidRPr="002453DF">
        <w:rPr>
          <w:lang w:val="es-ES_tradnl"/>
        </w:rPr>
        <w:t> </w:t>
      </w:r>
      <w:r w:rsidRPr="002453DF">
        <w:rPr>
          <w:lang w:val="es-ES_tradnl"/>
        </w:rPr>
        <w:t>de junio de 2022 en Kigali (Rwanda), adoptó la Declaración de Kigali y el Plan de Acción de Kigali, que incluye las Resoluciones de la CMDT.</w:t>
      </w:r>
    </w:p>
    <w:p w14:paraId="398CD452" w14:textId="4CBAB5C7" w:rsidR="00713834" w:rsidRPr="002453DF" w:rsidRDefault="00713834" w:rsidP="003C1CB3">
      <w:pPr>
        <w:rPr>
          <w:rFonts w:cstheme="minorBidi"/>
          <w:lang w:val="es-ES_tradnl"/>
        </w:rPr>
      </w:pPr>
      <w:r w:rsidRPr="002453DF">
        <w:rPr>
          <w:lang w:val="es-ES_tradnl"/>
        </w:rPr>
        <w:t>Este documento, que es un Anexo al Documento WTDC-25/02, contiene una visión general de la aplicación de las Resoluciones de la CMDT-22 a través de las actividades del Plan Operacional y los proyectos del UIT-D. En el documento se tratan estrictamente las actividades y proyectos aplicados entre 2023 y 2025,</w:t>
      </w:r>
      <w:r w:rsidRPr="002453DF">
        <w:rPr>
          <w:rStyle w:val="FootnoteReference"/>
          <w:rFonts w:cstheme="minorBidi"/>
          <w:lang w:val="es-ES_tradnl"/>
        </w:rPr>
        <w:footnoteReference w:id="1"/>
      </w:r>
      <w:r w:rsidRPr="002453DF">
        <w:rPr>
          <w:lang w:val="es-ES_tradnl"/>
        </w:rPr>
        <w:t xml:space="preserve"> y se presenta una breve descripción de las regiones y los países beneficiarios. Obsérvese que la correspondencia no es exhaustiva. Los informes detallados figuran en los distintos documentos de proyectos.</w:t>
      </w:r>
    </w:p>
    <w:p w14:paraId="6ABA2D52" w14:textId="4F62AC12" w:rsidR="00713834" w:rsidRPr="002453DF" w:rsidRDefault="00713834" w:rsidP="003C1CB3">
      <w:pPr>
        <w:rPr>
          <w:rFonts w:cstheme="minorHAnsi"/>
          <w:lang w:val="es-ES_tradnl"/>
        </w:rPr>
      </w:pPr>
      <w:r w:rsidRPr="002453DF">
        <w:rPr>
          <w:lang w:val="es-ES_tradnl"/>
        </w:rPr>
        <w:t>El presente documento complementa la información incluida en el Documento WTDC-25/02 y su Anexo</w:t>
      </w:r>
      <w:r w:rsidR="003C1CB3" w:rsidRPr="002453DF">
        <w:rPr>
          <w:lang w:val="es-ES_tradnl"/>
        </w:rPr>
        <w:t> </w:t>
      </w:r>
      <w:r w:rsidRPr="002453DF">
        <w:rPr>
          <w:lang w:val="es-ES_tradnl"/>
        </w:rPr>
        <w:t>1 y se apoya además en las siguientes fuentes adicionales, disponibles para todos los Estados Miembros de la UIT:</w:t>
      </w:r>
    </w:p>
    <w:p w14:paraId="03699356" w14:textId="7C3E8BEF" w:rsidR="00713834" w:rsidRPr="002453DF" w:rsidRDefault="00713834" w:rsidP="00713834">
      <w:pPr>
        <w:pStyle w:val="enumlev1"/>
        <w:rPr>
          <w:rFonts w:cstheme="minorHAnsi"/>
          <w:lang w:val="es-ES_tradnl"/>
        </w:rPr>
      </w:pPr>
      <w:r w:rsidRPr="002453DF">
        <w:rPr>
          <w:lang w:val="es-ES_tradnl"/>
        </w:rPr>
        <w:t>–</w:t>
      </w:r>
      <w:r w:rsidRPr="002453DF">
        <w:rPr>
          <w:lang w:val="es-ES_tradnl"/>
        </w:rPr>
        <w:tab/>
        <w:t>Tablero sobre la aplicación de las Iniciativas Regionales y las Resoluciones de la CMDT</w:t>
      </w:r>
      <w:r w:rsidR="00BB448A" w:rsidRPr="002453DF">
        <w:rPr>
          <w:lang w:val="es-ES_tradnl"/>
        </w:rPr>
        <w:noBreakHyphen/>
      </w:r>
      <w:r w:rsidRPr="002453DF">
        <w:rPr>
          <w:lang w:val="es-ES_tradnl"/>
        </w:rPr>
        <w:t>22 (</w:t>
      </w:r>
      <w:hyperlink r:id="rId14" w:history="1">
        <w:r w:rsidRPr="002453DF">
          <w:rPr>
            <w:rStyle w:val="Hyperlink"/>
            <w:lang w:val="es-ES_tradnl"/>
          </w:rPr>
          <w:t>enlace</w:t>
        </w:r>
      </w:hyperlink>
      <w:r w:rsidRPr="002453DF">
        <w:rPr>
          <w:lang w:val="es-ES_tradnl"/>
        </w:rPr>
        <w:t>)</w:t>
      </w:r>
      <w:hyperlink r:id="rId15" w:history="1"/>
    </w:p>
    <w:p w14:paraId="0445F6FA" w14:textId="56BE11D4" w:rsidR="00713834" w:rsidRPr="002453DF" w:rsidRDefault="00713834" w:rsidP="00713834">
      <w:pPr>
        <w:pStyle w:val="enumlev1"/>
        <w:rPr>
          <w:rFonts w:cstheme="minorHAnsi"/>
          <w:lang w:val="es-ES_tradnl"/>
        </w:rPr>
      </w:pPr>
      <w:r w:rsidRPr="002453DF">
        <w:rPr>
          <w:lang w:val="es-ES_tradnl"/>
        </w:rPr>
        <w:t>–</w:t>
      </w:r>
      <w:r w:rsidRPr="002453DF">
        <w:rPr>
          <w:lang w:val="es-ES_tradnl"/>
        </w:rPr>
        <w:tab/>
        <w:t>Portal de Proyectos del UIT-T</w:t>
      </w:r>
      <w:r w:rsidRPr="002453DF">
        <w:rPr>
          <w:rStyle w:val="FootnoteReference"/>
          <w:rFonts w:cstheme="minorHAnsi"/>
          <w:lang w:val="es-ES_tradnl"/>
        </w:rPr>
        <w:footnoteReference w:id="2"/>
      </w:r>
    </w:p>
    <w:p w14:paraId="0B209929" w14:textId="35E1AAC4" w:rsidR="00713834" w:rsidRPr="002453DF" w:rsidRDefault="00713834" w:rsidP="00713834">
      <w:pPr>
        <w:pStyle w:val="enumlev1"/>
        <w:rPr>
          <w:rFonts w:cstheme="minorHAnsi"/>
          <w:lang w:val="es-ES_tradnl"/>
        </w:rPr>
      </w:pPr>
      <w:r w:rsidRPr="002453DF">
        <w:rPr>
          <w:lang w:val="es-ES_tradnl"/>
        </w:rPr>
        <w:t>–</w:t>
      </w:r>
      <w:r w:rsidRPr="002453DF">
        <w:rPr>
          <w:lang w:val="es-ES_tradnl"/>
        </w:rPr>
        <w:tab/>
        <w:t>Tablero de proyectos del UIT-D para los Miembros de la UIT</w:t>
      </w:r>
      <w:r w:rsidRPr="002453DF">
        <w:rPr>
          <w:rStyle w:val="FootnoteReference"/>
          <w:rFonts w:cstheme="minorHAnsi"/>
          <w:lang w:val="es-ES_tradnl"/>
        </w:rPr>
        <w:footnoteReference w:id="3"/>
      </w:r>
    </w:p>
    <w:p w14:paraId="7CA0602E" w14:textId="79D69CCC" w:rsidR="00713834" w:rsidRPr="002453DF" w:rsidRDefault="00713834" w:rsidP="003C1CB3">
      <w:pPr>
        <w:rPr>
          <w:rFonts w:cstheme="minorHAnsi"/>
          <w:lang w:val="es-ES_tradnl"/>
        </w:rPr>
      </w:pPr>
      <w:r w:rsidRPr="002453DF">
        <w:rPr>
          <w:lang w:val="es-ES_tradnl"/>
        </w:rPr>
        <w:t xml:space="preserve">En los Documentos </w:t>
      </w:r>
      <w:hyperlink r:id="rId16" w:history="1">
        <w:r w:rsidRPr="002453DF">
          <w:rPr>
            <w:rStyle w:val="Hyperlink"/>
            <w:lang w:val="es-ES_tradnl"/>
          </w:rPr>
          <w:t>TDAG 30/2</w:t>
        </w:r>
      </w:hyperlink>
      <w:r w:rsidRPr="002453DF">
        <w:rPr>
          <w:lang w:val="es-ES_tradnl"/>
        </w:rPr>
        <w:t xml:space="preserve">, </w:t>
      </w:r>
      <w:hyperlink r:id="rId17" w:history="1">
        <w:r w:rsidRPr="002453DF">
          <w:rPr>
            <w:rStyle w:val="Hyperlink"/>
            <w:lang w:val="es-ES_tradnl"/>
          </w:rPr>
          <w:t>TDAG 31/2</w:t>
        </w:r>
      </w:hyperlink>
      <w:r w:rsidRPr="002453DF">
        <w:rPr>
          <w:lang w:val="es-ES_tradnl"/>
        </w:rPr>
        <w:t xml:space="preserve"> y </w:t>
      </w:r>
      <w:hyperlink r:id="rId18" w:history="1">
        <w:r w:rsidRPr="002453DF">
          <w:rPr>
            <w:rStyle w:val="Hyperlink"/>
            <w:lang w:val="es-ES_tradnl"/>
          </w:rPr>
          <w:t>TDAG 32/2</w:t>
        </w:r>
      </w:hyperlink>
      <w:r w:rsidRPr="002453DF">
        <w:rPr>
          <w:lang w:val="es-ES_tradnl"/>
        </w:rPr>
        <w:t xml:space="preserve"> figura más información sobre la labor realizada para aplicar las Resoluciones.</w:t>
      </w:r>
      <w:hyperlink r:id="rId19" w:history="1"/>
      <w:hyperlink r:id="rId20" w:history="1"/>
      <w:hyperlink r:id="rId21" w:history="1"/>
    </w:p>
    <w:p w14:paraId="45F3B9BC" w14:textId="77777777" w:rsidR="00BB448A" w:rsidRPr="002453DF" w:rsidRDefault="00BB448A" w:rsidP="00A023EF">
      <w:pPr>
        <w:rPr>
          <w:lang w:val="es-ES_tradnl"/>
        </w:rPr>
        <w:sectPr w:rsidR="00BB448A" w:rsidRPr="002453DF" w:rsidSect="0039169B">
          <w:headerReference w:type="default" r:id="rId22"/>
          <w:footerReference w:type="even" r:id="rId23"/>
          <w:headerReference w:type="first" r:id="rId24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</w:p>
    <w:p w14:paraId="0A7F0EE5" w14:textId="77777777" w:rsidR="00BB448A" w:rsidRPr="002453DF" w:rsidRDefault="00BB448A" w:rsidP="00BB448A">
      <w:pPr>
        <w:pStyle w:val="Heading2"/>
        <w:spacing w:after="120"/>
        <w:rPr>
          <w:lang w:val="es-ES_tradnl"/>
        </w:rPr>
      </w:pPr>
      <w:r w:rsidRPr="002453DF">
        <w:rPr>
          <w:lang w:val="es-ES_tradnl"/>
        </w:rPr>
        <w:lastRenderedPageBreak/>
        <w:t>RESOLUCIONES DE LA CMDT</w:t>
      </w:r>
    </w:p>
    <w:tbl>
      <w:tblPr>
        <w:tblW w:w="149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725"/>
        <w:gridCol w:w="4564"/>
      </w:tblGrid>
      <w:tr w:rsidR="00BB448A" w:rsidRPr="002453DF" w14:paraId="362CB6BC" w14:textId="77777777" w:rsidTr="002453DF">
        <w:trPr>
          <w:trHeight w:val="300"/>
          <w:tblHeader/>
        </w:trPr>
        <w:tc>
          <w:tcPr>
            <w:tcW w:w="2689" w:type="dxa"/>
            <w:shd w:val="clear" w:color="auto" w:fill="0070C0"/>
            <w:noWrap/>
            <w:vAlign w:val="center"/>
          </w:tcPr>
          <w:p w14:paraId="476B0FBB" w14:textId="77777777" w:rsidR="00BB448A" w:rsidRPr="002453DF" w:rsidRDefault="00BB448A" w:rsidP="003A3E00">
            <w:pPr>
              <w:jc w:val="center"/>
              <w:rPr>
                <w:rFonts w:cstheme="minorHAnsi"/>
                <w:b/>
                <w:bCs/>
                <w:color w:val="FFFFFF" w:themeColor="background1"/>
                <w:lang w:val="es-ES_tradnl"/>
              </w:rPr>
            </w:pPr>
            <w:r w:rsidRPr="002453DF">
              <w:rPr>
                <w:b/>
                <w:bCs/>
                <w:color w:val="FFFFFF" w:themeColor="background1"/>
                <w:lang w:val="es-ES_tradnl"/>
              </w:rPr>
              <w:t>Resolución</w:t>
            </w:r>
          </w:p>
        </w:tc>
        <w:tc>
          <w:tcPr>
            <w:tcW w:w="7725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71474DAA" w14:textId="77777777" w:rsidR="00BB448A" w:rsidRPr="002453DF" w:rsidRDefault="00BB448A" w:rsidP="003A3E00">
            <w:pPr>
              <w:jc w:val="center"/>
              <w:rPr>
                <w:rFonts w:cstheme="minorHAnsi"/>
                <w:b/>
                <w:bCs/>
                <w:color w:val="FFFFFF" w:themeColor="background1"/>
                <w:lang w:val="es-ES_tradnl"/>
              </w:rPr>
            </w:pPr>
            <w:r w:rsidRPr="002453DF">
              <w:rPr>
                <w:b/>
                <w:bCs/>
                <w:color w:val="FFFFFF" w:themeColor="background1"/>
                <w:lang w:val="es-ES_tradnl"/>
              </w:rPr>
              <w:t>Mecanismo de aplicación</w:t>
            </w:r>
            <w:r w:rsidRPr="002453DF">
              <w:rPr>
                <w:rStyle w:val="FootnoteReference"/>
                <w:rFonts w:cstheme="minorHAnsi"/>
                <w:b/>
                <w:bCs/>
                <w:color w:val="FFFFFF" w:themeColor="background1"/>
                <w:lang w:val="es-ES_tradnl"/>
              </w:rPr>
              <w:footnoteReference w:id="4"/>
            </w:r>
            <w:r w:rsidRPr="002453DF">
              <w:rPr>
                <w:rStyle w:val="FootnoteReference"/>
                <w:rFonts w:cstheme="minorHAnsi"/>
                <w:b/>
                <w:bCs/>
                <w:color w:val="FFFFFF" w:themeColor="background1"/>
                <w:lang w:val="es-ES_tradnl"/>
              </w:rPr>
              <w:footnoteReference w:id="5"/>
            </w:r>
          </w:p>
        </w:tc>
        <w:tc>
          <w:tcPr>
            <w:tcW w:w="4564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577B7462" w14:textId="77777777" w:rsidR="00BB448A" w:rsidRPr="002453DF" w:rsidRDefault="00BB448A" w:rsidP="003A3E00">
            <w:pPr>
              <w:jc w:val="center"/>
              <w:rPr>
                <w:rFonts w:cstheme="minorHAnsi"/>
                <w:b/>
                <w:bCs/>
                <w:color w:val="FFFFFF" w:themeColor="background1"/>
                <w:lang w:val="es-ES_tradnl"/>
              </w:rPr>
            </w:pPr>
            <w:r w:rsidRPr="002453DF">
              <w:rPr>
                <w:b/>
                <w:bCs/>
                <w:color w:val="FFFFFF" w:themeColor="background1"/>
                <w:lang w:val="es-ES_tradnl"/>
              </w:rPr>
              <w:t>Regiones/países soportados</w:t>
            </w:r>
          </w:p>
        </w:tc>
      </w:tr>
      <w:tr w:rsidR="00BB448A" w:rsidRPr="002453DF" w14:paraId="09219095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noWrap/>
            <w:vAlign w:val="center"/>
          </w:tcPr>
          <w:p w14:paraId="6C6B09AF" w14:textId="2C7D1310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RESOLUCIÓN 1 (Rev.</w:t>
            </w:r>
            <w:r w:rsidR="00CA0458" w:rsidRPr="002453DF">
              <w:rPr>
                <w:lang w:val="es-ES_tradnl"/>
              </w:rPr>
              <w:t> </w:t>
            </w:r>
            <w:r w:rsidRPr="002453DF">
              <w:rPr>
                <w:lang w:val="es-ES_tradnl"/>
              </w:rPr>
              <w:t>Kigali, 2022) – Reglamento Interno del Sector de Desarrollo de las Telecomunicaciones de la UIT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F720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Todas las reuniones (GADT, Comisiones de Estudio 1 y 2, RPR, etc.) se celebraron de conformidad con las normas y procedimientos establecidos en la Resolución 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A6C007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N/A</w:t>
            </w:r>
          </w:p>
        </w:tc>
      </w:tr>
      <w:tr w:rsidR="00BB448A" w:rsidRPr="002453DF" w14:paraId="079F7ADF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B454E8" w14:textId="2233E9A6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RESOLUCIÓN 2 (Rev.</w:t>
            </w:r>
            <w:r w:rsidR="00CA0458" w:rsidRPr="002453DF">
              <w:rPr>
                <w:lang w:val="es-ES_tradnl"/>
              </w:rPr>
              <w:t> </w:t>
            </w:r>
            <w:r w:rsidRPr="002453DF">
              <w:rPr>
                <w:lang w:val="es-ES_tradnl"/>
              </w:rPr>
              <w:t>Kigali, 2022) – Establecimiento de Comisiones de Estudio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C2A2BA4" w14:textId="4EF50706" w:rsidR="00BB448A" w:rsidRPr="002453DF" w:rsidRDefault="00BB448A" w:rsidP="003A3E00">
            <w:pPr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Los detalles de las actividades relacionadas con la Resolución 2 pueden consultarse en</w:t>
            </w:r>
            <w:r w:rsidR="0080270C" w:rsidRPr="002453DF">
              <w:rPr>
                <w:lang w:val="es-ES_tradnl"/>
              </w:rPr>
              <w:t>:</w:t>
            </w:r>
          </w:p>
          <w:p w14:paraId="48D8E082" w14:textId="188622F0" w:rsidR="00BB448A" w:rsidRPr="002453DF" w:rsidRDefault="003A3E00" w:rsidP="00E53AD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hyperlink r:id="rId25" w:history="1">
              <w:r w:rsidRPr="002453DF">
                <w:rPr>
                  <w:rStyle w:val="Hyperlink"/>
                  <w:lang w:val="es-ES_tradnl"/>
                </w:rPr>
                <w:t>Documento WTDC-25/11</w:t>
              </w:r>
            </w:hyperlink>
            <w:r w:rsidR="00E53AD0" w:rsidRPr="002453DF">
              <w:rPr>
                <w:lang w:val="es-ES_tradnl"/>
              </w:rPr>
              <w:t xml:space="preserve"> – Informe sobre las actividades llevadas a cabo por la Comisión de Estudio 1 del UIT-D durante el octavo periodo de estudios entre la CMDT-22 y la CMDT-25</w:t>
            </w:r>
          </w:p>
          <w:p w14:paraId="4329C254" w14:textId="238C0E27" w:rsidR="00BB448A" w:rsidRPr="002453DF" w:rsidRDefault="003A3E00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hyperlink r:id="rId26" w:history="1">
              <w:r w:rsidR="0080270C" w:rsidRPr="002453DF">
                <w:rPr>
                  <w:rStyle w:val="Hyperlink"/>
                  <w:lang w:val="es-ES_tradnl"/>
                </w:rPr>
                <w:t>Documento WTDC-25/12</w:t>
              </w:r>
            </w:hyperlink>
            <w:r w:rsidR="0080270C" w:rsidRPr="002453DF">
              <w:rPr>
                <w:lang w:val="es-ES_tradnl"/>
              </w:rPr>
              <w:t xml:space="preserve"> </w:t>
            </w:r>
            <w:r w:rsidR="003C1CB3" w:rsidRPr="002453DF">
              <w:rPr>
                <w:lang w:val="es-ES_tradnl"/>
              </w:rPr>
              <w:t>–</w:t>
            </w:r>
            <w:r w:rsidR="0080270C" w:rsidRPr="002453DF">
              <w:rPr>
                <w:lang w:val="es-ES_tradnl"/>
              </w:rPr>
              <w:t xml:space="preserve"> Informe sobre las actividades llevadas a cabo por la Comisión de Estudio 2 del UIT-D durante el octavo periodo de estudios entre la CMDT-22 y la CMDT-25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10E7F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N/A</w:t>
            </w:r>
          </w:p>
        </w:tc>
      </w:tr>
      <w:tr w:rsidR="00BB448A" w:rsidRPr="00D97D52" w14:paraId="6292D630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C3980D3" w14:textId="1238ED82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RESOLUCIÓN 5 (Rev.</w:t>
            </w:r>
            <w:r w:rsidR="00CA0458" w:rsidRPr="002453DF">
              <w:rPr>
                <w:lang w:val="es-ES_tradnl"/>
              </w:rPr>
              <w:t> </w:t>
            </w:r>
            <w:r w:rsidRPr="002453DF">
              <w:rPr>
                <w:lang w:val="es-ES_tradnl"/>
              </w:rPr>
              <w:t>Kigali, 2022) – Aumento de la participación de los países en desarrollo en las actividades de la UIT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FE0E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Plan Operacional</w:t>
            </w:r>
          </w:p>
          <w:p w14:paraId="1D33542F" w14:textId="4E66B4A9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este ciclo se han aplicado o están en curso de aplicación 14 actividades del Plan Operacional en apoyo de la presente Resolución durante el ciclo 2023-2025.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31623E" w14:textId="39273025" w:rsidR="00BB448A" w:rsidRPr="002453DF" w:rsidRDefault="0080270C" w:rsidP="00CA0458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África, América, Estados Árabes, Asia y el Pacífico, países de la CEI, Europa</w:t>
            </w:r>
          </w:p>
        </w:tc>
      </w:tr>
      <w:tr w:rsidR="00BB448A" w:rsidRPr="002453DF" w14:paraId="12A4AAF8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362FDE5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71361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363BE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</w:tr>
      <w:tr w:rsidR="00BB448A" w:rsidRPr="002453DF" w14:paraId="71AD68C5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523F995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AE071" w14:textId="552D83BF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9RAS24077 – Fortalecimiento de la participación de Asia y el Pacífico en las Conferencias de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4B96" w14:textId="2F6ED9A1" w:rsidR="00BB448A" w:rsidRPr="002453DF" w:rsidRDefault="0080270C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Asia y Pacífico</w:t>
            </w:r>
          </w:p>
        </w:tc>
      </w:tr>
      <w:tr w:rsidR="00BB448A" w:rsidRPr="00D97D52" w14:paraId="0BDBD28E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993F03" w14:textId="69540826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8 (Rev.</w:t>
            </w:r>
            <w:r w:rsidR="00CA0458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Recopilación y difusión de información y estadísticas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61309DE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Operacional:</w:t>
            </w:r>
          </w:p>
          <w:p w14:paraId="436E50D5" w14:textId="4A9FB554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llevaron a cabo, o están en curso de ejecución, un total de 42 actividades del PO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B9F43F" w14:textId="20530A85" w:rsidR="00BB448A" w:rsidRPr="002453DF" w:rsidRDefault="0080270C" w:rsidP="00CA0458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33F2B7CF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0B2957D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C1CC806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3268F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31015EF5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01824A6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6C3E55" w14:textId="72228172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2RER21029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Monitoreo de los desechos de equipo eléctricos y electrónicos a nivel regional para los Balcanes occidentales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A02D95" w14:textId="64DCBFBA" w:rsidR="00BB448A" w:rsidRPr="002453DF" w:rsidRDefault="0080270C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Bosnia y Herzegovina, Montenegro, Macedonia del Norte, Serbia</w:t>
            </w:r>
          </w:p>
        </w:tc>
      </w:tr>
      <w:tr w:rsidR="00BB448A" w:rsidRPr="002453DF" w14:paraId="07600847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CA4AED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D3BBFA" w14:textId="3F976E35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9COS24019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Desarrollo de conocimientos en tecnologías para especialistas del ICE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DF522A" w14:textId="03B41C57" w:rsidR="00BB448A" w:rsidRPr="002453DF" w:rsidRDefault="0080270C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Costa Rica</w:t>
            </w:r>
          </w:p>
        </w:tc>
      </w:tr>
      <w:tr w:rsidR="00BB448A" w:rsidRPr="002453DF" w14:paraId="3CE08D4B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0A2A386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C197A4" w14:textId="53780FE0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Promocionar y medir la conectividad universal y efectiva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E31D1B" w14:textId="2FAFD9F2" w:rsidR="00BB448A" w:rsidRPr="002453DF" w:rsidRDefault="0080270C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6009B5B4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D995316" w14:textId="6B4E7A18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9 (Rev.</w:t>
            </w:r>
            <w:r w:rsidR="00CA0458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Participación de los países, en particular de los países en desarrollo, en la gestión del espectro de frecuencias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15287E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Operacional:</w:t>
            </w:r>
          </w:p>
          <w:p w14:paraId="1CBF37C7" w14:textId="2F6BC9B6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37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9316C" w14:textId="51B11D86" w:rsidR="00BB448A" w:rsidRPr="002453DF" w:rsidRDefault="0080270C" w:rsidP="00CA0458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Estados Árabes, Asia y el Pacífico, países de la CEI, Mundo o Multirregional</w:t>
            </w:r>
          </w:p>
        </w:tc>
      </w:tr>
      <w:tr w:rsidR="00BB448A" w:rsidRPr="002453DF" w14:paraId="61F529AC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F8CA07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F3F80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EEA7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777D34AF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54CA66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98A9C4" w14:textId="12C67E31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9GLO19099 – Asistencia para el establecimiento de sistemas del marco básico de gestión nacional del espectro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590B4" w14:textId="1951B36B" w:rsidR="00BB448A" w:rsidRPr="002453DF" w:rsidRDefault="0080270C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0A353DB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95B21F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3325CC" w14:textId="63E3CF7A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9GLO20102 – Asistencia en la aplicación de un sistema de gestión y monitoreo del espectro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DE2DE" w14:textId="6E5CD82D" w:rsidR="00BB448A" w:rsidRPr="002453DF" w:rsidRDefault="0080270C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359C9B9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78E1C0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6245D" w14:textId="477D451F" w:rsidR="00BB448A" w:rsidRPr="002453DF" w:rsidRDefault="0080270C" w:rsidP="0080270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9RAF18089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Acuerdo de delegación para la acción entre PRIDA y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DEC3C" w14:textId="7ADE1B0C" w:rsidR="00BB448A" w:rsidRPr="002453DF" w:rsidRDefault="0080270C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Argelia, Angola, Benin, Botswana, Burkina Faso, Burundi, Camerún, Cabo Verde, Chad, Congo, Côte d'Ivoire, Djibouti, Egipto, Guinea Ecuatorial, Eritrea, Eswatini, Etiopía, Gabón,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Gambia, Ghana, Guinea, Guinea-Bissau, Kenya, Lesotho, Liberia, Libia, Madagascar, Malawi, Malí, Marruecos, Mauricio, Mauritania, Mozambique, Namibia, Níger, Nigeria, (República de) Rwanda, República Centroafricana, República Democrática del Congo, Santo Tomé y Príncipe, Senegal, Seychelles, Sierra Leona, Somalia, Sudáfrica, Sudán, Sudán del Sur, Tanzanía, Togo, Túnez, Uganda, Zambia, Zimbabwe.</w:t>
            </w:r>
          </w:p>
        </w:tc>
      </w:tr>
      <w:tr w:rsidR="00BB448A" w:rsidRPr="00D97D52" w14:paraId="76BEB670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095841" w14:textId="1DB94E96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10 (Rev.</w:t>
            </w:r>
            <w:r w:rsidR="00CA0458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Hyderabad, 2010) – Apoyo financiero a los programas nacionales de gestión del espectro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8B872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54CC152B" w14:textId="3E831561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14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7EE25C" w14:textId="096D861A" w:rsidR="00BB448A" w:rsidRPr="002453DF" w:rsidRDefault="00AB7EFA" w:rsidP="00CA0458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Estados Árabes, Mundo o Multirregional</w:t>
            </w:r>
          </w:p>
        </w:tc>
      </w:tr>
      <w:tr w:rsidR="00BB448A" w:rsidRPr="002453DF" w14:paraId="752CA2B5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D69F0C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46F981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1DEA35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470A641D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4C6AE7C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C497D1A" w14:textId="59E4EDC9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9GLO19099 – Asistencia para el establecimiento de sistemas del marco básico de gestión nacional del espectro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A512BCE" w14:textId="49BE5B9A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197B051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4AF840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69C68F" w14:textId="17053830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9RAF18089 </w:t>
            </w:r>
            <w:r w:rsidR="007B4B58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Acuerdo de delegación para la acción entre PRIDA y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F31BB6" w14:textId="26CCF9B7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Argelia, Angola, Benin, Botswana, Burkina Faso, Burundi, Camerún, Cabo Verde, Chad, Congo, Côte d'Ivoire, Djibouti, Egipto, Guinea Ecuatorial, Eritrea, Eswatini, Etiopía, Gabón, Gambia, Ghana, Guinea, Guinea-Bissau, Kenya, Lesotho, Liberia, Libia, Madagascar, Malawi, Malí, Marruecos, Mauricio, Mauritania, Mozambique, Namibia, Níger, Nigeria, (República de) Rwanda, República Centroafricana,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República Democrática del Congo, Santo Tomé y Príncipe, Senegal, Seychelles, Sierra Leona, Somalia, Sudáfrica, Sudán, Sudán del Sur, Tanzanía, Togo, Túnez, Uganda, Zambia, Zimbabwe.</w:t>
            </w:r>
          </w:p>
        </w:tc>
      </w:tr>
      <w:tr w:rsidR="00BB448A" w:rsidRPr="00D97D52" w14:paraId="1753A6D2" w14:textId="77777777" w:rsidTr="00BB448A">
        <w:trPr>
          <w:trHeight w:val="751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F7DF887" w14:textId="060C3AA9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11 (Rev.</w:t>
            </w:r>
            <w:r w:rsidR="00CA0458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Servicios de telecomunicaciones/</w:t>
            </w:r>
            <w:r w:rsidR="00AB7EFA" w:rsidRPr="002453DF">
              <w:rPr>
                <w:color w:val="000000"/>
                <w:lang w:val="es-ES_tradnl"/>
              </w:rPr>
              <w:br/>
            </w:r>
            <w:r w:rsidRPr="002453DF">
              <w:rPr>
                <w:color w:val="000000"/>
                <w:lang w:val="es-ES_tradnl"/>
              </w:rPr>
              <w:t>tecnologías de la información y la comunicación en las zonas rurales, aisladas e insuficientemente atendidas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B411F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1D22BA34" w14:textId="6B2A079F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28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043339" w14:textId="23228FFA" w:rsidR="00BB448A" w:rsidRPr="002453DF" w:rsidRDefault="00AB7EFA" w:rsidP="00CA0458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</w:t>
            </w:r>
          </w:p>
          <w:p w14:paraId="412DDBBD" w14:textId="7FFA2430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Asia-Pacífico, Europa, Mundo o Multirregional</w:t>
            </w:r>
          </w:p>
        </w:tc>
      </w:tr>
      <w:tr w:rsidR="00BB448A" w:rsidRPr="002453DF" w14:paraId="66BB904C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F3392D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961A8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856D36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7A4709FF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49BB21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0BE736" w14:textId="1AE94C3A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7GLO20108 </w:t>
            </w:r>
            <w:r w:rsidR="007B4B58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Fomento de las competencias digitales a través de los Centros de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B1C7B3" w14:textId="5D47EA75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Côte d'Ivoire, Filipinas, Ghana, Indonesia, Marruecos, Pakistán, Papua Nueva Guinea, República Democrática del Congo, Dominicana</w:t>
            </w:r>
            <w:r w:rsidR="00776231" w:rsidRPr="002453DF">
              <w:rPr>
                <w:color w:val="000000"/>
                <w:lang w:val="es-ES_tradnl"/>
              </w:rPr>
              <w:t xml:space="preserve"> (República)</w:t>
            </w:r>
            <w:r w:rsidR="00BB448A" w:rsidRPr="002453DF">
              <w:rPr>
                <w:color w:val="000000"/>
                <w:lang w:val="es-ES_tradnl"/>
              </w:rPr>
              <w:t>, Rwanda (República de), Uganda, Zambia</w:t>
            </w:r>
          </w:p>
        </w:tc>
      </w:tr>
      <w:tr w:rsidR="00BB448A" w:rsidRPr="002453DF" w14:paraId="725D4E5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257721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C109AA" w14:textId="30BA3006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9CHI24013 </w:t>
            </w:r>
            <w:r w:rsidR="007B4B58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Asegurar la cobertura, el acceso y el uso de la conectividad digital en territorios rurales rezagados en Chile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9C9DC4" w14:textId="71D8B7A2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Chile</w:t>
            </w:r>
          </w:p>
        </w:tc>
      </w:tr>
      <w:tr w:rsidR="00BB448A" w:rsidRPr="002453DF" w14:paraId="038664CB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092DC8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33C87" w14:textId="1E330744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D5C8D4" w14:textId="1AFA8F94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7548D4C8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5D56DA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4CBE" w14:textId="77777777" w:rsidR="00BB448A" w:rsidRPr="002453DF" w:rsidRDefault="00AB7EFA" w:rsidP="00AB7EFA">
            <w:pPr>
              <w:pStyle w:val="enumlev1"/>
              <w:rPr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9LES25007 </w:t>
            </w:r>
            <w:r w:rsidR="007B4B58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Servicio de asesoramiento agrícola y ganadero con inteligencia artificial de código abierto para pequeños granjeros en Lesotho</w:t>
            </w:r>
          </w:p>
          <w:p w14:paraId="5E911D6C" w14:textId="77777777" w:rsidR="00776231" w:rsidRPr="002453DF" w:rsidRDefault="00776231" w:rsidP="00776231">
            <w:pPr>
              <w:rPr>
                <w:lang w:val="es-ES_tradnl"/>
              </w:rPr>
            </w:pPr>
          </w:p>
          <w:p w14:paraId="48B53B4D" w14:textId="77777777" w:rsidR="00776231" w:rsidRPr="002453DF" w:rsidRDefault="00776231" w:rsidP="00776231">
            <w:pPr>
              <w:rPr>
                <w:lang w:val="es-ES_tradnl"/>
              </w:rPr>
            </w:pPr>
          </w:p>
          <w:p w14:paraId="7721B1D0" w14:textId="7C96F88A" w:rsidR="00776231" w:rsidRPr="002453DF" w:rsidRDefault="00776231" w:rsidP="00776231">
            <w:pPr>
              <w:tabs>
                <w:tab w:val="clear" w:pos="1134"/>
                <w:tab w:val="clear" w:pos="1871"/>
                <w:tab w:val="clear" w:pos="2268"/>
                <w:tab w:val="left" w:pos="3178"/>
              </w:tabs>
              <w:rPr>
                <w:lang w:val="es-ES_tradnl"/>
              </w:rPr>
            </w:pPr>
            <w:r w:rsidRPr="002453DF">
              <w:rPr>
                <w:lang w:val="es-ES_tradnl"/>
              </w:rPr>
              <w:tab/>
            </w:r>
          </w:p>
          <w:p w14:paraId="77DD6CF2" w14:textId="62AF5D30" w:rsidR="00776231" w:rsidRPr="002453DF" w:rsidRDefault="00776231" w:rsidP="00776231">
            <w:pPr>
              <w:tabs>
                <w:tab w:val="clear" w:pos="1134"/>
                <w:tab w:val="clear" w:pos="1871"/>
                <w:tab w:val="clear" w:pos="2268"/>
                <w:tab w:val="left" w:pos="3178"/>
              </w:tabs>
              <w:rPr>
                <w:lang w:val="es-ES_tradnl"/>
              </w:rPr>
            </w:pPr>
            <w:r w:rsidRPr="002453DF">
              <w:rPr>
                <w:lang w:val="es-ES_tradnl"/>
              </w:rPr>
              <w:lastRenderedPageBreak/>
              <w:tab/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97DB9" w14:textId="1962EDF2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lastRenderedPageBreak/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Lesotho</w:t>
            </w:r>
          </w:p>
        </w:tc>
      </w:tr>
      <w:tr w:rsidR="00BB448A" w:rsidRPr="002453DF" w14:paraId="0DC1C339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17EDCD" w14:textId="740D82A8" w:rsidR="00BB448A" w:rsidRPr="002453DF" w:rsidRDefault="00BB448A" w:rsidP="007B4B58">
            <w:pPr>
              <w:keepNext/>
              <w:keepLines/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15 (Rev.</w:t>
            </w:r>
            <w:r w:rsidR="00CA0458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Investigación aplicada y transferencia de tecnología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0A8FBD" w14:textId="77777777" w:rsidR="00BB448A" w:rsidRPr="002453DF" w:rsidRDefault="00BB448A" w:rsidP="007B4B58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33391D54" w14:textId="656FAEFB" w:rsidR="00BB448A" w:rsidRPr="002453DF" w:rsidRDefault="00AB7EFA" w:rsidP="007B4B58">
            <w:pPr>
              <w:pStyle w:val="enumlev1"/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9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C75C98C" w14:textId="567CAC0A" w:rsidR="00BB448A" w:rsidRPr="002453DF" w:rsidRDefault="00AB7EFA" w:rsidP="00CA0458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Mundo o multirregional</w:t>
            </w:r>
          </w:p>
        </w:tc>
      </w:tr>
      <w:tr w:rsidR="00BB448A" w:rsidRPr="002453DF" w14:paraId="6D91AC22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5D6B207F" w14:textId="77777777" w:rsidR="00BB448A" w:rsidRPr="002453DF" w:rsidRDefault="00BB448A" w:rsidP="007B4B58">
            <w:pPr>
              <w:keepNext/>
              <w:keepLines/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1CA8A37" w14:textId="77777777" w:rsidR="00BB448A" w:rsidRPr="002453DF" w:rsidRDefault="00BB448A" w:rsidP="007B4B58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225574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20B8D0F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8858BC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50A378" w14:textId="3F049A60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7RAF21102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Comparación de las TIC en África Central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9BF953" w14:textId="07E0E895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Angola, Burundi, Camerún, Chad, Congo, Gabón, Guinea Ecuatorial, República Centroafricana, República Democrática del Congo, (República de) Rwanda, Santo Tomé y Príncipe</w:t>
            </w:r>
          </w:p>
        </w:tc>
      </w:tr>
      <w:tr w:rsidR="00BB448A" w:rsidRPr="00D97D52" w14:paraId="118D367F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D35C8E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694E10" w14:textId="2BE60237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7RAF25155 – Finalización y divulgación de los resultados del proyecto "Evaluación comparativa de las TIC en África Central"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E4974D" w14:textId="5A4753A6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Angola, Burundi, Camerún, Chad, Congo, Gabón, Guinea Ecuatorial, República Centroafricana, República Democrática del Congo, (República de) Rwanda, Santo Tomé y Príncipe</w:t>
            </w:r>
          </w:p>
        </w:tc>
      </w:tr>
      <w:tr w:rsidR="00BB448A" w:rsidRPr="002453DF" w14:paraId="2B32A44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170719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C28454" w14:textId="31EFC59B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9BRA19008 – Proporcionar al Brasil un entorno reglamentario propicio para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5B2F4F" w14:textId="629CCCA6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2037D5B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0D5C3B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C2F21E" w14:textId="7D60F7FE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9BRA98006 – Apoyo a la Agencia Nacional de Telecomunicaciones (ANATEL, Brasil)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CF352D" w14:textId="3463F70A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D97D52" w14:paraId="73683BE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90F9E1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2F7C98" w14:textId="6910C936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9RER20026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Centro Internacional de Investigación, Desarrollo y Ensayo de nuevos equipos, tecnologías y servicios (IRDTC) </w:t>
            </w:r>
            <w:r w:rsidR="007B4B58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</w:t>
            </w:r>
            <w:r w:rsidRPr="002453DF">
              <w:rPr>
                <w:lang w:val="es-ES_tradnl"/>
              </w:rPr>
              <w:t> </w:t>
            </w:r>
            <w:r w:rsidR="00BB448A" w:rsidRPr="002453DF">
              <w:rPr>
                <w:lang w:val="es-ES_tradnl"/>
              </w:rPr>
              <w:t>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CB9036" w14:textId="7A090256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Armenia, Azerbaiyán, Belarús, Federación de Rusia, Kazajstán, Kirguistán, Tayikistán, Turkmenistán, Uzbekistán</w:t>
            </w:r>
          </w:p>
        </w:tc>
      </w:tr>
      <w:tr w:rsidR="00BB448A" w:rsidRPr="00D97D52" w14:paraId="6F326F6B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0CF40C0" w14:textId="2AFA7700" w:rsidR="00BB448A" w:rsidRPr="002453DF" w:rsidRDefault="00BB448A" w:rsidP="002453DF">
            <w:pPr>
              <w:keepNext/>
              <w:keepLines/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16 (Rev.</w:t>
            </w:r>
            <w:r w:rsidR="00776231" w:rsidRPr="002453DF">
              <w:rPr>
                <w:color w:val="000000"/>
                <w:lang w:val="es-ES_tradnl"/>
              </w:rPr>
              <w:t xml:space="preserve"> </w:t>
            </w:r>
            <w:r w:rsidRPr="002453DF">
              <w:rPr>
                <w:color w:val="000000"/>
                <w:lang w:val="es-ES_tradnl"/>
              </w:rPr>
              <w:t>Buenos Aires, 2017) – Acciones y medidas especiales para los países menos adelantados, los pequeños Estados insulares en desarrollo, los países en desarrollo sin litoral y los países con economías en transición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F3B6D4" w14:textId="77777777" w:rsidR="00BB448A" w:rsidRPr="002453DF" w:rsidRDefault="00BB448A" w:rsidP="002453DF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05B9BBE3" w14:textId="3887A133" w:rsidR="00BB448A" w:rsidRPr="002453DF" w:rsidRDefault="00AB7EFA" w:rsidP="002453DF">
            <w:pPr>
              <w:pStyle w:val="enumlev1"/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21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A25F65" w14:textId="37C91717" w:rsidR="00BB448A" w:rsidRPr="002453DF" w:rsidRDefault="00AB7EFA" w:rsidP="002453DF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Estados Árabes, Asia y el Pacífico, Mundo o Multirregional</w:t>
            </w:r>
          </w:p>
        </w:tc>
      </w:tr>
      <w:tr w:rsidR="00BB448A" w:rsidRPr="002453DF" w14:paraId="0C128E29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CE951E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F7283D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CF7D9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1425BD7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EE46F1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87C2E4" w14:textId="4640052F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2ALB24003 – Agricultura digital y transformación rural en Albania (DART)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4C7B5E" w14:textId="379E6BC3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</w:t>
            </w:r>
          </w:p>
        </w:tc>
      </w:tr>
      <w:tr w:rsidR="00BB448A" w:rsidRPr="002453DF" w14:paraId="55D94D6E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6E30CF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48405" w14:textId="2113A5E1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2GLO18094 – Mejora de los planes nacionales de telecomunicaciones de emergencia y coordinación para salvar vidas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F98111" w14:textId="5398E5D7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C7F914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C7C502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1B9DD2" w14:textId="09CF7F5C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2GLO20104-02 – Programa de conectividad comunitaria de Giga Barbados y la OECO para garantizar la seguridad de los niños en línea y la conectividad comunitaria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8236DC" w14:textId="2BB64651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Barbados</w:t>
            </w:r>
          </w:p>
        </w:tc>
      </w:tr>
      <w:tr w:rsidR="00BB448A" w:rsidRPr="00D97D52" w14:paraId="33ED1A23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4F443D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DBE8EB" w14:textId="78559EFF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2RAS22070 – Islas inteligentes en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8380B3" w14:textId="0AB469C5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Fiji, Papua Nueva Guinea, Vanuatu</w:t>
            </w:r>
          </w:p>
        </w:tc>
      </w:tr>
      <w:tr w:rsidR="00BB448A" w:rsidRPr="002453DF" w14:paraId="53B0EFB1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A1072A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B4483" w14:textId="7446636C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7GLO03043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Desarrollo de las telecomunicaciones rurales en los países menos adelantados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0393E" w14:textId="464A63F6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6484E2BB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5E82FE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83234F" w14:textId="2768EFEC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7GLO24146 – Segunda fase del proyecto Cyber for Good (MSIT)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EE7ED6" w14:textId="7923631C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Angola, Bangladesh, Belice, Benin, Burkina Faso, Burundi, Cabo Verde, Camboya, Chad, Comoras (Unión de las), Cuba, Djibouti, Dominica,</w:t>
            </w:r>
            <w:r w:rsidR="00A62069" w:rsidRPr="002453DF">
              <w:rPr>
                <w:color w:val="000000"/>
                <w:lang w:val="es-ES_tradnl"/>
              </w:rPr>
              <w:t xml:space="preserve"> Dominicana (República),</w:t>
            </w:r>
            <w:r w:rsidR="00BB448A" w:rsidRPr="002453DF">
              <w:rPr>
                <w:color w:val="000000"/>
                <w:lang w:val="es-ES_tradnl"/>
              </w:rPr>
              <w:t xml:space="preserve"> Eritrea, Etiopía, Fiji, Gambia, Grenada, Guinea, Guinea-Bissau, Haití, Islas Marshall, Islas Salomón, Jamaica, Kiribati, Lao (Rep</w:t>
            </w:r>
            <w:r w:rsidR="00A62069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Dem</w:t>
            </w:r>
            <w:r w:rsidR="00A62069" w:rsidRPr="002453DF">
              <w:rPr>
                <w:color w:val="000000"/>
                <w:lang w:val="es-ES_tradnl"/>
              </w:rPr>
              <w:t>ocrática</w:t>
            </w:r>
            <w:r w:rsidR="00BB448A" w:rsidRPr="002453DF">
              <w:rPr>
                <w:color w:val="000000"/>
                <w:lang w:val="es-ES_tradnl"/>
              </w:rPr>
              <w:t xml:space="preserve"> Pop</w:t>
            </w:r>
            <w:r w:rsidR="00A62069" w:rsidRPr="002453DF">
              <w:rPr>
                <w:color w:val="000000"/>
                <w:lang w:val="es-ES_tradnl"/>
              </w:rPr>
              <w:t>ular</w:t>
            </w:r>
            <w:r w:rsidR="00BB448A" w:rsidRPr="002453DF">
              <w:rPr>
                <w:color w:val="000000"/>
                <w:lang w:val="es-ES_tradnl"/>
              </w:rPr>
              <w:t xml:space="preserve">), Lesotho, Liberia, Madagascar, Malawi, Maldivas, Malí, Mauritania, Micronesia, Mozambique, Nepal (República de),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Níger, Papua Nueva Guinea, Rep</w:t>
            </w:r>
            <w:r w:rsidR="00A62069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Centroafricana, República Democrática del Congo, Rwanda (República de), Samoa (Estado Independiente de), San Vicente y las Granadinas, Santa Lucía, Senegal, Sierra Leona, Somalia, Sudán, Sudán del Sur, Suriname, Tanzanía, Timor-Leste, Togo, Tonga, Tuvalu, Uganda, Vanuatu, Zambia</w:t>
            </w:r>
          </w:p>
        </w:tc>
      </w:tr>
      <w:tr w:rsidR="00BB448A" w:rsidRPr="00D97D52" w14:paraId="08B06E9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8FB1E0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BC3402" w14:textId="5A069997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7RAS23072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Acelerar la transformación digital en Asia-Pacífico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240A6B" w14:textId="52F2975F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Bhután, Camboya, Lao (Rep</w:t>
            </w:r>
            <w:r w:rsidR="00101F49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Dem</w:t>
            </w:r>
            <w:r w:rsidR="00101F49" w:rsidRPr="002453DF">
              <w:rPr>
                <w:color w:val="000000"/>
                <w:lang w:val="es-ES_tradnl"/>
              </w:rPr>
              <w:t>ocrática</w:t>
            </w:r>
            <w:r w:rsidR="00BB448A" w:rsidRPr="002453DF">
              <w:rPr>
                <w:color w:val="000000"/>
                <w:lang w:val="es-ES_tradnl"/>
              </w:rPr>
              <w:t xml:space="preserve"> Pop</w:t>
            </w:r>
            <w:r w:rsidR="00101F49" w:rsidRPr="002453DF">
              <w:rPr>
                <w:color w:val="000000"/>
                <w:lang w:val="es-ES_tradnl"/>
              </w:rPr>
              <w:t>ular</w:t>
            </w:r>
            <w:r w:rsidR="00BB448A" w:rsidRPr="002453DF">
              <w:rPr>
                <w:color w:val="000000"/>
                <w:lang w:val="es-ES_tradnl"/>
              </w:rPr>
              <w:t>), Papua Nueva Guinea, Filipinas, Vanuatu</w:t>
            </w:r>
          </w:p>
        </w:tc>
      </w:tr>
      <w:tr w:rsidR="00BB448A" w:rsidRPr="00D97D52" w14:paraId="1C43734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39011F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0D1806" w14:textId="7AF6A62D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7RAS23073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Caminos hacia la ciberseguridad en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5F977E" w14:textId="5AB769D5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Islas Cook, Fiji, Islas Marshall, Islas Salomón, Kiribati, Micronesia, Niue, Palau, Papua Nueva Guinea, Samoa (Estado Independiente de), Tonga, Tuvalu, Vanuatu</w:t>
            </w:r>
          </w:p>
        </w:tc>
      </w:tr>
      <w:tr w:rsidR="00BB448A" w:rsidRPr="002453DF" w14:paraId="06AE59B6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2A913B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677AC1" w14:textId="1CB3B781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7RAS24074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Mejorar la infraestructura digital y el acceso asequible a los servicios de TIC en Asia y el Pacífico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CF4F7" w14:textId="4963F8D4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 y Pacífico</w:t>
            </w:r>
          </w:p>
        </w:tc>
      </w:tr>
      <w:tr w:rsidR="00BB448A" w:rsidRPr="002453DF" w14:paraId="2FEE449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9B4548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1B04AC" w14:textId="75DD54A5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7SUR23017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Implementación de equipos nacionales de intervención en caso de incidente informático (EIII)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Suriname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8F2795" w14:textId="14C8C5E9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Suriname</w:t>
            </w:r>
          </w:p>
        </w:tc>
      </w:tr>
      <w:tr w:rsidR="00BB448A" w:rsidRPr="002453DF" w14:paraId="77D1E4C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2CA16F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DEFD54" w14:textId="68A519E6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9BAR21003 – Examen de la calidad de servicio de los servicios de banda ancha fija en Barbados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A9814A" w14:textId="755D43DF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Barbados</w:t>
            </w:r>
          </w:p>
        </w:tc>
      </w:tr>
      <w:tr w:rsidR="00BB448A" w:rsidRPr="002453DF" w14:paraId="3318897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A435C1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31EE67" w14:textId="20DF6F03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9BER25001 – Centro Nacional de Operaciones de Ciberseguridad (BNCSOC) – Bermudas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3906D" w14:textId="1601C61D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Bermudas</w:t>
            </w:r>
          </w:p>
        </w:tc>
      </w:tr>
      <w:tr w:rsidR="00BB448A" w:rsidRPr="00D97D52" w14:paraId="50CB249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F5EEC0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1B92A" w14:textId="3473A528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9FSM22001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Acelerar el logro de los ODS mediante la transformación digital para reforzar la resiliencia de las comunidades en Micronesia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933F4" w14:textId="5D1A0300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Kiribati, Islas Marshall, Micronesia, Nauru, Palau</w:t>
            </w:r>
          </w:p>
        </w:tc>
      </w:tr>
      <w:tr w:rsidR="00BB448A" w:rsidRPr="00D97D52" w14:paraId="5DD6030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C47353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D1EEC0" w14:textId="72D754CA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9RAF18089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Acuerdo de delegación para la acción entre PRIDA y la UIT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11F2D" w14:textId="49F2073E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Argelia, Angola, Benin, Botswana, Burkina Faso, Burundi, Camerún, Cabo Verde, Chad, Congo, Côte d'Ivoire, Djibouti, Egipto, Guinea Ecuatorial, Eritrea, Eswatini, Etiopía, Gabón, Gambia, Ghana, Guinea, Guinea-Bissau, Kenya, Lesotho, Liberia, Libia, Madagascar, Malawi, Malí, Marruecos, Mauricio, Mauritania, Mozambique, Namibia, Níger, Nigeria, (República de) Rwanda, República Centroafricana, República Democrática del Congo, Santo Tomé y Príncipe, Senegal, Seychelles, Sierra Leona, Somalia, Sudáfrica, Sudán, Sudán del Sur, Tanzanía, Togo, Túnez, Uganda, Zambia, Zimbabwe.</w:t>
            </w:r>
          </w:p>
        </w:tc>
      </w:tr>
      <w:tr w:rsidR="00BB448A" w:rsidRPr="00D97D52" w14:paraId="0EAE3123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63FCD6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B70345" w14:textId="59DEAF89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9RAS22071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Promover los ODS mejorando los medios de subsistencia y la resiliencia a través de la diversificación económica y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051973" w14:textId="650CB31B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Fiji, Islas Salomón, Tonga, Tuvalu, Vanuatu</w:t>
            </w:r>
          </w:p>
        </w:tc>
      </w:tr>
      <w:tr w:rsidR="00BB448A" w:rsidRPr="00D97D52" w14:paraId="69AC7D32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B9FD5F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E06528" w14:textId="0DD97603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9RCA24004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Optimización de la financiación innovadora para los grupos desatendidos con el fin de aumentar la resiliencia y acelerar el logro de los ODS en Antigua y Barbuda y Santa Lucía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95961C" w14:textId="33400DFE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Antigua y Barbuda, Santa Lucía</w:t>
            </w:r>
          </w:p>
        </w:tc>
      </w:tr>
      <w:tr w:rsidR="00BB448A" w:rsidRPr="00D97D52" w14:paraId="6E28540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94BDCE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64EE" w14:textId="438605B3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9RLA21019 </w:t>
            </w:r>
            <w:r w:rsidR="003C548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Conjunto de herramientas Smart Seas (SST) para la resiliencia ante en caso de desastres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B2FC" w14:textId="3B65946D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Barbados, Granada, San Vicente y las Granadinas, Trinidad y Tabago</w:t>
            </w:r>
          </w:p>
        </w:tc>
      </w:tr>
      <w:tr w:rsidR="00BB448A" w:rsidRPr="00D97D52" w14:paraId="642B3B0C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2D3CC8" w14:textId="6C8E3703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17 (Rev.</w:t>
            </w:r>
            <w:r w:rsidR="00CA0458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 xml:space="preserve">Kigali, 2022) – Ejecución en los planos nacional, regional, </w:t>
            </w:r>
            <w:r w:rsidRPr="002453DF">
              <w:rPr>
                <w:color w:val="000000"/>
                <w:lang w:val="es-ES_tradnl"/>
              </w:rPr>
              <w:lastRenderedPageBreak/>
              <w:t>interregional y mundial de las Iniciativas Regionales aprobadas y colaboración al respecto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81983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1CB8CAAD" w14:textId="595B0CEA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92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84402C5" w14:textId="42FBFA8E" w:rsidR="00BB448A" w:rsidRPr="002453DF" w:rsidRDefault="00AB7EFA" w:rsidP="001B7D37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América, Estados Árabes, Asia y el Pacífico, países de la CEI, Europa, Mundo o Multirregional </w:t>
            </w:r>
          </w:p>
        </w:tc>
      </w:tr>
      <w:tr w:rsidR="00BB448A" w:rsidRPr="002453DF" w14:paraId="7FD6A148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985226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3850070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06EA5AD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60F2F418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7F6334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B1A08D3" w14:textId="62C631AC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2GLO24138 – Fortalecimiento de las comunicaciones y la participación de las asociaciones en apoyo de las Iniciativas Regionales de la CMDT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0D18548" w14:textId="57C7F512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3F16D37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38B2DD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6B3566" w14:textId="25E48DD1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2PAK22002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Aldea Inteligente Pakistán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EC7A26" w14:textId="2D11AB6D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Pakistán</w:t>
            </w:r>
          </w:p>
        </w:tc>
      </w:tr>
      <w:tr w:rsidR="00BB448A" w:rsidRPr="00D97D52" w14:paraId="4EDA3B3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9BAE63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1E234B" w14:textId="2784A2F5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2RAS22070 – Islas inteligentes en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3CDC40" w14:textId="19EA400E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Fiji, Papua Nueva Guinea, Vanuatu</w:t>
            </w:r>
          </w:p>
        </w:tc>
      </w:tr>
      <w:tr w:rsidR="00BB448A" w:rsidRPr="00D97D52" w14:paraId="7E724CB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51EC77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D7A85B" w14:textId="7F8590FE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7RAS23072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Acelerar la transformación digital en Asia-Pacífico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626965" w14:textId="7A964DAB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Bhután, Camboya, Lao (Rep</w:t>
            </w:r>
            <w:r w:rsidR="00AC315A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Dem</w:t>
            </w:r>
            <w:r w:rsidR="00AC315A" w:rsidRPr="002453DF">
              <w:rPr>
                <w:color w:val="000000"/>
                <w:lang w:val="es-ES_tradnl"/>
              </w:rPr>
              <w:t>ocrática</w:t>
            </w:r>
            <w:r w:rsidR="00BB448A" w:rsidRPr="002453DF">
              <w:rPr>
                <w:color w:val="000000"/>
                <w:lang w:val="es-ES_tradnl"/>
              </w:rPr>
              <w:t xml:space="preserve"> Pop</w:t>
            </w:r>
            <w:r w:rsidR="00AC315A" w:rsidRPr="002453DF">
              <w:rPr>
                <w:color w:val="000000"/>
                <w:lang w:val="es-ES_tradnl"/>
              </w:rPr>
              <w:t>ular</w:t>
            </w:r>
            <w:r w:rsidR="00BB448A" w:rsidRPr="002453DF">
              <w:rPr>
                <w:color w:val="000000"/>
                <w:lang w:val="es-ES_tradnl"/>
              </w:rPr>
              <w:t>), Papua Nueva Guinea, Filipinas, Vanuatu</w:t>
            </w:r>
          </w:p>
        </w:tc>
      </w:tr>
      <w:tr w:rsidR="00BB448A" w:rsidRPr="002453DF" w14:paraId="5776CC5E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1F4E5A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B1B69A0" w14:textId="5C21C951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7RAS24074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Mejorar la infraestructura digital y el acceso asequible a los servicios de TIC en Asia y el Pacífico </w:t>
            </w:r>
            <w:r w:rsidR="00AC315A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5AFE1D0" w14:textId="2B7567CE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 y Pacífico</w:t>
            </w:r>
          </w:p>
        </w:tc>
      </w:tr>
      <w:tr w:rsidR="00BB448A" w:rsidRPr="00D97D52" w14:paraId="6A7059DD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38B09E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073E35" w14:textId="6BE79C75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7RAS24076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Estudio de viabilidad: Atender las necesidades especiales en materia de telecomunicaciones y TIC de los pequeños Estados insulares en desarrollo (PEID) del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EA2A95" w14:textId="521C1CDB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Fiji, Islas Marshall, Islas Salomón, Kiribati, Micronesia, Nauru, Palau, Papua Nueva Guinea, Samoa (Estado Independiente de), Tonga, Tuvalu, Vanuatu</w:t>
            </w:r>
          </w:p>
        </w:tc>
      </w:tr>
      <w:tr w:rsidR="00BB448A" w:rsidRPr="002453DF" w14:paraId="5ADA120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33454E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AA88D9" w14:textId="2F6A27D2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9COL24042 – Actualización del GPCAE (Plan General de Cese de las Emisiones Analógicas) y buenas prácticas en materia de acceso y servicio universal de TV de Colombia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50BFC7" w14:textId="1B8BE14A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303226D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AF377F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4EAA4E" w14:textId="2BE3F5B0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9COS24019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Desarrollo de conocimientos en tecnologías para especialistas del ICE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E84F2D" w14:textId="604EA4A7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Costa Rica</w:t>
            </w:r>
          </w:p>
        </w:tc>
      </w:tr>
      <w:tr w:rsidR="00BB448A" w:rsidRPr="002453DF" w14:paraId="24EBFB0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F0920D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3D6896" w14:textId="5A08E0DD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9ELS24008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MERIAN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Fortalecimiento de las capacidades de CENTA y ENA para la investigación, extensión y educación digital agropecuaria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E24133" w14:textId="440F9387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El Salvador</w:t>
            </w:r>
          </w:p>
        </w:tc>
      </w:tr>
      <w:tr w:rsidR="00BB448A" w:rsidRPr="002453DF" w14:paraId="7F6E0908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C08EEB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B9BEE9" w14:textId="72F3E90B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9HON23023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Propuesta de actualización normativa y regulatoria en materia de telecomunicaciones en la República de Honduras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DDDCD7" w14:textId="249B7B5C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Honduras</w:t>
            </w:r>
          </w:p>
        </w:tc>
      </w:tr>
      <w:tr w:rsidR="00BB448A" w:rsidRPr="002453DF" w14:paraId="031655A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B5D6B7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EFD1DA" w14:textId="12404715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9PAR24003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Técnica a la Comisión Nacional de Telecomunicaciones del Paraguay en materia de reglamentación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525F14" w14:textId="7BD83FAD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Paraguay</w:t>
            </w:r>
          </w:p>
        </w:tc>
      </w:tr>
      <w:tr w:rsidR="00BB448A" w:rsidRPr="00D97D52" w14:paraId="06EE205F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AE1149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E03A7A" w14:textId="46F39C50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9RAB19028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a la Red Árabe de Parques Tecnológicos e Incubadoras de Empresas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3045AE" w14:textId="320FC616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69059183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85C8F3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EFEFE1" w14:textId="3DB8786F" w:rsidR="00BB448A" w:rsidRPr="002453DF" w:rsidRDefault="003C548C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9RAB20030 – Centro Regional de Expertos en IPv6 e IoT de la UIT para la Región Árabe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D2409D" w14:textId="222F05BF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Arabia</w:t>
            </w:r>
            <w:r w:rsidR="00BB448A" w:rsidRPr="002453DF">
              <w:rPr>
                <w:color w:val="000000"/>
                <w:lang w:val="es-ES_tradnl"/>
              </w:rPr>
              <w:t xml:space="preserve">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2453DF" w14:paraId="5EDA4EED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5AC3D9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C2712B" w14:textId="68F11A15" w:rsidR="00BB448A" w:rsidRPr="002453DF" w:rsidRDefault="003C548C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9RAS21065 – Mejora del desarrollo de normas y marcos para tecnologías críticas en el Sudeste Asiático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7C2669" w14:textId="00FC3C5E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Indonesia, Malasia, Filipinas, Tailandia</w:t>
            </w:r>
          </w:p>
        </w:tc>
      </w:tr>
      <w:tr w:rsidR="00BB448A" w:rsidRPr="002453DF" w14:paraId="45CDECBF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812D08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4D7DE76" w14:textId="73F0CCDD" w:rsidR="00BB448A" w:rsidRPr="002453DF" w:rsidRDefault="003C548C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9RAS21067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Connect2Recover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Refuerzo de la infraestructura y el ecosistema digitales contra la COVID-19 en Asia-Pacífico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87E068B" w14:textId="67A49CAA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 y Pacífico</w:t>
            </w:r>
          </w:p>
        </w:tc>
      </w:tr>
      <w:tr w:rsidR="00BB448A" w:rsidRPr="00D97D52" w14:paraId="626408B8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800249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88A075" w14:textId="45751D7F" w:rsidR="00BB448A" w:rsidRPr="002453DF" w:rsidRDefault="003C548C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9RCA24004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Optimización de la financiación innovadora para los grupos desatendidos con el fin de aumentar la resiliencia y acelerar el logro de los ODS en Antigua y Barbuda y Santa Lucía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8055AF" w14:textId="311B20A5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Antigua y Barbuda, Santa Lucía</w:t>
            </w:r>
          </w:p>
        </w:tc>
      </w:tr>
      <w:tr w:rsidR="00BB448A" w:rsidRPr="00D97D52" w14:paraId="68621CA3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2AF554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678E37" w14:textId="309CC991" w:rsidR="00BB448A" w:rsidRPr="002453DF" w:rsidRDefault="003C548C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9RCA24005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Innovación Regulatoria Regional para Centroamérica – Sandbox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C78C67" w14:textId="3C72C072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Belice, Costa Rica, Dominicana (Rep</w:t>
            </w:r>
            <w:r w:rsidR="001B7D37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>), El Salvador, Guatemala, Honduras, Panamá</w:t>
            </w:r>
          </w:p>
        </w:tc>
      </w:tr>
      <w:tr w:rsidR="00BB448A" w:rsidRPr="00D97D52" w14:paraId="5471882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6F1958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01F644" w14:textId="3F193F13" w:rsidR="00BB448A" w:rsidRPr="002453DF" w:rsidRDefault="003C548C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9RLA21019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Conjunto de herramientas Smart Seas (SST) para la resiliencia ante en caso de desastres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517E92" w14:textId="7BE666FF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Barbados, Granada, San Vicente y las Granadinas, Trinidad y Tabago</w:t>
            </w:r>
          </w:p>
        </w:tc>
      </w:tr>
      <w:tr w:rsidR="00BB448A" w:rsidRPr="00D97D52" w14:paraId="636AA82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280DCD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A5F9EE" w14:textId="4695821C" w:rsidR="00BB448A" w:rsidRPr="002453DF" w:rsidRDefault="003C548C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9RLA23022 – Apoyo a la aplicación de Iniciativas Regionales para la Región de las Américas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71EBAA" w14:textId="510A345B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Cuba, Honduras, México, Panamá, Paraguay, Uruguay</w:t>
            </w:r>
          </w:p>
        </w:tc>
      </w:tr>
      <w:tr w:rsidR="00BB448A" w:rsidRPr="002453DF" w14:paraId="1696BC52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DC2DB3C" w14:textId="194E77A0" w:rsidR="00BB448A" w:rsidRPr="002453DF" w:rsidRDefault="00BB448A" w:rsidP="003A3E00">
            <w:pPr>
              <w:rPr>
                <w:rFonts w:cstheme="minorBid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18 (Rev</w:t>
            </w:r>
            <w:r w:rsidR="00A62069" w:rsidRPr="002453DF">
              <w:rPr>
                <w:color w:val="000000"/>
                <w:lang w:val="es-ES_tradnl"/>
              </w:rPr>
              <w:t>.</w:t>
            </w:r>
            <w:r w:rsidR="00CA0458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Asistencia técnica especial a Palestina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613D34" w14:textId="77777777" w:rsidR="00BB448A" w:rsidRPr="002453DF" w:rsidRDefault="00BB448A" w:rsidP="003A3E00">
            <w:pPr>
              <w:rPr>
                <w:rFonts w:cstheme="minorHAnsi"/>
                <w:i/>
                <w:iCs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Aplicada</w:t>
            </w:r>
            <w:r w:rsidRPr="002453DF">
              <w:rPr>
                <w:rStyle w:val="FootnoteReference"/>
                <w:rFonts w:cstheme="minorBidi"/>
                <w:color w:val="000000" w:themeColor="text1"/>
                <w:lang w:val="es-ES_tradnl"/>
              </w:rPr>
              <w:footnoteReference w:id="6"/>
            </w:r>
            <w:r w:rsidRPr="002453DF">
              <w:rPr>
                <w:color w:val="000000"/>
                <w:lang w:val="es-ES_tradnl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75B46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5E9668D2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2FC354A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9373B7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CB26A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29CCFFF2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4B403B3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2DBC7F" w14:textId="56378C0A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9RAB19028 </w:t>
            </w:r>
            <w:r w:rsidR="001B7D37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a la Red Árabe de Parques Tecnológicos e Incubadoras de Empresas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A54175" w14:textId="0F875A4F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4773E87E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883A39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85018" w14:textId="5B0F0915" w:rsidR="00BB448A" w:rsidRPr="002453DF" w:rsidRDefault="00AB7EFA" w:rsidP="00AB7E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9RAB20030 – Centro Regional de Expertos en IPv6 e IoT de la UIT para la Región Árabe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579F0" w14:textId="56A0349B" w:rsidR="00BB448A" w:rsidRPr="002453DF" w:rsidRDefault="00AB7E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0CA002C8" w14:textId="77777777" w:rsidTr="00BB448A">
        <w:trPr>
          <w:trHeight w:val="300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AB10CD" w14:textId="77777777" w:rsidR="00BB448A" w:rsidRPr="002453DF" w:rsidRDefault="00BB448A" w:rsidP="001B7D37">
            <w:pPr>
              <w:keepNext/>
              <w:keepLines/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20 (Rev. Buenos Aires, 2017) – Acceso no discriminatorio a los modernos medios, servicios y aplicaciones conexas de telecomunicaciones y tecnologías de la información y la comunicación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1B058F1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155118E7" w14:textId="6834D20F" w:rsidR="00BB448A" w:rsidRPr="002453DF" w:rsidRDefault="003C548C" w:rsidP="003C54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6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1D5DB1" w14:textId="4B6120D1" w:rsidR="00BB448A" w:rsidRPr="002453DF" w:rsidRDefault="003C548C" w:rsidP="001B7D37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Estados Árabes, países de la CEI</w:t>
            </w:r>
          </w:p>
        </w:tc>
      </w:tr>
      <w:tr w:rsidR="00BB448A" w:rsidRPr="00D97D52" w14:paraId="72644DE1" w14:textId="77777777" w:rsidTr="00BB448A">
        <w:trPr>
          <w:trHeight w:val="30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71975DF6" w14:textId="7EDD4AA4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21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Fortalecimiento de la coordinación y colaboración con organizaciones regionales y subregionales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FCA61E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357DC190" w14:textId="41E1B6A0" w:rsidR="00BB448A" w:rsidRPr="002453DF" w:rsidRDefault="003C548C" w:rsidP="003C54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25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111520" w14:textId="37AEA44C" w:rsidR="00BB448A" w:rsidRPr="002453DF" w:rsidRDefault="003C548C" w:rsidP="001B7D37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Europa, Mundo o Multirregional</w:t>
            </w:r>
          </w:p>
        </w:tc>
      </w:tr>
      <w:tr w:rsidR="00BB448A" w:rsidRPr="002453DF" w14:paraId="6058C086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0CA81A" w14:textId="3A412B38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22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 xml:space="preserve">Kigali, 2022) – Procedimientos alternativos de llamada en las redes internacionales de telecomunicaciones e identificación del origen de las llamadas en la prestación de servicios </w:t>
            </w:r>
            <w:r w:rsidRPr="002453DF">
              <w:rPr>
                <w:color w:val="000000"/>
                <w:lang w:val="es-ES_tradnl"/>
              </w:rPr>
              <w:lastRenderedPageBreak/>
              <w:t>internacionales de telecomunicaciones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999AE8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57CA77DE" w14:textId="0E8565EC" w:rsidR="00BB448A" w:rsidRPr="002453DF" w:rsidRDefault="003C548C" w:rsidP="003C548C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3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6AAC51E" w14:textId="2EA3C429" w:rsidR="00BB448A" w:rsidRPr="002453DF" w:rsidRDefault="003C548C" w:rsidP="001B7D37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Mundo o multirregional</w:t>
            </w:r>
          </w:p>
        </w:tc>
      </w:tr>
      <w:tr w:rsidR="00BB448A" w:rsidRPr="00D97D52" w14:paraId="6F0796C0" w14:textId="77777777" w:rsidTr="00BB448A">
        <w:trPr>
          <w:trHeight w:val="300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D076" w14:textId="77777777" w:rsidR="00BB448A" w:rsidRPr="002453DF" w:rsidRDefault="00BB448A" w:rsidP="003C548C">
            <w:pPr>
              <w:keepNext/>
              <w:keepLines/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23 (Rev. Buenos Aires, 2017) – Acceso a Internet y su disponibilidad en los países en desarrollo y principios de tasación de la conexión internacional a Internet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01B67" w14:textId="77777777" w:rsidR="00BB448A" w:rsidRPr="002453DF" w:rsidRDefault="00BB448A" w:rsidP="003C548C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1B5824C6" w14:textId="780B685D" w:rsidR="00BB448A" w:rsidRPr="002453DF" w:rsidRDefault="003C548C" w:rsidP="003C548C">
            <w:pPr>
              <w:pStyle w:val="enumlev1"/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15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56670" w14:textId="68AFABB2" w:rsidR="00BB448A" w:rsidRPr="002453DF" w:rsidRDefault="003C548C" w:rsidP="001B7D37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Estados Árabes, Mundo o Multirregional</w:t>
            </w:r>
          </w:p>
        </w:tc>
      </w:tr>
      <w:tr w:rsidR="00BB448A" w:rsidRPr="00D97D52" w14:paraId="4E6D2AC2" w14:textId="77777777" w:rsidTr="00BB448A">
        <w:trPr>
          <w:trHeight w:val="300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2F2935" w14:textId="05962085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24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Dubái 2014) – Autorización para que el Grupo Asesor de Desarrollo de las Telecomunicaciones actúe en el periodo entre Conferencias Mundiales de Desarrollo de las Telecomunicaciones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4C87A1" w14:textId="6DC2B621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 xml:space="preserve">La información sobre la aplicación de la presente Resolución figura en el </w:t>
            </w:r>
            <w:hyperlink r:id="rId27" w:history="1">
              <w:r w:rsidRPr="002453DF">
                <w:rPr>
                  <w:rStyle w:val="Hyperlink"/>
                  <w:lang w:val="es-ES_tradnl"/>
                </w:rPr>
                <w:t>Informe a la CMDT-25 sobre las actividades del Grupo Asesor de Desarrollo de las Telecomunicaciones (GADT) para 2023-2025</w:t>
              </w:r>
            </w:hyperlink>
            <w:r w:rsidRPr="002453DF">
              <w:rPr>
                <w:color w:val="000000"/>
                <w:lang w:val="es-ES_tradnl"/>
              </w:rPr>
              <w:t xml:space="preserve"> </w:t>
            </w:r>
            <w:hyperlink r:id="rId28" w:history="1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7FC203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083FE891" w14:textId="77777777" w:rsidTr="00BB448A">
        <w:trPr>
          <w:trHeight w:val="300"/>
        </w:trPr>
        <w:tc>
          <w:tcPr>
            <w:tcW w:w="2689" w:type="dxa"/>
            <w:vMerge w:val="restar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E3E93" w14:textId="2F9233D4" w:rsidR="00BB448A" w:rsidRPr="002453DF" w:rsidRDefault="00BB448A" w:rsidP="003A3E00">
            <w:pPr>
              <w:rPr>
                <w:rFonts w:cstheme="minorBidi"/>
                <w:color w:val="000000" w:themeColor="text1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25 (Rev</w:t>
            </w:r>
            <w:r w:rsidR="00A62069" w:rsidRPr="002453DF">
              <w:rPr>
                <w:color w:val="000000"/>
                <w:lang w:val="es-ES_tradnl"/>
              </w:rPr>
              <w:t>. </w:t>
            </w:r>
            <w:r w:rsidRPr="002453DF">
              <w:rPr>
                <w:color w:val="000000"/>
                <w:lang w:val="es-ES_tradnl"/>
              </w:rPr>
              <w:t>Kigali, 2022) – Asistencia a países con necesidades especiales: Afganistán, Burundi, República Democrática del Congo, República Centroafricana, Eritrea, Etiopía, Guinea, Guinea-</w:t>
            </w:r>
            <w:r w:rsidRPr="002453DF">
              <w:rPr>
                <w:color w:val="000000"/>
                <w:lang w:val="es-ES_tradnl"/>
              </w:rPr>
              <w:lastRenderedPageBreak/>
              <w:t>Bissau, Haití, Liberia, Rwanda, Sierra Leona, Somalia, Sudán del Sur y Timor Leste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36F0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6B4779BE" w14:textId="2508BE2E" w:rsidR="00BB448A" w:rsidRPr="002453DF" w:rsidRDefault="00552F19" w:rsidP="00552F1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3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144F9" w14:textId="646790C8" w:rsidR="00BB448A" w:rsidRPr="002453DF" w:rsidRDefault="00552F19" w:rsidP="001B7D37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Estados Árabes, Asia-Pacífico</w:t>
            </w:r>
          </w:p>
        </w:tc>
      </w:tr>
      <w:tr w:rsidR="00BB448A" w:rsidRPr="002453DF" w14:paraId="2A7CA04C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16C9A99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7ADD91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92DED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07E8AC8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A1E5F8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4452D4" w14:textId="47503B50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9RAS25002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Mejorar la infraestructura digital y el acceso asequible a los servicios de TIC en Asia y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2A681B" w14:textId="5B749F02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Bangladesh, Camboya, Islas Marshall, Maldivas, Mongolia, Nauru, Pakistán, Papua Nueva Guinea, Vanuatu</w:t>
            </w:r>
          </w:p>
        </w:tc>
      </w:tr>
      <w:tr w:rsidR="00BB448A" w:rsidRPr="00D97D52" w14:paraId="677B3EAF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42F6CE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723DDA" w14:textId="603BEF76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9RAF24107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Apoyo de la UE para los sistemas de mapas nacionales de la banda ancha en África (AfricaBBMaps)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BB9CCC" w14:textId="240507B0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Benín, Botswana, Burundi, Côte d'Ivoire, Etiopía, Kenya, Malawi, Nigeria, Uganda, Zambia, Zimbabwe</w:t>
            </w:r>
          </w:p>
        </w:tc>
      </w:tr>
      <w:tr w:rsidR="00BB448A" w:rsidRPr="00D97D52" w14:paraId="452E5299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E20B41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A99B24" w14:textId="1F459024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9RAF24105 – Contribución de Dinamarca a la alerta temprana para todos (EW4All) (OMM-Dinamarca)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18453" w14:textId="7004BD5B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Níger, Somalia, Sudán del Sur, Tanzanía, Uganda</w:t>
            </w:r>
          </w:p>
        </w:tc>
      </w:tr>
      <w:tr w:rsidR="00BB448A" w:rsidRPr="002453DF" w14:paraId="638D779D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1D23876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0D7F3C" w14:textId="1EEAE9AB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9RAF21101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Acelerar la transformación digital de África a través de la conectividad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70952" w14:textId="00E144C6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Etiopía</w:t>
            </w:r>
          </w:p>
        </w:tc>
      </w:tr>
      <w:tr w:rsidR="00BB448A" w:rsidRPr="00D97D52" w14:paraId="7627C2EF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4532A04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3C4A6B" w14:textId="34565191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9RAF18089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Acuerdo de delegación para la acción entre PRIDA y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FFB74D" w14:textId="5D180505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Argelia, Angola, Benin, Botswana, Burkina Faso, Burundi, Camerún, Cabo Verde, Chad, Congo, Côte d'Ivoire, Djibouti, Egipto, Guinea Ecuatorial, Eritrea, Eswatini, Etiopía, Gabón, Gambia, Ghana, Guinea, Guinea-Bissau, Kenya, Lesotho, Liberia, Libia, Madagascar, Malawi, Malí, Marruecos, Mauricio, Mauritania, Mozambique, Namibia, Níger, Nigeria, (República de) Rwanda, República Centroafricana, República Democrática del Congo, Santo Tomé y Príncipe, Senegal, Seychelles, Sierra Leona, Somalia, Sudáfrica, Sudán, Sudán del Sur, Tanzanía, Togo, Túnez, Uganda, Zambia, Zimbabwe.</w:t>
            </w:r>
          </w:p>
        </w:tc>
      </w:tr>
      <w:tr w:rsidR="00BB448A" w:rsidRPr="00D97D52" w14:paraId="1E5DA4E6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E6E535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802F03" w14:textId="7A273509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9RAB20030 – Centro Regional de Expertos en IPv6 e IoT de la UIT para la Región Árabe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84A0C" w14:textId="7D856748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Arabia Saudita, Argelia, Bahrein, Comoras (Unión de las), Djibouti, Egipto, Emiratos Árabes Unidos, Iraq, Jordania, Kuwait, Líbano, Libia, Marruecos, Mauritania, Omán, Qatar, Somalia,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Estado de Palestina, Sudán, Siria, Túnez y Yemen</w:t>
            </w:r>
          </w:p>
        </w:tc>
      </w:tr>
      <w:tr w:rsidR="00BB448A" w:rsidRPr="00D97D52" w14:paraId="5EFF3BA9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98BCCA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7900A" w14:textId="54FC6782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9RAB19028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a la Red Árabe de Parques Tecnológicos e Incubadoras de Empresas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DBA42" w14:textId="01D831FE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6B7F4C91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0A0996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94062" w14:textId="0C94EFDF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9GLO24137 – Acelerador multipartito EW4All en PMA y PEID (fondos de la Oficina de las Naciones Unidas para la Reducción del Riesgo de Desastres-Suecia)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97CC24" w14:textId="5E028210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Bangladesh, Haití, Liberia, Mozambique, Somalia</w:t>
            </w:r>
          </w:p>
        </w:tc>
      </w:tr>
      <w:tr w:rsidR="00BB448A" w:rsidRPr="00D97D52" w14:paraId="44CAD24A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DA943C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99C864" w14:textId="310DF689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9GLO21112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Crear un ciberespacio seguro y próspero para la infancia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A96669" w14:textId="214480C6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Armenia, Burundi, Etiopía, Malawi, Malta, Marruecos, Uzbekistán</w:t>
            </w:r>
          </w:p>
        </w:tc>
      </w:tr>
      <w:tr w:rsidR="00BB448A" w:rsidRPr="00D97D52" w14:paraId="72D2CDBF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3F23C5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02DA08" w14:textId="376E25A8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7RAF25157 – Apoyar la aplicación de proyectos Govstack en la región de África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7356B9" w14:textId="0BF5D390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[Desconocido], Gambia, Guinea, Guinea-Bissau, Senegal</w:t>
            </w:r>
          </w:p>
        </w:tc>
      </w:tr>
      <w:tr w:rsidR="00BB448A" w:rsidRPr="00D97D52" w14:paraId="30F49D0B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1C2C10B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8A5841" w14:textId="567A9334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7RAF25155 – Finalización y divulgación de los resultados del proyecto "Evaluación comparativa de las TIC en África Central"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68A7A8" w14:textId="7D4710A1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[Desconocido], Angola, Burundi, Camerún, Chad, Congo, Gabón, Guinea Ecuatorial, República Centroafricana, República Democrática del Congo, </w:t>
            </w:r>
            <w:r w:rsidR="001B7D37" w:rsidRPr="002453DF">
              <w:rPr>
                <w:color w:val="000000"/>
                <w:lang w:val="es-ES_tradnl"/>
              </w:rPr>
              <w:t xml:space="preserve">Rwanda </w:t>
            </w:r>
            <w:r w:rsidR="00BB448A" w:rsidRPr="002453DF">
              <w:rPr>
                <w:color w:val="000000"/>
                <w:lang w:val="es-ES_tradnl"/>
              </w:rPr>
              <w:t>(República de), Santo Tomé y Príncipe</w:t>
            </w:r>
          </w:p>
        </w:tc>
      </w:tr>
      <w:tr w:rsidR="00BB448A" w:rsidRPr="00D97D52" w14:paraId="6C605E2C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3396DA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2FDA5C" w14:textId="436D4151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7RAF24106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Ciberresiliencia para el desarrollo digital en los países menos adelantados 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D8D495" w14:textId="58937E89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Mozambique, Rwanda (República de), Zambia</w:t>
            </w:r>
          </w:p>
        </w:tc>
      </w:tr>
      <w:tr w:rsidR="00BB448A" w:rsidRPr="00D97D52" w14:paraId="023AF7F9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4809BC8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92CC08" w14:textId="3EB51473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7RAF21102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Comparación de las TIC en África Central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AA16D6" w14:textId="2D6A21EA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Angola, Burundi, Camerún, Chad, Congo, Gabón, Guinea Ecuatorial, República Centroafricana, República </w:t>
            </w:r>
            <w:r w:rsidR="00BB448A" w:rsidRPr="002453DF">
              <w:rPr>
                <w:color w:val="000000"/>
                <w:lang w:val="es-ES_tradnl"/>
              </w:rPr>
              <w:lastRenderedPageBreak/>
              <w:t>Democrática del Congo, (República de) Rwanda, Santo Tomé y Príncipe</w:t>
            </w:r>
          </w:p>
        </w:tc>
      </w:tr>
      <w:tr w:rsidR="00BB448A" w:rsidRPr="00D97D52" w14:paraId="1AE843B1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2B47B20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863EBD" w14:textId="41FEACA4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7GLO25151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Programa Her Cyber Tracks Fase III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21DB56" w14:textId="5BA3E72C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Albania, Armenia, Benin, Bosnia y Herzegovina, Burkina Faso, Cabo Verde, Côte d'Ivoire, Gambia, Georgia, Ghana, Guinea, Guinea-Bissau, Liberia, Malí, Moldova, Montenegro, Níger, Nigeria, Macedonia del Norte, Senegal, Serbia, Sierra Leona, Togo, Ucrania</w:t>
            </w:r>
          </w:p>
        </w:tc>
      </w:tr>
      <w:tr w:rsidR="00BB448A" w:rsidRPr="00D97D52" w14:paraId="2D58A584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5B79A1C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40769B" w14:textId="2548C379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7GLO24146 – Segunda fase del proyecto Cyber for Good (MSIT)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13094E" w14:textId="29255F72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Angola, Bangladesh, Belice, Benin, Burkina Faso, Burundi, Cabo Verde, Camboya, Chad, Comoras (Unión de las), Cuba, Djibouti, Dominica,</w:t>
            </w:r>
            <w:r w:rsidR="00776231" w:rsidRPr="002453DF">
              <w:rPr>
                <w:color w:val="000000"/>
                <w:lang w:val="es-ES_tradnl"/>
              </w:rPr>
              <w:t xml:space="preserve"> Dominicana (República),</w:t>
            </w:r>
            <w:r w:rsidR="00BB448A" w:rsidRPr="002453DF">
              <w:rPr>
                <w:color w:val="000000"/>
                <w:lang w:val="es-ES_tradnl"/>
              </w:rPr>
              <w:t xml:space="preserve"> Eritrea, Etiopía, Fiji, Gambia, Grenada, Guinea, Guinea-Bissau, Haití, Islas Marshall, Islas Salomón, Jamaica, Kiribati, Lao (Rep</w:t>
            </w:r>
            <w:r w:rsidR="00B653EC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Dem</w:t>
            </w:r>
            <w:r w:rsidR="00B653EC" w:rsidRPr="002453DF">
              <w:rPr>
                <w:color w:val="000000"/>
                <w:lang w:val="es-ES_tradnl"/>
              </w:rPr>
              <w:t>ocrática</w:t>
            </w:r>
            <w:r w:rsidR="00BB448A" w:rsidRPr="002453DF">
              <w:rPr>
                <w:color w:val="000000"/>
                <w:lang w:val="es-ES_tradnl"/>
              </w:rPr>
              <w:t xml:space="preserve"> Pop</w:t>
            </w:r>
            <w:r w:rsidR="00B653EC" w:rsidRPr="002453DF">
              <w:rPr>
                <w:color w:val="000000"/>
                <w:lang w:val="es-ES_tradnl"/>
              </w:rPr>
              <w:t>ular</w:t>
            </w:r>
            <w:r w:rsidR="00BB448A" w:rsidRPr="002453DF">
              <w:rPr>
                <w:color w:val="000000"/>
                <w:lang w:val="es-ES_tradnl"/>
              </w:rPr>
              <w:t>), Lesotho, Liberia, Madagascar, Malawi, Maldivas, Malí, Mauritania, Micronesia, Mozambique, Nepal (República de), Níger, Papua Nueva Guinea, Rep</w:t>
            </w:r>
            <w:r w:rsidR="00776231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Centroafricana, República Democrática del Congo, Rwanda (República de), Samoa (Estado Independiente de), San Vicente y las Granadinas, Santa Lucía, Senegal, Sierra Leona, Somalia, Sudán, Sudán del Sur, Suriname, Tanzanía, Timor-Leste, Togo, Tonga, Tuvalu, Uganda, Vanuatu, Zambia</w:t>
            </w:r>
          </w:p>
        </w:tc>
      </w:tr>
      <w:tr w:rsidR="00BB448A" w:rsidRPr="00D97D52" w14:paraId="2FFCCC47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CD28AE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874FF" w14:textId="47834C0E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7GLO24142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Alianza para el fortalecimiento de la ciberseguridad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1D3EBE" w14:textId="231E123D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Armenia, Benin, Bosnia y Herzegovina, Burkina Faso, Cabo Verde, Côte d'Ivoire, Gambia, Georgia, Ghana, Guinea, Guinea-Bissau, Liberia, Malí, Moldova, Montenegro, Níger, Nigeria, Macedonia del Norte, Senegal, Serbia, Sierra Leona, Togo, Ucrania</w:t>
            </w:r>
          </w:p>
        </w:tc>
      </w:tr>
      <w:tr w:rsidR="00BB448A" w:rsidRPr="00D97D52" w14:paraId="7194F021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10357DB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237DC2" w14:textId="7032F1F9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7GLO20108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Fomento de las competencias digitales a través de los Centros de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9C7DDA" w14:textId="5F81F595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Côte d'Ivoire,</w:t>
            </w:r>
            <w:r w:rsidR="00776231" w:rsidRPr="002453DF">
              <w:rPr>
                <w:color w:val="000000"/>
                <w:lang w:val="es-ES_tradnl"/>
              </w:rPr>
              <w:t xml:space="preserve"> Dominicana (República),</w:t>
            </w:r>
            <w:r w:rsidR="00BB448A" w:rsidRPr="002453DF">
              <w:rPr>
                <w:color w:val="000000"/>
                <w:lang w:val="es-ES_tradnl"/>
              </w:rPr>
              <w:t xml:space="preserve"> Filipinas, Ghana, Indonesia, Marruecos, Pakistán, Papua Nueva Guinea, República Democrática del Congo</w:t>
            </w:r>
            <w:r w:rsidR="00776231" w:rsidRPr="002453DF">
              <w:rPr>
                <w:color w:val="000000"/>
                <w:lang w:val="es-ES_tradnl"/>
              </w:rPr>
              <w:t>,</w:t>
            </w:r>
            <w:r w:rsidR="00BB448A" w:rsidRPr="002453DF">
              <w:rPr>
                <w:color w:val="000000"/>
                <w:lang w:val="es-ES_tradnl"/>
              </w:rPr>
              <w:t xml:space="preserve"> Rwanda (República de), Uganda, Zambia</w:t>
            </w:r>
          </w:p>
        </w:tc>
      </w:tr>
      <w:tr w:rsidR="00BB448A" w:rsidRPr="002453DF" w14:paraId="7A778507" w14:textId="77777777" w:rsidTr="00BB448A">
        <w:trPr>
          <w:trHeight w:val="58"/>
        </w:trPr>
        <w:tc>
          <w:tcPr>
            <w:tcW w:w="2689" w:type="dxa"/>
            <w:vMerge/>
            <w:noWrap/>
          </w:tcPr>
          <w:p w14:paraId="79CD1D5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EAAC07" w14:textId="6D8798A3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7GLO20106 – Mejora del ecosistema digital y de las competencias digitales para el empoderamiento económico de las mujeres en los PMA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D66F45" w14:textId="67655389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Burundi, Etiopía, Haití</w:t>
            </w:r>
          </w:p>
        </w:tc>
      </w:tr>
      <w:tr w:rsidR="00BB448A" w:rsidRPr="002453DF" w14:paraId="34AC5F88" w14:textId="77777777" w:rsidTr="00BB448A">
        <w:trPr>
          <w:trHeight w:val="58"/>
        </w:trPr>
        <w:tc>
          <w:tcPr>
            <w:tcW w:w="2689" w:type="dxa"/>
            <w:vMerge/>
            <w:noWrap/>
          </w:tcPr>
          <w:p w14:paraId="56374B0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59A78" w14:textId="6EFFFC86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2RER20008-03 – Programa Mundial de Transformación Digital – Iniciativa de Gobierno Digital del Cuerno de África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43A20B" w14:textId="35429ABE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Djibouti, Kenya, Somalia</w:t>
            </w:r>
          </w:p>
        </w:tc>
      </w:tr>
      <w:tr w:rsidR="00BB448A" w:rsidRPr="00D97D52" w14:paraId="26AEB074" w14:textId="77777777" w:rsidTr="00BB448A">
        <w:trPr>
          <w:trHeight w:val="58"/>
        </w:trPr>
        <w:tc>
          <w:tcPr>
            <w:tcW w:w="2689" w:type="dxa"/>
            <w:vMerge/>
            <w:noWrap/>
          </w:tcPr>
          <w:p w14:paraId="53D9AE9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B8396" w14:textId="26283182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2GLO21119 – Creación de la iniciativa Cyber4Good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C3FC31" w14:textId="57373B0C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Liberia, Malawi, Mauritania, Rwanda (República de), Tanzanía</w:t>
            </w:r>
          </w:p>
        </w:tc>
      </w:tr>
      <w:tr w:rsidR="00BB448A" w:rsidRPr="002453DF" w14:paraId="5B360CA5" w14:textId="77777777" w:rsidTr="00BB448A">
        <w:trPr>
          <w:trHeight w:val="58"/>
        </w:trPr>
        <w:tc>
          <w:tcPr>
            <w:tcW w:w="2689" w:type="dxa"/>
            <w:vMerge/>
            <w:noWrap/>
          </w:tcPr>
          <w:p w14:paraId="16B4250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FCB9E3" w14:textId="780E2491" w:rsidR="00BB448A" w:rsidRPr="002453DF" w:rsidRDefault="00552F19" w:rsidP="00552F1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2CAF23002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Establecimiento de un centro de formación para la fibra óptica en la República Centroafricana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73EC1E" w14:textId="7CE114E5" w:rsidR="00BB448A" w:rsidRPr="002453DF" w:rsidRDefault="00552F1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República Centroafricana</w:t>
            </w:r>
          </w:p>
        </w:tc>
      </w:tr>
      <w:tr w:rsidR="00BB448A" w:rsidRPr="00D97D52" w14:paraId="6CEFAA1A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E8B215" w14:textId="6EF4E37D" w:rsidR="00BB448A" w:rsidRPr="002453DF" w:rsidRDefault="00BB448A" w:rsidP="00B653EC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  <w:r w:rsidRPr="002453DF">
              <w:rPr>
                <w:color w:val="000000"/>
                <w:lang w:val="es-ES_tradnl"/>
              </w:rPr>
              <w:t>RESOLUCIÓN 30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 xml:space="preserve">Kigali, 2022) – Función del Sector de Desarrollo de las Telecomunicaciones de la UIT en la aplicación de los resultados de la </w:t>
            </w:r>
            <w:r w:rsidRPr="002453DF">
              <w:rPr>
                <w:color w:val="000000"/>
                <w:lang w:val="es-ES_tradnl"/>
              </w:rPr>
              <w:lastRenderedPageBreak/>
              <w:t>Cumbre Mundial sobre la Sociedad de la Información y la Agenda 2030 para el Desarrollo Sostenible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E04756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3C186C26" w14:textId="2F5E10BE" w:rsidR="00BB448A" w:rsidRPr="002453DF" w:rsidRDefault="00552F19" w:rsidP="00552F1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15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A676DE3" w14:textId="519DD76B" w:rsidR="00BB448A" w:rsidRPr="002453DF" w:rsidRDefault="00552F19" w:rsidP="00B653EC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Asia-Pacífico, Europa, Mundo o Multirregional</w:t>
            </w:r>
          </w:p>
        </w:tc>
      </w:tr>
      <w:tr w:rsidR="00BB448A" w:rsidRPr="00D97D52" w14:paraId="4BA711DC" w14:textId="77777777" w:rsidTr="00BB448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5DA566" w14:textId="5B0867D4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31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Preparación regional de las Conferencias Mundiales de Desarrollo de las Telecomunicaciones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F20EE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33BF335D" w14:textId="22C8B73E" w:rsidR="00BB448A" w:rsidRPr="002453DF" w:rsidRDefault="00552F19" w:rsidP="00552F1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10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10A5B" w14:textId="48AFFEA4" w:rsidR="00BB448A" w:rsidRPr="002453DF" w:rsidRDefault="00552F19" w:rsidP="00B653EC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países de la CEI, Europa</w:t>
            </w:r>
          </w:p>
        </w:tc>
      </w:tr>
      <w:tr w:rsidR="00BB448A" w:rsidRPr="002453DF" w14:paraId="7FA0B043" w14:textId="77777777" w:rsidTr="00BB448A">
        <w:trPr>
          <w:trHeight w:val="300"/>
        </w:trPr>
        <w:tc>
          <w:tcPr>
            <w:tcW w:w="2689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636505BA" w14:textId="705C1906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33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Dubái, 2014) – Asistencia y apoyo a Serbia para la reconstrucción del sistema público de radiodifusión destruido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599A47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24802C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0D091241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5296FE3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5A351D6" w14:textId="46092EB6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2RER21029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Monitoreo de los desechos de equipo eléctricos y electrónicos a nivel regional para los Balcanes occidentales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58727A7" w14:textId="4041CF4C" w:rsidR="00BB448A" w:rsidRPr="002453DF" w:rsidRDefault="00AC0AFA" w:rsidP="00B653EC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Bosnia y Herzegovina, Montenegro, Macedonia del Norte, Serbia</w:t>
            </w:r>
          </w:p>
        </w:tc>
      </w:tr>
      <w:tr w:rsidR="00BB448A" w:rsidRPr="00D97D52" w14:paraId="1E23B90B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00E004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42CCA1B" w14:textId="534FBC27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7GLO24142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Alianza para el fortalecimiento de la ciberseguridad </w:t>
            </w:r>
            <w:r w:rsidR="00B653EC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5523763" w14:textId="37BA6F66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Armenia, Benin, Bosnia y Herzegovina, Burkina Faso, Cabo Verde, Côte d'Ivoire, Gambia, Georgia, Ghana, Guinea, Guinea-Bissau, Liberia, Malí, Moldova, Montenegro, Níger, Nigeria, Macedonia del Norte, Senegal, Serbia, Sierra Leona, Togo, Ucrania</w:t>
            </w:r>
          </w:p>
        </w:tc>
      </w:tr>
      <w:tr w:rsidR="00BB448A" w:rsidRPr="00D97D52" w14:paraId="114B7AFD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B7E99E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E455D8" w14:textId="0560CFBB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7GLO25151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Programa Her Cyber Tracks Fase III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BE0827" w14:textId="06507F43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Albania, Armenia, Benin, Bosnia y Herzegovina, Burkina Faso, Cabo Verde, Côte d'Ivoire, Gambia, Georgia, Ghana, Guinea, Guinea-Bissau, Liberia, Malí, Moldova, Montenegro, Níger, Nigeria,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Macedonia del Norte, Senegal, Serbia, Sierra Leona, Togo, Ucrania</w:t>
            </w:r>
          </w:p>
        </w:tc>
      </w:tr>
      <w:tr w:rsidR="00BB448A" w:rsidRPr="00D97D52" w14:paraId="58D4D25D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7BA05F1" w14:textId="250CD399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34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Función de las telecomunicaciones y las tecnologías de la información y la comunicación en la preparación, alerta temprana, rescate, mitigación, socorro y respuesta en situaciones de catástrofe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82B3B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6F3519B1" w14:textId="2A5527F4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53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6ECDA9" w14:textId="6E0DFE77" w:rsidR="00BB448A" w:rsidRPr="002453DF" w:rsidRDefault="00AC0AFA" w:rsidP="00F671F6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7A676DD5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797314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4AFF9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3BE25B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489FB7FD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CED8E1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12986" w14:textId="77777777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2GLO18094 – Mejora de los planes nacionales de telecomunicaciones de emergencia y coordinación para salvar vidas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2EECB" w14:textId="29E80AA7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Multirregión </w:t>
            </w:r>
          </w:p>
        </w:tc>
      </w:tr>
      <w:tr w:rsidR="00BB448A" w:rsidRPr="002453DF" w14:paraId="3ECD6C73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262415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72B8E4" w14:textId="7F756A21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 xml:space="preserve">7GLO03043 </w:t>
            </w:r>
            <w:r w:rsidR="00AC0AFA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Desarrollo de las telecomunicaciones rurales en los países menos adelantados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2C0BCD" w14:textId="45ED600A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3081377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9C63B5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0327A" w14:textId="72AF70DA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 xml:space="preserve">7GLO24144 </w:t>
            </w:r>
            <w:r w:rsidR="00AC0AFA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Alertas Tempranas para todos – Fondos de la UIT para la ejecución de la iniciativa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D6E67" w14:textId="3E8A4264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Cabo Verde, Djibouti, Guyana, Montenegro, Macedonia del Norte, Santo Tomé y Príncipe</w:t>
            </w:r>
          </w:p>
        </w:tc>
      </w:tr>
      <w:tr w:rsidR="00BB448A" w:rsidRPr="002453DF" w14:paraId="42350335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839A61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A5ED12" w14:textId="6B8C7C39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 xml:space="preserve">7RAS24074 </w:t>
            </w:r>
            <w:r w:rsidR="00AC0AFA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Mejorar la infraestructura digital y el acceso asequible a los servicios de TIC en Asia y el Pacífico </w:t>
            </w:r>
            <w:r w:rsidR="00AC0AFA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8472CE" w14:textId="5921B93D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 y Pacífico</w:t>
            </w:r>
          </w:p>
        </w:tc>
      </w:tr>
      <w:tr w:rsidR="00BB448A" w:rsidRPr="002453DF" w14:paraId="12E7E1F6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6C8CED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B3C5A0" w14:textId="54BC7C9F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 xml:space="preserve">9GLO21111 </w:t>
            </w:r>
            <w:r w:rsidR="00AC0AFA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Connect2Recover </w:t>
            </w:r>
            <w:r w:rsidR="00AC0AFA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Refuerzo de la infraestructura y el ecosistema digitales contra la COVID-19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17BD1" w14:textId="7DCC3ADD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2BFD856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4D4568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089A24" w14:textId="77777777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9GLO23122 – Aplicación de la Fase 2 de los Mapas de conectividad en caso de catástrofe (DCM) de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E1ECA" w14:textId="1EFB2B18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68EB8FA3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4DB5AD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390E20" w14:textId="77777777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9GLO24137 – Acelerador multipartito EW4All en PMA y PEID (fondos de la Oficina de las Naciones Unidas para la Reducción del Riesgo de Desastres-Suecia)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FAC8D" w14:textId="24B10678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Bangladesh, Haití, Liberia, Mozambique, Somalia</w:t>
            </w:r>
          </w:p>
        </w:tc>
      </w:tr>
      <w:tr w:rsidR="00BB448A" w:rsidRPr="00D97D52" w14:paraId="6D8BE3C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FF2481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C38492" w14:textId="77777777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9GLO24143 – Riesgo Climático y Sistemas de Alerta Temprana (CREWS) – Acelerador multipartito de la Iniciativa Alerta Temprana para Todas las Personas (EW4All) en los PMA y los PEID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C1D16B" w14:textId="3651FFC3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Comoras (Unión de las), Islas Salomón, Kiribati, Madagascar, Mauricio, Tonga</w:t>
            </w:r>
          </w:p>
        </w:tc>
      </w:tr>
      <w:tr w:rsidR="00BB448A" w:rsidRPr="00D97D52" w14:paraId="13BF4D4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AAEA83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77BB6B" w14:textId="77777777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9RAF24105 – Contribución de Dinamarca a la alerta temprana para todos (EW4All) (OMM-Dinamarca)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5DBA42" w14:textId="02CDB156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Níger, Somalia, Sudán del Sur, Tanzanía, Uganda</w:t>
            </w:r>
          </w:p>
        </w:tc>
      </w:tr>
      <w:tr w:rsidR="00BB448A" w:rsidRPr="00D97D52" w14:paraId="578F72A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D041AF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C74B1" w14:textId="1C60951D" w:rsidR="00BB448A" w:rsidRPr="002453DF" w:rsidRDefault="00BB448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 xml:space="preserve">9RAS25002 </w:t>
            </w:r>
            <w:r w:rsidR="00AC0AFA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Mejorar la infraestructura digital y el acceso asequible a los servicios de TIC en Asia y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6BCA" w14:textId="2818ED63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Bangladesh, Camboya, Islas Marshall, Maldivas, Mongolia, Nauru, Pakistán, Papua Nueva Guinea, Vanuatu</w:t>
            </w:r>
          </w:p>
          <w:p w14:paraId="51E4F4C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7A763DA2" w14:textId="77777777" w:rsidTr="00BB448A">
        <w:trPr>
          <w:trHeight w:val="6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2F1E68" w14:textId="3E4BE746" w:rsidR="00BB448A" w:rsidRPr="002453DF" w:rsidRDefault="00BB448A" w:rsidP="003A3E00">
            <w:pPr>
              <w:rPr>
                <w:rFonts w:cstheme="minorBidi"/>
                <w:color w:val="000000" w:themeColor="text1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36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Apoyo a la Unión Africana de Telecomunicaciones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BAE412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Aplicada.</w:t>
            </w:r>
            <w:r w:rsidRPr="002453DF">
              <w:rPr>
                <w:rStyle w:val="FootnoteReference"/>
                <w:color w:val="000000"/>
                <w:sz w:val="20"/>
                <w:lang w:val="es-ES_tradnl"/>
              </w:rPr>
              <w:footnoteReference w:id="7"/>
            </w:r>
            <w:r w:rsidRPr="002453DF">
              <w:rPr>
                <w:color w:val="000000"/>
                <w:lang w:val="es-ES_tradnl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06C9BE" w14:textId="5F57AAD5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</w:t>
            </w:r>
          </w:p>
        </w:tc>
      </w:tr>
      <w:tr w:rsidR="00BB448A" w:rsidRPr="00D97D52" w14:paraId="7EDDDF29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25277839" w14:textId="77777777" w:rsidR="00BB448A" w:rsidRPr="002453DF" w:rsidRDefault="00BB448A" w:rsidP="003A3E00">
            <w:pPr>
              <w:rPr>
                <w:rFonts w:cstheme="minorBidi"/>
                <w:color w:val="000000" w:themeColor="text1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63BECA9" w14:textId="77777777" w:rsidR="00BB448A" w:rsidRPr="002453DF" w:rsidRDefault="00BB448A" w:rsidP="003A3E00">
            <w:pPr>
              <w:rPr>
                <w:rFonts w:cstheme="minorHAnsi"/>
                <w:iCs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  <w:p w14:paraId="73F2F3F2" w14:textId="30931BC1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9RAF18089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Acuerdo de delegación para la acción entre PRIDA y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A858220" w14:textId="160E627B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Argelia, Angola, Benin, Botswana, Burkina Faso, Burundi, Camerún, Cabo Verde, Chad, Congo, Côte d'Ivoire, Djibouti, Egipto, Guinea Ecuatorial, Eritrea, Eswatini, Etiopía, Gabón, Gambia, Ghana, Guinea, Guinea-Bissau, Kenya, Lesotho, Liberia, Libia, Madagascar, Malawi, Malí, Marruecos, Mauricio, Mauritania, Mozambique, Namibia, Níger, Nigeria, Rwanda</w:t>
            </w:r>
            <w:r w:rsidR="00B73E49" w:rsidRPr="002453DF">
              <w:rPr>
                <w:color w:val="000000"/>
                <w:lang w:val="es-ES_tradnl"/>
              </w:rPr>
              <w:t>(República de)</w:t>
            </w:r>
            <w:r w:rsidR="00BB448A" w:rsidRPr="002453DF">
              <w:rPr>
                <w:color w:val="000000"/>
                <w:lang w:val="es-ES_tradnl"/>
              </w:rPr>
              <w:t>, República Centroafricana, República Democrática del Congo, Santo Tomé y Príncipe, Senegal, Seychelles, Sierra Leona, Somalia, Sudáfrica, Sudán, Sudán del Sur, Tanzanía, Togo, Túnez, Uganda, Zambia, Zimbabwe.</w:t>
            </w:r>
          </w:p>
        </w:tc>
      </w:tr>
      <w:tr w:rsidR="00BB448A" w:rsidRPr="00D97D52" w14:paraId="0CCA1629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20C72A6C" w14:textId="77777777" w:rsidR="00BB448A" w:rsidRPr="002453DF" w:rsidRDefault="00BB448A" w:rsidP="003A3E00">
            <w:pPr>
              <w:rPr>
                <w:rFonts w:cstheme="minorBidi"/>
                <w:color w:val="000000" w:themeColor="text1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3B334E6" w14:textId="3C9CB291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9RAF24105 – Contribución de Dinamarca a la alerta temprana para todos (EW4All) (OMM-Dinamarca)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D010FDA" w14:textId="627B42B6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Níger, Somalia, Sudán del Sur, Tanzanía, Uganda</w:t>
            </w:r>
          </w:p>
        </w:tc>
      </w:tr>
      <w:tr w:rsidR="00BB448A" w:rsidRPr="00D97D52" w14:paraId="54564F37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3FC0CEF4" w14:textId="369097E0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37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Reducción de la brecha digital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D038F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69270D49" w14:textId="4BDED2F5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70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3041BB" w14:textId="57B33567" w:rsidR="00BB448A" w:rsidRPr="002453DF" w:rsidRDefault="00AC0AFA" w:rsidP="00B73E49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14E45600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E29D83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5934C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4BE02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6FEA87D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6C3F93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BB9AB" w14:textId="3E4FDB25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2NER21005 – Proyecto de aldeas inteligentes para el desarrollo rural en Níger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4ED267" w14:textId="111499FF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Níger</w:t>
            </w:r>
          </w:p>
        </w:tc>
      </w:tr>
      <w:tr w:rsidR="00BB448A" w:rsidRPr="00D97D52" w14:paraId="0663094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36B304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290677" w14:textId="1896E1A0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2RAS22070 – Islas inteligentes en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E9CCCF" w14:textId="6A7CA8FF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Fiji, Papua Nueva Guinea, Vanuatu</w:t>
            </w:r>
          </w:p>
        </w:tc>
      </w:tr>
      <w:tr w:rsidR="00BB448A" w:rsidRPr="002453DF" w14:paraId="6BC41FF8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067A7B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9AA0F4" w14:textId="6F5A8007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2RLA21018 – Superando las barreras a la inclusión digital: las niñas de América pueden programar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1D7953" w14:textId="4B6C2690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Argentina, Brasil, Ecuador, México</w:t>
            </w:r>
          </w:p>
        </w:tc>
      </w:tr>
      <w:tr w:rsidR="00BB448A" w:rsidRPr="002453DF" w14:paraId="0787A37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E0B5D7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0E4991" w14:textId="7DEE82A0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2RLA21021 – Inclusión digital de los jóvenes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9329E" w14:textId="0F1039AF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Argentina, Bolivia, Paraguay</w:t>
            </w:r>
          </w:p>
        </w:tc>
      </w:tr>
      <w:tr w:rsidR="00BB448A" w:rsidRPr="00D97D52" w14:paraId="18F3A07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9965AA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1FA2E4" w14:textId="28C20A38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7GLO20108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Fomento de las competencias digitales a través de los Centros de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B8B490" w14:textId="2D263C75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Côte d'Ivoire, </w:t>
            </w:r>
            <w:r w:rsidR="00776231" w:rsidRPr="002453DF">
              <w:rPr>
                <w:color w:val="000000"/>
                <w:lang w:val="es-ES_tradnl"/>
              </w:rPr>
              <w:t xml:space="preserve">Dominicana (República), </w:t>
            </w:r>
            <w:r w:rsidR="00BB448A" w:rsidRPr="002453DF">
              <w:rPr>
                <w:color w:val="000000"/>
                <w:lang w:val="es-ES_tradnl"/>
              </w:rPr>
              <w:t>Filipinas, Ghana, Indonesia, Marruecos, Pakistán, Papua Nueva Guinea, República Democrática del Congo, Rwanda (República de), Uganda, Zambia</w:t>
            </w:r>
          </w:p>
        </w:tc>
      </w:tr>
      <w:tr w:rsidR="00BB448A" w:rsidRPr="002453DF" w14:paraId="6EC2CBE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560299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281AFC" w14:textId="50598124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7GLO22121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Reducción de la brecha digital de género para las mujeres empresarias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A017ED" w14:textId="1301EC1B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6F11CE1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214E02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E797BA" w14:textId="1336ADA1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7GLO23132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Programa de jóvenes líderes de la iniciativa Generation Connect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B47B76" w14:textId="4BCB89AC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4CDF6E5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AEDDAB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ECD622" w14:textId="641F44DD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DF918B" w14:textId="5A6D585C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79C329A1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299E31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D1A0" w14:textId="742121B2" w:rsidR="00BB448A" w:rsidRPr="002453DF" w:rsidRDefault="00AC0AFA" w:rsidP="00AC0AF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9PNG20003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Apoyo a la iniciativa empresarial, la inversión y el comercio rurales en Papua Nueva Guinea (STREIT PNG)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EC7C8" w14:textId="2FE3A933" w:rsidR="00BB448A" w:rsidRPr="002453DF" w:rsidRDefault="00AC0AFA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Papua Nueva Guinea</w:t>
            </w:r>
          </w:p>
        </w:tc>
      </w:tr>
      <w:tr w:rsidR="00BB448A" w:rsidRPr="00D97D52" w14:paraId="50FEACD1" w14:textId="77777777" w:rsidTr="00BB448A">
        <w:trPr>
          <w:trHeight w:val="300"/>
        </w:trPr>
        <w:tc>
          <w:tcPr>
            <w:tcW w:w="2689" w:type="dxa"/>
            <w:shd w:val="clear" w:color="auto" w:fill="F2F2F2" w:themeFill="background1" w:themeFillShade="F2"/>
            <w:noWrap/>
            <w:vAlign w:val="center"/>
          </w:tcPr>
          <w:p w14:paraId="4F210DEF" w14:textId="4006A33D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40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Grupo sobre iniciativas de capacitación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42205AD2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6E4911B0" w14:textId="00BAE85D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14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069D0613" w14:textId="1D395D78" w:rsidR="00BB448A" w:rsidRPr="002453DF" w:rsidRDefault="00EC6D22" w:rsidP="00B73E49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Asia-Pacífico, Mundo o Multirregional</w:t>
            </w:r>
          </w:p>
        </w:tc>
      </w:tr>
      <w:tr w:rsidR="00BB448A" w:rsidRPr="00D97D52" w14:paraId="152199A8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538A451" w14:textId="7EC98CFA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45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Mecanismos para mejorar la cooperación en materia de ciberseguridad, incluida la lucha contra el correo basura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4A1D2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41C0F2CB" w14:textId="1D70D6E2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65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14E9D" w14:textId="3CC3954B" w:rsidR="00BB448A" w:rsidRPr="002453DF" w:rsidRDefault="00EC6D22" w:rsidP="00B73E49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2466A1AB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4510737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2B316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129EE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40E5B22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054D4D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7727E2" w14:textId="607AC61B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2GLO21119 – Creación de la iniciativa Cyber4Good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41DDC5" w14:textId="364329C6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Liberia, Malawi, Mauritania, Rwanda (República de), Tanzanía</w:t>
            </w:r>
          </w:p>
        </w:tc>
      </w:tr>
      <w:tr w:rsidR="00BB448A" w:rsidRPr="002453DF" w14:paraId="648E51C6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6F01EB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D73431" w14:textId="610EE1BC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2KYR21002 – Creación de un equipo de intervención en caso de incidente informático (CIRT) en la República Kirguisa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F9E9E2" w14:textId="49A66E5D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Kirguistán</w:t>
            </w:r>
          </w:p>
        </w:tc>
      </w:tr>
      <w:tr w:rsidR="00BB448A" w:rsidRPr="00D97D52" w14:paraId="52F5CC78" w14:textId="77777777" w:rsidTr="00BB448A">
        <w:trPr>
          <w:trHeight w:val="1080"/>
        </w:trPr>
        <w:tc>
          <w:tcPr>
            <w:tcW w:w="2689" w:type="dxa"/>
            <w:vMerge/>
            <w:noWrap/>
            <w:hideMark/>
          </w:tcPr>
          <w:p w14:paraId="42E40E7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0CD163" w14:textId="1917CBA6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7GLO24142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Alianza para el fortalecimiento de la ciberseguridad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9A619" w14:textId="10E4D309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Armenia, Benin, Bosnia y Herzegovina, Burkina Faso, Cabo Verde, Côte d'Ivoire, Gambia, Georgia, Ghana, Guinea, Guinea-Bissau, Liberia, Malí, Moldova, Montenegro, Níger, Nigeria, Macedonia del Norte, Senegal, Serbia, Sierra Leona, Togo, Ucrania</w:t>
            </w:r>
          </w:p>
        </w:tc>
      </w:tr>
      <w:tr w:rsidR="00BB448A" w:rsidRPr="00D97D52" w14:paraId="02CB196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AB20B0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5F203B" w14:textId="5A412B75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7GLO24146 – Segunda fase del proyecto Cyber for Good (MSIT)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6452D8" w14:textId="2A051F1D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Angola, Bangladesh, Belice, Benin, Burkina Faso, Burundi, Cabo Verde, Camboya, Chad, Comoras (Unión de las), Cuba, Djibouti, Dominica,</w:t>
            </w:r>
            <w:r w:rsidR="00776231" w:rsidRPr="002453DF">
              <w:rPr>
                <w:color w:val="000000"/>
                <w:lang w:val="es-ES_tradnl"/>
              </w:rPr>
              <w:t xml:space="preserve"> Dominicana (República), </w:t>
            </w:r>
            <w:r w:rsidR="00BB448A" w:rsidRPr="002453DF">
              <w:rPr>
                <w:color w:val="000000"/>
                <w:lang w:val="es-ES_tradnl"/>
              </w:rPr>
              <w:t xml:space="preserve">Eritrea, Etiopía,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Fiji, Gambia, Grenada, Guinea, Guinea-Bissau, Haití, Islas Marshall, Islas Salomón, Jamaica, Kiribati, Lao (Rep</w:t>
            </w:r>
            <w:r w:rsidR="00B73E49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Dem</w:t>
            </w:r>
            <w:r w:rsidR="00B73E49" w:rsidRPr="002453DF">
              <w:rPr>
                <w:color w:val="000000"/>
                <w:lang w:val="es-ES_tradnl"/>
              </w:rPr>
              <w:t>ocrática</w:t>
            </w:r>
            <w:r w:rsidR="00BB448A" w:rsidRPr="002453DF">
              <w:rPr>
                <w:color w:val="000000"/>
                <w:lang w:val="es-ES_tradnl"/>
              </w:rPr>
              <w:t xml:space="preserve"> Pop</w:t>
            </w:r>
            <w:r w:rsidR="00B73E49" w:rsidRPr="002453DF">
              <w:rPr>
                <w:color w:val="000000"/>
                <w:lang w:val="es-ES_tradnl"/>
              </w:rPr>
              <w:t>ular</w:t>
            </w:r>
            <w:r w:rsidR="00BB448A" w:rsidRPr="002453DF">
              <w:rPr>
                <w:color w:val="000000"/>
                <w:lang w:val="es-ES_tradnl"/>
              </w:rPr>
              <w:t>), Lesotho, Liberia, Madagascar, Malawi, Maldivas, Malí, Mauritania, Micronesia, Mozambique, Nepal (República de), Níger, Papua Nueva Guinea, Rep</w:t>
            </w:r>
            <w:r w:rsidR="00B73E49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Centroafricana, República Democrática del Congo, Rwanda (República de), Samoa (Estado Independiente de), San Vicente y las Granadinas, Santa Lucía, Senegal, Sierra Leona, Somalia, Sudán, Sudán del Sur, Suriname, Tanzanía, Timor-Leste, Togo, Tonga, Tuvalu, Uganda, Vanuatu, Zambia</w:t>
            </w:r>
          </w:p>
        </w:tc>
      </w:tr>
      <w:tr w:rsidR="00BB448A" w:rsidRPr="00D97D52" w14:paraId="6FA0E05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499BA9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8F619" w14:textId="47E83508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7GLO25151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Programa Her Cyber Tracks Fase III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5FE7C" w14:textId="2485432F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Armenia, Benin, Bosnia y Herzegovina, Burkina Faso, Cabo Verde, Côte d'Ivoire, Gambia, Georgia, Ghana, Guinea, Guinea-Bissau, Liberia, Malí, Moldova, Montenegro, Níger, Nigeria, Macedonia del Norte, Senegal, Serbia, Sierra Leona, Togo, Ucrania</w:t>
            </w:r>
          </w:p>
        </w:tc>
      </w:tr>
      <w:tr w:rsidR="00BB448A" w:rsidRPr="002453DF" w14:paraId="3729FD22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9CB6F3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75F2A2" w14:textId="7472EA93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7OMA13005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Establecimiento de un Centro de Innovación sobre Ciberseguridad para la Región Árabe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EA1B67" w14:textId="276F1E3E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Región Árabe</w:t>
            </w:r>
          </w:p>
        </w:tc>
      </w:tr>
      <w:tr w:rsidR="00BB448A" w:rsidRPr="00D97D52" w14:paraId="13441F02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0E0DC7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769647" w14:textId="018AB799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7RAF24106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Ciberresiliencia para el desarrollo digital en los países menos adelantados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6FDB7D" w14:textId="6CE804E4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Mozambique, Rwanda (República de), Zambia</w:t>
            </w:r>
          </w:p>
        </w:tc>
      </w:tr>
      <w:tr w:rsidR="00BB448A" w:rsidRPr="00D97D52" w14:paraId="1D90C31F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76645F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974EC6" w14:textId="69F970F7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7RAS23073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Caminos hacia la ciberseguridad en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B602A7" w14:textId="1C108CE6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Islas Cook, Fiji, Islas Marshall, Islas Salomón, Kiribati, Micronesia, Niue,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Palau, Papua Nueva Guinea, Samoa (Estado Independiente de), Tonga, Tuvalu, Vanuatu</w:t>
            </w:r>
          </w:p>
        </w:tc>
      </w:tr>
      <w:tr w:rsidR="00BB448A" w:rsidRPr="002453DF" w14:paraId="3EA10B08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59A38E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84E78F" w14:textId="3B4C498D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7SUR23017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Implementación de equipos nacionales de intervención en caso de incidente informático (EIII) </w:t>
            </w:r>
            <w:r w:rsidR="00B73E49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Suriname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B407EE" w14:textId="41FA26F3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Suriname</w:t>
            </w:r>
          </w:p>
        </w:tc>
      </w:tr>
      <w:tr w:rsidR="00BB448A" w:rsidRPr="002453DF" w14:paraId="5D49D38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330F60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5AD590" w14:textId="1E6B2DA2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9BER25001 – Centro Nacional de Operaciones de Ciberseguridad (BNCSOC) – Bermudas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BFD48B" w14:textId="34B5187C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Bermudas</w:t>
            </w:r>
          </w:p>
        </w:tc>
      </w:tr>
      <w:tr w:rsidR="00BB448A" w:rsidRPr="002453DF" w14:paraId="6E54315F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444C59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E4DF7" w14:textId="6B35731E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9BHA20005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Establecimiento de CIRT en Bahamas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E1B11A" w14:textId="22792F94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Las Bahamas</w:t>
            </w:r>
          </w:p>
        </w:tc>
      </w:tr>
      <w:tr w:rsidR="00BB448A" w:rsidRPr="002453DF" w14:paraId="4F632F3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EF6FE5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8796E2" w14:textId="0D9885F0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9BHU24005 – Capacitación en ciberseguridad para funcionarios de Bhután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B4490B" w14:textId="1E231523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Bhután</w:t>
            </w:r>
          </w:p>
        </w:tc>
      </w:tr>
      <w:tr w:rsidR="00BB448A" w:rsidRPr="00D97D52" w14:paraId="07C5D678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B184E4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8054E2" w14:textId="77949717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9GLO21112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Crear un ciberespacio seguro y próspero para la infancia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45406F" w14:textId="42EEA76C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Armenia, Burundi, Etiopía, Malawi, Malta, Marruecos, Uzbekistán</w:t>
            </w:r>
          </w:p>
        </w:tc>
      </w:tr>
      <w:tr w:rsidR="00BB448A" w:rsidRPr="002453DF" w14:paraId="2ED7BDE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BC15BB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E73B37" w14:textId="0A46592D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9GLO23124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Alianza para el fortalecimiento de la ciberseguridad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1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D7835F" w14:textId="5899AD8E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2641F7B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59D6AC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168460" w14:textId="356D80FD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9HON24024 – Implementación del Equipo Nacional de Intervención en caso de Incidente Informático (CIRT) en Honduras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E12B2C" w14:textId="1AA3F9D4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Honduras</w:t>
            </w:r>
          </w:p>
        </w:tc>
      </w:tr>
      <w:tr w:rsidR="00BB448A" w:rsidRPr="002453DF" w14:paraId="106F1B5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BC94BA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67F82C" w14:textId="3DC22981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9MLW19002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Establecimiento de EREI en Malawi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A873CC" w14:textId="1FB3FA4E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Malawi</w:t>
            </w:r>
          </w:p>
        </w:tc>
      </w:tr>
      <w:tr w:rsidR="00BB448A" w:rsidRPr="002453DF" w14:paraId="4093AAD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178EEB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9A91B" w14:textId="27A0665E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9RAS24078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Ejercicios cibernéticos en la Región del Asia-Pacífico de la UIT 2024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96279" w14:textId="56965654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Brunei Darussalam</w:t>
            </w:r>
          </w:p>
        </w:tc>
      </w:tr>
      <w:tr w:rsidR="00BB448A" w:rsidRPr="00D97D52" w14:paraId="674DF4F9" w14:textId="77777777" w:rsidTr="00BB448A">
        <w:trPr>
          <w:trHeight w:val="21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CB0152" w14:textId="5775DF0A" w:rsidR="00BB448A" w:rsidRPr="002453DF" w:rsidRDefault="00BB448A" w:rsidP="006A1EC6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43</w:t>
            </w:r>
            <w:r w:rsidR="006A1EC6" w:rsidRPr="002453DF">
              <w:rPr>
                <w:color w:val="000000"/>
                <w:lang w:val="es-ES_tradnl"/>
              </w:rPr>
              <w:t xml:space="preserve"> </w:t>
            </w:r>
            <w:r w:rsidRPr="002453DF">
              <w:rPr>
                <w:color w:val="000000"/>
                <w:lang w:val="es-ES_tradnl"/>
              </w:rPr>
              <w:t xml:space="preserve">(Rev. Buenos Aires, 2017) – Asistencia para la implantación de las telecomunicaciones móviles internacionales y </w:t>
            </w:r>
            <w:r w:rsidRPr="002453DF">
              <w:rPr>
                <w:color w:val="000000"/>
                <w:lang w:val="es-ES_tradnl"/>
              </w:rPr>
              <w:lastRenderedPageBreak/>
              <w:t>las redes de la próxima generación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FE91B7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4028D4AD" w14:textId="4F83F85E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20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973B75A" w14:textId="591CBBB8" w:rsidR="00BB448A" w:rsidRPr="002453DF" w:rsidRDefault="00EC6D22" w:rsidP="006A1EC6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CEI, Europa, Mundo o Multirregional</w:t>
            </w:r>
          </w:p>
        </w:tc>
      </w:tr>
      <w:tr w:rsidR="00BB448A" w:rsidRPr="00D97D52" w14:paraId="6E2FD7AE" w14:textId="77777777" w:rsidTr="00BB448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BBE945" w14:textId="48290D99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46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Prestación de asistencia a los pueblos y comunidades indígenas a través de las tecnologías de la información y la comunicación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7F0DCB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5E508B2F" w14:textId="2B485C93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17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572B96" w14:textId="3E5A5A56" w:rsidR="00BB448A" w:rsidRPr="002453DF" w:rsidRDefault="00EC6D22" w:rsidP="006A1EC6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Mundo o Multirregional</w:t>
            </w:r>
          </w:p>
        </w:tc>
      </w:tr>
      <w:tr w:rsidR="00BB448A" w:rsidRPr="00D97D52" w14:paraId="2C8A3238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3C722546" w14:textId="6F2FEFC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47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Perfeccionamiento del conocimiento y aplicación efectiva de las Recomendaciones de la</w:t>
            </w:r>
            <w:r w:rsidR="006A1EC6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UIT en los países en desarrollo, incluidas las pruebas de conformidad e interoperabilidad de los sistemas fabricados de conformidad con las Recomendaciones de la</w:t>
            </w:r>
            <w:r w:rsidR="006A1EC6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UIT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0CBA0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3D49A950" w14:textId="7E871CEB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11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1E9D6D" w14:textId="385A62A5" w:rsidR="00BB448A" w:rsidRPr="002453DF" w:rsidRDefault="00EC6D22" w:rsidP="006A1EC6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Países de la CEI, mundo o multirregión</w:t>
            </w:r>
          </w:p>
        </w:tc>
      </w:tr>
      <w:tr w:rsidR="00BB448A" w:rsidRPr="002453DF" w14:paraId="39BB9E82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4CB55D1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137E2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89D4F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596E017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DBCC37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A33E5C" w14:textId="640CCD0E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9BRA19008 – Proporcionar al Brasil un entorno reglamentario propicio para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9C4E1F" w14:textId="0E29E5A8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4B40D950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C3ACBA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A2CF6F" w14:textId="5A237298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9BRA98006 – Apoyo a la Agencia Nacional de Telecomunicaciones (ANATEL, Brasil)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FC9730" w14:textId="785C22BD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D97D52" w14:paraId="46A554D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1DDB9D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368A" w14:textId="2058EA86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9RER20026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Centro Internacional de Investigación, Desarrollo y Ensayo de nuevos equipos, tecnologías y servicios (IRDTC)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</w:t>
            </w:r>
            <w:r w:rsidRPr="002453DF">
              <w:rPr>
                <w:lang w:val="es-ES_tradnl"/>
              </w:rPr>
              <w:t> </w:t>
            </w:r>
            <w:r w:rsidR="00BB448A" w:rsidRPr="002453DF">
              <w:rPr>
                <w:lang w:val="es-ES_tradnl"/>
              </w:rPr>
              <w:t>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BFFE8" w14:textId="01AD9C28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Armenia, Azerbaiyán, Belarús, Federación de Rusia, Kazajstán, Kirguistán, Tayikistán, Turkmenistán, Uzbekistán</w:t>
            </w:r>
          </w:p>
        </w:tc>
      </w:tr>
      <w:tr w:rsidR="00BB448A" w:rsidRPr="00D97D52" w14:paraId="24EE392D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B428EC" w14:textId="5227168A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48 (Rev.</w:t>
            </w:r>
            <w:r w:rsidR="00A62069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Fortalecimiento de la cooperación entre organismos reguladores de las telecomunicaciones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D92D2C1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14AC1AF8" w14:textId="1A5D31C8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56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62F0562" w14:textId="7C4C68CB" w:rsidR="00BB448A" w:rsidRPr="002453DF" w:rsidRDefault="00EC6D22" w:rsidP="006A1EC6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Europa, Mundo o Multirregional</w:t>
            </w:r>
          </w:p>
        </w:tc>
      </w:tr>
      <w:tr w:rsidR="00BB448A" w:rsidRPr="002453DF" w14:paraId="4CFA141E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2142C2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AEE552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4452DC7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236B6F42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0E2A12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4D68B5" w14:textId="1C1AE7CE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9RAF18089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Acuerdo de delegación para la acción entre PRIDA y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1B68DD2" w14:textId="39AD4FAE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Argelia, Angola, Benin, Botswana, Burkina Faso, Burundi, Camerún, Cabo Verde, Chad, Congo, Côte d'Ivoire, Djibouti, Egipto, Guinea Ecuatorial, Eritrea, Eswatini, Etiopía, Gabón, Gambia, Ghana, Guinea, Guinea-Bissau, Kenya, Lesotho, Liberia, Libia, Madagascar, Malawi, Malí, Marruecos, Mauricio, Mauritania, Mozambique, Namibia, Níger, Nigeria, (República de) Rwanda, República Centroafricana, República Democrática del Congo, Santo Tomé y Príncipe, Senegal, Seychelles, Sierra Leona, Somalia, Sudáfrica, Sudán, Sudán del Sur, Tanzanía, Togo, Túnez, Uganda, Zambia, Zimbabwe.</w:t>
            </w:r>
          </w:p>
        </w:tc>
      </w:tr>
      <w:tr w:rsidR="00BB448A" w:rsidRPr="002453DF" w14:paraId="75489D4D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B97FE4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02839B" w14:textId="4F3B7E5C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9BRA19008 – Proporcionar al Brasil un entorno reglamentario propicio para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7FAE26" w14:textId="48D6A25F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05550D3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DC7875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9FCB87" w14:textId="386B75ED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9BRA98006 – Apoyo a la Agencia Nacional de Telecomunicaciones (ANATEL, Brasil)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4FD96E" w14:textId="6D200062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7D086C4E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2AE85F3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9A1E05" w14:textId="0D97CB29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9GLO19099 – Asistencia para el establecimiento de sistemas del marco básico de gestión nacional del espectro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7E7983" w14:textId="7FBBA2B0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2FEC7F1A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472FE4B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3674955" w14:textId="13599101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9GLO23127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 de Regulación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C750277" w14:textId="5C5D3A23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59DFFB1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ED4C34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53D1BB" w14:textId="6E1C942C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9RAB18026-02 – Asistencia en telecomunicaciones/TIC en las Regiones de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A1DE75" w14:textId="7F8C48D2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0EBD97FE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02089" w14:textId="0780548B" w:rsidR="00BB448A" w:rsidRPr="002453DF" w:rsidRDefault="00BB448A" w:rsidP="003A3E00">
            <w:pPr>
              <w:rPr>
                <w:rFonts w:cstheme="minorBidi"/>
                <w:color w:val="000000" w:themeColor="text1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51 (Rev.</w:t>
            </w:r>
            <w:r w:rsidR="00551F9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Asistencia y apoyo a Iraq para proseguir la reconstrucción y renovación del equipo de sus sistemas de telecomunicaciones/TIC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FDCDB51" w14:textId="77777777" w:rsidR="00BB448A" w:rsidRPr="002453DF" w:rsidRDefault="00BB448A" w:rsidP="003A3E00">
            <w:pPr>
              <w:rPr>
                <w:rFonts w:cstheme="minorHAnsi"/>
                <w:iCs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Aplicada.</w:t>
            </w:r>
            <w:r w:rsidRPr="002453DF">
              <w:rPr>
                <w:rStyle w:val="FootnoteReference"/>
                <w:rFonts w:cstheme="minorBidi"/>
                <w:color w:val="000000"/>
                <w:lang w:val="es-ES_tradnl"/>
              </w:rPr>
              <w:footnoteReference w:id="8"/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561A9D9" w14:textId="43D2A703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Iraq</w:t>
            </w:r>
          </w:p>
        </w:tc>
      </w:tr>
      <w:tr w:rsidR="00BB448A" w:rsidRPr="002453DF" w14:paraId="5630C9FF" w14:textId="77777777" w:rsidTr="00BB448A">
        <w:trPr>
          <w:trHeight w:val="319"/>
        </w:trPr>
        <w:tc>
          <w:tcPr>
            <w:tcW w:w="2689" w:type="dxa"/>
            <w:vMerge/>
            <w:noWrap/>
          </w:tcPr>
          <w:p w14:paraId="1A7C9A8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94204A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4B9C7B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2FB89F77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28C20CC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77149FF" w14:textId="147F7B4E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9RAB19028 </w:t>
            </w:r>
            <w:r w:rsidR="00551F9A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a la Red Árabe de Parques Tecnológicos e Incubadoras de Empresas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0308059" w14:textId="0BEF631F" w:rsidR="00BB448A" w:rsidRPr="002453DF" w:rsidRDefault="00EC6D2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5A623B55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58CA567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51DCD" w14:textId="796CE706" w:rsidR="00BB448A" w:rsidRPr="002453DF" w:rsidRDefault="00EC6D22" w:rsidP="00EC6D2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9RAB20030 – Centro Regional de Expertos en IPv6 e IoT de la UIT para la Región Árabe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352F3D" w14:textId="787DC3CB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3445B042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8B159B" w14:textId="0C5B8A5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52 (Rev.</w:t>
            </w:r>
            <w:r w:rsidR="00551F9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Dubái, 2014) – Fortalecimiento del papel del Sector de Desarrollo de las Telecomunicaciones como organismo ejecutivo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3C89A1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01CC932B" w14:textId="594534C9" w:rsidR="00BB448A" w:rsidRPr="002453DF" w:rsidRDefault="00135332" w:rsidP="00135332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llevaron a cabo, o están en curso de ejecución, un total de 2 actividades del PO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702DF85" w14:textId="22E781C6" w:rsidR="00BB448A" w:rsidRPr="002453DF" w:rsidRDefault="00135332" w:rsidP="00551F9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países de la CEI</w:t>
            </w:r>
          </w:p>
        </w:tc>
      </w:tr>
      <w:tr w:rsidR="00BB448A" w:rsidRPr="002453DF" w14:paraId="4F83FCA0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0879DA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DB7188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34FABE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10C78CF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57F696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FB881B" w14:textId="2495DD38" w:rsidR="00BB448A" w:rsidRPr="002453DF" w:rsidRDefault="00135332" w:rsidP="0013533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7GLO22121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Reducción de la brecha digital de género para las mujeres empresarias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A15F07" w14:textId="266A5B81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6ED00262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808FE" w14:textId="10063821" w:rsidR="00BB448A" w:rsidRPr="002453DF" w:rsidRDefault="00BB448A" w:rsidP="003A3E00">
            <w:pPr>
              <w:rPr>
                <w:rFonts w:cstheme="minorBid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53 (Rev.</w:t>
            </w:r>
            <w:r w:rsidR="00551F9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Dubái, 2014) – Marco estratégico y financiero para la elaboración y ejecución del Plan de Acción de</w:t>
            </w:r>
            <w:r w:rsidR="00551F9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Dubái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1FDDEA0" w14:textId="2435B5A4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Aplicada.</w:t>
            </w:r>
            <w:r w:rsidRPr="002453DF">
              <w:rPr>
                <w:rStyle w:val="FootnoteReference"/>
                <w:rFonts w:cstheme="minorHAnsi"/>
                <w:color w:val="000000"/>
                <w:lang w:val="es-ES_tradnl"/>
              </w:rPr>
              <w:footnoteReference w:id="9"/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3527E9C" w14:textId="77777777" w:rsidR="00BB448A" w:rsidRPr="002453DF" w:rsidRDefault="00BB448A" w:rsidP="003A3E00">
            <w:pPr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N/A</w:t>
            </w:r>
          </w:p>
        </w:tc>
      </w:tr>
      <w:tr w:rsidR="00BB448A" w:rsidRPr="00D97D52" w14:paraId="32442045" w14:textId="77777777" w:rsidTr="00BB448A">
        <w:trPr>
          <w:trHeight w:val="355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F85007" w14:textId="7EDD98CB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55 (Rev.</w:t>
            </w:r>
            <w:r w:rsid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Integración de una perspectiva de género en la UIT y aumento del empoderamiento de las mujeres por medio de las telecomunicaciones/</w:t>
            </w:r>
            <w:r w:rsidR="00551F9A" w:rsidRPr="002453DF">
              <w:rPr>
                <w:color w:val="000000"/>
                <w:lang w:val="es-ES_tradnl"/>
              </w:rPr>
              <w:br/>
            </w:r>
            <w:r w:rsidRPr="002453DF">
              <w:rPr>
                <w:color w:val="000000"/>
                <w:lang w:val="es-ES_tradnl"/>
              </w:rPr>
              <w:t>tecnologías de la información y la comunicación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D230213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63134B19" w14:textId="7D74A697" w:rsidR="00BB448A" w:rsidRPr="002453DF" w:rsidRDefault="00135332" w:rsidP="00135332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45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59F7B25" w14:textId="71FFCD52" w:rsidR="00BB448A" w:rsidRPr="002453DF" w:rsidRDefault="00135332" w:rsidP="00551F9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1F9B5064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A96CB2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5FBCFE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8640187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4376284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467D69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9FEC31" w14:textId="633DFBC2" w:rsidR="00BB448A" w:rsidRPr="002453DF" w:rsidRDefault="00135332" w:rsidP="0013533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7GLO20106 – Mejora del ecosistema digital y de las competencias digitales para el empoderamiento económico de las mujeres en los PMA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34FA61" w14:textId="0CE5E1FC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Burundi, Etiopía, Haití</w:t>
            </w:r>
          </w:p>
        </w:tc>
      </w:tr>
      <w:tr w:rsidR="00BB448A" w:rsidRPr="002453DF" w14:paraId="6240D3ED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6F3880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B74245" w14:textId="54F95836" w:rsidR="00BB448A" w:rsidRPr="002453DF" w:rsidRDefault="00135332" w:rsidP="0013533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7GLO22121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Reducción de la brecha digital de género para las mujeres empresarias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765250" w14:textId="6A1B40D5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32174651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C0F178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061CCA" w14:textId="6511F7A7" w:rsidR="00BB448A" w:rsidRPr="002453DF" w:rsidRDefault="00135332" w:rsidP="0013533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8B3258" w14:textId="329325BD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1046503F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1F15E1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B2F822" w14:textId="01D6AF58" w:rsidR="00BB448A" w:rsidRPr="002453DF" w:rsidRDefault="00135332" w:rsidP="0013533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9GLO23130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Sus habilidades digitales para la vida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E62C82" w14:textId="521B8EE3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2E16D343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4812C4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8C336D" w14:textId="5940A896" w:rsidR="00BB448A" w:rsidRPr="00F64486" w:rsidRDefault="00135332" w:rsidP="00135332">
            <w:pPr>
              <w:pStyle w:val="enumlev1"/>
              <w:rPr>
                <w:rFonts w:cstheme="minorHAnsi"/>
                <w:sz w:val="20"/>
              </w:rPr>
            </w:pPr>
            <w:r w:rsidRPr="00F64486">
              <w:rPr>
                <w:color w:val="000000"/>
              </w:rPr>
              <w:t>–</w:t>
            </w:r>
            <w:r w:rsidRPr="00F64486">
              <w:rPr>
                <w:color w:val="000000"/>
              </w:rPr>
              <w:tab/>
            </w:r>
            <w:r w:rsidR="00BB448A" w:rsidRPr="00F64486">
              <w:t>9GLO23131 – Premios "EQUALS in Tech"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9DA6DB" w14:textId="06458265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4161BE2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CB3718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18219D" w14:textId="4F60E969" w:rsidR="00BB448A" w:rsidRPr="002453DF" w:rsidRDefault="00135332" w:rsidP="0013533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9GLO23136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Construyendo una red de mujeres líderes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CE5362" w14:textId="33A80DB2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14566F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DC8B93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75F453" w14:textId="603DF780" w:rsidR="00BB448A" w:rsidRPr="002453DF" w:rsidRDefault="00135332" w:rsidP="00135332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9RAS21065 – Mejora del desarrollo de normas y marcos para tecnologías críticas en el Sudeste Asiático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2B1EB1" w14:textId="5122378F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Indonesia, Malasia, Filipinas, Tailandia</w:t>
            </w:r>
          </w:p>
        </w:tc>
      </w:tr>
      <w:tr w:rsidR="00BB448A" w:rsidRPr="002453DF" w14:paraId="4815E6AE" w14:textId="77777777" w:rsidTr="00BB448A">
        <w:trPr>
          <w:trHeight w:val="30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BAC1C" w14:textId="12A9E59A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57 (Rev.</w:t>
            </w:r>
            <w:r w:rsidR="00551F9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Hyderabad, 2010) – Ayuda a Somalia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F565F41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4F90F31D" w14:textId="521B2528" w:rsidR="00BB448A" w:rsidRPr="002453DF" w:rsidRDefault="00AF47F9" w:rsidP="00AF47F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llevaron a cabo, o están en curso de ejecución, un total de 2 actividades del PO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AC8E56A" w14:textId="6C411F83" w:rsidR="00BB448A" w:rsidRPr="002453DF" w:rsidRDefault="00135332" w:rsidP="00551F9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Estados Árabes</w:t>
            </w:r>
          </w:p>
        </w:tc>
      </w:tr>
      <w:tr w:rsidR="00BB448A" w:rsidRPr="002453DF" w14:paraId="2E6F0385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B3F6C8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B32CC7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6DB844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74EBDAB0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3E6C9B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D5B830" w14:textId="42652FA0" w:rsidR="00BB448A" w:rsidRPr="002453DF" w:rsidRDefault="00AF47F9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2RER20008-03 – Programa Mundial de Transformación Digital – Iniciativa de Gobierno Digital del Cuerno de África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07FE8D" w14:textId="1962E52B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Djibouti, Kenya, Somalia</w:t>
            </w:r>
          </w:p>
          <w:p w14:paraId="16BD3D7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0A52CF34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173197B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494F741" w14:textId="3EE0D368" w:rsidR="00BB448A" w:rsidRPr="002453DF" w:rsidRDefault="00AF47F9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7GLO24146 – Segunda fase del proyecto Cyber for Good (MSIT)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1DE5AEB" w14:textId="379E2709" w:rsidR="00BB448A" w:rsidRPr="002453DF" w:rsidRDefault="00135332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Angola, Bangladesh, Belice, Benin, Burkina Faso, Burundi, Cabo Verde, Camboya, Chad, Comoras (Unión de las), Cuba, Djibouti, Dominica, </w:t>
            </w:r>
            <w:r w:rsidR="00776231" w:rsidRPr="002453DF">
              <w:rPr>
                <w:color w:val="000000"/>
                <w:lang w:val="es-ES_tradnl"/>
              </w:rPr>
              <w:t xml:space="preserve">Dominicana (República), </w:t>
            </w:r>
            <w:r w:rsidR="00BB448A" w:rsidRPr="002453DF">
              <w:rPr>
                <w:color w:val="000000"/>
                <w:lang w:val="es-ES_tradnl"/>
              </w:rPr>
              <w:t>Eritrea, Etiopía, Fiji, Gambia, Grenada, Guinea, Guinea-Bissau, Haití, Islas Marshall, Islas Salomón, Jamaica, Kiribati, Lao (Rep</w:t>
            </w:r>
            <w:r w:rsidR="00551F9A" w:rsidRPr="002453DF">
              <w:rPr>
                <w:color w:val="000000"/>
                <w:lang w:val="es-ES_tradnl"/>
              </w:rPr>
              <w:t xml:space="preserve">ública </w:t>
            </w:r>
            <w:r w:rsidR="00BB448A" w:rsidRPr="002453DF">
              <w:rPr>
                <w:color w:val="000000"/>
                <w:lang w:val="es-ES_tradnl"/>
              </w:rPr>
              <w:t>Dem</w:t>
            </w:r>
            <w:r w:rsidR="00551F9A" w:rsidRPr="002453DF">
              <w:rPr>
                <w:color w:val="000000"/>
                <w:lang w:val="es-ES_tradnl"/>
              </w:rPr>
              <w:t>ocrática</w:t>
            </w:r>
            <w:r w:rsidR="00BB448A" w:rsidRPr="002453DF">
              <w:rPr>
                <w:color w:val="000000"/>
                <w:lang w:val="es-ES_tradnl"/>
              </w:rPr>
              <w:t xml:space="preserve"> Pop</w:t>
            </w:r>
            <w:r w:rsidR="00551F9A" w:rsidRPr="002453DF">
              <w:rPr>
                <w:color w:val="000000"/>
                <w:lang w:val="es-ES_tradnl"/>
              </w:rPr>
              <w:t>ular</w:t>
            </w:r>
            <w:r w:rsidR="00BB448A" w:rsidRPr="002453DF">
              <w:rPr>
                <w:color w:val="000000"/>
                <w:lang w:val="es-ES_tradnl"/>
              </w:rPr>
              <w:t>), Lesotho, Liberia, Madagascar, Malawi, Maldivas, Malí, Mauritania, Micronesia, Mozambique, Nepal (República de), Níger, Papua Nueva Guinea, Rep</w:t>
            </w:r>
            <w:r w:rsidR="00551F9A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Centroafricana, República Democrática del Congo, Rwanda (República de), Samoa (Estado Independiente de), San Vicente y las Granadinas, Santa Lucía, Senegal, Sierra Leona, Somalia, Sudán, Sudán del Sur, Suriname, Tanzanía,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Timor-Leste, Togo, Tonga, Tuvalu, Uganda, Vanuatu, Zambia</w:t>
            </w:r>
          </w:p>
        </w:tc>
      </w:tr>
      <w:tr w:rsidR="00BB448A" w:rsidRPr="00D97D52" w14:paraId="10B702D4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25E3AB9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A3ADEC8" w14:textId="77777777" w:rsidR="00BB448A" w:rsidRPr="002453DF" w:rsidRDefault="00BB448A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9GLO24137 – Acelerador multipartito EW4All en PMA y PEID (fondos de la Oficina de las Naciones Unidas para la Reducción del Riesgo de Desastres-Suecia)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F815C19" w14:textId="6290933B" w:rsidR="00BB448A" w:rsidRPr="002453DF" w:rsidRDefault="00AF47F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Bangladesh, Haití, Liberia, Mozambique, Somalia</w:t>
            </w:r>
          </w:p>
        </w:tc>
      </w:tr>
      <w:tr w:rsidR="00BB448A" w:rsidRPr="00D97D52" w14:paraId="62A2B909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57F4270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C8A113B" w14:textId="78FC3DAF" w:rsidR="00BB448A" w:rsidRPr="002453DF" w:rsidRDefault="00BB448A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 xml:space="preserve">9RAB19028 </w:t>
            </w:r>
            <w:r w:rsidR="00AF47F9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Asistencia a la Red Árabe de Parques Tecnológicos e Incubadoras de Empresas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7C3EE88" w14:textId="5F6D3857" w:rsidR="00BB448A" w:rsidRPr="002453DF" w:rsidRDefault="00AF47F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7D2EDA81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17A1821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093EF8" w14:textId="77777777" w:rsidR="00BB448A" w:rsidRPr="002453DF" w:rsidRDefault="00BB448A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9RAB20030 – Centro Regional de Expertos en IPv6 e IoT de la UIT para la Región Árabe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C17EEB" w14:textId="7C174FBF" w:rsidR="00BB448A" w:rsidRPr="002453DF" w:rsidRDefault="00AF47F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3E1A93CD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9817E9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7E2979C" w14:textId="03B62C53" w:rsidR="00BB448A" w:rsidRPr="002453DF" w:rsidRDefault="00BB448A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 xml:space="preserve">9RAF18089 </w:t>
            </w:r>
            <w:r w:rsidR="00AF47F9"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 xml:space="preserve"> Acuerdo de delegación para la acción entre PRIDA y la UIT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ADF2851" w14:textId="255B530A" w:rsidR="00BB448A" w:rsidRPr="002453DF" w:rsidRDefault="00AF47F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Argelia, Angola, Benin, Botswana, Burkina Faso, Burundi, Camerún, Cabo Verde, Chad, Congo, Côte d'Ivoire, Djibouti, Egipto, Guinea Ecuatorial, Eritrea, Eswatini, Etiopía, Gabón, Gambia, Ghana, Guinea, Guinea-Bissau, Kenya, Lesotho, Liberia, Libia, Madagascar, Malawi, Malí, Marruecos, Mauricio, Mauritania, Mozambique, Namibia, Níger, Nigeria, (República de) </w:t>
            </w:r>
            <w:r w:rsidR="00BB448A" w:rsidRPr="002453DF">
              <w:rPr>
                <w:color w:val="000000"/>
                <w:lang w:val="es-ES_tradnl"/>
              </w:rPr>
              <w:lastRenderedPageBreak/>
              <w:t>Rwanda, República Centroafricana, República Democrática del Congo, Santo Tomé y Príncipe, Senegal, Seychelles, Sierra Leona, Somalia, Sudáfrica, Sudán, Sudán del Sur, Tanzanía, Togo, Túnez, Uganda, Zambia, Zimbabwe.</w:t>
            </w:r>
          </w:p>
        </w:tc>
      </w:tr>
      <w:tr w:rsidR="00BB448A" w:rsidRPr="00D97D52" w14:paraId="2FFCACCD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1CA4FA4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22A20F" w14:textId="77777777" w:rsidR="00BB448A" w:rsidRPr="002453DF" w:rsidRDefault="00BB448A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9RAF24105 – Contribución de Dinamarca a la alerta temprana para todos (EW4All) (OMM-Dinamarca)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AFBD44" w14:textId="3B8D7BD4" w:rsidR="00BB448A" w:rsidRPr="002453DF" w:rsidRDefault="00AF47F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Níger, Somalia, Sudán del Sur, Tanzanía, Uganda</w:t>
            </w:r>
          </w:p>
        </w:tc>
      </w:tr>
      <w:tr w:rsidR="00BB448A" w:rsidRPr="00D97D52" w14:paraId="1C8BF4BD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7E0732" w14:textId="02522CF6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58 (Rev.</w:t>
            </w:r>
            <w:r w:rsidR="00551F9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Accesibilidad de las telecomunicaciones/tecnologías de la información y la comunicación para las personas con discapacidad y las personas con necesidades especiales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CE6D10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3DED8E13" w14:textId="1AD30C3F" w:rsidR="00BB448A" w:rsidRPr="002453DF" w:rsidRDefault="00AF47F9" w:rsidP="00AF47F9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25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65601B3" w14:textId="3DD43BA6" w:rsidR="00BB448A" w:rsidRPr="002453DF" w:rsidRDefault="00AF47F9" w:rsidP="00F07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Estados Árabes, Asia y el Pacífico, países de la CEI, Europa, Mundo o Multirregional</w:t>
            </w:r>
          </w:p>
        </w:tc>
      </w:tr>
      <w:tr w:rsidR="00BB448A" w:rsidRPr="002453DF" w14:paraId="743370E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4038BFC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228D03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8883C2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044C05EE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747E6BE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FEB35F" w14:textId="2D77D843" w:rsidR="00BB448A" w:rsidRPr="002453DF" w:rsidRDefault="00AF47F9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2ALB24003 – Agricultura digital y transformación rural en Albania (DART)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340261" w14:textId="64AC306B" w:rsidR="00BB448A" w:rsidRPr="002453DF" w:rsidRDefault="00AF47F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</w:t>
            </w:r>
          </w:p>
        </w:tc>
      </w:tr>
      <w:tr w:rsidR="00BB448A" w:rsidRPr="002453DF" w14:paraId="4E87230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738C21E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FD555C" w14:textId="69B04ACB" w:rsidR="00BB448A" w:rsidRPr="002453DF" w:rsidRDefault="00AF47F9" w:rsidP="00AF47F9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2RLA21018 – Superando las barreras a la inclusión digital: las niñas de América pueden programar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C09E56" w14:textId="3CCA593B" w:rsidR="00BB448A" w:rsidRPr="002453DF" w:rsidRDefault="00AF47F9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Argentina, Brasil, Ecuador, México</w:t>
            </w:r>
          </w:p>
        </w:tc>
      </w:tr>
      <w:tr w:rsidR="00BB448A" w:rsidRPr="002453DF" w14:paraId="1E5AC538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noWrap/>
            <w:vAlign w:val="center"/>
          </w:tcPr>
          <w:p w14:paraId="3156CE6E" w14:textId="41910E2B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59 (Rev.</w:t>
            </w:r>
            <w:r w:rsidR="00F071C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Fortalecimiento de la coordinación y la cooperación entre los tres Sectores en asuntos de interés mutuo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A2F7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553C02CE" w14:textId="3E791121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5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A988A" w14:textId="39CDF68A" w:rsidR="00BB448A" w:rsidRPr="002453DF" w:rsidRDefault="00AF47F9" w:rsidP="00F07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Países de la CEI</w:t>
            </w:r>
          </w:p>
        </w:tc>
      </w:tr>
      <w:tr w:rsidR="00BB448A" w:rsidRPr="002453DF" w14:paraId="3C690C73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4CBC14" w14:textId="2A2F8F8C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60 (</w:t>
            </w:r>
            <w:r w:rsidR="002453DF">
              <w:rPr>
                <w:color w:val="000000"/>
                <w:lang w:val="es-ES_tradnl"/>
              </w:rPr>
              <w:t>Rev. </w:t>
            </w:r>
            <w:r w:rsidRPr="002453DF">
              <w:rPr>
                <w:color w:val="000000"/>
                <w:lang w:val="es-ES_tradnl"/>
              </w:rPr>
              <w:t>Hyderabad, 2010) – Asistencia a países en situación especial: Haití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9D810B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210671A9" w14:textId="3155D1B2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7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EB3A260" w14:textId="21DDA8B9" w:rsidR="00BB448A" w:rsidRPr="002453DF" w:rsidRDefault="00557628" w:rsidP="00F07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Mundo o multirregional</w:t>
            </w:r>
          </w:p>
        </w:tc>
      </w:tr>
      <w:tr w:rsidR="00BB448A" w:rsidRPr="002453DF" w14:paraId="0890398D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250F6DD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F6D28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6F7B966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1C347B37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FFC923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831AF5" w14:textId="5CA1F10B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7GLO20106 – Mejora del ecosistema digital y de las competencias digitales para el empoderamiento económico de las mujeres en los PMA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ADF8F4" w14:textId="4F9E78F4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Burundi, Etiopía, Haití</w:t>
            </w:r>
          </w:p>
        </w:tc>
      </w:tr>
      <w:tr w:rsidR="00BB448A" w:rsidRPr="002453DF" w14:paraId="4207A704" w14:textId="77777777" w:rsidTr="00BB448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7A6E7" w14:textId="51AAE6FB" w:rsidR="00BB448A" w:rsidRPr="002453DF" w:rsidRDefault="00BB448A" w:rsidP="003A3E00">
            <w:pPr>
              <w:rPr>
                <w:rFonts w:cstheme="minorBid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62 (Rev.</w:t>
            </w:r>
            <w:r w:rsidR="00F071C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Evaluación y medición de la exposición de las personas a los campos electromagnéticos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77AAF0E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789A7C55" w14:textId="4D7564AF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3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5A5BB1B" w14:textId="0D9307E1" w:rsidR="00BB448A" w:rsidRPr="002453DF" w:rsidRDefault="00557628" w:rsidP="00F07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Europa</w:t>
            </w:r>
          </w:p>
        </w:tc>
      </w:tr>
      <w:tr w:rsidR="00BB448A" w:rsidRPr="00D97D52" w14:paraId="64764EA2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9F24BD" w14:textId="5E1253F9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63 (Rev.</w:t>
            </w:r>
            <w:r w:rsidR="00F071C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Asignación de direcciones del protocolo Internet y facilitación de la transición a IPv6 y su despliegue en los países en desarrollo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65129CD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72BD475B" w14:textId="65C318BA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12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1444E21" w14:textId="002C59FE" w:rsidR="00BB448A" w:rsidRPr="002453DF" w:rsidRDefault="00557628" w:rsidP="00F07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Asia-Pacífico, Europa, Mundo o Multirregional</w:t>
            </w:r>
          </w:p>
        </w:tc>
      </w:tr>
      <w:tr w:rsidR="00BB448A" w:rsidRPr="002453DF" w14:paraId="2FE59FA4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29B3866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738DAD0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2F47E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42CB4349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72A17B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DBB538" w14:textId="435FFB86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9RAB20030 – Centro Regional de Expertos en IPv6 e IoT de la UIT para la Región Árabe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C40FF8" w14:textId="54412F5A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  <w:p w14:paraId="6BA562C6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6C549137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E11D04" w14:textId="010A6AB3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64 (Rev.</w:t>
            </w:r>
            <w:r w:rsidR="00F071C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 xml:space="preserve">Kigali, 2022) – Protección y apoyo al usuario/consumidor de servicios de </w:t>
            </w:r>
            <w:r w:rsidRPr="002453DF">
              <w:rPr>
                <w:color w:val="000000"/>
                <w:lang w:val="es-ES_tradnl"/>
              </w:rPr>
              <w:lastRenderedPageBreak/>
              <w:t>telecomunicaciones/</w:t>
            </w:r>
            <w:r w:rsidR="00F071CA" w:rsidRPr="002453DF">
              <w:rPr>
                <w:color w:val="000000"/>
                <w:lang w:val="es-ES_tradnl"/>
              </w:rPr>
              <w:br/>
            </w:r>
            <w:r w:rsidRPr="002453DF">
              <w:rPr>
                <w:color w:val="000000"/>
                <w:lang w:val="es-ES_tradnl"/>
              </w:rPr>
              <w:t>tecnologías de la información y la comunicación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922DF97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49E8AC73" w14:textId="3106251A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17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3EAA8A4" w14:textId="53CA28F1" w:rsidR="00BB448A" w:rsidRPr="002453DF" w:rsidRDefault="00557628" w:rsidP="00F07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Mundo o Multirregional</w:t>
            </w:r>
          </w:p>
        </w:tc>
      </w:tr>
      <w:tr w:rsidR="00BB448A" w:rsidRPr="002453DF" w14:paraId="00C4D6D9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353CB9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0B53266" w14:textId="77777777" w:rsidR="00BB448A" w:rsidRPr="002453DF" w:rsidRDefault="00BB448A" w:rsidP="00F071CA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25B39CB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0BD979D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A72FBD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4D3CC" w14:textId="1CD586BB" w:rsidR="00BB448A" w:rsidRPr="002453DF" w:rsidRDefault="00557628" w:rsidP="00F071CA">
            <w:pPr>
              <w:pStyle w:val="enumlev1"/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7GLO23132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Programa de jóvenes líderes de la iniciativa Generation Connect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E1E9F" w14:textId="0D917EDE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1F775E7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123791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9D867" w14:textId="63CD8127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7GLO25152 – Iniciativa de intercambio internacional sobre la reglamentación de los desechos de equipo eléctricos y electrónicos y la participación de empresas tecnológicas – Creación de una economía circular para la electrónica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FA7DA" w14:textId="70DA4809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Colombia, Dominicana (Rep</w:t>
            </w:r>
            <w:r w:rsidR="00F071CA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>), Filipinas, India, Nigeria, Sudáfrica.</w:t>
            </w:r>
          </w:p>
        </w:tc>
      </w:tr>
      <w:tr w:rsidR="00BB448A" w:rsidRPr="002453DF" w14:paraId="336C0E0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170CAD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23D06" w14:textId="5DE0A722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9BAR21003 – Examen de la calidad de servicio de los servicios de banda ancha fija en Barbados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8BDB61" w14:textId="05C1C227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Barbados</w:t>
            </w:r>
          </w:p>
        </w:tc>
      </w:tr>
      <w:tr w:rsidR="00BB448A" w:rsidRPr="002453DF" w14:paraId="5EB4C9A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362EAB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2ABCC" w14:textId="0E78A7C2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9BRA19008 – Proporcionar al Brasil un entorno reglamentario propicio para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5719F" w14:textId="7541F9BA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6D7DB5A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8A93D9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DE5CF" w14:textId="45C8803D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9BRA98006 – Apoyo a la Agencia Nacional de Telecomunicaciones (ANATEL, Brasil)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56295C" w14:textId="7F16512C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D97D52" w14:paraId="34C0BEAA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AF35B8" w14:textId="7042C55F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66 (Rev.</w:t>
            </w:r>
            <w:r w:rsidR="00F071CA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Tecnologías de la información y la comunicación, medio ambiente, cambio climático y economía circular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EAC8A2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3C3D618C" w14:textId="47E34271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44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72DD7E7" w14:textId="469E745F" w:rsidR="00BB448A" w:rsidRPr="002453DF" w:rsidRDefault="00557628" w:rsidP="00F07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45517B84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15F627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35044F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73AA1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2A2272E2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61FC492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68F1A9C" w14:textId="26D667BA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2GLO18094 – Mejora de los planes nacionales de telecomunicaciones de emergencia y coordinación para salvar vidas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FCAA69" w14:textId="77938554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40D28CF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69E21C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832C7A" w14:textId="0F7627CB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7RAS24075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Creación de una economía circular para los productos electrónicos y eléctricos en Tailandia y Mongolia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4E4C50" w14:textId="716EE3E5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Mongolia, Tailandia</w:t>
            </w:r>
          </w:p>
        </w:tc>
      </w:tr>
      <w:tr w:rsidR="00BB448A" w:rsidRPr="002453DF" w14:paraId="36B022E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8772CA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F92111" w14:textId="4FD8B79C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Un proyecto para el desarrollo y aplicación de una política y una reglamentación en materia de residuos electrónicos en pro de la economía circular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766290" w14:textId="4629B61C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Zambia</w:t>
            </w:r>
          </w:p>
        </w:tc>
      </w:tr>
      <w:tr w:rsidR="00BB448A" w:rsidRPr="002453DF" w14:paraId="17FEFE46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E37C3A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5A6976" w14:textId="6003B8B4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9GLO24148 – Promoción de la acción digital ecológica hacia un sector digital de cero emisiones netas en Filipinas y Tanzanía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8CB4C1" w14:textId="493C3BFE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Filipinas, Tanzanía</w:t>
            </w:r>
          </w:p>
        </w:tc>
      </w:tr>
      <w:tr w:rsidR="00BB448A" w:rsidRPr="00D97D52" w14:paraId="339D30EB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2C6D72B6" w14:textId="1179A61D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67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Función del Sector de Desarrollo de las Telecomunicaciones de la UIT en la Protección de la Infancia en Línea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67B31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28410728" w14:textId="6070BC68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18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5D7D50" w14:textId="41792AEE" w:rsidR="00BB448A" w:rsidRPr="002453DF" w:rsidRDefault="00557628" w:rsidP="004F64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Asia-Pacífico, países de la CEI, Europa, Mundo o Multirregional</w:t>
            </w:r>
          </w:p>
        </w:tc>
      </w:tr>
      <w:tr w:rsidR="00BB448A" w:rsidRPr="002453DF" w14:paraId="7323297C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06A6C7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CF8A1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F24A90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162328EC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26FB7C9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E6D711" w14:textId="19EBD18D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9GLO21112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Crear un ciberespacio seguro y próspero para la infancia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55B79" w14:textId="2D6AE857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17A6B5C9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5DE591D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19CAF6" w14:textId="57D2CAB0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9GLO25001 – Red mundial para ampliar el alcance y la eficacia de la educación sobre seguridad en línea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8C2CFD" w14:textId="796021DA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6D0D365E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198AB9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CD72B" w14:textId="4CB6A930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9RAS20063 – Protección de la Infancia en Línea (PIeL) para Asia-Pacífico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74F61" w14:textId="77FF96A3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Bhután, Mongolia, Pakistán, Tailandia</w:t>
            </w:r>
          </w:p>
        </w:tc>
      </w:tr>
      <w:tr w:rsidR="00BB448A" w:rsidRPr="00D97D52" w14:paraId="3B9D8DE3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EBB733" w14:textId="32C53BD2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69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Facilitar la creación de equipos nacionales de intervención en caso de incidente informático, especialmente para los países en desarrollo, y la cooperación entre ellos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3DFED8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60A83141" w14:textId="1A1F4A54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51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AFECA24" w14:textId="02E66960" w:rsidR="00BB448A" w:rsidRPr="002453DF" w:rsidRDefault="00557628" w:rsidP="004F64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3F0D8BD4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265909E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0DD542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5F264B1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267A3F92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5BA205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7707F6" w14:textId="769BB1A1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2GLO21119 – Creación de la iniciativa Cyber4Good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795338" w14:textId="784385F0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Liberia, Malawi, Mauritania, Rwanda (República de), Tanzanía</w:t>
            </w:r>
          </w:p>
        </w:tc>
      </w:tr>
      <w:tr w:rsidR="00BB448A" w:rsidRPr="002453DF" w14:paraId="0E2A6DFD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AE58EA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9F182B" w14:textId="4DFA5650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2KYR21002 – Creación de un equipo de intervención en caso de incidente informático (CIRT) en la República Kirguisa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6EE3EA" w14:textId="5176508E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Kirguistán</w:t>
            </w:r>
          </w:p>
        </w:tc>
      </w:tr>
      <w:tr w:rsidR="00BB448A" w:rsidRPr="00D97D52" w14:paraId="6FB4C9A2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CCA3E8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CE978A" w14:textId="0827B6C7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7GLO24142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Alianza para el fortalecimiento de la ciberseguridad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986DB0" w14:textId="42FD47E7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Albania, Armenia, Benin, Bosnia y Herzegovina, Burkina Faso, Cabo Verde, Côte d'Ivoire, Gambia, Georgia, Ghana, Guinea, Guinea-Bissau, Liberia, Malí, Moldova, Montenegro, Níger, Nigeria, </w:t>
            </w:r>
            <w:r w:rsidR="00BB448A" w:rsidRPr="002453DF">
              <w:rPr>
                <w:color w:val="000000"/>
                <w:lang w:val="es-ES_tradnl"/>
              </w:rPr>
              <w:lastRenderedPageBreak/>
              <w:t>Macedonia del Norte, Senegal, Serbia, Sierra Leona, Togo, Ucrania</w:t>
            </w:r>
          </w:p>
        </w:tc>
      </w:tr>
      <w:tr w:rsidR="00BB448A" w:rsidRPr="00D97D52" w14:paraId="4F7BD12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5A83DB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557F76" w14:textId="3BCA70E2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7GLO24146 – Segunda fase del proyecto Cyber for Good (MSIT)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0798C0" w14:textId="216F949B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Angola, Bangladesh, Belice, Benin, Burkina Faso, Burundi, Cabo Verde, Camboya, Chad, Comoras (Unión de las), Cuba, Djibouti, Dominica,</w:t>
            </w:r>
            <w:r w:rsidR="004F6462" w:rsidRPr="002453DF">
              <w:rPr>
                <w:color w:val="000000"/>
                <w:lang w:val="es-ES_tradnl"/>
              </w:rPr>
              <w:t xml:space="preserve"> Dominicana (República)</w:t>
            </w:r>
            <w:r w:rsidR="00BB448A" w:rsidRPr="002453DF">
              <w:rPr>
                <w:color w:val="000000"/>
                <w:lang w:val="es-ES_tradnl"/>
              </w:rPr>
              <w:t xml:space="preserve"> Eritrea, Etiopía, Fiji, Gambia, Grenada, Guinea, Guinea-Bissau, Haití, Islas Marshall, Islas Salomón, Jamaica, Kiribati, Lao (Rep</w:t>
            </w:r>
            <w:r w:rsidR="004F6462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Dem</w:t>
            </w:r>
            <w:r w:rsidR="004F6462" w:rsidRPr="002453DF">
              <w:rPr>
                <w:color w:val="000000"/>
                <w:lang w:val="es-ES_tradnl"/>
              </w:rPr>
              <w:t>ocrática</w:t>
            </w:r>
            <w:r w:rsidR="00BB448A" w:rsidRPr="002453DF">
              <w:rPr>
                <w:color w:val="000000"/>
                <w:lang w:val="es-ES_tradnl"/>
              </w:rPr>
              <w:t xml:space="preserve"> Pop</w:t>
            </w:r>
            <w:r w:rsidR="004F6462" w:rsidRPr="002453DF">
              <w:rPr>
                <w:color w:val="000000"/>
                <w:lang w:val="es-ES_tradnl"/>
              </w:rPr>
              <w:t>ular</w:t>
            </w:r>
            <w:r w:rsidR="00BB448A" w:rsidRPr="002453DF">
              <w:rPr>
                <w:color w:val="000000"/>
                <w:lang w:val="es-ES_tradnl"/>
              </w:rPr>
              <w:t>), Lesotho, Liberia, Madagascar, Malawi, Maldivas, Malí, Mauritania, Micronesia, Mozambique, Nepal (República de), Níger, Papua Nueva Guinea, Rep</w:t>
            </w:r>
            <w:r w:rsidR="004F6462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Centroafricana, República Democrática del Congo, Rwanda (República de), Samoa (Estado Independiente de), San Vicente y las Granadinas, Santa Lucía, Senegal, Sierra Leona, Somalia, Sudán, Sudán del Sur, Suriname, Tanzanía, Timor-Leste, Togo, Tonga, Tuvalu, Uganda, Vanuatu, Zambia</w:t>
            </w:r>
          </w:p>
        </w:tc>
      </w:tr>
      <w:tr w:rsidR="00BB448A" w:rsidRPr="00D97D52" w14:paraId="0484B86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C1358A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3CBAD5" w14:textId="4E700DB3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7RAF24106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Ciberresiliencia para el desarrollo digital en los países menos adelantados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D8781C" w14:textId="17F4EBA8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Mozambique, Rwanda (República de), Zambia</w:t>
            </w:r>
          </w:p>
        </w:tc>
      </w:tr>
      <w:tr w:rsidR="00BB448A" w:rsidRPr="002453DF" w14:paraId="03631E63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2A2B59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1D0C7D" w14:textId="5B1CA87B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7SUR23017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Implementación de equipos nacionales de intervención en caso de incidente informático (EIII) </w:t>
            </w:r>
            <w:r w:rsidR="004F6462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Suriname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74FEE2" w14:textId="2A015790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Suriname</w:t>
            </w:r>
          </w:p>
        </w:tc>
      </w:tr>
      <w:tr w:rsidR="00BB448A" w:rsidRPr="002453DF" w14:paraId="3CFDDE3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C91803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F0F6C1" w14:textId="2E8CA95E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9BER25001 – Centro Nacional de Operaciones de Ciberseguridad (BNCSOC) – Bermudas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37211A" w14:textId="1088E663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Bermudas</w:t>
            </w:r>
          </w:p>
        </w:tc>
      </w:tr>
      <w:tr w:rsidR="00BB448A" w:rsidRPr="002453DF" w14:paraId="427F3F31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243339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1FA7AA" w14:textId="10B944AF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9BHA20005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Establecimiento de CIRT en Bahamas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6FDD08" w14:textId="6EFB2AD8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Las Bahamas</w:t>
            </w:r>
          </w:p>
        </w:tc>
      </w:tr>
      <w:tr w:rsidR="00BB448A" w:rsidRPr="00D97D52" w14:paraId="5A0BEE9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6A818F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D361C0" w14:textId="2C4AFD72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9GLO21112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Crear un ciberespacio seguro y próspero para la infancia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59D34C" w14:textId="34A79A3A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Armenia, Burundi, Etiopía, Malawi, Malta, Marruecos, Uzbekistán</w:t>
            </w:r>
          </w:p>
        </w:tc>
      </w:tr>
      <w:tr w:rsidR="00BB448A" w:rsidRPr="002453DF" w14:paraId="7BA5A86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6CBEFF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C2A968" w14:textId="25D81DC8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9GLO23124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Alianza para el fortalecimiento de la ciberseguridad </w:t>
            </w:r>
            <w:r w:rsidR="004F6462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1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E9D538" w14:textId="1CD4835B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3885115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D3A2FD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4A1C67" w14:textId="2361376A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9HON24024 – Implementación del Equipo Nacional de Intervención en caso de Incidente Informático (CIRT) en Honduras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307855" w14:textId="1FBFFD32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Honduras</w:t>
            </w:r>
          </w:p>
        </w:tc>
      </w:tr>
      <w:tr w:rsidR="00BB448A" w:rsidRPr="00D97D52" w14:paraId="549BDBAB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3F74D36" w14:textId="398504BE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71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Fortalecimiento de la cooperación entre los Estados Miembros, los Miembros de Sector, los Asociados y las Instituciones Académicas del Sector de Desarrollo de las Telecomunicaciones de la UIT y el carácter evolutivo de la función del sector privado en el Sector de Desarrollo de las Telecomunicaciones de la UIT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59EE3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121415B6" w14:textId="21CFE848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17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0E207" w14:textId="75E05105" w:rsidR="00BB448A" w:rsidRPr="002453DF" w:rsidRDefault="00557628" w:rsidP="004F64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Estados Árabes, países de la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="00BB448A" w:rsidRPr="002453DF">
              <w:rPr>
                <w:color w:val="000000"/>
                <w:lang w:val="es-ES_tradnl"/>
              </w:rPr>
              <w:t>CEI, Mundo o Multirregional</w:t>
            </w:r>
          </w:p>
        </w:tc>
      </w:tr>
      <w:tr w:rsidR="00BB448A" w:rsidRPr="002453DF" w14:paraId="353EB1C5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A4700A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08566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3A4A3B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71BABC6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136A19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2F613" w14:textId="38CECC13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2GLO21114 – Proyecto de estadísticas mundiales de desechos de equipo eléctricos y electrónicos 2021 – Economía circular para la electrónica, Parte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2247" w14:textId="7077B4BD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6A17FF25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DBC279" w14:textId="1D38E173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73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Centros de Formación de la Academia de la UIT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0C04ED5" w14:textId="77777777" w:rsidR="00BB448A" w:rsidRPr="002453DF" w:rsidRDefault="00BB448A" w:rsidP="004F6462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2C9D2808" w14:textId="1F5506AB" w:rsidR="00BB448A" w:rsidRPr="002453DF" w:rsidRDefault="00557628" w:rsidP="004F6462">
            <w:pPr>
              <w:pStyle w:val="enumlev1"/>
              <w:keepNext/>
              <w:keepLines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12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4158EE7" w14:textId="7834DED2" w:rsidR="00BB448A" w:rsidRPr="002453DF" w:rsidRDefault="00557628" w:rsidP="004F6462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Asia-Pacífico, Mundo o Multirregional</w:t>
            </w:r>
          </w:p>
        </w:tc>
      </w:tr>
      <w:tr w:rsidR="00BB448A" w:rsidRPr="002453DF" w14:paraId="283C8B34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5A4165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FAEB83" w14:textId="77777777" w:rsidR="00BB448A" w:rsidRPr="002453DF" w:rsidRDefault="00BB448A" w:rsidP="004F6462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29F8DA" w14:textId="77777777" w:rsidR="00BB448A" w:rsidRPr="002453DF" w:rsidRDefault="00BB448A" w:rsidP="004F6462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3116E86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5B512B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9C0BF5" w14:textId="0B716CA4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7GLO22121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Reducción de la brecha digital de género para las mujeres empresarias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83C485" w14:textId="51FE0D79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6AE29F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6DD7E5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44DD26" w14:textId="19617EC9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COEGLO001 – Creación de capacidad a través de los Centros de Excelencia (CoE)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E4B2DB" w14:textId="7403DF50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0E8F2BC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noWrap/>
            <w:vAlign w:val="center"/>
          </w:tcPr>
          <w:p w14:paraId="128BC6BD" w14:textId="34F9AE01" w:rsidR="00BB448A" w:rsidRPr="002453DF" w:rsidRDefault="00BB448A" w:rsidP="003A3E00">
            <w:pPr>
              <w:rPr>
                <w:rFonts w:cstheme="minorBidi"/>
                <w:color w:val="000000" w:themeColor="text1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75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Buenos Aires, 2017) – Aplicación del Manifiesto Smart Africa y apoyo al desarrollo del sector de las tecnologías de la información y la comunicación en África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FF87" w14:textId="77777777" w:rsidR="00BB448A" w:rsidRPr="002453DF" w:rsidRDefault="00BB448A" w:rsidP="003A3E00">
            <w:pPr>
              <w:rPr>
                <w:rFonts w:cstheme="minorHAnsi"/>
                <w:iCs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Aplicada</w:t>
            </w:r>
            <w:r w:rsidRPr="002453DF">
              <w:rPr>
                <w:rStyle w:val="FootnoteReference"/>
                <w:rFonts w:cstheme="minorHAnsi"/>
                <w:iCs/>
                <w:color w:val="000000"/>
                <w:lang w:val="es-ES_tradnl"/>
              </w:rPr>
              <w:footnoteReference w:id="10"/>
            </w:r>
            <w:r w:rsidRPr="002453DF">
              <w:rPr>
                <w:color w:val="000000"/>
                <w:lang w:val="es-ES_tradnl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EA0BC" w14:textId="539AFB18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</w:t>
            </w:r>
          </w:p>
        </w:tc>
      </w:tr>
      <w:tr w:rsidR="00BB448A" w:rsidRPr="00D97D52" w14:paraId="042B27A8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B4F71B" w14:textId="17F4CC9D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76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 xml:space="preserve">Kigali, 2022) – Promoción de las tecnologías de la información y la comunicación entre los hombres y las mujeres jóvenes para su </w:t>
            </w:r>
            <w:r w:rsidRPr="002453DF">
              <w:rPr>
                <w:color w:val="000000"/>
                <w:lang w:val="es-ES_tradnl"/>
              </w:rPr>
              <w:lastRenderedPageBreak/>
              <w:t>emancipación social y económica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078945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6CE0672F" w14:textId="37812B8D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32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9F8ADA9" w14:textId="7B9FAB72" w:rsidR="00BB448A" w:rsidRPr="002453DF" w:rsidRDefault="00557628" w:rsidP="004F64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América, Estados Árabes, Asia y el Pacífico, países de la CEI, Europa, Mundo o Multirregional </w:t>
            </w:r>
          </w:p>
        </w:tc>
      </w:tr>
      <w:tr w:rsidR="00BB448A" w:rsidRPr="002453DF" w14:paraId="68ADC041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069D03C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0A7393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A4AF535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3B1389DD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CB55AD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6A28FF" w14:textId="6BA19D99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2GLO21115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Insignias de Habilidades Digitales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B3781B" w14:textId="357A9645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Etiopía, Jamaica, Kenya, Nepal (República de), Filipinas</w:t>
            </w:r>
          </w:p>
        </w:tc>
      </w:tr>
      <w:tr w:rsidR="00BB448A" w:rsidRPr="00D97D52" w14:paraId="09932E8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79CA60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9AEE21" w14:textId="3227F1D7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2RAF20091 – Fomento del empleo decente y mejora de las competencias de los jóvenes en la economía digital de África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AE44D4" w14:textId="3AE39EF2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Côte d'Ivoire, Kenya, Nigeria, Rwanda (República de), Senegal, Sudáfrica</w:t>
            </w:r>
          </w:p>
        </w:tc>
      </w:tr>
      <w:tr w:rsidR="00BB448A" w:rsidRPr="002453DF" w14:paraId="7A190A86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E6C4BF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AAACDA" w14:textId="4175974D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7GLO20106 – Mejora del ecosistema digital y de las competencias digitales para el empoderamiento económico de las mujeres en los PMA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B5FF89" w14:textId="49558780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Burundi, Etiopía, Haití</w:t>
            </w:r>
          </w:p>
        </w:tc>
      </w:tr>
      <w:tr w:rsidR="00BB448A" w:rsidRPr="002453DF" w14:paraId="619D5681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DB5BC4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04C48A" w14:textId="0AB471A6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7GLO22121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Reducción de la brecha digital de género para las mujeres empresarias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F4A651" w14:textId="713C0E51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67C82E6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C0C6DF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E3E4DD" w14:textId="1C52180E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7GLO23132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Programa de jóvenes líderes de la iniciativa Generation Connect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CFD26B" w14:textId="27FE2AF2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EF162D8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5AA30D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1F8941" w14:textId="255A6C04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E17FD1" w14:textId="5CC24095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567AA9B2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D69E44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67D369" w14:textId="3528567D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9EGY25004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Proteger y empoderar a las mujeres en el espacio digital: defensa del enfoque de seguridad humana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262588" w14:textId="23347696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Egipto</w:t>
            </w:r>
          </w:p>
        </w:tc>
      </w:tr>
      <w:tr w:rsidR="00BB448A" w:rsidRPr="002453DF" w14:paraId="43CBAC96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ACD02F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F73D0E" w14:textId="678AC1CA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9GLO24149 – Actualización del plan de estudios de la Academia de la UIT – Qualcomm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EE29EF" w14:textId="2EB625E5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19199ACB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7A8CC8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BA8526" w14:textId="6E385C9A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9PNG20003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Apoyo a la iniciativa empresarial, la inversión y el comercio rurales en Papua Nueva Guinea (STREIT PNG)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92C844" w14:textId="1CD88E05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Papua Nueva Guinea</w:t>
            </w:r>
          </w:p>
        </w:tc>
      </w:tr>
      <w:tr w:rsidR="00BB448A" w:rsidRPr="002453DF" w14:paraId="5EDA4F3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0654192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563BAB" w14:textId="034580FA" w:rsidR="00BB448A" w:rsidRPr="002453DF" w:rsidRDefault="00557628" w:rsidP="00557628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9RAF23104 – Competencias digitales para la inclusión digital de las niñas y jóvenes de África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3C0009" w14:textId="3ACD28C3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Región de África</w:t>
            </w:r>
          </w:p>
        </w:tc>
      </w:tr>
      <w:tr w:rsidR="00BB448A" w:rsidRPr="00D97D52" w14:paraId="78FF661E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81D7A7E" w14:textId="490E2E5A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77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 xml:space="preserve">Buenos Aires, 2017) – Tecnología y aplicaciones de banda ancha para un mayor </w:t>
            </w:r>
            <w:r w:rsidRPr="002453DF">
              <w:rPr>
                <w:color w:val="000000"/>
                <w:lang w:val="es-ES_tradnl"/>
              </w:rPr>
              <w:lastRenderedPageBreak/>
              <w:t>crecimiento y desarrollo de los servicios de telecomunicaciones/</w:t>
            </w:r>
            <w:r w:rsidR="004F6462" w:rsidRPr="002453DF">
              <w:rPr>
                <w:color w:val="000000"/>
                <w:lang w:val="es-ES_tradnl"/>
              </w:rPr>
              <w:br/>
            </w:r>
            <w:r w:rsidRPr="002453DF">
              <w:rPr>
                <w:color w:val="000000"/>
                <w:lang w:val="es-ES_tradnl"/>
              </w:rPr>
              <w:t>tecnologías de la información y la comunicación y la conectividad de banda ancha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F1369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49C86B1E" w14:textId="20AE61B8" w:rsidR="00BB448A" w:rsidRPr="002453DF" w:rsidRDefault="00557628" w:rsidP="00557628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22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885A5D" w14:textId="16BB0B54" w:rsidR="00BB448A" w:rsidRPr="002453DF" w:rsidRDefault="00557628" w:rsidP="004F64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Estados Árabes, Asia y el Pacífico, países de la CEI, Europa, Mundo o Multirregional</w:t>
            </w:r>
          </w:p>
        </w:tc>
      </w:tr>
      <w:tr w:rsidR="00BB448A" w:rsidRPr="002453DF" w14:paraId="779D732E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78FD7FE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106F4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149B7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59DDD14D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E58A03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795EE" w14:textId="3A50A389" w:rsidR="00BB448A" w:rsidRPr="002453DF" w:rsidRDefault="00557628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2ARM23001 – Proyecto piloto de redes rurales en Armenia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0FA29B" w14:textId="74547B79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Armenia</w:t>
            </w:r>
          </w:p>
        </w:tc>
      </w:tr>
      <w:tr w:rsidR="00BB448A" w:rsidRPr="002453DF" w14:paraId="393120A9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DB34B4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5B56CE" w14:textId="429E85BA" w:rsidR="00BB448A" w:rsidRPr="002453DF" w:rsidRDefault="00557628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2GLO18097 – Nueva interfaz gráfica de los mapas interactivos de transmisión de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1DF448" w14:textId="6811B7D5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50E0228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CBEB73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2E7E" w14:textId="567D0AEF" w:rsidR="00BB448A" w:rsidRPr="002453DF" w:rsidRDefault="00557628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2GLO20110 – Conectividad de banda ancha para los que carecen de conexión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F6120" w14:textId="4DF214D3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61CAFA61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575AA5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14EEDF" w14:textId="4E61A912" w:rsidR="00BB448A" w:rsidRPr="002453DF" w:rsidRDefault="00557628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2PAK22002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Aldea Inteligente Pakistán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1CD95A" w14:textId="5B15BDD7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Pakistán</w:t>
            </w:r>
          </w:p>
        </w:tc>
      </w:tr>
      <w:tr w:rsidR="00BB448A" w:rsidRPr="002453DF" w14:paraId="472F167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42F44D4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45882B" w14:textId="1C432CF4" w:rsidR="00BB448A" w:rsidRPr="002453DF" w:rsidRDefault="009F568C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9BAR21003 – Examen de la calidad de servicio de los servicios de banda ancha fija en Barbados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859843" w14:textId="6C20BD1D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Barbados</w:t>
            </w:r>
          </w:p>
        </w:tc>
      </w:tr>
      <w:tr w:rsidR="00BB448A" w:rsidRPr="002453DF" w14:paraId="2723C21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47E6C3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0A334D" w14:textId="28EE5288" w:rsidR="00BB448A" w:rsidRPr="002453DF" w:rsidRDefault="009F568C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9BRA19008 – Proporcionar al Brasil un entorno reglamentario propicio para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5EE929" w14:textId="3F0403D6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5D4257A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21D9609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5B6D34" w14:textId="59E0F117" w:rsidR="00BB448A" w:rsidRPr="002453DF" w:rsidRDefault="009F568C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9BRA98006 – Apoyo a la Agencia Nacional de Telecomunicaciones (ANATEL, Brasil)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793064" w14:textId="1813FDCA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58EEE9C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528732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D6C42A" w14:textId="658A54C9" w:rsidR="00BB448A" w:rsidRPr="002453DF" w:rsidRDefault="009F568C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3031AF" w14:textId="51FBE814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466D545C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608B640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B66F" w14:textId="4283A1DF" w:rsidR="00BB448A" w:rsidRPr="002453DF" w:rsidRDefault="009F568C" w:rsidP="009F568C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Promocionar y medir la conectividad universal y efectiva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B9704" w14:textId="48031BDC" w:rsidR="00BB448A" w:rsidRPr="002453DF" w:rsidRDefault="00557628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453D0A7D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4A3A71" w14:textId="0435426F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78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 xml:space="preserve">Kigali, 2022) – Capacitación para contrarrestar y combatir la apropiación y utilización indebidas de los recursos de numeración del Sector de Normalización de las </w:t>
            </w:r>
            <w:r w:rsidRPr="002453DF">
              <w:rPr>
                <w:color w:val="000000"/>
                <w:lang w:val="es-ES_tradnl"/>
              </w:rPr>
              <w:lastRenderedPageBreak/>
              <w:t>Telecomunicaciones de la UIT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9B0E5E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Plan operacional</w:t>
            </w:r>
          </w:p>
          <w:p w14:paraId="3270BBA4" w14:textId="43D9CFDC" w:rsidR="00BB448A" w:rsidRPr="002453DF" w:rsidRDefault="009F568C" w:rsidP="009F568C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8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EE83A4" w14:textId="010B5843" w:rsidR="00BB448A" w:rsidRPr="002453DF" w:rsidRDefault="009F568C" w:rsidP="004F64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–</w:t>
            </w:r>
            <w:r w:rsidRPr="002453DF">
              <w:rPr>
                <w:color w:val="000000"/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Mundo o multirregional </w:t>
            </w:r>
          </w:p>
        </w:tc>
      </w:tr>
      <w:tr w:rsidR="00BB448A" w:rsidRPr="00D97D52" w14:paraId="03873336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noWrap/>
            <w:vAlign w:val="center"/>
          </w:tcPr>
          <w:p w14:paraId="51C82411" w14:textId="2E1E9016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79 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Función de las telecomunicaciones/tecnologías de la información y la comunicación en la gestión y lucha contra la falsificación y manipulación de dispositivos de telecomunicaciones/ tecnologías de la información y la comunicación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C850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0F284A1E" w14:textId="307D14BD" w:rsidR="00BB448A" w:rsidRPr="002453DF" w:rsidRDefault="009F568C" w:rsidP="009F568C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llevaron a cabo, o están en curso de ejecución, un total de 4 actividades del PO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CCB7C" w14:textId="3AC847F3" w:rsidR="00BB448A" w:rsidRPr="002453DF" w:rsidRDefault="009F568C" w:rsidP="004F64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Países de la CEI, mundo o multirregión </w:t>
            </w:r>
          </w:p>
        </w:tc>
      </w:tr>
      <w:tr w:rsidR="00BB448A" w:rsidRPr="002453DF" w14:paraId="36FF3E62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C445F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80 (Rev. Buenos Aires, 2017) – Establecimiento y promoción de marcos de información fiables en los países en desarrollo para facilitar y fomentar el intercambio electrónico de información económica entre socios económicos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8BC895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63EDB76E" w14:textId="51837665" w:rsidR="00BB448A" w:rsidRPr="002453DF" w:rsidRDefault="009F568C" w:rsidP="009F568C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5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DAB284" w14:textId="55FC2DC2" w:rsidR="00BB448A" w:rsidRPr="002453DF" w:rsidRDefault="009F568C" w:rsidP="004F64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</w:t>
            </w:r>
          </w:p>
        </w:tc>
      </w:tr>
      <w:tr w:rsidR="00BB448A" w:rsidRPr="002453DF" w14:paraId="1F10E691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774E3D4" w14:textId="6A180BC0" w:rsidR="00BB448A" w:rsidRPr="002453DF" w:rsidRDefault="00BB448A" w:rsidP="004F6462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82</w:t>
            </w:r>
            <w:r w:rsidR="004F6462" w:rsidRPr="002453DF">
              <w:rPr>
                <w:color w:val="000000"/>
                <w:lang w:val="es-ES_tradnl"/>
              </w:rPr>
              <w:t xml:space="preserve"> </w:t>
            </w:r>
            <w:r w:rsidRPr="002453DF">
              <w:rPr>
                <w:color w:val="000000"/>
                <w:lang w:val="es-ES_tradnl"/>
              </w:rPr>
              <w:t>(Rev.</w:t>
            </w:r>
            <w:r w:rsidR="004F64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Preservación y promoción del plurilingüismo en Internet, en favor de una sociedad de la información integradora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553A6C" w14:textId="77777777" w:rsidR="00BB448A" w:rsidRPr="002453DF" w:rsidRDefault="00BB448A" w:rsidP="004F6462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02AF0520" w14:textId="58B60258" w:rsidR="00BB448A" w:rsidRPr="002453DF" w:rsidRDefault="00836FB5" w:rsidP="004F6462">
            <w:pPr>
              <w:pStyle w:val="enumlev1"/>
              <w:keepNext/>
              <w:keepLines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10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E3A3D5" w14:textId="4A090FF5" w:rsidR="00BB448A" w:rsidRPr="002453DF" w:rsidRDefault="00836FB5" w:rsidP="004F6462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América, Mundo o Multirregional</w:t>
            </w:r>
          </w:p>
        </w:tc>
      </w:tr>
      <w:tr w:rsidR="00BB448A" w:rsidRPr="002453DF" w14:paraId="3A199EC7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666A076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AA6272" w14:textId="77777777" w:rsidR="00BB448A" w:rsidRPr="002453DF" w:rsidRDefault="00BB448A" w:rsidP="004F6462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8F5E17" w14:textId="77777777" w:rsidR="00BB448A" w:rsidRPr="002453DF" w:rsidRDefault="00BB448A" w:rsidP="004F6462">
            <w:pPr>
              <w:keepNext/>
              <w:keepLines/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49B9D87A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03ED0D0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9FCD2" w14:textId="3A51E567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9COL24043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Modelo contractual para la operación del Registro de Dominios ".co"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4C301" w14:textId="4DCDCAC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67D6F92A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B2955C" w14:textId="28908F86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83 (Buenos</w:t>
            </w:r>
            <w:r w:rsidR="00441E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Aires, 2017) – Asistencia especial y apoyo al Gobierno de Libia para la reconstrucción de sus redes de telecomunicaciones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318F0D8" w14:textId="77777777" w:rsidR="00BB448A" w:rsidRPr="002453DF" w:rsidRDefault="00BB448A" w:rsidP="003A3E00">
            <w:pPr>
              <w:rPr>
                <w:rFonts w:cstheme="minorBidi"/>
                <w:i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Aplicada.</w:t>
            </w:r>
            <w:r w:rsidRPr="002453DF">
              <w:rPr>
                <w:rStyle w:val="FootnoteReference"/>
                <w:rFonts w:cstheme="minorBidi"/>
                <w:color w:val="000000" w:themeColor="text1"/>
                <w:lang w:val="es-ES_tradnl"/>
              </w:rPr>
              <w:footnoteReference w:id="11"/>
            </w:r>
            <w:r w:rsidRPr="002453DF">
              <w:rPr>
                <w:color w:val="000000"/>
                <w:lang w:val="es-ES_tradnl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EDC6336" w14:textId="77777777" w:rsidR="00BB448A" w:rsidRPr="002453DF" w:rsidRDefault="00BB448A" w:rsidP="003A3E00">
            <w:pPr>
              <w:rPr>
                <w:rFonts w:cstheme="minorBidi"/>
                <w:sz w:val="20"/>
                <w:lang w:val="es-ES_tradnl"/>
              </w:rPr>
            </w:pPr>
          </w:p>
        </w:tc>
      </w:tr>
      <w:tr w:rsidR="00BB448A" w:rsidRPr="002453DF" w14:paraId="6C2364E8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3D21A57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D66F1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370DEE3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D97D52" w14:paraId="49549EA9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24E30C3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557B401" w14:textId="0B6CC8F5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9RAB19028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a la Red Árabe de Parques Tecnológicos e Incubadoras de Empresas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A15C0A" w14:textId="5D418615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5C3EB59D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4E57879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FAB5FB" w14:textId="67661879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9RAB20030 – Centro Regional de Expertos en IPv6 e IoT de la UIT para la Región Árabe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3242225" w14:textId="433C2FA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Saudita, Argelia, Bahrein, Comoras (Unión de las), Djibouti, Egipto, Emiratos Árabes Unidos, Iraq, Jordania, Kuwait, Líbano, Libia, Marruecos, Mauritania, Omán, Qatar, Somalia, Estado de Palestina, Sudán, Siria, Túnez y Yemen</w:t>
            </w:r>
          </w:p>
        </w:tc>
      </w:tr>
      <w:tr w:rsidR="00BB448A" w:rsidRPr="00D97D52" w14:paraId="2477E9E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6CCA2F8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38D8883" w14:textId="20D5C03A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9RAF18089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Acuerdo de delegación para la acción entre PRIDA y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BACDDA" w14:textId="76FC4D6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Argelia, Angola, Benin, Botswana, Burkina Faso, Burundi, Camerún, Cabo Verde, Chad, Congo, Côte d'Ivoire, Djibouti, Egipto, Guinea Ecuatorial, Eritrea, Eswatini, Etiopía, Gabón, Gambia, Ghana, Guinea, Guinea-Bissau, Kenya, Lesotho, Liberia, Libia, Madagascar, Malawi, Malí, Marruecos, Mauricio, Mauritania, Mozambique, Namibia, Níger, Nigeria, (República de) Rwanda, República Centroafricana, República Democrática del Congo, Santo Tomé y Príncipe, Senegal, Seychelles, Sierra Leona, Somalia, Sudáfrica, Sudán, Sudán del Sur, Tanzanía, Togo, Túnez, Uganda, Zambia, Zimbabwe.</w:t>
            </w:r>
          </w:p>
        </w:tc>
      </w:tr>
      <w:tr w:rsidR="00BB448A" w:rsidRPr="002453DF" w14:paraId="0BD13D94" w14:textId="77777777" w:rsidTr="00BB448A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  <w:noWrap/>
            <w:vAlign w:val="center"/>
          </w:tcPr>
          <w:p w14:paraId="275433BB" w14:textId="1CBDE5A8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84 (Rev.</w:t>
            </w:r>
            <w:r w:rsidR="00441E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Lucha contra el robo de dispositivos móviles de telecomunicaciones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51625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2136F33C" w14:textId="736DB2A8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llevaron a cabo, o están en curso de ejecución, un total de 2 actividades del PO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AA7182" w14:textId="03A1DB7B" w:rsidR="00BB448A" w:rsidRPr="002453DF" w:rsidRDefault="00836FB5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Mundo o multirregional </w:t>
            </w:r>
          </w:p>
        </w:tc>
      </w:tr>
      <w:tr w:rsidR="00BB448A" w:rsidRPr="00D97D52" w14:paraId="53ED40D5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3416D4" w14:textId="365D8D9D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85 (Rev.</w:t>
            </w:r>
            <w:r w:rsidR="00441E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Kigali, 2022) – Facilitación de la Internet de las cosas y las ciudades y comunidades inteligentes y sostenibles para el desarrollo mundial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A5CA877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7FB7DB55" w14:textId="71E71754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14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C9C73D" w14:textId="7C80BD32" w:rsidR="00BB448A" w:rsidRPr="002453DF" w:rsidRDefault="00836FB5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América, Estados Árabes, países de la CEI, Mundo o Multirregional </w:t>
            </w:r>
          </w:p>
        </w:tc>
      </w:tr>
      <w:tr w:rsidR="00BB448A" w:rsidRPr="002453DF" w14:paraId="6AF0348D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4FDD04C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D0CC7C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E598280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507D809C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C1CED1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BFC274" w14:textId="4573ECEF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7GLO22121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Reducción de la brecha digital de género para las mujeres empresarias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9399BC" w14:textId="2D6AAECF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3C41A84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79BBCD2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BAC510" w14:textId="7058FEAA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9BRA19008 – Proporcionar al Brasil un entorno reglamentario propicio para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26B393" w14:textId="70C0F591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40E96635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453A2D9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F2F801" w14:textId="212EA2F7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9BRA98006 – Apoyo a la Agencia Nacional de Telecomunicaciones (ANATEL, Brasil)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212084" w14:textId="3599A89F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Brasil</w:t>
            </w:r>
          </w:p>
        </w:tc>
      </w:tr>
      <w:tr w:rsidR="00BB448A" w:rsidRPr="002453DF" w14:paraId="37C0DFF7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5502DBA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B0FAFE" w14:textId="67392EF4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9EGY24003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Promoción del desarrollo de ciudades y comunidades inteligentes y sostenibles Infraestructura de telecomunicaciones en Egipto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99C900" w14:textId="62E6B9CB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Egipto</w:t>
            </w:r>
          </w:p>
        </w:tc>
      </w:tr>
      <w:tr w:rsidR="00BB448A" w:rsidRPr="00D97D52" w14:paraId="10E82774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D5CCDD6" w14:textId="4FF2E66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87 (Kigali,</w:t>
            </w:r>
            <w:r w:rsidR="00441E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2022) – Conexión de todas las escuelas a Internet y de todos los jóvenes a los servicios de tecnologías de la información y la comunicación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51730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0BB740D8" w14:textId="6CB803CF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9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B2F183" w14:textId="707FAA5F" w:rsidR="00BB448A" w:rsidRPr="002453DF" w:rsidRDefault="00836FB5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Países de la CEI, mundo o multirregión </w:t>
            </w:r>
          </w:p>
        </w:tc>
      </w:tr>
      <w:tr w:rsidR="00BB448A" w:rsidRPr="002453DF" w14:paraId="1603BD45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353E4018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D9FF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F09B1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7D8E820D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2880BE1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09FAEE" w14:textId="78B2D26F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2GLO20104-02 – Programa de conectividad comunitaria de Giga Barbados y la OECO para garantizar la seguridad de los niños en línea y la conectividad comunitaria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EC7699" w14:textId="0827C4BA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Barbados</w:t>
            </w:r>
          </w:p>
        </w:tc>
      </w:tr>
      <w:tr w:rsidR="00BB448A" w:rsidRPr="002453DF" w14:paraId="2DD78DA3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5F202EF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B5EE6D" w14:textId="1C788E1B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2GLO20104-03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dos de GIGA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88B6C0" w14:textId="55240EA7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6F036BD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41616E4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D12968" w14:textId="5A367677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04-20104 – Iniciativa GIGA para conectar todas las escuelas a Internet </w:t>
            </w:r>
            <w:r w:rsidR="00441E62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BDT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2E65C7" w14:textId="6352F289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1809D6E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714C19A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1D94B" w14:textId="7165DD78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9GLO23125 – Análisis de la infraestructura y apoyo al programa para las actividades de Giga de la UIT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9C4D4" w14:textId="002F51C2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68880428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6E24697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DDDDC" w14:textId="6BEE373B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9GLO24140 – Capacitación para acelerar la conectividad escolar en colaboración con la Iniciativa Giga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4F141" w14:textId="2A445DD7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3DDA255D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45145F8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A28914" w14:textId="2CC9CF57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9GLO24145 – Conectar escuelas en los países (GIGA)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718A7A" w14:textId="1BD0BDF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3E5E6E4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74D83FB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15501" w14:textId="3E910B32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9STP24004 – Proyecto de conectividad escolar Giga – Santo Tomé y Príncipe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6D536" w14:textId="3213D9A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Santo Tomé y Príncipe</w:t>
            </w:r>
          </w:p>
        </w:tc>
      </w:tr>
      <w:tr w:rsidR="00BB448A" w:rsidRPr="00D97D52" w14:paraId="57E95EB7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B89432" w14:textId="1BC9E6C4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lastRenderedPageBreak/>
              <w:t>RESOLUCIÓN 88 (Kigali,</w:t>
            </w:r>
            <w:r w:rsidR="00441E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2022) – Coalición Digital Partner2Connect de la UIT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F1A212D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78777B1C" w14:textId="3CD342DC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13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F52DC4" w14:textId="2BA6BE0D" w:rsidR="00BB448A" w:rsidRPr="002453DF" w:rsidRDefault="00836FB5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países de la CEI, Europa, Mundo o Multirregional</w:t>
            </w:r>
          </w:p>
        </w:tc>
      </w:tr>
      <w:tr w:rsidR="00BB448A" w:rsidRPr="002453DF" w14:paraId="7246AEEA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2EE37A4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7D5FF67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B412EC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23AF6BB9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CB1364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7C1197" w14:textId="34C752FD" w:rsidR="00BB448A" w:rsidRPr="002453DF" w:rsidRDefault="00836FB5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 xml:space="preserve">9GLO25150 </w:t>
            </w:r>
            <w:r w:rsidRPr="002453DF">
              <w:rPr>
                <w:color w:val="000000"/>
                <w:lang w:val="es-ES_tradnl"/>
              </w:rPr>
              <w:t>–</w:t>
            </w:r>
            <w:r w:rsidR="00BB448A" w:rsidRPr="002453DF">
              <w:rPr>
                <w:color w:val="000000"/>
                <w:lang w:val="es-ES_tradnl"/>
              </w:rPr>
              <w:t xml:space="preserve"> BDT P2C del BID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BBB8DB" w14:textId="5DC7923E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D97D52" w14:paraId="5288FB12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BC45A99" w14:textId="023B1E7D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89 (Kigali,</w:t>
            </w:r>
            <w:r w:rsidR="00441E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2022) – Transformación digital para el desarrollo sostenible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D45082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2A217C85" w14:textId="25EA6A11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86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1A8C65" w14:textId="36D5D230" w:rsidR="00BB448A" w:rsidRPr="002453DF" w:rsidRDefault="00836FB5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15D562A8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6C14CF7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7A73F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8823E2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02CCDFF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36367A6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03BF07" w14:textId="6E907610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2ALB24003 – Agricultura digital y transformación rural en Albania (DART)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44D0E" w14:textId="4BAADE24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</w:t>
            </w:r>
          </w:p>
        </w:tc>
      </w:tr>
      <w:tr w:rsidR="00BB448A" w:rsidRPr="002453DF" w14:paraId="6798C778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08B7C97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B89475" w14:textId="3D0B1E26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2NER21005 – Proyecto de aldeas inteligentes para el desarrollo rural en el Níger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23F5C7" w14:textId="7518E94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Níger</w:t>
            </w:r>
          </w:p>
        </w:tc>
      </w:tr>
      <w:tr w:rsidR="00BB448A" w:rsidRPr="002453DF" w14:paraId="65AC83F6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6B2925A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974AF2" w14:textId="4344AF6F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2PAK22002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Aldea Inteligente Pakistán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22EB5F" w14:textId="57B9958A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Pakistán</w:t>
            </w:r>
          </w:p>
        </w:tc>
      </w:tr>
      <w:tr w:rsidR="00BB448A" w:rsidRPr="00D97D52" w14:paraId="5A1B602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264F562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A8CB37" w14:textId="52FC3CB3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2RAS22070 – Islas inteligentes en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88EDE7" w14:textId="05AAC60C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Fiji, Papua Nueva Guinea, Vanuatu</w:t>
            </w:r>
          </w:p>
        </w:tc>
      </w:tr>
      <w:tr w:rsidR="00BB448A" w:rsidRPr="002453DF" w14:paraId="62028909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6743A81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941329" w14:textId="74754C47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2RER20008-02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Green GovStack: Acelerar la digitalización de los servicios gubernamentales sostenibles y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AFC418" w14:textId="037C77F4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03565B10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650009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32ED3C" w14:textId="069B12B0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2RER20008-03 – Programa Mundial de Transformación Digital – Iniciativa de Gobierno Digital del Cuerno de África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C3C481" w14:textId="59128AF4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Djibouti, Kenya, Somalia</w:t>
            </w:r>
          </w:p>
        </w:tc>
      </w:tr>
      <w:tr w:rsidR="00BB448A" w:rsidRPr="00D97D52" w14:paraId="07FB802B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22F0324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C4BF5A" w14:textId="5B131860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7CIS25001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Cooperación en materia de gobierno digital en los países de Asia Central y el Cáucaso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EDD46F" w14:textId="37699F2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Armenia, Azerbaiyán, Kazajstán, Kirguistán, Tayikistán, Turkmenistán, Uzbekistán</w:t>
            </w:r>
          </w:p>
        </w:tc>
      </w:tr>
      <w:tr w:rsidR="00BB448A" w:rsidRPr="002453DF" w14:paraId="5F78D6FC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56709CEE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412FDA" w14:textId="5E52EA91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7GLO22121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Reducción de la brecha digital de género para las mujeres empresarias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58C6C" w14:textId="6A0ADC27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4BF3CED7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39DC73E3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6AC59" w14:textId="25F9A039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7GLO23133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Fomento de las competencias digitales a través de los Centros de Transformación Digital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EA6D9" w14:textId="3DACA739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Côte d’Ivoire</w:t>
            </w:r>
          </w:p>
        </w:tc>
      </w:tr>
      <w:tr w:rsidR="00BB448A" w:rsidRPr="002453DF" w14:paraId="0A096BAA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6352D94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6599EE" w14:textId="097F1D10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7MNE24002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Transformación digital de los gobiernos locales autónomos de Montenegro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F414F" w14:textId="6AB1DA59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Montenegro</w:t>
            </w:r>
          </w:p>
        </w:tc>
      </w:tr>
      <w:tr w:rsidR="00BB448A" w:rsidRPr="00D97D52" w14:paraId="5EF154B2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267404D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E99846" w14:textId="26F2A801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7RAF25157 – Apoyar la aplicación de proyectos Govstack en la región de África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8380CE" w14:textId="44126970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Gambia, Guinea, Guinea-Bissau, Senegal</w:t>
            </w:r>
          </w:p>
        </w:tc>
      </w:tr>
      <w:tr w:rsidR="00BB448A" w:rsidRPr="00D97D52" w14:paraId="042EB2D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6B4B262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0378D0" w14:textId="54A70834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7RAS23072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Acelerar la transformación digital en Asia-Pacífico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3EAAE3" w14:textId="190E417A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Bhután, Camboya, Lao (Rep</w:t>
            </w:r>
            <w:r w:rsidR="00A62069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 xml:space="preserve"> Dem</w:t>
            </w:r>
            <w:r w:rsidR="00A62069" w:rsidRPr="002453DF">
              <w:rPr>
                <w:color w:val="000000"/>
                <w:lang w:val="es-ES_tradnl"/>
              </w:rPr>
              <w:t>ocrática</w:t>
            </w:r>
            <w:r w:rsidR="00BB448A" w:rsidRPr="002453DF">
              <w:rPr>
                <w:color w:val="000000"/>
                <w:lang w:val="es-ES_tradnl"/>
              </w:rPr>
              <w:t xml:space="preserve"> Pop</w:t>
            </w:r>
            <w:r w:rsidR="00A62069" w:rsidRPr="002453DF">
              <w:rPr>
                <w:color w:val="000000"/>
                <w:lang w:val="es-ES_tradnl"/>
              </w:rPr>
              <w:t>ular</w:t>
            </w:r>
            <w:r w:rsidR="00BB448A" w:rsidRPr="002453DF">
              <w:rPr>
                <w:color w:val="000000"/>
                <w:lang w:val="es-ES_tradnl"/>
              </w:rPr>
              <w:t>), Papua Nueva Guinea, Filipinas, Vanuatu</w:t>
            </w:r>
          </w:p>
        </w:tc>
      </w:tr>
      <w:tr w:rsidR="00BB448A" w:rsidRPr="00D97D52" w14:paraId="32D45C85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0E8EA21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EC2B1D" w14:textId="5ED1869C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7RAS24076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Estudio de viabilidad: Atender las necesidades especiales en materia de telecomunicaciones y TIC de los pequeños Estados insulares en desarrollo (PEID) del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3EAF35" w14:textId="3E403CD1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Fiji, Islas Marshall, Islas Salomón, Kiribati, Micronesia, Nauru, Palau, Papua Nueva Guinea, Samoa (Estado Independiente de), Tonga, Tuvalu, Vanuatu</w:t>
            </w:r>
          </w:p>
        </w:tc>
      </w:tr>
      <w:tr w:rsidR="00BB448A" w:rsidRPr="002453DF" w14:paraId="155F1D8C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7EE331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2B7604" w14:textId="4B101429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9CHI24013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Asegurar la cobertura, el acceso y el uso de la conectividad digital en territorios rurales rezagados en Chile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5B3DD0" w14:textId="4169EA21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Chile</w:t>
            </w:r>
          </w:p>
        </w:tc>
      </w:tr>
      <w:tr w:rsidR="00BB448A" w:rsidRPr="002453DF" w14:paraId="33B757C4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7CFD342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C7F559" w14:textId="6948D5BB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1C1DFD" w14:textId="1091BE26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5F36E2B0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BAEC06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185D8E" w14:textId="0025332B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9COS24019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Desarrollo de conocimientos en tecnologías para especialistas del ICE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Fase 2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C9C928" w14:textId="4238765F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Costa Rica</w:t>
            </w:r>
          </w:p>
        </w:tc>
      </w:tr>
      <w:tr w:rsidR="00BB448A" w:rsidRPr="00D97D52" w14:paraId="092BFD75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57A36E00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BFDDB4" w14:textId="4AE42912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9FSM22001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Acelerar el logro de los ODS mediante la transformación digital para reforzar la resiliencia de las comunidades en Micronesia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A904DA" w14:textId="0B21E7B1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Kiribati, Islas Marshall, Micronesia, Nauru, Palau</w:t>
            </w:r>
          </w:p>
        </w:tc>
      </w:tr>
      <w:tr w:rsidR="00BB448A" w:rsidRPr="002453DF" w14:paraId="531EE0D1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77A7384F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28217D" w14:textId="0625AFA7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9GLO13072 – Programa conjunto de salud móvil para las enfermedades no transmisibles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999CBD" w14:textId="2EC22839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155BF129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62A389D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EAF33D" w14:textId="310D4766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9GLO23127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 de Regulación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823C9B" w14:textId="698DF20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167D47E5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033F664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433DA2" w14:textId="1B56BA34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Desarrollar capacidades para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A03E27" w14:textId="058A5F18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0C8A3090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5F3BDAF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4CB145" w14:textId="4F9FEEA5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9GLO23129 </w:t>
            </w:r>
            <w:r w:rsidRPr="002453DF">
              <w:rPr>
                <w:lang w:val="es-ES_tradnl"/>
              </w:rPr>
              <w:t xml:space="preserve">– </w:t>
            </w:r>
            <w:r w:rsidR="00BB448A" w:rsidRPr="002453DF">
              <w:rPr>
                <w:lang w:val="es-ES_tradnl"/>
              </w:rPr>
              <w:t>Propiciar ecosistemas de código abierto para la innovación en servicios públicos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394EA1" w14:textId="286ED4D1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1DACFAD3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</w:tcPr>
          <w:p w14:paraId="2C75AF0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C84130" w14:textId="41A697E4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9GLO23134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para fomentar la utilización de tecnologías innovadoras en la construcción de una sociedad digital de prosperidad compartida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799744" w14:textId="3EE7192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44258EF9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01F327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DEDEF6" w14:textId="1E47B9B6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9LES25007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Servicio de asesoramiento agrícola y ganadero con inteligencia artificial de código abierto para pequeños granjeros en Lesotho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1C48E6" w14:textId="42BC2AEE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Lesotho</w:t>
            </w:r>
          </w:p>
        </w:tc>
      </w:tr>
      <w:tr w:rsidR="00BB448A" w:rsidRPr="002453DF" w14:paraId="22D9374C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6FEAC41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728EB0" w14:textId="7E005AF5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9MAU25002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técnica para el desarrollo de servicios digitales gubernamentales apoyándose en los principios, especificaciones y recursos de GovStack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D8BD0B" w14:textId="47C7D6C9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Mauritania</w:t>
            </w:r>
          </w:p>
        </w:tc>
      </w:tr>
      <w:tr w:rsidR="00BB448A" w:rsidRPr="002453DF" w14:paraId="080F34A2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022B327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6FCB" w14:textId="6D017F0D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9MOZ23005 </w:t>
            </w:r>
            <w:r w:rsidR="007B4B58"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Sentando las bases de VaMoz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CAEEA" w14:textId="5887AD31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Mozambique</w:t>
            </w:r>
          </w:p>
        </w:tc>
      </w:tr>
      <w:tr w:rsidR="00BB448A" w:rsidRPr="002453DF" w14:paraId="00638847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4A62D45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79BF63" w14:textId="5B0DA3E1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9RAB18026-02 – Asistencia en telecomunicaciones/TIC en las Regiones de la UIT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B01D5E" w14:textId="680C1846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1AF72CEB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056FB94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239616" w14:textId="04A8CEAE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9RAF21101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Acelerar la transformación digital de África a través de la conectividad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41A22B" w14:textId="330C2FB7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Etiopía</w:t>
            </w:r>
          </w:p>
        </w:tc>
      </w:tr>
      <w:tr w:rsidR="00BB448A" w:rsidRPr="002453DF" w14:paraId="21701340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1782F4AD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F13CA5" w14:textId="358ECD61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9RAF25152 – Proyecto de Transformación Digital para África/Proyecto de Integración Digital Regional de África Occidental (DfTA/WARDIP) en Gambia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B05314" w14:textId="758F43BD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Gambia</w:t>
            </w:r>
          </w:p>
        </w:tc>
      </w:tr>
      <w:tr w:rsidR="00BB448A" w:rsidRPr="002453DF" w14:paraId="74DC5CC4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639F4C79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45B012" w14:textId="03A6EAEA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9RAS21065 – Mejora del desarrollo de normas y marcos para tecnologías críticas en el Sudeste Asiático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8094E2" w14:textId="142695B6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Indonesia, Malasia, Filipinas, Tailandia</w:t>
            </w:r>
          </w:p>
        </w:tc>
      </w:tr>
      <w:tr w:rsidR="00BB448A" w:rsidRPr="00D97D52" w14:paraId="64024FBB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44DFD40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D5B7BB" w14:textId="6BC51AED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9RAS22071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Promover los ODS mejorando los medios de subsistencia y la resiliencia a través de la diversificación económica y la transformación digital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F65AB2" w14:textId="274A17E6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Fiji, Islas Salomón, Tonga, Tuvalu, Vanuatu</w:t>
            </w:r>
          </w:p>
        </w:tc>
      </w:tr>
      <w:tr w:rsidR="00BB448A" w:rsidRPr="00D97D52" w14:paraId="1D91739C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47B99685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D04123" w14:textId="01998C18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9RAS25002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Mejorar la infraestructura digital y el acceso asequible a los servicios de TIC en Asia y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5FA6DF" w14:textId="60838F8B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Bangladesh, Camboya, Islas Marshall, Maldivas, Mongolia, Nauru, Pakistán, Papua Nueva Guinea, Vanuatu</w:t>
            </w:r>
          </w:p>
        </w:tc>
      </w:tr>
      <w:tr w:rsidR="00BB448A" w:rsidRPr="00D97D52" w14:paraId="428417CE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700CDCCB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7F4FA2" w14:textId="5D85E56D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9RCA24005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Innovación Regulatoria Regional para Centroamérica – Sandbox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EC54F" w14:textId="3BC8D79E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Belice, Costa Rica, Dominicana (Rep</w:t>
            </w:r>
            <w:r w:rsidR="00776231" w:rsidRPr="002453DF">
              <w:rPr>
                <w:color w:val="000000"/>
                <w:lang w:val="es-ES_tradnl"/>
              </w:rPr>
              <w:t>ública</w:t>
            </w:r>
            <w:r w:rsidR="00BB448A" w:rsidRPr="002453DF">
              <w:rPr>
                <w:color w:val="000000"/>
                <w:lang w:val="es-ES_tradnl"/>
              </w:rPr>
              <w:t>), El Salvador, Guatemala, Honduras, Panamá</w:t>
            </w:r>
          </w:p>
        </w:tc>
      </w:tr>
      <w:tr w:rsidR="00BB448A" w:rsidRPr="002453DF" w14:paraId="1EF7BDD5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609204D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D07F20" w14:textId="6F90D5B1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9SWZ24001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Acelerar el desarrollo de servicios gubernamentales digitales en Eswatini aprovechando los principios de GovStack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A9D25B" w14:textId="13F33946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Eswatini</w:t>
            </w:r>
          </w:p>
        </w:tc>
      </w:tr>
      <w:tr w:rsidR="00BB448A" w:rsidRPr="002453DF" w14:paraId="575E6ED2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213A66E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8978B0" w14:textId="1DF62198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9TUN21004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Digital4Reform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Digitalización para el desarrollo sostenible en Túnez (Centro Digital)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E7E58F" w14:textId="74E8E381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Túnez</w:t>
            </w:r>
          </w:p>
        </w:tc>
      </w:tr>
      <w:tr w:rsidR="00BB448A" w:rsidRPr="002453DF" w14:paraId="73BE4D9C" w14:textId="77777777" w:rsidTr="00BB448A">
        <w:trPr>
          <w:trHeight w:val="300"/>
        </w:trPr>
        <w:tc>
          <w:tcPr>
            <w:tcW w:w="2689" w:type="dxa"/>
            <w:vMerge/>
            <w:noWrap/>
            <w:vAlign w:val="center"/>
            <w:hideMark/>
          </w:tcPr>
          <w:p w14:paraId="5CCE6041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8204" w14:textId="406A4114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9UGA21008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técnica y formación a Uganda sobre la estrategia nacional de desarrollo de las TIC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BBC94" w14:textId="256CCB18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Uganda</w:t>
            </w:r>
          </w:p>
        </w:tc>
      </w:tr>
      <w:tr w:rsidR="00BB448A" w:rsidRPr="00D97D52" w14:paraId="27A6A4A3" w14:textId="77777777" w:rsidTr="00BB448A">
        <w:trPr>
          <w:trHeight w:val="30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B43D53" w14:textId="6BD26CC9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RESOLUCIÓN 90 (Kigali,</w:t>
            </w:r>
            <w:r w:rsidR="00441E62" w:rsidRPr="002453DF">
              <w:rPr>
                <w:color w:val="000000"/>
                <w:lang w:val="es-ES_tradnl"/>
              </w:rPr>
              <w:t> </w:t>
            </w:r>
            <w:r w:rsidRPr="002453DF">
              <w:rPr>
                <w:color w:val="000000"/>
                <w:lang w:val="es-ES_tradnl"/>
              </w:rPr>
              <w:t>2022) – Fomento de la iniciativa empresarial y los ecosistemas de innovación digital centrados en las telecomunicaciones/TIC para un desarrollo digital sostenible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BA18979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Plan operacional</w:t>
            </w:r>
          </w:p>
          <w:p w14:paraId="6F23A525" w14:textId="76728610" w:rsidR="00BB448A" w:rsidRPr="002453DF" w:rsidRDefault="00836FB5" w:rsidP="00836FB5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59 actividades del Plan Operacional en apoyo de la presente Resolución.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EF2E777" w14:textId="0160B7A9" w:rsidR="00BB448A" w:rsidRPr="002453DF" w:rsidRDefault="00836FB5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36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2453DF" w14:paraId="292BF46D" w14:textId="77777777" w:rsidTr="00BB448A">
        <w:trPr>
          <w:trHeight w:val="300"/>
        </w:trPr>
        <w:tc>
          <w:tcPr>
            <w:tcW w:w="2689" w:type="dxa"/>
            <w:vMerge/>
            <w:noWrap/>
          </w:tcPr>
          <w:p w14:paraId="3F06C3F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992198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color w:val="000000"/>
                <w:lang w:val="es-ES_tradnl"/>
              </w:rPr>
              <w:t>Proyectos: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AAA7A8A" w14:textId="77777777" w:rsidR="00BB448A" w:rsidRPr="002453DF" w:rsidRDefault="00BB448A" w:rsidP="003A3E00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11D95A44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64CB4F2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C655FF" w14:textId="55193465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2BEN20004 – Desarrollar y fomentar ecosistemas sostenibles de innovación digital que aceleren la resiliencia y el empoderamiento de los jóvenes en Benin con un sólido enfoque de género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DDE650" w14:textId="42FBDE95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Benin</w:t>
            </w:r>
          </w:p>
        </w:tc>
      </w:tr>
      <w:tr w:rsidR="00BB448A" w:rsidRPr="002453DF" w14:paraId="35912A0B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A6895F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4D94C5" w14:textId="34004DA8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2RAS22068 – Mejora de la infraestructura de TIC resiliente en Asia y el Pacífico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512F52" w14:textId="5396D671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Asia y Pacífico</w:t>
            </w:r>
          </w:p>
        </w:tc>
      </w:tr>
      <w:tr w:rsidR="00BB448A" w:rsidRPr="00D97D52" w14:paraId="2BEF5926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D06A5E4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16D0A8" w14:textId="6598DA6C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2RER21029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Monitoreo de los desechos de equipo eléctricos y electrónicos a nivel regional para los Balcanes occidentales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4F72AE" w14:textId="5CAD7E7F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Albania, Bosnia y Herzegovina, Montenegro, Macedonia del Norte, Serbia</w:t>
            </w:r>
          </w:p>
        </w:tc>
      </w:tr>
      <w:tr w:rsidR="00BB448A" w:rsidRPr="002453DF" w14:paraId="247829A5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83BDBC7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6B1405" w14:textId="33093994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2RLA21021 – Inclusión digital de los jóvenes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EBDC88" w14:textId="06DAB8FD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Argentina, Bolivia, Paraguay</w:t>
            </w:r>
          </w:p>
        </w:tc>
      </w:tr>
      <w:tr w:rsidR="00BB448A" w:rsidRPr="002453DF" w14:paraId="01B19DF2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0E2696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F31CD6" w14:textId="40A5C87D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7GLO22121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Reducción de la brecha digital de género para las mujeres empresarias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A63E52" w14:textId="0FF77623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13AECCE0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604EB5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C51258" w14:textId="2A3C4439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5D8B1F" w14:textId="237BE758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Colombia</w:t>
            </w:r>
          </w:p>
        </w:tc>
      </w:tr>
      <w:tr w:rsidR="00BB448A" w:rsidRPr="002453DF" w14:paraId="57E57E7E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33F6721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837F20" w14:textId="52C41B3B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Propiciar ecosistemas de código abierto para la innovación en servicios públicos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B0ACE5" w14:textId="6366F182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6C1EC19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1A32958C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9FD34F" w14:textId="070F69F2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9GLO24147 – Acelerador de Iniciativas Regionales de Innovación de la UIT (MIIT)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7A4110" w14:textId="7F4C008F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Multirregión</w:t>
            </w:r>
          </w:p>
        </w:tc>
      </w:tr>
      <w:tr w:rsidR="00BB448A" w:rsidRPr="002453DF" w14:paraId="76273997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72F61306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44C48A" w14:textId="6FD986A5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9SAF19004 – Establecimiento de un Centro Africano de Transformación Digital (CATD) en Sudáfrica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34C99D" w14:textId="21BE6337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Sudáfrica</w:t>
            </w:r>
          </w:p>
        </w:tc>
      </w:tr>
      <w:tr w:rsidR="00BB448A" w:rsidRPr="002453DF" w14:paraId="3D70D18A" w14:textId="77777777" w:rsidTr="00BB448A">
        <w:trPr>
          <w:trHeight w:val="300"/>
        </w:trPr>
        <w:tc>
          <w:tcPr>
            <w:tcW w:w="2689" w:type="dxa"/>
            <w:vMerge/>
            <w:noWrap/>
            <w:hideMark/>
          </w:tcPr>
          <w:p w14:paraId="59D9407A" w14:textId="77777777" w:rsidR="00BB448A" w:rsidRPr="002453DF" w:rsidRDefault="00BB448A" w:rsidP="003A3E00">
            <w:pPr>
              <w:rPr>
                <w:rFonts w:cstheme="minorHAnsi"/>
                <w:color w:val="000000"/>
                <w:sz w:val="20"/>
                <w:lang w:val="es-ES_tradnl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8B7470" w14:textId="799F5053" w:rsidR="00BB448A" w:rsidRPr="002453DF" w:rsidRDefault="00836FB5" w:rsidP="00836FB5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9SAU25010 – Desarrollo de un Centro de Innovación centrado en tecnologías cuánticas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FEF103" w14:textId="1FF0F2CC" w:rsidR="00BB448A" w:rsidRPr="002453DF" w:rsidRDefault="00836FB5" w:rsidP="00DE44A1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color w:val="000000"/>
                <w:lang w:val="es-ES_tradnl"/>
              </w:rPr>
              <w:t>Arabia Saudita</w:t>
            </w:r>
          </w:p>
        </w:tc>
      </w:tr>
    </w:tbl>
    <w:p w14:paraId="2C235F9E" w14:textId="77777777" w:rsidR="00BB448A" w:rsidRPr="002453DF" w:rsidRDefault="00BB448A" w:rsidP="002A7EB1">
      <w:pPr>
        <w:pStyle w:val="Heading2"/>
        <w:spacing w:after="120"/>
        <w:rPr>
          <w:lang w:val="es-ES_tradnl"/>
        </w:rPr>
      </w:pPr>
      <w:r w:rsidRPr="002453DF">
        <w:rPr>
          <w:lang w:val="es-ES_tradnl"/>
        </w:rPr>
        <w:t>RESOLUCIONES DE LA CMDT</w:t>
      </w:r>
    </w:p>
    <w:tbl>
      <w:tblPr>
        <w:tblW w:w="53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918"/>
        <w:gridCol w:w="4273"/>
      </w:tblGrid>
      <w:tr w:rsidR="00BB448A" w:rsidRPr="002453DF" w14:paraId="7FE738D1" w14:textId="77777777" w:rsidTr="002A7EB1">
        <w:trPr>
          <w:trHeight w:val="300"/>
          <w:tblHeader/>
        </w:trPr>
        <w:tc>
          <w:tcPr>
            <w:tcW w:w="2836" w:type="dxa"/>
            <w:shd w:val="clear" w:color="auto" w:fill="0070C0"/>
            <w:noWrap/>
            <w:vAlign w:val="center"/>
          </w:tcPr>
          <w:p w14:paraId="64180AFC" w14:textId="77777777" w:rsidR="00BB448A" w:rsidRPr="002453DF" w:rsidRDefault="00BB448A" w:rsidP="00646D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color w:val="FFFFFF" w:themeColor="background1"/>
                <w:sz w:val="20"/>
                <w:lang w:val="es-ES_tradnl"/>
              </w:rPr>
            </w:pPr>
            <w:r w:rsidRPr="002453DF">
              <w:rPr>
                <w:b/>
                <w:bCs/>
                <w:color w:val="FFFFFF" w:themeColor="background1"/>
                <w:lang w:val="es-ES_tradnl"/>
              </w:rPr>
              <w:t>Recomendación</w:t>
            </w:r>
          </w:p>
        </w:tc>
        <w:tc>
          <w:tcPr>
            <w:tcW w:w="7917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096A568B" w14:textId="77777777" w:rsidR="00BB448A" w:rsidRPr="002453DF" w:rsidRDefault="00BB448A" w:rsidP="00646D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color w:val="FFFFFF" w:themeColor="background1"/>
                <w:sz w:val="20"/>
                <w:lang w:val="es-ES_tradnl"/>
              </w:rPr>
            </w:pPr>
            <w:r w:rsidRPr="002453DF">
              <w:rPr>
                <w:b/>
                <w:bCs/>
                <w:color w:val="FFFFFF" w:themeColor="background1"/>
                <w:lang w:val="es-ES_tradnl"/>
              </w:rPr>
              <w:t>Mecanismo de aplicación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4F86C2AD" w14:textId="77777777" w:rsidR="00BB448A" w:rsidRPr="002453DF" w:rsidRDefault="00BB448A" w:rsidP="00646D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color w:val="FFFFFF" w:themeColor="background1"/>
                <w:sz w:val="20"/>
                <w:lang w:val="es-ES_tradnl"/>
              </w:rPr>
            </w:pPr>
            <w:r w:rsidRPr="002453DF">
              <w:rPr>
                <w:b/>
                <w:bCs/>
                <w:color w:val="FFFFFF" w:themeColor="background1"/>
                <w:lang w:val="es-ES_tradnl"/>
              </w:rPr>
              <w:t>Regiones/países soportados</w:t>
            </w:r>
          </w:p>
        </w:tc>
      </w:tr>
      <w:tr w:rsidR="00BB448A" w:rsidRPr="002453DF" w14:paraId="74856095" w14:textId="77777777" w:rsidTr="002A7EB1">
        <w:trPr>
          <w:trHeight w:val="300"/>
        </w:trPr>
        <w:tc>
          <w:tcPr>
            <w:tcW w:w="2836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647B9F30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RECOMENDACIÓN 15 – Modelos y métodos para determinar el costo de los servicios nacionales de telecomunicaciones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96D89D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Plan operacional</w:t>
            </w:r>
          </w:p>
          <w:p w14:paraId="3700F99E" w14:textId="4F6588E4" w:rsidR="00BB448A" w:rsidRPr="002453DF" w:rsidRDefault="00CE41CA" w:rsidP="00CE41CA">
            <w:pPr>
              <w:pStyle w:val="enumlev1"/>
              <w:rPr>
                <w:rFonts w:cstheme="minorBidi"/>
                <w:szCs w:val="24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8 actividades del Plan Operacional en apoyo de la presente Resolución.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EEF6F9" w14:textId="05BDDF1D" w:rsidR="00BB448A" w:rsidRPr="002453DF" w:rsidRDefault="00CE41CA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América, Mundo o Multirregional</w:t>
            </w:r>
          </w:p>
        </w:tc>
      </w:tr>
      <w:tr w:rsidR="00BB448A" w:rsidRPr="002453DF" w14:paraId="11B1472E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3BD721D3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739727E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Proyectos: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EA399F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458ED7CE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59046EF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A215CD0" w14:textId="3A7FAEE6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9BRA19008 – Proporcionar al Brasil un entorno reglamentario propicio para la transformación digital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F246B2" w14:textId="60251AEC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Brasil</w:t>
            </w:r>
          </w:p>
        </w:tc>
      </w:tr>
      <w:tr w:rsidR="00BB448A" w:rsidRPr="002453DF" w14:paraId="6C679CC3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13F9DC12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7C5708" w14:textId="6EFB51D8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9BRA98006 – Apoyo a la Agencia Nacional de Telecomunicaciones (ANATEL, Brasil)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3CC77" w14:textId="0A86C334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Brasil</w:t>
            </w:r>
          </w:p>
        </w:tc>
      </w:tr>
      <w:tr w:rsidR="00BB448A" w:rsidRPr="002453DF" w14:paraId="4F369D8C" w14:textId="77777777" w:rsidTr="002A7EB1">
        <w:trPr>
          <w:trHeight w:val="300"/>
        </w:trPr>
        <w:tc>
          <w:tcPr>
            <w:tcW w:w="28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F5D322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RECOMENDACIÓN 16 – Reequilibrado de tarifas y orientación a los costos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3AB1A79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Plan operacional</w:t>
            </w:r>
          </w:p>
          <w:p w14:paraId="4C76A5A4" w14:textId="4B250CA1" w:rsidR="00BB448A" w:rsidRPr="002453DF" w:rsidRDefault="00CE41CA" w:rsidP="00CE41CA">
            <w:pPr>
              <w:pStyle w:val="enumlev1"/>
              <w:rPr>
                <w:rFonts w:cstheme="minorBidi"/>
                <w:szCs w:val="24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7 actividades del Plan Operacional en apoyo de la presente Resolución.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3F2A87D" w14:textId="3B8D582F" w:rsidR="00BB448A" w:rsidRPr="002453DF" w:rsidRDefault="00CE41CA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América, Mundo o Multirregional</w:t>
            </w:r>
          </w:p>
        </w:tc>
      </w:tr>
      <w:tr w:rsidR="00BB448A" w:rsidRPr="002453DF" w14:paraId="27B5AD4C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7D46F167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5A7EBB0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Proyectos: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6098EBD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69314383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7FC5FEC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14:paraId="69CBB450" w14:textId="02A44FD6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2RLA21020 – Apoyar a los países de América Latina en el establecimiento de las mejores prácticas en el desarrollo e implementación de redes comunitarias como soluciones de conectividad innovadoras en zonas rurales y aisladas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D15EDE" w14:textId="387CE48F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América</w:t>
            </w:r>
          </w:p>
        </w:tc>
      </w:tr>
      <w:tr w:rsidR="00BB448A" w:rsidRPr="00D97D52" w14:paraId="22D196A9" w14:textId="77777777" w:rsidTr="002A7EB1">
        <w:trPr>
          <w:trHeight w:val="300"/>
        </w:trPr>
        <w:tc>
          <w:tcPr>
            <w:tcW w:w="2836" w:type="dxa"/>
            <w:tcBorders>
              <w:right w:val="single" w:sz="4" w:space="0" w:color="auto"/>
            </w:tcBorders>
            <w:noWrap/>
            <w:vAlign w:val="center"/>
          </w:tcPr>
          <w:p w14:paraId="21F7E2C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RECOMENDACIÓN 17</w:t>
            </w:r>
          </w:p>
          <w:p w14:paraId="3DC33B71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Compartición de instalaciones en zonas rurales y remotas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05CC2769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Plan operacional</w:t>
            </w:r>
          </w:p>
          <w:p w14:paraId="041093F5" w14:textId="6D52C7FD" w:rsidR="00BB448A" w:rsidRPr="002453DF" w:rsidRDefault="00CE41CA" w:rsidP="00CE41CA">
            <w:pPr>
              <w:pStyle w:val="enumlev1"/>
              <w:rPr>
                <w:rFonts w:cstheme="minorBidi"/>
                <w:szCs w:val="24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50 actividades del Plan Operacional en apoyo de la presente Resolución.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A2B8671" w14:textId="7524EDFF" w:rsidR="00BB448A" w:rsidRPr="002453DF" w:rsidRDefault="00CE41CA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África, América, Estados Árabes, Asia y el Pacífico, países de la CEI, Europa, Mundo o Multirregional</w:t>
            </w:r>
          </w:p>
        </w:tc>
      </w:tr>
      <w:tr w:rsidR="00BB448A" w:rsidRPr="00D97D52" w14:paraId="11B32627" w14:textId="77777777" w:rsidTr="002A7EB1">
        <w:trPr>
          <w:trHeight w:val="300"/>
        </w:trPr>
        <w:tc>
          <w:tcPr>
            <w:tcW w:w="283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D8DA3AA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RECOMENDACIÓN 19 – Telecomunicaciones para las zonas rurales y distantes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1DCC9B88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Plan operacional</w:t>
            </w:r>
          </w:p>
          <w:p w14:paraId="4D778407" w14:textId="1BCF2F6C" w:rsidR="00BB448A" w:rsidRPr="002453DF" w:rsidRDefault="00CE41CA" w:rsidP="00CE41CA">
            <w:pPr>
              <w:pStyle w:val="enumlev1"/>
              <w:rPr>
                <w:rFonts w:cstheme="minorBidi"/>
                <w:szCs w:val="24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60 actividades del Plan Operacional en apoyo de la presente Resolución.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8ED466B" w14:textId="6D7401C4" w:rsidR="00BB448A" w:rsidRPr="002453DF" w:rsidRDefault="00CE41CA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África, América, Estados Árabes, Asia y el Pacífico,</w:t>
            </w:r>
            <w:r w:rsidR="007B4B58" w:rsidRPr="002453DF">
              <w:rPr>
                <w:lang w:val="es-ES_tradnl"/>
              </w:rPr>
              <w:t xml:space="preserve"> </w:t>
            </w:r>
            <w:r w:rsidR="00BB448A" w:rsidRPr="002453DF">
              <w:rPr>
                <w:lang w:val="es-ES_tradnl"/>
              </w:rPr>
              <w:t>países de la CEI, Europa, mundo o multirregión</w:t>
            </w:r>
          </w:p>
        </w:tc>
      </w:tr>
      <w:tr w:rsidR="00BB448A" w:rsidRPr="002453DF" w14:paraId="061493B3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20CB7140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7C457E0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Proyectos: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6C0BFD" w14:textId="77777777" w:rsidR="00BB448A" w:rsidRPr="002453DF" w:rsidRDefault="00BB448A" w:rsidP="00CE41CA">
            <w:pPr>
              <w:rPr>
                <w:rFonts w:cstheme="minorBidi"/>
                <w:sz w:val="20"/>
                <w:lang w:val="es-ES_tradnl"/>
              </w:rPr>
            </w:pPr>
          </w:p>
        </w:tc>
      </w:tr>
      <w:tr w:rsidR="00BB448A" w:rsidRPr="002453DF" w14:paraId="17B9550B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5E72E2A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6D8947" w14:textId="25624E37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2ARM23001 – Proyecto piloto de redes rurales en Armenia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38664D" w14:textId="1EB57D01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Armenia</w:t>
            </w:r>
          </w:p>
        </w:tc>
      </w:tr>
      <w:tr w:rsidR="00BB448A" w:rsidRPr="00D97D52" w14:paraId="4C41DBD1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3C003BE5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06A32B" w14:textId="475F656D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2RAS22070 – Islas inteligentes en el Pacífico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AEA6CD" w14:textId="338959FE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Fiji, Papua Nueva Guinea, Vanuatu</w:t>
            </w:r>
          </w:p>
        </w:tc>
      </w:tr>
      <w:tr w:rsidR="00BB448A" w:rsidRPr="002453DF" w14:paraId="07AA25E0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159AB67F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B57EA3F" w14:textId="31C2F172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2ALB24003 – Agricultura digital y transformación rural en Albania (DART)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C25100" w14:textId="374E3BD1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Albania</w:t>
            </w:r>
          </w:p>
        </w:tc>
      </w:tr>
      <w:tr w:rsidR="00BB448A" w:rsidRPr="002453DF" w14:paraId="6EC67ADD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257BB0AF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535E6CB" w14:textId="0B6888F3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7GLO03043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Desarrollo de las telecomunicaciones rurales en los países menos adelantados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E3BC95" w14:textId="4F5992E6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Multirregión</w:t>
            </w:r>
          </w:p>
        </w:tc>
      </w:tr>
      <w:tr w:rsidR="00BB448A" w:rsidRPr="002453DF" w14:paraId="12879661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4F646F37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0B5F6E" w14:textId="3235DA15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9CHI24013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Asegurar la cobertura, el acceso y el uso de la conectividad digital en territorios rurales rezagados en Chile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DF9E" w14:textId="3A655074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Chile</w:t>
            </w:r>
          </w:p>
        </w:tc>
      </w:tr>
      <w:tr w:rsidR="00BB448A" w:rsidRPr="002453DF" w14:paraId="1985DF26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76A0C2E1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61220F" w14:textId="68EF61EC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6457B6" w14:textId="5BCC563E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Colombia</w:t>
            </w:r>
          </w:p>
        </w:tc>
      </w:tr>
      <w:tr w:rsidR="00BB448A" w:rsidRPr="002453DF" w14:paraId="1DE97B6D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3FCE7C5D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85C12B" w14:textId="7E359704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9PNG20003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Apoyo a la iniciativa empresarial, la inversión y el comercio rurales en Papua Nueva Guinea (STREIT PNG)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50701A" w14:textId="49157C23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Papua Nueva Guinea</w:t>
            </w:r>
          </w:p>
        </w:tc>
      </w:tr>
      <w:tr w:rsidR="00BB448A" w:rsidRPr="00D97D52" w14:paraId="12632247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2130C051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EB459" w14:textId="7C0438EA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9RAS22071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Promover los ODS mejorando los medios de subsistencia y la resiliencia a través de la diversificación económica y la transformación digital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99AC3" w14:textId="58482EF8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Fiji, Islas Salomón, Tonga, Tuvalu, Vanuatu</w:t>
            </w:r>
          </w:p>
        </w:tc>
      </w:tr>
      <w:tr w:rsidR="00BB448A" w:rsidRPr="00D97D52" w14:paraId="30524B25" w14:textId="77777777" w:rsidTr="002A7EB1">
        <w:trPr>
          <w:trHeight w:val="300"/>
        </w:trPr>
        <w:tc>
          <w:tcPr>
            <w:tcW w:w="28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26C5F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RECOMENDACIÓN 20 – Iniciativas de política y reglamentación para el desarrollo de las telecomunicaciones/ TIC/banda ancha en zonas rurales y distantes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A84D20B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Plan operacional</w:t>
            </w:r>
          </w:p>
          <w:p w14:paraId="047AD6E1" w14:textId="153D41A8" w:rsidR="00BB448A" w:rsidRPr="002453DF" w:rsidRDefault="00CE41CA" w:rsidP="00CE41CA">
            <w:pPr>
              <w:pStyle w:val="enumlev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19 actividades del Plan Operacional en apoyo de la presente Resolución.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BEDE40B" w14:textId="643EBB48" w:rsidR="00BB448A" w:rsidRPr="002453DF" w:rsidRDefault="00CE41CA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América, Estados Árabes, Asia y el Pacífico, países de la CEI, Europa, Mundo o Multirregional</w:t>
            </w:r>
          </w:p>
        </w:tc>
      </w:tr>
      <w:tr w:rsidR="00BB448A" w:rsidRPr="002453DF" w14:paraId="2824439B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6019996A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11F629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Proyectos: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C15B742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4DDBED76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124268FA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8C2063B" w14:textId="43438526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2RAS22068 – Mejora de la infraestructura de TIC resiliente en Asia y el Pacífico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75BCE1" w14:textId="4FC68D86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Asia y Pacífico</w:t>
            </w:r>
          </w:p>
        </w:tc>
      </w:tr>
      <w:tr w:rsidR="00BB448A" w:rsidRPr="00D97D52" w14:paraId="00AD1AC2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0931AD06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1C77AE6" w14:textId="479B922B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2RER21029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Monitoreo de los desechos de equipo eléctricos y electrónicos a nivel regional para los Balcanes occidentales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C29A7A" w14:textId="5FBC2439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Albania, Bosnia y Herzegovina, Montenegro, Macedonia del Norte, Serbia</w:t>
            </w:r>
          </w:p>
        </w:tc>
      </w:tr>
      <w:tr w:rsidR="00BB448A" w:rsidRPr="002453DF" w14:paraId="0EADD809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0BE82F4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569EC50" w14:textId="364348A6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2RLA21021 – Inclusión digital de los jóvenes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9BAFA3" w14:textId="014CDBDA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Argentina, Bolivia, Paraguay</w:t>
            </w:r>
          </w:p>
        </w:tc>
      </w:tr>
      <w:tr w:rsidR="00BB448A" w:rsidRPr="00D97D52" w14:paraId="74C83F29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3E458040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B55ECD2" w14:textId="448A843B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7RAF21102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Comparación de las TIC en África Central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6AF865" w14:textId="7C9AF529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Angola, Burundi, Camerún, Chad, Congo, Gabón, Guinea Ecuatorial, República Centroafricana, República </w:t>
            </w:r>
            <w:r w:rsidR="00BB448A" w:rsidRPr="002453DF">
              <w:rPr>
                <w:lang w:val="es-ES_tradnl"/>
              </w:rPr>
              <w:lastRenderedPageBreak/>
              <w:t>Democrática del Congo, (República de) Rwanda, Santo Tomé y Príncipe</w:t>
            </w:r>
          </w:p>
        </w:tc>
      </w:tr>
      <w:tr w:rsidR="00BB448A" w:rsidRPr="002453DF" w14:paraId="36B4E494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412C0D7E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20E6F84" w14:textId="6547E65B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9CHI24013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Asegurar la cobertura, el acceso y el uso de la conectividad digital en territorios rurales rezagados en Chile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D90581" w14:textId="3BFD5905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Chile</w:t>
            </w:r>
          </w:p>
        </w:tc>
      </w:tr>
      <w:tr w:rsidR="00BB448A" w:rsidRPr="002453DF" w14:paraId="6E09F112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54B1DCE1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67378C8" w14:textId="74977F1C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9COL19040 – Asistencia técnica para validar, planificar y ejecutar la atribución de permisos de uso del espectro IMT y el uso de mejores prácticas para incrementar la penetración de Internet en Colombia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ED70B7" w14:textId="541EC877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Colombia</w:t>
            </w:r>
          </w:p>
        </w:tc>
      </w:tr>
      <w:tr w:rsidR="00BB448A" w:rsidRPr="002453DF" w14:paraId="4BD681D0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0E724284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06E88E9" w14:textId="18779436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9COL24042 – Actualización del GPCAE (Plan General de Cese de las Emisiones Analógicas) y buenas prácticas en materia de acceso y servicio universal de TV de Colombia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872D02" w14:textId="31F1F235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Colombia</w:t>
            </w:r>
          </w:p>
        </w:tc>
      </w:tr>
      <w:tr w:rsidR="00BB448A" w:rsidRPr="00D97D52" w14:paraId="7141E804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7F3EEB77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BDC2B71" w14:textId="09427E28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9GLO21116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UIT y FCDO – Promover una política y una reglamentación propicias (PMA)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7B6797" w14:textId="455A3D64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Brasil, Indonesia, Kenya, Nigeria, Sudáfrica.</w:t>
            </w:r>
          </w:p>
        </w:tc>
      </w:tr>
      <w:tr w:rsidR="00BB448A" w:rsidRPr="002453DF" w14:paraId="158BF15A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086ECB55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D7B2252" w14:textId="7A1BB279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9HON23023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Propuesta de actualización normativa y regulatoria en materia de telecomunicaciones en la República de Honduras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E05E3C" w14:textId="3671C333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Honduras</w:t>
            </w:r>
          </w:p>
        </w:tc>
      </w:tr>
      <w:tr w:rsidR="00BB448A" w:rsidRPr="002453DF" w14:paraId="1980FD42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34B6BD19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18132C9" w14:textId="22D4FAEA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9PAR24003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Asistencia Técnica a la Comisión Nacional de Telecomunicaciones del Paraguay en materia de reglamentación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862688" w14:textId="47522C14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Paraguay</w:t>
            </w:r>
          </w:p>
        </w:tc>
      </w:tr>
      <w:tr w:rsidR="00BB448A" w:rsidRPr="00D97D52" w14:paraId="683E9917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04809C41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4F723D5" w14:textId="09C1C4C9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9RAS22071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Promover los ODS mejorando los medios de subsistencia y la resiliencia a través de la diversificación económica y la transformación digital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268164" w14:textId="69A70405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Fiji, Islas Salomón, Tonga, Tuvalu, Vanuatu</w:t>
            </w:r>
          </w:p>
        </w:tc>
      </w:tr>
      <w:tr w:rsidR="00BB448A" w:rsidRPr="002453DF" w14:paraId="54A741D8" w14:textId="77777777" w:rsidTr="002A7EB1">
        <w:trPr>
          <w:trHeight w:val="300"/>
        </w:trPr>
        <w:tc>
          <w:tcPr>
            <w:tcW w:w="283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4483F74C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RECOMENDACIÓN 21 – TIC y cambio climático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15B306B0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Plan operacional</w:t>
            </w:r>
          </w:p>
          <w:p w14:paraId="10144CE1" w14:textId="53489C50" w:rsidR="00BB448A" w:rsidRPr="002453DF" w:rsidRDefault="00CE41CA" w:rsidP="00CE41CA">
            <w:pPr>
              <w:pStyle w:val="enumlev1"/>
              <w:rPr>
                <w:rFonts w:cstheme="minorBidi"/>
                <w:szCs w:val="24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5 actividades del Plan Operacional en apoyo de la presente Resolución.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232745F" w14:textId="7A16AF1B" w:rsidR="00BB448A" w:rsidRPr="002453DF" w:rsidRDefault="00CE41CA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África, América, Estados Árabes </w:t>
            </w:r>
          </w:p>
        </w:tc>
      </w:tr>
      <w:tr w:rsidR="00BB448A" w:rsidRPr="002453DF" w14:paraId="04694914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2F95D370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1DD2C9B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Proyectos: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0503A3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78062ACE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562534F8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C6DEA7A" w14:textId="5DD6D140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2GLO18094 – Mejora de los planes nacionales de telecomunicaciones de emergencia y coordinación para salvar vidas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C94919" w14:textId="192C6123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Multirregión</w:t>
            </w:r>
          </w:p>
        </w:tc>
      </w:tr>
      <w:tr w:rsidR="00BB448A" w:rsidRPr="002453DF" w14:paraId="377A379E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1FA5222A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1C6C84" w14:textId="15265C12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2RAS22068 – Mejora de la infraestructura de TIC resiliente en Asia y el Pacífico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7BD3D3" w14:textId="476C19F3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Asia y Pacífico</w:t>
            </w:r>
          </w:p>
        </w:tc>
      </w:tr>
      <w:tr w:rsidR="00BB448A" w:rsidRPr="002453DF" w14:paraId="62C29B61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66B48CCD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8A7D99" w14:textId="7BA6CD84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9GLO24148 – Promoción de la acción digital ecológica hacia un sector digital de cero emisiones netas en Filipinas y Tanzanía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012A5A" w14:textId="37EAD7F8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Filipinas, Tanzanía</w:t>
            </w:r>
          </w:p>
        </w:tc>
      </w:tr>
      <w:tr w:rsidR="00BB448A" w:rsidRPr="002453DF" w14:paraId="3611ED91" w14:textId="77777777" w:rsidTr="002A7EB1">
        <w:trPr>
          <w:trHeight w:val="62"/>
        </w:trPr>
        <w:tc>
          <w:tcPr>
            <w:tcW w:w="2836" w:type="dxa"/>
            <w:vMerge/>
            <w:noWrap/>
            <w:vAlign w:val="center"/>
          </w:tcPr>
          <w:p w14:paraId="5ECFCC87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4E62D49" w14:textId="17F16942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9GLO23126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Un proyecto para el desarrollo y aplicación de una política y una reglamentación en materia de residuos electrónicos en pro de la economía circular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6425FB" w14:textId="13A83AF7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Zambia</w:t>
            </w:r>
          </w:p>
        </w:tc>
      </w:tr>
      <w:tr w:rsidR="00BB448A" w:rsidRPr="002453DF" w14:paraId="7AD7B71A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</w:tcPr>
          <w:p w14:paraId="68D3B65B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D07A35E" w14:textId="4BF2AC41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7RAS24075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Creación de una economía circular para los productos electrónicos y eléctricos en Tailandia y Mongolia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130C9D" w14:textId="00ECB353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Mongolia, Tailandia</w:t>
            </w:r>
          </w:p>
        </w:tc>
      </w:tr>
      <w:tr w:rsidR="00BB448A" w:rsidRPr="00D97D52" w14:paraId="3359440D" w14:textId="77777777" w:rsidTr="002A7EB1">
        <w:trPr>
          <w:trHeight w:val="300"/>
        </w:trPr>
        <w:tc>
          <w:tcPr>
            <w:tcW w:w="2836" w:type="dxa"/>
            <w:vMerge/>
            <w:noWrap/>
            <w:vAlign w:val="center"/>
            <w:hideMark/>
          </w:tcPr>
          <w:p w14:paraId="40985901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B5F3E" w14:textId="307C6128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9RLA21019 </w:t>
            </w:r>
            <w:r w:rsidRPr="002453DF">
              <w:rPr>
                <w:lang w:val="es-ES_tradnl"/>
              </w:rPr>
              <w:t>–</w:t>
            </w:r>
            <w:r w:rsidR="00BB448A" w:rsidRPr="002453DF">
              <w:rPr>
                <w:lang w:val="es-ES_tradnl"/>
              </w:rPr>
              <w:t xml:space="preserve"> Conjunto de herramientas Smart Seas (SST) para la resiliencia ante en caso de desastres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1AC3B" w14:textId="2EA812F9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Barbados, Granada, San Vicente y las Granadinas, Trinidad y Tabago</w:t>
            </w:r>
          </w:p>
        </w:tc>
      </w:tr>
      <w:tr w:rsidR="00BB448A" w:rsidRPr="00D97D52" w14:paraId="212DA240" w14:textId="77777777" w:rsidTr="002A7EB1">
        <w:trPr>
          <w:trHeight w:val="300"/>
        </w:trPr>
        <w:tc>
          <w:tcPr>
            <w:tcW w:w="28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9480DE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RECOMENDACIÓN 22 – Reducción de la brecha de normalización en asociación con los Grupos Regionales de las Comisiones de Estudio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16206578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Plan operacional</w:t>
            </w:r>
          </w:p>
          <w:p w14:paraId="73E17580" w14:textId="2FFE8BC6" w:rsidR="00BB448A" w:rsidRPr="002453DF" w:rsidRDefault="00CE41CA" w:rsidP="00CE41CA">
            <w:pPr>
              <w:pStyle w:val="enumlev1"/>
              <w:rPr>
                <w:rFonts w:cstheme="minorBidi"/>
                <w:szCs w:val="24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En el ciclo 2023-2025 se aplicaron, o están en curso de aplicación, un total de 3 actividades del Plan Operacional en apoyo de la presente Resolución.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410A1B" w14:textId="3649EEE2" w:rsidR="00BB448A" w:rsidRPr="002453DF" w:rsidRDefault="00CE41CA" w:rsidP="00441E62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spacing w:before="480"/>
              <w:ind w:left="391" w:hanging="391"/>
              <w:rPr>
                <w:rFonts w:cstheme="minorBid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 xml:space="preserve">Países de la CEI, Europa </w:t>
            </w:r>
          </w:p>
        </w:tc>
      </w:tr>
      <w:tr w:rsidR="00BB448A" w:rsidRPr="002453DF" w14:paraId="177CDF5D" w14:textId="77777777" w:rsidTr="002A7EB1">
        <w:trPr>
          <w:trHeight w:val="300"/>
        </w:trPr>
        <w:tc>
          <w:tcPr>
            <w:tcW w:w="2836" w:type="dxa"/>
            <w:vMerge/>
            <w:noWrap/>
          </w:tcPr>
          <w:p w14:paraId="6EB62F37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E3E3323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Proyectos: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33C9DC2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/>
              </w:rPr>
            </w:pPr>
          </w:p>
        </w:tc>
      </w:tr>
      <w:tr w:rsidR="00BB448A" w:rsidRPr="002453DF" w14:paraId="6895ADC9" w14:textId="77777777" w:rsidTr="002A7EB1">
        <w:trPr>
          <w:trHeight w:val="300"/>
        </w:trPr>
        <w:tc>
          <w:tcPr>
            <w:tcW w:w="2836" w:type="dxa"/>
            <w:vMerge/>
            <w:noWrap/>
            <w:hideMark/>
          </w:tcPr>
          <w:p w14:paraId="2C91BBFE" w14:textId="77777777" w:rsidR="00BB448A" w:rsidRPr="002453DF" w:rsidRDefault="00BB448A" w:rsidP="00CE41CA">
            <w:pPr>
              <w:rPr>
                <w:rFonts w:cstheme="minorHAnsi"/>
                <w:sz w:val="20"/>
                <w:lang w:val="es-ES_tradnl" w:eastAsia="en-GB"/>
              </w:rPr>
            </w:pPr>
          </w:p>
        </w:tc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DE5C481" w14:textId="5344E500" w:rsidR="00BB448A" w:rsidRPr="002453DF" w:rsidRDefault="00CE41CA" w:rsidP="00CE41CA">
            <w:pPr>
              <w:pStyle w:val="enumlev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9RAS24077 – Fortalecimiento de la participación de Asia y el Pacífico en las Conferencias de la UIT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B082C6" w14:textId="4D5E26AD" w:rsidR="00BB448A" w:rsidRPr="002453DF" w:rsidRDefault="00CE41CA" w:rsidP="00CE41CA">
            <w:pPr>
              <w:tabs>
                <w:tab w:val="clear" w:pos="1134"/>
                <w:tab w:val="clear" w:pos="1871"/>
                <w:tab w:val="clear" w:pos="2268"/>
                <w:tab w:val="left" w:pos="391"/>
              </w:tabs>
              <w:ind w:left="391" w:hanging="391"/>
              <w:rPr>
                <w:rFonts w:cstheme="minorHAnsi"/>
                <w:sz w:val="20"/>
                <w:lang w:val="es-ES_tradnl"/>
              </w:rPr>
            </w:pPr>
            <w:r w:rsidRPr="002453DF">
              <w:rPr>
                <w:lang w:val="es-ES_tradnl"/>
              </w:rPr>
              <w:t>–</w:t>
            </w:r>
            <w:r w:rsidRPr="002453DF">
              <w:rPr>
                <w:lang w:val="es-ES_tradnl"/>
              </w:rPr>
              <w:tab/>
            </w:r>
            <w:r w:rsidR="00BB448A" w:rsidRPr="002453DF">
              <w:rPr>
                <w:lang w:val="es-ES_tradnl"/>
              </w:rPr>
              <w:t>Asia y Pacífico</w:t>
            </w:r>
          </w:p>
        </w:tc>
      </w:tr>
    </w:tbl>
    <w:p w14:paraId="5953C213" w14:textId="77777777" w:rsidR="00CE41CA" w:rsidRPr="002453DF" w:rsidRDefault="00CE41CA">
      <w:pPr>
        <w:jc w:val="center"/>
        <w:rPr>
          <w:lang w:val="es-ES_tradnl"/>
        </w:rPr>
      </w:pPr>
      <w:r w:rsidRPr="002453DF">
        <w:rPr>
          <w:lang w:val="es-ES_tradnl"/>
        </w:rPr>
        <w:t>______________</w:t>
      </w:r>
    </w:p>
    <w:sectPr w:rsidR="00CE41CA" w:rsidRPr="002453DF" w:rsidSect="00F64486">
      <w:headerReference w:type="default" r:id="rId29"/>
      <w:headerReference w:type="first" r:id="rId30"/>
      <w:pgSz w:w="16840" w:h="11907" w:orient="landscape" w:code="9"/>
      <w:pgMar w:top="1134" w:right="1418" w:bottom="1134" w:left="1418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77B7" w14:textId="77777777" w:rsidR="000970EB" w:rsidRDefault="000970EB">
      <w:r>
        <w:separator/>
      </w:r>
    </w:p>
  </w:endnote>
  <w:endnote w:type="continuationSeparator" w:id="0">
    <w:p w14:paraId="55D923EA" w14:textId="77777777" w:rsidR="000970EB" w:rsidRDefault="0009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F89F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421BAA9" w14:textId="33635165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70CE0">
      <w:rPr>
        <w:noProof/>
        <w:lang w:val="en-US"/>
      </w:rPr>
      <w:t>P:\TRAD\S\ITU-D\CONF-D\WTDC17\DIV\413949 LIN S.docx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97D52">
      <w:rPr>
        <w:noProof/>
      </w:rPr>
      <w:t>24.10.25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70CE0">
      <w:rPr>
        <w:noProof/>
      </w:rPr>
      <w:t>09.03.17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A352" w14:textId="77777777" w:rsidR="000970EB" w:rsidRDefault="000970EB">
      <w:r>
        <w:rPr>
          <w:b/>
        </w:rPr>
        <w:t>_______________</w:t>
      </w:r>
    </w:p>
  </w:footnote>
  <w:footnote w:type="continuationSeparator" w:id="0">
    <w:p w14:paraId="327B2F06" w14:textId="77777777" w:rsidR="000970EB" w:rsidRDefault="000970EB">
      <w:r>
        <w:continuationSeparator/>
      </w:r>
    </w:p>
  </w:footnote>
  <w:footnote w:id="1">
    <w:p w14:paraId="4501C2DB" w14:textId="77777777" w:rsidR="00713834" w:rsidRPr="00AF08AC" w:rsidRDefault="00713834" w:rsidP="00713834">
      <w:pPr>
        <w:pStyle w:val="FootnoteText"/>
        <w:spacing w:before="0"/>
        <w:rPr>
          <w:i/>
          <w:iCs/>
          <w:sz w:val="20"/>
          <w:lang w:val="es-ES"/>
        </w:rPr>
      </w:pPr>
      <w:r w:rsidRPr="00282E56">
        <w:rPr>
          <w:rStyle w:val="FootnoteReference"/>
          <w:i/>
          <w:iCs/>
          <w:sz w:val="20"/>
          <w:lang w:val="es-ES"/>
        </w:rPr>
        <w:footnoteRef/>
      </w:r>
      <w:r>
        <w:rPr>
          <w:lang w:val="es-ES"/>
        </w:rPr>
        <w:t xml:space="preserve"> </w:t>
      </w:r>
      <w:r>
        <w:rPr>
          <w:i/>
          <w:iCs/>
          <w:lang w:val="es-ES"/>
        </w:rPr>
        <w:t>La información contenida en este documento incluye datos hasta el 31 de agosto de 2025.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No se incluyen proyectos nuevos firmados después de esa fecha.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El contenido de este informe se ha elaborado a partir de un extracto de la información disponible en las bases de datos de la UIT, con modificaciones efectuadas por el personal pertinente de la BDT.</w:t>
      </w:r>
    </w:p>
  </w:footnote>
  <w:footnote w:id="2">
    <w:p w14:paraId="6F9D3282" w14:textId="394A2942" w:rsidR="00713834" w:rsidRPr="00AF08AC" w:rsidRDefault="00713834" w:rsidP="00713834">
      <w:pPr>
        <w:pStyle w:val="FootnoteText"/>
        <w:spacing w:before="0"/>
        <w:rPr>
          <w:rFonts w:cstheme="minorHAnsi"/>
          <w:i/>
          <w:iCs/>
          <w:sz w:val="20"/>
          <w:lang w:val="es-ES"/>
        </w:rPr>
      </w:pPr>
      <w:r w:rsidRPr="00282E56">
        <w:rPr>
          <w:rStyle w:val="FootnoteReference"/>
          <w:rFonts w:cstheme="minorHAnsi"/>
          <w:i/>
          <w:iCs/>
          <w:sz w:val="20"/>
          <w:lang w:val="es-ES"/>
        </w:rPr>
        <w:footnoteRef/>
      </w:r>
      <w:r>
        <w:rPr>
          <w:lang w:val="es-ES"/>
        </w:rPr>
        <w:t xml:space="preserve"> </w:t>
      </w:r>
      <w:r>
        <w:rPr>
          <w:i/>
          <w:iCs/>
          <w:lang w:val="es-ES"/>
        </w:rPr>
        <w:t xml:space="preserve">Disponible en </w:t>
      </w:r>
      <w:hyperlink r:id="rId1" w:history="1">
        <w:r w:rsidRPr="001112BB">
          <w:rPr>
            <w:rStyle w:val="Hyperlink"/>
            <w:i/>
            <w:iCs/>
            <w:lang w:val="es-ES"/>
          </w:rPr>
          <w:t>https://www.itu.int/itu-d/sites/projects/home/projects/</w:t>
        </w:r>
      </w:hyperlink>
      <w:r>
        <w:rPr>
          <w:i/>
          <w:iCs/>
          <w:lang w:val="es-ES"/>
        </w:rPr>
        <w:t>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 xml:space="preserve">Puede consultarse información específica sobre cada proyecto en </w:t>
      </w:r>
      <w:hyperlink r:id="rId2" w:history="1">
        <w:r w:rsidRPr="001112BB">
          <w:rPr>
            <w:rStyle w:val="Hyperlink"/>
            <w:i/>
            <w:iCs/>
            <w:lang w:val="es-ES"/>
          </w:rPr>
          <w:t>https://www.itu.int/en/ITU-D/Projects/Pages/Portfolio.aspx</w:t>
        </w:r>
      </w:hyperlink>
      <w:r>
        <w:rPr>
          <w:i/>
          <w:iCs/>
          <w:lang w:val="es-ES"/>
        </w:rPr>
        <w:t>.</w:t>
      </w:r>
      <w:hyperlink r:id="rId3" w:history="1"/>
      <w:hyperlink r:id="rId4" w:history="1"/>
    </w:p>
  </w:footnote>
  <w:footnote w:id="3">
    <w:p w14:paraId="7CA79517" w14:textId="5511A539" w:rsidR="00713834" w:rsidRPr="00AF08AC" w:rsidRDefault="00713834" w:rsidP="00713834">
      <w:pPr>
        <w:pStyle w:val="FootnoteText"/>
        <w:spacing w:before="0"/>
        <w:rPr>
          <w:rFonts w:cstheme="minorHAnsi"/>
          <w:i/>
          <w:iCs/>
          <w:sz w:val="20"/>
          <w:lang w:val="es-ES"/>
        </w:rPr>
      </w:pPr>
      <w:r w:rsidRPr="00282E56">
        <w:rPr>
          <w:rStyle w:val="FootnoteReference"/>
          <w:rFonts w:cstheme="minorHAnsi"/>
          <w:i/>
          <w:iCs/>
          <w:sz w:val="20"/>
          <w:lang w:val="es-ES"/>
        </w:rPr>
        <w:footnoteRef/>
      </w:r>
      <w:r>
        <w:rPr>
          <w:lang w:val="es-ES"/>
        </w:rPr>
        <w:t xml:space="preserve"> </w:t>
      </w:r>
      <w:r>
        <w:rPr>
          <w:i/>
          <w:iCs/>
          <w:lang w:val="es-ES"/>
        </w:rPr>
        <w:t xml:space="preserve">Disponible en </w:t>
      </w:r>
      <w:hyperlink r:id="rId5" w:history="1">
        <w:r w:rsidRPr="001112BB">
          <w:rPr>
            <w:rStyle w:val="Hyperlink"/>
            <w:i/>
            <w:iCs/>
            <w:lang w:val="es-ES"/>
          </w:rPr>
          <w:t>https://www.itu.int/en/ITU-D/Projects/Pages/reports/default.aspx</w:t>
        </w:r>
      </w:hyperlink>
      <w:r>
        <w:rPr>
          <w:i/>
          <w:iCs/>
          <w:lang w:val="es-ES"/>
        </w:rPr>
        <w:t xml:space="preserve"> (se necesita cuenta TIES)</w:t>
      </w:r>
      <w:hyperlink r:id="rId6" w:history="1"/>
    </w:p>
  </w:footnote>
  <w:footnote w:id="4">
    <w:p w14:paraId="5138D947" w14:textId="77777777" w:rsidR="00BB448A" w:rsidRPr="00AF08AC" w:rsidRDefault="00BB448A" w:rsidP="00BB448A">
      <w:pPr>
        <w:pStyle w:val="FootnoteText"/>
        <w:spacing w:before="0"/>
        <w:rPr>
          <w:sz w:val="20"/>
          <w:lang w:val="es-ES"/>
        </w:rPr>
      </w:pPr>
      <w:r w:rsidRPr="00282E56">
        <w:rPr>
          <w:rStyle w:val="FootnoteReference"/>
          <w:sz w:val="20"/>
          <w:lang w:val="es-ES"/>
        </w:rPr>
        <w:footnoteRef/>
      </w:r>
      <w:r>
        <w:rPr>
          <w:lang w:val="es-ES"/>
        </w:rPr>
        <w:t xml:space="preserve"> Las actividades del Plan Operacional emprendidas anualmente, por ejemplo, las plataformas de encuentro, se han reflejado sistemáticamente en el presente informe para cada año del ciclo.</w:t>
      </w:r>
    </w:p>
  </w:footnote>
  <w:footnote w:id="5">
    <w:p w14:paraId="0CF449CB" w14:textId="77777777" w:rsidR="00BB448A" w:rsidRPr="00AF08AC" w:rsidRDefault="00BB448A" w:rsidP="00BB448A">
      <w:pPr>
        <w:pStyle w:val="FootnoteText"/>
        <w:spacing w:before="0"/>
        <w:rPr>
          <w:sz w:val="20"/>
          <w:lang w:val="es-ES"/>
        </w:rPr>
      </w:pPr>
      <w:r w:rsidRPr="00282E56">
        <w:rPr>
          <w:rStyle w:val="FootnoteReference"/>
          <w:sz w:val="20"/>
          <w:lang w:val="es-ES"/>
        </w:rPr>
        <w:footnoteRef/>
      </w:r>
      <w:r>
        <w:rPr>
          <w:lang w:val="es-ES"/>
        </w:rPr>
        <w:t xml:space="preserve"> Una actividad del Plan Operacional puede contribuir a múltiples Resoluciones y/o Recomendaciones.</w:t>
      </w:r>
    </w:p>
  </w:footnote>
  <w:footnote w:id="6">
    <w:p w14:paraId="12BFB1C9" w14:textId="77777777" w:rsidR="00BB448A" w:rsidRPr="00AF08AC" w:rsidRDefault="00BB448A" w:rsidP="00BB448A">
      <w:pPr>
        <w:pStyle w:val="FootnoteText"/>
        <w:spacing w:before="0"/>
        <w:rPr>
          <w:sz w:val="20"/>
          <w:lang w:val="es-ES"/>
        </w:rPr>
      </w:pPr>
      <w:r w:rsidRPr="3CB63489">
        <w:rPr>
          <w:rStyle w:val="FootnoteReference"/>
          <w:sz w:val="20"/>
          <w:lang w:val="es-ES"/>
        </w:rPr>
        <w:footnoteRef/>
      </w:r>
      <w:r>
        <w:rPr>
          <w:lang w:val="es-ES"/>
        </w:rPr>
        <w:t xml:space="preserve"> Desarrollo del Plan Nacional de Telecomunicaciones de Emergencia (PNTE) y apoyo técnico para la conectividad de emergencia. Conocimientos técnicos para los debates sobre gestión del espectro, Cuadro Nacional de Atribución de Frecuencias (CNAF) de Palestina revisado y apoyo reglamentario prestado mediante análisis de mercado, elaboración de modelos de costes y desarrollo de un Marco Nacional de Numeración.</w:t>
      </w:r>
    </w:p>
  </w:footnote>
  <w:footnote w:id="7">
    <w:p w14:paraId="5F1438F8" w14:textId="6C25359E" w:rsidR="00BB448A" w:rsidRPr="00AF08AC" w:rsidRDefault="00BB448A" w:rsidP="00BB448A">
      <w:pPr>
        <w:pStyle w:val="FootnoteText"/>
        <w:spacing w:before="0"/>
        <w:rPr>
          <w:sz w:val="20"/>
          <w:lang w:val="es-ES"/>
        </w:rPr>
      </w:pPr>
      <w:r w:rsidRPr="00282E56">
        <w:rPr>
          <w:rStyle w:val="FootnoteReference"/>
          <w:sz w:val="20"/>
          <w:lang w:val="es-ES"/>
        </w:rPr>
        <w:footnoteRef/>
      </w:r>
      <w:r>
        <w:rPr>
          <w:lang w:val="es-ES"/>
        </w:rPr>
        <w:t xml:space="preserve"> Véase el Documento </w:t>
      </w:r>
      <w:hyperlink r:id="rId7" w:history="1">
        <w:r w:rsidRPr="00B73E49">
          <w:rPr>
            <w:rStyle w:val="Hyperlink"/>
            <w:lang w:val="es-ES"/>
          </w:rPr>
          <w:t>TDAG-25/2</w:t>
        </w:r>
      </w:hyperlink>
      <w:r>
        <w:rPr>
          <w:lang w:val="es-ES"/>
        </w:rPr>
        <w:t>. El apoyo de la BDT a la Unión Africana de Telecomunicaciones se centró en el fortalecimiento de la colaboración y la creación de capacidades para el sector africano de las TIC. Formación conjunta sobre CNAF en Etiopía y Seminario Regional de Radiocomunicaciones (RRS-25 África) en Djibouti, destinada a armonizar los marcos nacionales con las normas internacionales. Seminario y capacitación sobre EW4ALL. Apoyó el desarrollo de marcos de asociación anuales y promovió la colaboración con otros organismos de las Naciones Unidas y organizaciones regionales para avanzar en la transformación digital y la armonización reglamentaria de África.</w:t>
      </w:r>
      <w:hyperlink r:id="rId8" w:history="1"/>
    </w:p>
  </w:footnote>
  <w:footnote w:id="8">
    <w:p w14:paraId="25DA70D7" w14:textId="77777777" w:rsidR="00BB448A" w:rsidRPr="00AF08AC" w:rsidRDefault="00BB448A" w:rsidP="00BB448A">
      <w:pPr>
        <w:pStyle w:val="FootnoteText"/>
        <w:spacing w:before="0"/>
        <w:rPr>
          <w:rFonts w:cstheme="minorBidi"/>
          <w:sz w:val="20"/>
          <w:lang w:val="es-ES"/>
        </w:rPr>
      </w:pPr>
      <w:r w:rsidRPr="3CB63489">
        <w:rPr>
          <w:rStyle w:val="FootnoteReference"/>
          <w:sz w:val="20"/>
          <w:lang w:val="es-ES"/>
        </w:rPr>
        <w:footnoteRef/>
      </w:r>
      <w:r>
        <w:rPr>
          <w:lang w:val="es-ES"/>
        </w:rPr>
        <w:t xml:space="preserve"> Examen del actual PNTE del Iraq, Foro Regional de las Niñas en las TIC celebrado en 2024 y puesta en marcha de la iniciativa EW4All.</w:t>
      </w:r>
    </w:p>
  </w:footnote>
  <w:footnote w:id="9">
    <w:p w14:paraId="4827AD6A" w14:textId="77777777" w:rsidR="00BB448A" w:rsidRPr="00AF08AC" w:rsidRDefault="00BB448A" w:rsidP="00BB448A">
      <w:pPr>
        <w:pStyle w:val="FootnoteText"/>
        <w:spacing w:before="0"/>
        <w:rPr>
          <w:sz w:val="20"/>
          <w:lang w:val="es-ES"/>
        </w:rPr>
      </w:pPr>
      <w:r w:rsidRPr="00282E56">
        <w:rPr>
          <w:rStyle w:val="FootnoteReference"/>
          <w:sz w:val="20"/>
          <w:lang w:val="es-ES"/>
        </w:rPr>
        <w:footnoteRef/>
      </w:r>
      <w:r>
        <w:rPr>
          <w:lang w:val="es-ES"/>
        </w:rPr>
        <w:t xml:space="preserve"> Esta Resolución se refiere a la aplicación del Plan de Acción de Dubái, que ya se ha completado.</w:t>
      </w:r>
    </w:p>
  </w:footnote>
  <w:footnote w:id="10">
    <w:p w14:paraId="35349606" w14:textId="77777777" w:rsidR="00BB448A" w:rsidRPr="00AF08AC" w:rsidRDefault="00BB448A" w:rsidP="00BB448A">
      <w:pPr>
        <w:pStyle w:val="FootnoteText"/>
        <w:spacing w:before="0"/>
        <w:rPr>
          <w:sz w:val="20"/>
          <w:lang w:val="es-ES"/>
        </w:rPr>
      </w:pPr>
      <w:r w:rsidRPr="00282E56">
        <w:rPr>
          <w:rStyle w:val="FootnoteReference"/>
          <w:sz w:val="20"/>
          <w:lang w:val="es-ES"/>
        </w:rPr>
        <w:footnoteRef/>
      </w:r>
      <w:r>
        <w:rPr>
          <w:lang w:val="es-ES"/>
        </w:rPr>
        <w:t xml:space="preserve"> Esta Resolución se ha aplicado gracias a la colaboración entre la UIT y la Unión Africana, así como a través de la implementación de las Iniciativas Regionales AFR1 y AFR2.</w:t>
      </w:r>
    </w:p>
  </w:footnote>
  <w:footnote w:id="11">
    <w:p w14:paraId="3D6C27D7" w14:textId="77777777" w:rsidR="00BB448A" w:rsidRPr="00AF08AC" w:rsidRDefault="00BB448A" w:rsidP="00BB448A">
      <w:pPr>
        <w:spacing w:before="0"/>
        <w:rPr>
          <w:rFonts w:cstheme="minorBidi"/>
          <w:sz w:val="20"/>
          <w:lang w:val="es-ES"/>
        </w:rPr>
      </w:pPr>
      <w:r w:rsidRPr="3CB63489">
        <w:rPr>
          <w:rStyle w:val="FootnoteReference"/>
          <w:sz w:val="20"/>
          <w:lang w:val="es-ES"/>
        </w:rPr>
        <w:footnoteRef/>
      </w:r>
      <w:r>
        <w:rPr>
          <w:lang w:val="es-ES"/>
        </w:rPr>
        <w:t xml:space="preserve"> Apoyo político y reglamentario en materia de legislación de las TIC que abarca las tecnologías digitales, la ciberseguridad y el comercio electrónico; hoja de ruta de transformación digital de la estrategia nacional de TIC; CNAF; PNTE para mejorar la preparación y coordinación en caso de emergencia.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D836" w14:textId="77777777" w:rsidR="00116E51" w:rsidRPr="00D83BF5" w:rsidRDefault="00116E51" w:rsidP="00116E51">
    <w:pPr>
      <w:tabs>
        <w:tab w:val="clear" w:pos="1134"/>
        <w:tab w:val="clear" w:pos="1871"/>
        <w:tab w:val="clear" w:pos="2268"/>
        <w:tab w:val="left" w:pos="3686"/>
        <w:tab w:val="center" w:pos="8789"/>
        <w:tab w:val="right" w:pos="13608"/>
      </w:tabs>
      <w:ind w:right="1"/>
      <w:rPr>
        <w:smallCaps/>
        <w:spacing w:val="24"/>
        <w:sz w:val="22"/>
        <w:szCs w:val="22"/>
        <w:lang w:val="es-ES_tradnl"/>
      </w:rPr>
    </w:pPr>
    <w:r>
      <w:rPr>
        <w:sz w:val="22"/>
        <w:szCs w:val="22"/>
        <w:lang w:val="de-CH"/>
      </w:rPr>
      <w:tab/>
    </w:r>
    <w:r w:rsidRPr="00D02508">
      <w:rPr>
        <w:sz w:val="22"/>
        <w:szCs w:val="22"/>
        <w:lang w:val="de-CH"/>
      </w:rPr>
      <w:t>WTDC</w:t>
    </w:r>
    <w:r>
      <w:rPr>
        <w:sz w:val="22"/>
        <w:szCs w:val="22"/>
        <w:lang w:val="de-CH"/>
      </w:rPr>
      <w:t>-25</w:t>
    </w:r>
    <w:r w:rsidRPr="00D02508">
      <w:rPr>
        <w:sz w:val="22"/>
        <w:szCs w:val="22"/>
        <w:lang w:val="de-CH"/>
      </w:rPr>
      <w:t>/</w:t>
    </w:r>
    <w:r>
      <w:rPr>
        <w:sz w:val="22"/>
        <w:szCs w:val="22"/>
      </w:rPr>
      <w:t>2(Ann.2)-S</w:t>
    </w:r>
    <w:r w:rsidRPr="00FF089C">
      <w:rPr>
        <w:sz w:val="22"/>
        <w:szCs w:val="22"/>
        <w:lang w:val="es-ES_tradnl"/>
      </w:rPr>
      <w:tab/>
      <w:t>P</w:t>
    </w:r>
    <w:r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>
      <w:rPr>
        <w:sz w:val="22"/>
        <w:szCs w:val="22"/>
      </w:rPr>
      <w:t>3</w:t>
    </w:r>
    <w:r w:rsidRPr="004D495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024B" w14:textId="77777777" w:rsidR="00116E51" w:rsidRDefault="00116E51" w:rsidP="00116E51">
    <w:pPr>
      <w:pStyle w:val="Header"/>
      <w:tabs>
        <w:tab w:val="clear" w:pos="1134"/>
        <w:tab w:val="clear" w:pos="1871"/>
        <w:tab w:val="clear" w:pos="22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D111" w14:textId="77777777" w:rsidR="00116E51" w:rsidRPr="00D83BF5" w:rsidRDefault="00116E51" w:rsidP="00116E51">
    <w:pPr>
      <w:tabs>
        <w:tab w:val="clear" w:pos="1134"/>
        <w:tab w:val="clear" w:pos="1871"/>
        <w:tab w:val="clear" w:pos="2268"/>
        <w:tab w:val="center" w:pos="6663"/>
        <w:tab w:val="right" w:pos="13608"/>
      </w:tabs>
      <w:ind w:right="1"/>
      <w:rPr>
        <w:smallCaps/>
        <w:spacing w:val="24"/>
        <w:sz w:val="22"/>
        <w:szCs w:val="22"/>
        <w:lang w:val="es-ES_tradnl"/>
      </w:rPr>
    </w:pPr>
    <w:r>
      <w:rPr>
        <w:sz w:val="22"/>
        <w:szCs w:val="22"/>
        <w:lang w:val="de-CH"/>
      </w:rPr>
      <w:tab/>
    </w:r>
    <w:r w:rsidRPr="00D02508">
      <w:rPr>
        <w:sz w:val="22"/>
        <w:szCs w:val="22"/>
        <w:lang w:val="de-CH"/>
      </w:rPr>
      <w:t>WTDC</w:t>
    </w:r>
    <w:r>
      <w:rPr>
        <w:sz w:val="22"/>
        <w:szCs w:val="22"/>
        <w:lang w:val="de-CH"/>
      </w:rPr>
      <w:t>-25</w:t>
    </w:r>
    <w:r w:rsidRPr="00D02508">
      <w:rPr>
        <w:sz w:val="22"/>
        <w:szCs w:val="22"/>
        <w:lang w:val="de-CH"/>
      </w:rPr>
      <w:t>/</w:t>
    </w:r>
    <w:r>
      <w:rPr>
        <w:sz w:val="22"/>
        <w:szCs w:val="22"/>
      </w:rPr>
      <w:t>2(Ann.2)-S</w:t>
    </w:r>
    <w:r w:rsidRPr="00FF089C">
      <w:rPr>
        <w:sz w:val="22"/>
        <w:szCs w:val="22"/>
        <w:lang w:val="es-ES_tradnl"/>
      </w:rPr>
      <w:tab/>
      <w:t>P</w:t>
    </w:r>
    <w:r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>
      <w:rPr>
        <w:sz w:val="22"/>
        <w:szCs w:val="22"/>
      </w:rPr>
      <w:t>3</w:t>
    </w:r>
    <w:r w:rsidRPr="004D495C">
      <w:rPr>
        <w:sz w:val="22"/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66A7" w14:textId="75F35C8A" w:rsidR="00116E51" w:rsidRPr="00D83BF5" w:rsidRDefault="00116E51" w:rsidP="00116E51">
    <w:pPr>
      <w:tabs>
        <w:tab w:val="clear" w:pos="1134"/>
        <w:tab w:val="clear" w:pos="1871"/>
        <w:tab w:val="clear" w:pos="2268"/>
        <w:tab w:val="center" w:pos="6663"/>
        <w:tab w:val="right" w:pos="13608"/>
      </w:tabs>
      <w:ind w:right="1"/>
      <w:rPr>
        <w:smallCaps/>
        <w:spacing w:val="24"/>
        <w:sz w:val="22"/>
        <w:szCs w:val="22"/>
        <w:lang w:val="es-ES_tradnl"/>
      </w:rPr>
    </w:pPr>
    <w:r>
      <w:rPr>
        <w:sz w:val="22"/>
        <w:szCs w:val="22"/>
        <w:lang w:val="de-CH"/>
      </w:rPr>
      <w:tab/>
    </w:r>
    <w:r w:rsidRPr="00D02508">
      <w:rPr>
        <w:sz w:val="22"/>
        <w:szCs w:val="22"/>
        <w:lang w:val="de-CH"/>
      </w:rPr>
      <w:t>WTDC</w:t>
    </w:r>
    <w:r>
      <w:rPr>
        <w:sz w:val="22"/>
        <w:szCs w:val="22"/>
        <w:lang w:val="de-CH"/>
      </w:rPr>
      <w:t>-25</w:t>
    </w:r>
    <w:r w:rsidRPr="00D02508">
      <w:rPr>
        <w:sz w:val="22"/>
        <w:szCs w:val="22"/>
        <w:lang w:val="de-CH"/>
      </w:rPr>
      <w:t>/</w:t>
    </w:r>
    <w:r>
      <w:rPr>
        <w:sz w:val="22"/>
        <w:szCs w:val="22"/>
      </w:rPr>
      <w:t>2(Ann.2)-S</w:t>
    </w:r>
    <w:r w:rsidRPr="00FF089C">
      <w:rPr>
        <w:sz w:val="22"/>
        <w:szCs w:val="22"/>
        <w:lang w:val="es-ES_tradnl"/>
      </w:rPr>
      <w:tab/>
      <w:t>P</w:t>
    </w:r>
    <w:r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B570A"/>
    <w:multiLevelType w:val="hybridMultilevel"/>
    <w:tmpl w:val="AE465342"/>
    <w:lvl w:ilvl="0" w:tplc="18B6876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882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264C"/>
    <w:rsid w:val="000355FD"/>
    <w:rsid w:val="00051E39"/>
    <w:rsid w:val="00071048"/>
    <w:rsid w:val="00075C63"/>
    <w:rsid w:val="00076615"/>
    <w:rsid w:val="00077239"/>
    <w:rsid w:val="00080905"/>
    <w:rsid w:val="000822BE"/>
    <w:rsid w:val="00085BBC"/>
    <w:rsid w:val="00086491"/>
    <w:rsid w:val="00091346"/>
    <w:rsid w:val="000970EB"/>
    <w:rsid w:val="000B1248"/>
    <w:rsid w:val="000B3246"/>
    <w:rsid w:val="000F73FF"/>
    <w:rsid w:val="00101F49"/>
    <w:rsid w:val="001112BB"/>
    <w:rsid w:val="00114CF7"/>
    <w:rsid w:val="00116E51"/>
    <w:rsid w:val="00123B68"/>
    <w:rsid w:val="00126F2E"/>
    <w:rsid w:val="00135332"/>
    <w:rsid w:val="00143B37"/>
    <w:rsid w:val="001451CC"/>
    <w:rsid w:val="00146F6F"/>
    <w:rsid w:val="00147DA1"/>
    <w:rsid w:val="00152957"/>
    <w:rsid w:val="00162685"/>
    <w:rsid w:val="00187BD9"/>
    <w:rsid w:val="00190B55"/>
    <w:rsid w:val="00194CFB"/>
    <w:rsid w:val="001B2ED3"/>
    <w:rsid w:val="001B7D37"/>
    <w:rsid w:val="001C3B5F"/>
    <w:rsid w:val="001D058F"/>
    <w:rsid w:val="001D2F09"/>
    <w:rsid w:val="002009EA"/>
    <w:rsid w:val="00202CA0"/>
    <w:rsid w:val="002154A6"/>
    <w:rsid w:val="002162CD"/>
    <w:rsid w:val="002255B3"/>
    <w:rsid w:val="00236E8A"/>
    <w:rsid w:val="002453DF"/>
    <w:rsid w:val="00245A45"/>
    <w:rsid w:val="00271316"/>
    <w:rsid w:val="00296313"/>
    <w:rsid w:val="002A2717"/>
    <w:rsid w:val="002A7EB1"/>
    <w:rsid w:val="002D58BE"/>
    <w:rsid w:val="003013EE"/>
    <w:rsid w:val="003711D7"/>
    <w:rsid w:val="00371686"/>
    <w:rsid w:val="00377BD3"/>
    <w:rsid w:val="00384088"/>
    <w:rsid w:val="0038489B"/>
    <w:rsid w:val="0039169B"/>
    <w:rsid w:val="003A3E00"/>
    <w:rsid w:val="003A7F8C"/>
    <w:rsid w:val="003B532E"/>
    <w:rsid w:val="003B6F14"/>
    <w:rsid w:val="003C1CB3"/>
    <w:rsid w:val="003C548C"/>
    <w:rsid w:val="003D009F"/>
    <w:rsid w:val="003D0F8B"/>
    <w:rsid w:val="004131D4"/>
    <w:rsid w:val="0041348E"/>
    <w:rsid w:val="00437E3B"/>
    <w:rsid w:val="00441E62"/>
    <w:rsid w:val="00447308"/>
    <w:rsid w:val="004765FF"/>
    <w:rsid w:val="00492075"/>
    <w:rsid w:val="004969AD"/>
    <w:rsid w:val="004B13CB"/>
    <w:rsid w:val="004B4FDF"/>
    <w:rsid w:val="004D5D5C"/>
    <w:rsid w:val="004E0DD0"/>
    <w:rsid w:val="004E5C86"/>
    <w:rsid w:val="004F6462"/>
    <w:rsid w:val="0050139F"/>
    <w:rsid w:val="00521223"/>
    <w:rsid w:val="00524DF1"/>
    <w:rsid w:val="00531FE9"/>
    <w:rsid w:val="0055140B"/>
    <w:rsid w:val="00551F9A"/>
    <w:rsid w:val="00552F19"/>
    <w:rsid w:val="00554C4F"/>
    <w:rsid w:val="00557628"/>
    <w:rsid w:val="00561D72"/>
    <w:rsid w:val="005964AB"/>
    <w:rsid w:val="005B44F5"/>
    <w:rsid w:val="005C099A"/>
    <w:rsid w:val="005C31A5"/>
    <w:rsid w:val="005E1050"/>
    <w:rsid w:val="005E10C9"/>
    <w:rsid w:val="005E61DD"/>
    <w:rsid w:val="005E6321"/>
    <w:rsid w:val="005F189B"/>
    <w:rsid w:val="006023DF"/>
    <w:rsid w:val="00607EF3"/>
    <w:rsid w:val="00616175"/>
    <w:rsid w:val="0064322F"/>
    <w:rsid w:val="00657DE0"/>
    <w:rsid w:val="0067199F"/>
    <w:rsid w:val="00685313"/>
    <w:rsid w:val="00687B47"/>
    <w:rsid w:val="006A1EC6"/>
    <w:rsid w:val="006A3B90"/>
    <w:rsid w:val="006A6E9B"/>
    <w:rsid w:val="006B7C2A"/>
    <w:rsid w:val="006C23DA"/>
    <w:rsid w:val="006C59B9"/>
    <w:rsid w:val="006C5E3F"/>
    <w:rsid w:val="006E3D45"/>
    <w:rsid w:val="00713834"/>
    <w:rsid w:val="007149F9"/>
    <w:rsid w:val="00716D34"/>
    <w:rsid w:val="00733A30"/>
    <w:rsid w:val="00745AEE"/>
    <w:rsid w:val="007479EA"/>
    <w:rsid w:val="00750F10"/>
    <w:rsid w:val="007742CA"/>
    <w:rsid w:val="00776231"/>
    <w:rsid w:val="007A1872"/>
    <w:rsid w:val="007B4B58"/>
    <w:rsid w:val="007D06F0"/>
    <w:rsid w:val="007D45E3"/>
    <w:rsid w:val="007D5320"/>
    <w:rsid w:val="007E1CA3"/>
    <w:rsid w:val="007F735C"/>
    <w:rsid w:val="00800972"/>
    <w:rsid w:val="0080270C"/>
    <w:rsid w:val="00804475"/>
    <w:rsid w:val="00811633"/>
    <w:rsid w:val="00821CEF"/>
    <w:rsid w:val="00832828"/>
    <w:rsid w:val="0083645A"/>
    <w:rsid w:val="00836FB5"/>
    <w:rsid w:val="00840B0F"/>
    <w:rsid w:val="008631A7"/>
    <w:rsid w:val="0086376E"/>
    <w:rsid w:val="008711AE"/>
    <w:rsid w:val="00872FC8"/>
    <w:rsid w:val="008801D3"/>
    <w:rsid w:val="008845D0"/>
    <w:rsid w:val="008B43F2"/>
    <w:rsid w:val="008B61EA"/>
    <w:rsid w:val="008B6CFF"/>
    <w:rsid w:val="00910B26"/>
    <w:rsid w:val="009274B4"/>
    <w:rsid w:val="00934EA2"/>
    <w:rsid w:val="00944A5C"/>
    <w:rsid w:val="00952A66"/>
    <w:rsid w:val="009766C5"/>
    <w:rsid w:val="009C56E5"/>
    <w:rsid w:val="009D2796"/>
    <w:rsid w:val="009E5FC8"/>
    <w:rsid w:val="009E687A"/>
    <w:rsid w:val="009F568C"/>
    <w:rsid w:val="00A023EF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56AB8"/>
    <w:rsid w:val="00A56F19"/>
    <w:rsid w:val="00A62069"/>
    <w:rsid w:val="00A710E7"/>
    <w:rsid w:val="00A72661"/>
    <w:rsid w:val="00A7372E"/>
    <w:rsid w:val="00A93B85"/>
    <w:rsid w:val="00AA0B18"/>
    <w:rsid w:val="00AA14C0"/>
    <w:rsid w:val="00AA666F"/>
    <w:rsid w:val="00AB4927"/>
    <w:rsid w:val="00AB7EFA"/>
    <w:rsid w:val="00AC0AFA"/>
    <w:rsid w:val="00AC315A"/>
    <w:rsid w:val="00AF47F9"/>
    <w:rsid w:val="00B004E5"/>
    <w:rsid w:val="00B15F9D"/>
    <w:rsid w:val="00B639E9"/>
    <w:rsid w:val="00B653EC"/>
    <w:rsid w:val="00B72473"/>
    <w:rsid w:val="00B73E49"/>
    <w:rsid w:val="00B817CD"/>
    <w:rsid w:val="00B911B2"/>
    <w:rsid w:val="00B951D0"/>
    <w:rsid w:val="00BA70B7"/>
    <w:rsid w:val="00BB29C8"/>
    <w:rsid w:val="00BB3A95"/>
    <w:rsid w:val="00BB448A"/>
    <w:rsid w:val="00BC0382"/>
    <w:rsid w:val="00BE1A9F"/>
    <w:rsid w:val="00C0018F"/>
    <w:rsid w:val="00C20466"/>
    <w:rsid w:val="00C214ED"/>
    <w:rsid w:val="00C234E6"/>
    <w:rsid w:val="00C324A8"/>
    <w:rsid w:val="00C54517"/>
    <w:rsid w:val="00C64CD8"/>
    <w:rsid w:val="00C90466"/>
    <w:rsid w:val="00C97C68"/>
    <w:rsid w:val="00CA0458"/>
    <w:rsid w:val="00CA1A47"/>
    <w:rsid w:val="00CB2BB6"/>
    <w:rsid w:val="00CC247A"/>
    <w:rsid w:val="00CE41CA"/>
    <w:rsid w:val="00CE5E47"/>
    <w:rsid w:val="00CF020F"/>
    <w:rsid w:val="00CF2B5B"/>
    <w:rsid w:val="00D02508"/>
    <w:rsid w:val="00D14CE0"/>
    <w:rsid w:val="00D36333"/>
    <w:rsid w:val="00D5651D"/>
    <w:rsid w:val="00D61C5B"/>
    <w:rsid w:val="00D70CE0"/>
    <w:rsid w:val="00D74898"/>
    <w:rsid w:val="00D801ED"/>
    <w:rsid w:val="00D81E43"/>
    <w:rsid w:val="00D83BF5"/>
    <w:rsid w:val="00D90A5E"/>
    <w:rsid w:val="00D925C2"/>
    <w:rsid w:val="00D936BC"/>
    <w:rsid w:val="00D9621A"/>
    <w:rsid w:val="00D96530"/>
    <w:rsid w:val="00D96B4B"/>
    <w:rsid w:val="00D97D52"/>
    <w:rsid w:val="00DA2345"/>
    <w:rsid w:val="00DA453A"/>
    <w:rsid w:val="00DA7078"/>
    <w:rsid w:val="00DD08B4"/>
    <w:rsid w:val="00DD44AF"/>
    <w:rsid w:val="00DE2AC3"/>
    <w:rsid w:val="00DE434C"/>
    <w:rsid w:val="00DE44A1"/>
    <w:rsid w:val="00DE5692"/>
    <w:rsid w:val="00DF6F8E"/>
    <w:rsid w:val="00E03C94"/>
    <w:rsid w:val="00E07105"/>
    <w:rsid w:val="00E245CC"/>
    <w:rsid w:val="00E26226"/>
    <w:rsid w:val="00E4165C"/>
    <w:rsid w:val="00E45D05"/>
    <w:rsid w:val="00E53AD0"/>
    <w:rsid w:val="00E55816"/>
    <w:rsid w:val="00E55AEF"/>
    <w:rsid w:val="00E976C1"/>
    <w:rsid w:val="00EA12E5"/>
    <w:rsid w:val="00EC6D22"/>
    <w:rsid w:val="00F02766"/>
    <w:rsid w:val="00F04067"/>
    <w:rsid w:val="00F05BD4"/>
    <w:rsid w:val="00F071CA"/>
    <w:rsid w:val="00F10562"/>
    <w:rsid w:val="00F11A98"/>
    <w:rsid w:val="00F21A1D"/>
    <w:rsid w:val="00F2683C"/>
    <w:rsid w:val="00F55058"/>
    <w:rsid w:val="00F64486"/>
    <w:rsid w:val="00F65C19"/>
    <w:rsid w:val="00F671F6"/>
    <w:rsid w:val="00F70841"/>
    <w:rsid w:val="00F87CC0"/>
    <w:rsid w:val="00F9616C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73D2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uiPriority w:val="99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uiPriority w:val="39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1D058F"/>
    <w:pPr>
      <w:spacing w:before="120"/>
    </w:pPr>
  </w:style>
  <w:style w:type="paragraph" w:styleId="TOC3">
    <w:name w:val="toc 3"/>
    <w:basedOn w:val="TOC2"/>
    <w:uiPriority w:val="39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6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448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48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B448A"/>
  </w:style>
  <w:style w:type="character" w:customStyle="1" w:styleId="eop">
    <w:name w:val="eop"/>
    <w:basedOn w:val="DefaultParagraphFont"/>
    <w:rsid w:val="00BB448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B448A"/>
    <w:rPr>
      <w:rFonts w:asciiTheme="minorHAnsi" w:hAnsiTheme="minorHAns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B448A"/>
    <w:rPr>
      <w:rFonts w:asciiTheme="minorHAnsi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B448A"/>
    <w:rPr>
      <w:rFonts w:asciiTheme="minorHAnsi" w:hAnsiTheme="minorHAns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B448A"/>
    <w:rPr>
      <w:rFonts w:asciiTheme="minorHAnsi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B448A"/>
    <w:rPr>
      <w:rFonts w:asciiTheme="minorHAnsi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B448A"/>
    <w:rPr>
      <w:rFonts w:asciiTheme="minorHAnsi" w:hAnsiTheme="minorHAnsi"/>
      <w:b/>
      <w:sz w:val="24"/>
      <w:lang w:val="en-GB" w:eastAsia="en-US"/>
    </w:rPr>
  </w:style>
  <w:style w:type="paragraph" w:customStyle="1" w:styleId="msonormal0">
    <w:name w:val="msonormal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bb-input">
    <w:name w:val="bb-input"/>
    <w:basedOn w:val="Normal"/>
    <w:rsid w:val="00BB448A"/>
    <w:pPr>
      <w:pBdr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b-border-rbl">
    <w:name w:val="bb-border-rbl"/>
    <w:basedOn w:val="Normal"/>
    <w:rsid w:val="00BB448A"/>
    <w:pPr>
      <w:pBdr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b-border-bl">
    <w:name w:val="bb-border-bl"/>
    <w:basedOn w:val="Normal"/>
    <w:rsid w:val="00BB448A"/>
    <w:pPr>
      <w:pBdr>
        <w:left w:val="dotted" w:sz="6" w:space="0" w:color="004B96"/>
        <w:bottom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b-border-rb">
    <w:name w:val="bb-border-rb"/>
    <w:basedOn w:val="Normal"/>
    <w:rsid w:val="00BB448A"/>
    <w:pPr>
      <w:pBdr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b-border-rtbl">
    <w:name w:val="bb-border-rtbl"/>
    <w:basedOn w:val="Normal"/>
    <w:rsid w:val="00BB448A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uttondisplay">
    <w:name w:val="buttondisplay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eastAsia="en-GB"/>
    </w:rPr>
  </w:style>
  <w:style w:type="paragraph" w:customStyle="1" w:styleId="buttonsearch">
    <w:name w:val="buttonsearch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eastAsia="en-GB"/>
    </w:rPr>
  </w:style>
  <w:style w:type="paragraph" w:customStyle="1" w:styleId="buttonblue">
    <w:name w:val="button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h40px">
    <w:name w:val="button_blue_h4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200px">
    <w:name w:val="button_blue_20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8pt120px">
    <w:name w:val="button_blue_8pt_120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16"/>
      <w:szCs w:val="16"/>
      <w:lang w:eastAsia="en-GB"/>
    </w:rPr>
  </w:style>
  <w:style w:type="paragraph" w:customStyle="1" w:styleId="buttonblue8pt60px">
    <w:name w:val="button_blue_8pt_60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16"/>
      <w:szCs w:val="16"/>
      <w:lang w:eastAsia="en-GB"/>
    </w:rPr>
  </w:style>
  <w:style w:type="paragraph" w:customStyle="1" w:styleId="buttonblue10pt80px">
    <w:name w:val="button_blue_10pt_80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1px">
    <w:name w:val="button_blue_margin1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2px">
    <w:name w:val="button_blue_margin2px"/>
    <w:basedOn w:val="Normal"/>
    <w:rsid w:val="00BB448A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1pxw200pxh40px">
    <w:name w:val="button_blue_margin1px_w200px_h40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2pxw150pxh50px">
    <w:name w:val="button_blue_margin2px_w150px_h50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width300px">
    <w:name w:val="button_blue_width300px"/>
    <w:basedOn w:val="Normal"/>
    <w:rsid w:val="00BB448A"/>
    <w:pPr>
      <w:pBdr>
        <w:top w:val="single" w:sz="12" w:space="0" w:color="004B96"/>
        <w:left w:val="single" w:sz="12" w:space="0" w:color="004B96"/>
        <w:bottom w:val="single" w:sz="12" w:space="0" w:color="004B96"/>
        <w:right w:val="single" w:sz="12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1pxwidth200px">
    <w:name w:val="button_blue_margin1px_width200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2pxwidth200px">
    <w:name w:val="button_blue_margin2px_width200px"/>
    <w:basedOn w:val="Normal"/>
    <w:rsid w:val="00BB448A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70px">
    <w:name w:val="button_blue_70px"/>
    <w:basedOn w:val="Normal"/>
    <w:rsid w:val="00BB448A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12px">
    <w:name w:val="button_blue_12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buttonplusmargin1px">
    <w:name w:val="button_plus_margin1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minusmargin1px">
    <w:name w:val="button_minus_margin1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graymargin2px">
    <w:name w:val="button_gray_margin2px"/>
    <w:basedOn w:val="Normal"/>
    <w:rsid w:val="00BB448A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808080"/>
      <w:sz w:val="20"/>
      <w:lang w:eastAsia="en-GB"/>
    </w:rPr>
  </w:style>
  <w:style w:type="paragraph" w:customStyle="1" w:styleId="buttonbluecenter12px">
    <w:name w:val="button_blue_center_12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uttonblue10px">
    <w:name w:val="button_blue_1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5"/>
      <w:szCs w:val="15"/>
      <w:lang w:eastAsia="en-GB"/>
    </w:rPr>
  </w:style>
  <w:style w:type="paragraph" w:customStyle="1" w:styleId="buttonmodifywhite1px">
    <w:name w:val="button_modify_white_1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submitwhite1px">
    <w:name w:val="button_submit_white_1px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people">
    <w:name w:val="button_blue_people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link">
    <w:name w:val="button_blue_link"/>
    <w:basedOn w:val="Normal"/>
    <w:rsid w:val="00BB448A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style1">
    <w:name w:val="btn-style1"/>
    <w:basedOn w:val="Normal"/>
    <w:rsid w:val="00BB448A"/>
    <w:pPr>
      <w:pBdr>
        <w:top w:val="dashed" w:sz="6" w:space="1" w:color="004B96"/>
        <w:left w:val="dashed" w:sz="6" w:space="13" w:color="004B96"/>
        <w:bottom w:val="dashed" w:sz="6" w:space="1" w:color="004B96"/>
        <w:right w:val="dashed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6"/>
      <w:szCs w:val="26"/>
      <w:lang w:eastAsia="en-GB"/>
    </w:rPr>
  </w:style>
  <w:style w:type="paragraph" w:customStyle="1" w:styleId="btn-style2">
    <w:name w:val="btn-style2"/>
    <w:basedOn w:val="Normal"/>
    <w:rsid w:val="00BB448A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tyle2a">
    <w:name w:val="btn-style2a"/>
    <w:basedOn w:val="Normal"/>
    <w:rsid w:val="00BB448A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tyle3">
    <w:name w:val="btn-style3"/>
    <w:basedOn w:val="Normal"/>
    <w:rsid w:val="00BB448A"/>
    <w:pPr>
      <w:pBdr>
        <w:top w:val="dashed" w:sz="6" w:space="1" w:color="004B96"/>
        <w:left w:val="dashed" w:sz="6" w:space="13" w:color="004B96"/>
        <w:bottom w:val="dashed" w:sz="6" w:space="1" w:color="004B96"/>
        <w:right w:val="dashed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tyle4">
    <w:name w:val="btn-style4"/>
    <w:basedOn w:val="Normal"/>
    <w:rsid w:val="00BB448A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btn-style5">
    <w:name w:val="btn-style5"/>
    <w:basedOn w:val="Normal"/>
    <w:rsid w:val="00BB448A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style6">
    <w:name w:val="btn-style6"/>
    <w:basedOn w:val="Normal"/>
    <w:rsid w:val="00BB448A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style7">
    <w:name w:val="btn-style7"/>
    <w:basedOn w:val="Normal"/>
    <w:rsid w:val="00BB448A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style8">
    <w:name w:val="btn-style8"/>
    <w:basedOn w:val="Normal"/>
    <w:rsid w:val="00BB448A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style9">
    <w:name w:val="btn-style9"/>
    <w:basedOn w:val="Normal"/>
    <w:rsid w:val="00BB448A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style10">
    <w:name w:val="btn-style10"/>
    <w:basedOn w:val="Normal"/>
    <w:rsid w:val="00BB448A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background-blue">
    <w:name w:val="btn-background-blue"/>
    <w:basedOn w:val="Normal"/>
    <w:rsid w:val="00BB448A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approver">
    <w:name w:val="btn-approver"/>
    <w:basedOn w:val="Normal"/>
    <w:rsid w:val="00BB448A"/>
    <w:pPr>
      <w:pBdr>
        <w:top w:val="single" w:sz="6" w:space="2" w:color="004B96"/>
        <w:left w:val="single" w:sz="6" w:space="2" w:color="004B96"/>
        <w:bottom w:val="single" w:sz="6" w:space="2" w:color="004B96"/>
        <w:right w:val="single" w:sz="6" w:space="2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attach-doc">
    <w:name w:val="btn-attach-doc"/>
    <w:basedOn w:val="Normal"/>
    <w:rsid w:val="00BB448A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attach-doc-small">
    <w:name w:val="btn-attach-doc-small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calendar">
    <w:name w:val="btn-calendar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clarification">
    <w:name w:val="btn-clarification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confirm">
    <w:name w:val="btn-confirm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delete">
    <w:name w:val="btn-delete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dollar">
    <w:name w:val="btn-dollar"/>
    <w:basedOn w:val="Normal"/>
    <w:rsid w:val="00BB448A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excel">
    <w:name w:val="btn-excel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logs">
    <w:name w:val="btn-logs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modify">
    <w:name w:val="btn-modify"/>
    <w:basedOn w:val="Normal"/>
    <w:rsid w:val="00BB448A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modify-250px">
    <w:name w:val="btn-modify-250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modify-small">
    <w:name w:val="btn-modify-small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new">
    <w:name w:val="btn-new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new-large">
    <w:name w:val="btn-new-large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new-small">
    <w:name w:val="btn-new-small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newfel">
    <w:name w:val="btn-newfel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nodecision">
    <w:name w:val="btn-nodecision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partner">
    <w:name w:val="btn-partner"/>
    <w:basedOn w:val="Normal"/>
    <w:rsid w:val="00BB448A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printer">
    <w:name w:val="btn-printer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question">
    <w:name w:val="btn-question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reject">
    <w:name w:val="btn-reject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remove-doc">
    <w:name w:val="btn-remove-doc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remove-doc-small">
    <w:name w:val="btn-remove-doc-small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rr">
    <w:name w:val="btn-rr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ave">
    <w:name w:val="btn-save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elect">
    <w:name w:val="btn-select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elect-h60">
    <w:name w:val="btn-select-h60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elect-225">
    <w:name w:val="btn-select-225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services">
    <w:name w:val="btn-services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view-doc">
    <w:name w:val="btn-view-doc"/>
    <w:basedOn w:val="Normal"/>
    <w:rsid w:val="00BB448A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word">
    <w:name w:val="btn-word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workflow">
    <w:name w:val="btn-workflow"/>
    <w:basedOn w:val="Normal"/>
    <w:rsid w:val="00BB448A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table-style">
    <w:name w:val="table-style"/>
    <w:basedOn w:val="Normal"/>
    <w:rsid w:val="00BB448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tdimpllevels">
    <w:name w:val="td_impl_levels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tdcontentsblue">
    <w:name w:val="td_contents_blue"/>
    <w:basedOn w:val="Normal"/>
    <w:rsid w:val="00BB448A"/>
    <w:pPr>
      <w:shd w:val="clear" w:color="auto" w:fill="D7DCF7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szCs w:val="24"/>
      <w:lang w:eastAsia="en-GB"/>
    </w:rPr>
  </w:style>
  <w:style w:type="paragraph" w:customStyle="1" w:styleId="tddashedblue">
    <w:name w:val="td_dashed_blue"/>
    <w:basedOn w:val="Normal"/>
    <w:rsid w:val="00BB448A"/>
    <w:pPr>
      <w:pBdr>
        <w:top w:val="dashed" w:sz="6" w:space="0" w:color="004B96"/>
        <w:left w:val="dashed" w:sz="6" w:space="0" w:color="004B96"/>
        <w:bottom w:val="dashed" w:sz="6" w:space="0" w:color="004B96"/>
        <w:right w:val="dash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bottom2px">
    <w:name w:val="td_bottom_2px"/>
    <w:basedOn w:val="Normal"/>
    <w:rsid w:val="00BB448A"/>
    <w:pPr>
      <w:pBdr>
        <w:top w:val="dotted" w:sz="6" w:space="4" w:color="004B96"/>
        <w:left w:val="dotted" w:sz="6" w:space="4" w:color="004B96"/>
        <w:bottom w:val="single" w:sz="12" w:space="4" w:color="004B96"/>
        <w:right w:val="dotted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18"/>
      <w:szCs w:val="18"/>
      <w:lang w:eastAsia="en-GB"/>
    </w:rPr>
  </w:style>
  <w:style w:type="paragraph" w:customStyle="1" w:styleId="tdbottom1pxpad0px">
    <w:name w:val="td_bottom_1px_pad_0px"/>
    <w:basedOn w:val="Normal"/>
    <w:rsid w:val="00BB448A"/>
    <w:pPr>
      <w:pBdr>
        <w:top w:val="dotted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0"/>
      <w:lang w:eastAsia="en-GB"/>
    </w:rPr>
  </w:style>
  <w:style w:type="paragraph" w:customStyle="1" w:styleId="tdsoliddottedblue">
    <w:name w:val="td_solid_dotted_blue"/>
    <w:basedOn w:val="Normal"/>
    <w:rsid w:val="00BB448A"/>
    <w:pPr>
      <w:pBdr>
        <w:top w:val="single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dottedtlbblue">
    <w:name w:val="td_solid_dotted_tlb_blue"/>
    <w:basedOn w:val="Normal"/>
    <w:rsid w:val="00BB448A"/>
    <w:pPr>
      <w:pBdr>
        <w:top w:val="single" w:sz="6" w:space="0" w:color="004B96"/>
        <w:left w:val="dotted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dottedtrbblue">
    <w:name w:val="td_solid_dotted_trb_blue"/>
    <w:basedOn w:val="Normal"/>
    <w:rsid w:val="00BB448A"/>
    <w:pPr>
      <w:pBdr>
        <w:top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dotted-lrblue">
    <w:name w:val="td_solid-tb_dotted-lr_blue"/>
    <w:basedOn w:val="Normal"/>
    <w:rsid w:val="00BB448A"/>
    <w:pPr>
      <w:pBdr>
        <w:top w:val="single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ldotted-rblue">
    <w:name w:val="td_solid-tbl_dotted-r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rdotted-lblue">
    <w:name w:val="td_solid-tbr_dotted-l_blue"/>
    <w:basedOn w:val="Normal"/>
    <w:rsid w:val="00BB448A"/>
    <w:pPr>
      <w:pBdr>
        <w:top w:val="single" w:sz="6" w:space="0" w:color="004B96"/>
        <w:left w:val="dotted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dotted-lblue">
    <w:name w:val="td_solid-tb_dotted-l_blue"/>
    <w:basedOn w:val="Normal"/>
    <w:rsid w:val="00BB448A"/>
    <w:pPr>
      <w:pBdr>
        <w:top w:val="single" w:sz="6" w:space="0" w:color="004B96"/>
        <w:left w:val="dotted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dotted-rblue">
    <w:name w:val="td_solid-tb_dotted-r_blue"/>
    <w:basedOn w:val="Normal"/>
    <w:rsid w:val="00BB448A"/>
    <w:pPr>
      <w:pBdr>
        <w:top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rblue">
    <w:name w:val="td_solid-tbr_blue"/>
    <w:basedOn w:val="Normal"/>
    <w:rsid w:val="00BB448A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blue">
    <w:name w:val="td_solid-tb_blue"/>
    <w:basedOn w:val="Normal"/>
    <w:rsid w:val="00BB448A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lblue">
    <w:name w:val="td_solid-tbl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lrblue">
    <w:name w:val="td_solid-tblr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ldotted-rblue">
    <w:name w:val="td_solid-tl_dotted-r_blue"/>
    <w:basedOn w:val="Normal"/>
    <w:rsid w:val="00BB448A"/>
    <w:pPr>
      <w:pBdr>
        <w:top w:val="single" w:sz="6" w:space="0" w:color="004B96"/>
        <w:left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bldotted-rblue">
    <w:name w:val="td_solid-bl_dotted-r_blue"/>
    <w:basedOn w:val="Normal"/>
    <w:rsid w:val="00BB448A"/>
    <w:pPr>
      <w:pBdr>
        <w:left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brdotted-lblue">
    <w:name w:val="td_solid-br_dotted-l_blue"/>
    <w:basedOn w:val="Normal"/>
    <w:rsid w:val="00BB448A"/>
    <w:pPr>
      <w:pBdr>
        <w:left w:val="dotted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rdotted-lblue">
    <w:name w:val="td_solid-tr_dotted-l_blue"/>
    <w:basedOn w:val="Normal"/>
    <w:rsid w:val="00BB448A"/>
    <w:pPr>
      <w:pBdr>
        <w:top w:val="single" w:sz="6" w:space="0" w:color="004B96"/>
        <w:left w:val="dotted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ldotted-rblue">
    <w:name w:val="td_solid-l_dotted-r_blue"/>
    <w:basedOn w:val="Normal"/>
    <w:rsid w:val="00BB448A"/>
    <w:pPr>
      <w:pBdr>
        <w:left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rdotted-lblue">
    <w:name w:val="td_solid-r_dotted-l_blue"/>
    <w:basedOn w:val="Normal"/>
    <w:rsid w:val="00BB448A"/>
    <w:pPr>
      <w:pBdr>
        <w:left w:val="dotted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-style-left">
    <w:name w:val="td-style-left"/>
    <w:basedOn w:val="Normal"/>
    <w:rsid w:val="00BB448A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eastAsia="en-GB"/>
    </w:rPr>
  </w:style>
  <w:style w:type="paragraph" w:customStyle="1" w:styleId="td-style-middle">
    <w:name w:val="td-style-middle"/>
    <w:basedOn w:val="Normal"/>
    <w:rsid w:val="00BB448A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eastAsia="en-GB"/>
    </w:rPr>
  </w:style>
  <w:style w:type="paragraph" w:customStyle="1" w:styleId="td-style-right">
    <w:name w:val="td-style-right"/>
    <w:basedOn w:val="Normal"/>
    <w:rsid w:val="00BB448A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eastAsia="en-GB"/>
    </w:rPr>
  </w:style>
  <w:style w:type="paragraph" w:customStyle="1" w:styleId="td-style-right14">
    <w:name w:val="td-style-right_14"/>
    <w:basedOn w:val="Normal"/>
    <w:rsid w:val="00BB448A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  <w:lang w:eastAsia="en-GB"/>
    </w:rPr>
  </w:style>
  <w:style w:type="paragraph" w:customStyle="1" w:styleId="inputblue">
    <w:name w:val="input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inputbluetext">
    <w:name w:val="input_blue_text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100px">
    <w:name w:val="input_blue_text_100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300px">
    <w:name w:val="input_blue_text_300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550px">
    <w:name w:val="input_blue_text_550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800px">
    <w:name w:val="input_blue_text_800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numeric">
    <w:name w:val="input_blue_numeric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numeric800px">
    <w:name w:val="input_blue_numeric_800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12">
    <w:name w:val="input_blue_text_12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numeric12">
    <w:name w:val="input_blue_numeric_12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12pt">
    <w:name w:val="input_blue_text_12pt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inputname">
    <w:name w:val="input_name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radio">
    <w:name w:val="input_radio"/>
    <w:basedOn w:val="Normal"/>
    <w:rsid w:val="00BB448A"/>
    <w:pPr>
      <w:pBdr>
        <w:top w:val="dashed" w:sz="12" w:space="0" w:color="004B96"/>
        <w:left w:val="dashed" w:sz="12" w:space="0" w:color="004B96"/>
        <w:bottom w:val="dashed" w:sz="12" w:space="0" w:color="004B96"/>
        <w:right w:val="dashed" w:sz="12" w:space="0" w:color="004B96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afterAutospacing="1"/>
      <w:ind w:right="90"/>
      <w:textAlignment w:val="auto"/>
    </w:pPr>
    <w:rPr>
      <w:rFonts w:ascii="Times New Roman" w:eastAsiaTheme="minorEastAsia" w:hAnsi="Times New Roman"/>
      <w:color w:val="004B96"/>
      <w:szCs w:val="24"/>
      <w:lang w:eastAsia="en-GB"/>
    </w:rPr>
  </w:style>
  <w:style w:type="paragraph" w:customStyle="1" w:styleId="textboxblue12px">
    <w:name w:val="textbox_blue_12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extboxblue12px300px">
    <w:name w:val="textbox_blue_12px_300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extboxblue12px700px">
    <w:name w:val="textbox_blue_12px_700px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0">
    <w:name w:val="select_blue_height20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">
    <w:name w:val="select_blue_height22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150px">
    <w:name w:val="select_blue_height22_15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300px">
    <w:name w:val="select_blue_height22_30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500px">
    <w:name w:val="select_blue_height22_50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600px">
    <w:name w:val="select_blue_height22_60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700px">
    <w:name w:val="select_blue_height22_70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800px">
    <w:name w:val="select_blue_height22_800px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4">
    <w:name w:val="select_blue_height24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5">
    <w:name w:val="select_blue_height25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selectblueheight12pt">
    <w:name w:val="select_blue_height12pt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formdisplay">
    <w:name w:val="formdisplay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eastAsia="en-GB"/>
    </w:rPr>
  </w:style>
  <w:style w:type="paragraph" w:customStyle="1" w:styleId="go">
    <w:name w:val="go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luebordertable">
    <w:name w:val="bluebordertabl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redbordertable">
    <w:name w:val="redbordertable"/>
    <w:basedOn w:val="Normal"/>
    <w:rsid w:val="00BB448A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blueborder-gray">
    <w:name w:val="blueborder-gray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EFEFE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luewhite">
    <w:name w:val="bluewhite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bluewhitecenter">
    <w:name w:val="bluewhite_center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bluewhite10pxcenter">
    <w:name w:val="bluewhite_10px_center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15"/>
      <w:szCs w:val="15"/>
      <w:lang w:eastAsia="en-GB"/>
    </w:rPr>
  </w:style>
  <w:style w:type="paragraph" w:customStyle="1" w:styleId="bluewhite12px">
    <w:name w:val="bluewhite_12px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bluewhite12pxcenter">
    <w:name w:val="bluewhite_12px_center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bluewhite12pxbottomwhite">
    <w:name w:val="bluewhite_12px_bottomwhite"/>
    <w:basedOn w:val="Normal"/>
    <w:rsid w:val="00BB448A"/>
    <w:pPr>
      <w:pBdr>
        <w:bottom w:val="single" w:sz="6" w:space="4" w:color="FFFFFF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bluewhite14px">
    <w:name w:val="bluewhite_14px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eastAsia="en-GB"/>
    </w:rPr>
  </w:style>
  <w:style w:type="paragraph" w:customStyle="1" w:styleId="bluewhite14pxcenter">
    <w:name w:val="bluewhite_14px_center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eastAsia="en-GB"/>
    </w:rPr>
  </w:style>
  <w:style w:type="paragraph" w:customStyle="1" w:styleId="bluewhite14pxbottomwhite">
    <w:name w:val="bluewhite_14px_bottomwhite"/>
    <w:basedOn w:val="Normal"/>
    <w:rsid w:val="00BB448A"/>
    <w:pPr>
      <w:pBdr>
        <w:bottom w:val="single" w:sz="6" w:space="4" w:color="FFFFFF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eastAsia="en-GB"/>
    </w:rPr>
  </w:style>
  <w:style w:type="paragraph" w:customStyle="1" w:styleId="bluewhite14pt">
    <w:name w:val="bluewhite_14pt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8"/>
      <w:szCs w:val="28"/>
      <w:lang w:eastAsia="en-GB"/>
    </w:rPr>
  </w:style>
  <w:style w:type="paragraph" w:customStyle="1" w:styleId="bluewhite14ptcenter">
    <w:name w:val="bluewhite_14pt_center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28"/>
      <w:szCs w:val="28"/>
      <w:lang w:eastAsia="en-GB"/>
    </w:rPr>
  </w:style>
  <w:style w:type="paragraph" w:customStyle="1" w:styleId="poloblue">
    <w:name w:val="poloblue"/>
    <w:basedOn w:val="Normal"/>
    <w:rsid w:val="00BB448A"/>
    <w:pPr>
      <w:shd w:val="clear" w:color="auto" w:fill="336FAB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bottomline">
    <w:name w:val="bottomline"/>
    <w:basedOn w:val="Normal"/>
    <w:rsid w:val="00BB448A"/>
    <w:pPr>
      <w:pBdr>
        <w:bottom w:val="single" w:sz="6" w:space="0" w:color="0099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ch-blue-red">
    <w:name w:val="ch-blue-red"/>
    <w:basedOn w:val="Normal"/>
    <w:rsid w:val="00BB448A"/>
    <w:pPr>
      <w:shd w:val="clear" w:color="auto" w:fill="0099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0000"/>
      <w:sz w:val="18"/>
      <w:szCs w:val="18"/>
      <w:lang w:eastAsia="en-GB"/>
    </w:rPr>
  </w:style>
  <w:style w:type="paragraph" w:customStyle="1" w:styleId="ch-blue-white">
    <w:name w:val="ch-blue-white"/>
    <w:basedOn w:val="Normal"/>
    <w:rsid w:val="00BB448A"/>
    <w:pPr>
      <w:shd w:val="clear" w:color="auto" w:fill="0099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0"/>
      <w:lang w:eastAsia="en-GB"/>
    </w:rPr>
  </w:style>
  <w:style w:type="paragraph" w:customStyle="1" w:styleId="ch-dblue-white">
    <w:name w:val="ch-dblue-white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ch-white-blue">
    <w:name w:val="ch-white-blue"/>
    <w:basedOn w:val="Normal"/>
    <w:rsid w:val="00BB448A"/>
    <w:pP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ch-red-white">
    <w:name w:val="ch-red-white"/>
    <w:basedOn w:val="Normal"/>
    <w:rsid w:val="00BB448A"/>
    <w:pPr>
      <w:shd w:val="clear" w:color="auto" w:fill="FF000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lightblueborder">
    <w:name w:val="lightblueborder"/>
    <w:basedOn w:val="Normal"/>
    <w:rsid w:val="00BB448A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t-blue">
    <w:name w:val="t-blu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t-row">
    <w:name w:val="t-row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DE7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t-rowcenter">
    <w:name w:val="t-row_center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DE7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t-text">
    <w:name w:val="t-text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C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0000"/>
      <w:sz w:val="18"/>
      <w:szCs w:val="18"/>
      <w:lang w:eastAsia="en-GB"/>
    </w:rPr>
  </w:style>
  <w:style w:type="paragraph" w:customStyle="1" w:styleId="itumenu">
    <w:name w:val="itumenu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hplinkbluewhite">
    <w:name w:val="hplink_bluewhit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footeritems">
    <w:name w:val="footeritems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afterAutospacing="1"/>
      <w:textAlignment w:val="auto"/>
    </w:pPr>
    <w:rPr>
      <w:rFonts w:ascii="Arial" w:eastAsiaTheme="minorEastAsia" w:hAnsi="Arial" w:cs="Arial"/>
      <w:color w:val="004B96"/>
      <w:sz w:val="17"/>
      <w:szCs w:val="17"/>
      <w:lang w:eastAsia="en-GB"/>
    </w:rPr>
  </w:style>
  <w:style w:type="paragraph" w:customStyle="1" w:styleId="navleft">
    <w:name w:val="navleft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topritems">
    <w:name w:val="topritems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 w:val="17"/>
      <w:szCs w:val="17"/>
      <w:lang w:eastAsia="en-GB"/>
    </w:rPr>
  </w:style>
  <w:style w:type="paragraph" w:customStyle="1" w:styleId="bulletlist-blue">
    <w:name w:val="bulletlist-blu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Cs w:val="24"/>
      <w:lang w:eastAsia="en-GB"/>
    </w:rPr>
  </w:style>
  <w:style w:type="paragraph" w:customStyle="1" w:styleId="bulletlist-red">
    <w:name w:val="bulletlist-red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Cs w:val="24"/>
      <w:lang w:eastAsia="en-GB"/>
    </w:rPr>
  </w:style>
  <w:style w:type="paragraph" w:customStyle="1" w:styleId="arrowlist-blue">
    <w:name w:val="arrowlist-blu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Cs w:val="24"/>
      <w:lang w:eastAsia="en-GB"/>
    </w:rPr>
  </w:style>
  <w:style w:type="paragraph" w:customStyle="1" w:styleId="arrowlist-red">
    <w:name w:val="arrowlist-red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Cs w:val="24"/>
      <w:lang w:eastAsia="en-GB"/>
    </w:rPr>
  </w:style>
  <w:style w:type="paragraph" w:customStyle="1" w:styleId="textdblue">
    <w:name w:val="text_d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borderdottedblue">
    <w:name w:val="border_dotted_blue"/>
    <w:basedOn w:val="Normal"/>
    <w:rsid w:val="00BB448A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dblue10pt">
    <w:name w:val="text_d_blue_10pt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ableborderbackbluesmall">
    <w:name w:val="table_border_backblue_small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6EB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tableborderbluesmall">
    <w:name w:val="table_border_blue_small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tabledblue">
    <w:name w:val="table_d_blue"/>
    <w:basedOn w:val="Normal"/>
    <w:rsid w:val="00BB448A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dwhite">
    <w:name w:val="table_d_white"/>
    <w:basedOn w:val="Normal"/>
    <w:rsid w:val="00BB448A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 w:val="18"/>
      <w:szCs w:val="18"/>
      <w:lang w:eastAsia="en-GB"/>
    </w:rPr>
  </w:style>
  <w:style w:type="paragraph" w:customStyle="1" w:styleId="tablebtlrblue">
    <w:name w:val="table_btlr_blue"/>
    <w:basedOn w:val="Normal"/>
    <w:rsid w:val="00BB448A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2pxtlrblue">
    <w:name w:val="table_b2px_tlr_blue"/>
    <w:basedOn w:val="Normal"/>
    <w:rsid w:val="00BB448A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tlblue">
    <w:name w:val="table_btl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trblue">
    <w:name w:val="table_btr_blue"/>
    <w:basedOn w:val="Normal"/>
    <w:rsid w:val="00BB448A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lrblue">
    <w:name w:val="table_blr_blue"/>
    <w:basedOn w:val="Normal"/>
    <w:rsid w:val="00BB448A"/>
    <w:pPr>
      <w:pBdr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tlrblue">
    <w:name w:val="table_tlr_blue"/>
    <w:basedOn w:val="Normal"/>
    <w:rsid w:val="00BB448A"/>
    <w:pPr>
      <w:pBdr>
        <w:top w:val="single" w:sz="6" w:space="0" w:color="004B96"/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blue">
    <w:name w:val="table_b_blue"/>
    <w:basedOn w:val="Normal"/>
    <w:rsid w:val="00BB448A"/>
    <w:pPr>
      <w:pBdr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tblue">
    <w:name w:val="table_t_blue"/>
    <w:basedOn w:val="Normal"/>
    <w:rsid w:val="00BB448A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lblue">
    <w:name w:val="table_l_blue"/>
    <w:basedOn w:val="Normal"/>
    <w:rsid w:val="00BB448A"/>
    <w:pPr>
      <w:pBdr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rblue">
    <w:name w:val="table_r_blue"/>
    <w:basedOn w:val="Normal"/>
    <w:rsid w:val="00BB448A"/>
    <w:pPr>
      <w:pBdr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trblue">
    <w:name w:val="table_tr_blue"/>
    <w:basedOn w:val="Normal"/>
    <w:rsid w:val="00BB448A"/>
    <w:pPr>
      <w:pBdr>
        <w:top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tlblue">
    <w:name w:val="table_tl_blue"/>
    <w:basedOn w:val="Normal"/>
    <w:rsid w:val="00BB448A"/>
    <w:pPr>
      <w:pBdr>
        <w:top w:val="single" w:sz="6" w:space="0" w:color="004B96"/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rblue">
    <w:name w:val="table_br_blue"/>
    <w:basedOn w:val="Normal"/>
    <w:rsid w:val="00BB448A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lblue">
    <w:name w:val="table_bl_blue"/>
    <w:basedOn w:val="Normal"/>
    <w:rsid w:val="00BB448A"/>
    <w:pPr>
      <w:pBdr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lrblue">
    <w:name w:val="table_lr_blue"/>
    <w:basedOn w:val="Normal"/>
    <w:rsid w:val="00BB448A"/>
    <w:pPr>
      <w:pBdr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tblue">
    <w:name w:val="table_bt_blue"/>
    <w:basedOn w:val="Normal"/>
    <w:rsid w:val="00BB448A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tred">
    <w:name w:val="table_bt_red"/>
    <w:basedOn w:val="Normal"/>
    <w:rsid w:val="00BB448A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0000"/>
      <w:sz w:val="18"/>
      <w:szCs w:val="18"/>
      <w:lang w:eastAsia="en-GB"/>
    </w:rPr>
  </w:style>
  <w:style w:type="paragraph" w:customStyle="1" w:styleId="tableborderdottedblue">
    <w:name w:val="table_border_dotted_blue"/>
    <w:basedOn w:val="Normal"/>
    <w:rsid w:val="00BB448A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ableemptyblue">
    <w:name w:val="table_empty_blu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adm1">
    <w:name w:val="table_adm_1"/>
    <w:basedOn w:val="Normal"/>
    <w:rsid w:val="00BB448A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adm2">
    <w:name w:val="table_adm_2"/>
    <w:basedOn w:val="Normal"/>
    <w:rsid w:val="00BB448A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ableadm3">
    <w:name w:val="table_adm_3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tableadm4">
    <w:name w:val="table_adm_4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textallblue">
    <w:name w:val="text_all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blrblue">
    <w:name w:val="text_blr_blue"/>
    <w:basedOn w:val="Normal"/>
    <w:rsid w:val="00BB448A"/>
    <w:pPr>
      <w:pBdr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lrblue">
    <w:name w:val="text_tlr_blue"/>
    <w:basedOn w:val="Normal"/>
    <w:rsid w:val="00BB448A"/>
    <w:pPr>
      <w:pBdr>
        <w:top w:val="single" w:sz="6" w:space="0" w:color="004B96"/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blblue">
    <w:name w:val="text_tbl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brblue">
    <w:name w:val="text_tbr_blue"/>
    <w:basedOn w:val="Normal"/>
    <w:rsid w:val="00BB448A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lrblue">
    <w:name w:val="text_lr_blue"/>
    <w:basedOn w:val="Normal"/>
    <w:rsid w:val="00BB448A"/>
    <w:pPr>
      <w:pBdr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blblue">
    <w:name w:val="text_bl_blue"/>
    <w:basedOn w:val="Normal"/>
    <w:rsid w:val="00BB448A"/>
    <w:pPr>
      <w:pBdr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bblue">
    <w:name w:val="text_tb_blue"/>
    <w:basedOn w:val="Normal"/>
    <w:rsid w:val="00BB448A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lblue">
    <w:name w:val="text_tl_blue"/>
    <w:basedOn w:val="Normal"/>
    <w:rsid w:val="00BB448A"/>
    <w:pPr>
      <w:pBdr>
        <w:top w:val="single" w:sz="6" w:space="0" w:color="004B96"/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rblue">
    <w:name w:val="text_tr_blue"/>
    <w:basedOn w:val="Normal"/>
    <w:rsid w:val="00BB448A"/>
    <w:pPr>
      <w:pBdr>
        <w:top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rbluet2px">
    <w:name w:val="text_tr_blue_t2px"/>
    <w:basedOn w:val="Normal"/>
    <w:rsid w:val="00BB448A"/>
    <w:pPr>
      <w:pBdr>
        <w:top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brblue">
    <w:name w:val="text_br_blue"/>
    <w:basedOn w:val="Normal"/>
    <w:rsid w:val="00BB448A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blue">
    <w:name w:val="text_t_blue"/>
    <w:basedOn w:val="Normal"/>
    <w:rsid w:val="00BB448A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texttbluet2px">
    <w:name w:val="text_t_blue_t2px"/>
    <w:basedOn w:val="Normal"/>
    <w:rsid w:val="00BB448A"/>
    <w:pPr>
      <w:pBdr>
        <w:top w:val="single" w:sz="12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textbblue">
    <w:name w:val="text_b_blue"/>
    <w:basedOn w:val="Normal"/>
    <w:rsid w:val="00BB448A"/>
    <w:pPr>
      <w:pBdr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textlblue">
    <w:name w:val="text_l_blue"/>
    <w:basedOn w:val="Normal"/>
    <w:rsid w:val="00BB448A"/>
    <w:pPr>
      <w:pBdr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textrblue">
    <w:name w:val="text_r_blue"/>
    <w:basedOn w:val="Normal"/>
    <w:rsid w:val="00BB448A"/>
    <w:pPr>
      <w:pBdr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emptyblue">
    <w:name w:val="text_empty_blu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linedblue">
    <w:name w:val="line_d_blue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linelblue">
    <w:name w:val="line_l_blue"/>
    <w:basedOn w:val="Normal"/>
    <w:rsid w:val="00BB448A"/>
    <w:pPr>
      <w:shd w:val="clear" w:color="auto" w:fill="D6EB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areatms">
    <w:name w:val="textareatms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folink">
    <w:name w:val="fo_link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folinkblue">
    <w:name w:val="fo_link_blu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folinksmall">
    <w:name w:val="fo_link_small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Cs w:val="24"/>
      <w:lang w:eastAsia="en-GB"/>
    </w:rPr>
  </w:style>
  <w:style w:type="paragraph" w:customStyle="1" w:styleId="folinkbluesmall">
    <w:name w:val="fo_link_blue_small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linkregular">
    <w:name w:val="link_regular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u w:val="single"/>
      <w:lang w:eastAsia="en-GB"/>
    </w:rPr>
  </w:style>
  <w:style w:type="paragraph" w:customStyle="1" w:styleId="linksmall">
    <w:name w:val="link_small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6"/>
      <w:szCs w:val="16"/>
      <w:u w:val="single"/>
      <w:lang w:eastAsia="en-GB"/>
    </w:rPr>
  </w:style>
  <w:style w:type="paragraph" w:customStyle="1" w:styleId="hrblue">
    <w:name w:val="hr_bl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rownormal">
    <w:name w:val="rownormal"/>
    <w:basedOn w:val="Normal"/>
    <w:rsid w:val="00BB448A"/>
    <w:pP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Cs w:val="24"/>
      <w:lang w:eastAsia="en-GB"/>
    </w:rPr>
  </w:style>
  <w:style w:type="paragraph" w:customStyle="1" w:styleId="rowhover">
    <w:name w:val="rowhover"/>
    <w:basedOn w:val="Normal"/>
    <w:rsid w:val="00BB448A"/>
    <w:pP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overlightblue">
    <w:name w:val="rowoverlightblue"/>
    <w:basedOn w:val="Normal"/>
    <w:rsid w:val="00BB448A"/>
    <w:pPr>
      <w:shd w:val="clear" w:color="auto" w:fill="CFDEF3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rowdarkblue">
    <w:name w:val="rowdarkblue"/>
    <w:basedOn w:val="Normal"/>
    <w:rsid w:val="00BB448A"/>
    <w:pPr>
      <w:shd w:val="clear" w:color="auto" w:fill="9BB9DB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Cs w:val="24"/>
      <w:lang w:eastAsia="en-GB"/>
    </w:rPr>
  </w:style>
  <w:style w:type="paragraph" w:customStyle="1" w:styleId="rowblue">
    <w:name w:val="rowblue"/>
    <w:basedOn w:val="Normal"/>
    <w:rsid w:val="00BB448A"/>
    <w:pP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lightblue">
    <w:name w:val="rowlightblue"/>
    <w:basedOn w:val="Normal"/>
    <w:rsid w:val="00BB448A"/>
    <w:pPr>
      <w:shd w:val="clear" w:color="auto" w:fill="CFDEF3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Cs w:val="24"/>
      <w:lang w:eastAsia="en-GB"/>
    </w:rPr>
  </w:style>
  <w:style w:type="paragraph" w:customStyle="1" w:styleId="rowgreen">
    <w:name w:val="rowgreen"/>
    <w:basedOn w:val="Normal"/>
    <w:rsid w:val="00BB448A"/>
    <w:pPr>
      <w:shd w:val="clear" w:color="auto" w:fill="CCFFE5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yellow">
    <w:name w:val="rowyellow"/>
    <w:basedOn w:val="Normal"/>
    <w:rsid w:val="00BB448A"/>
    <w:pPr>
      <w:shd w:val="clear" w:color="auto" w:fill="FFFF99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orange">
    <w:name w:val="roworange"/>
    <w:basedOn w:val="Normal"/>
    <w:rsid w:val="00BB448A"/>
    <w:pPr>
      <w:shd w:val="clear" w:color="auto" w:fill="FFCC99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oldlace">
    <w:name w:val="rowoldlace"/>
    <w:basedOn w:val="Normal"/>
    <w:rsid w:val="00BB448A"/>
    <w:pPr>
      <w:shd w:val="clear" w:color="auto" w:fill="FDF5E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grey">
    <w:name w:val="rowgrey"/>
    <w:basedOn w:val="Normal"/>
    <w:rsid w:val="00BB448A"/>
    <w:pPr>
      <w:shd w:val="clear" w:color="auto" w:fill="CDCDCD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underline">
    <w:name w:val="rowunderlin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u w:val="single"/>
      <w:lang w:eastAsia="en-GB"/>
    </w:rPr>
  </w:style>
  <w:style w:type="paragraph" w:customStyle="1" w:styleId="grdvheader">
    <w:name w:val="grdvheader"/>
    <w:basedOn w:val="Normal"/>
    <w:rsid w:val="00BB448A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grdvcell">
    <w:name w:val="grdvcell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szCs w:val="24"/>
      <w:lang w:eastAsia="en-GB"/>
    </w:rPr>
  </w:style>
  <w:style w:type="paragraph" w:customStyle="1" w:styleId="lblsuccessmsg">
    <w:name w:val="lblsuccessmsg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i/>
      <w:iCs/>
      <w:szCs w:val="24"/>
      <w:lang w:eastAsia="en-GB"/>
    </w:rPr>
  </w:style>
  <w:style w:type="paragraph" w:customStyle="1" w:styleId="lblheader1">
    <w:name w:val="lblheader1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7"/>
      <w:szCs w:val="27"/>
      <w:lang w:eastAsia="en-GB"/>
    </w:rPr>
  </w:style>
  <w:style w:type="paragraph" w:customStyle="1" w:styleId="label9pt">
    <w:name w:val="label_9pt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Cs w:val="24"/>
      <w:lang w:eastAsia="en-GB"/>
    </w:rPr>
  </w:style>
  <w:style w:type="paragraph" w:customStyle="1" w:styleId="textbox9pt">
    <w:name w:val="textbox_9pt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Cs w:val="24"/>
      <w:lang w:eastAsia="en-GB"/>
    </w:rPr>
  </w:style>
  <w:style w:type="paragraph" w:customStyle="1" w:styleId="select7pt">
    <w:name w:val="select_7pt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 w:val="14"/>
      <w:szCs w:val="14"/>
      <w:lang w:eastAsia="en-GB"/>
    </w:rPr>
  </w:style>
  <w:style w:type="paragraph" w:customStyle="1" w:styleId="dptable">
    <w:name w:val="dptable"/>
    <w:basedOn w:val="Normal"/>
    <w:rsid w:val="00BB448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CE9D8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color w:val="505050"/>
      <w:sz w:val="18"/>
      <w:szCs w:val="18"/>
      <w:lang w:eastAsia="en-GB"/>
    </w:rPr>
  </w:style>
  <w:style w:type="paragraph" w:customStyle="1" w:styleId="dptd">
    <w:name w:val="dptd"/>
    <w:basedOn w:val="Normal"/>
    <w:rsid w:val="00BB448A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dpdayhighlighttd">
    <w:name w:val="dpdayhighlighttd"/>
    <w:basedOn w:val="Normal"/>
    <w:rsid w:val="00BB448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dptdhover">
    <w:name w:val="dptdhover"/>
    <w:basedOn w:val="Normal"/>
    <w:rsid w:val="00BB448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ACA998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0000"/>
      <w:szCs w:val="24"/>
      <w:lang w:eastAsia="en-GB"/>
    </w:rPr>
  </w:style>
  <w:style w:type="paragraph" w:customStyle="1" w:styleId="dpdaytd">
    <w:name w:val="dpdaytd"/>
    <w:basedOn w:val="Normal"/>
    <w:rsid w:val="00BB448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dptitletext">
    <w:name w:val="dptitletext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808080"/>
      <w:sz w:val="15"/>
      <w:szCs w:val="15"/>
      <w:lang w:eastAsia="en-GB"/>
    </w:rPr>
  </w:style>
  <w:style w:type="paragraph" w:customStyle="1" w:styleId="dpdayhighlight">
    <w:name w:val="dpdayhighlight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4060FF"/>
      <w:szCs w:val="24"/>
      <w:lang w:eastAsia="en-GB"/>
    </w:rPr>
  </w:style>
  <w:style w:type="paragraph" w:customStyle="1" w:styleId="dpbutton">
    <w:name w:val="dpbutton"/>
    <w:basedOn w:val="Normal"/>
    <w:rsid w:val="00BB448A"/>
    <w:pPr>
      <w:shd w:val="clear" w:color="auto" w:fill="D8E8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808080"/>
      <w:sz w:val="15"/>
      <w:szCs w:val="15"/>
      <w:lang w:eastAsia="en-GB"/>
    </w:rPr>
  </w:style>
  <w:style w:type="paragraph" w:customStyle="1" w:styleId="dptodaybutton">
    <w:name w:val="dptodaybutton"/>
    <w:basedOn w:val="Normal"/>
    <w:rsid w:val="00BB448A"/>
    <w:pPr>
      <w:shd w:val="clear" w:color="auto" w:fill="D8E8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808080"/>
      <w:sz w:val="15"/>
      <w:szCs w:val="15"/>
      <w:lang w:eastAsia="en-GB"/>
    </w:rPr>
  </w:style>
  <w:style w:type="paragraph" w:customStyle="1" w:styleId="mc">
    <w:name w:val="mc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0" w:after="300"/>
      <w:ind w:left="300" w:right="300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mh">
    <w:name w:val="mh"/>
    <w:basedOn w:val="Normal"/>
    <w:rsid w:val="00BB448A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 w:val="18"/>
      <w:szCs w:val="18"/>
      <w:lang w:eastAsia="en-GB"/>
    </w:rPr>
  </w:style>
  <w:style w:type="paragraph" w:customStyle="1" w:styleId="ml">
    <w:name w:val="ml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50"/>
      <w:textAlignment w:val="auto"/>
    </w:pPr>
    <w:rPr>
      <w:rFonts w:ascii="Times New Roman" w:eastAsiaTheme="minorEastAsia" w:hAnsi="Times New Roman"/>
      <w:vanish/>
      <w:sz w:val="17"/>
      <w:szCs w:val="17"/>
      <w:lang w:eastAsia="en-GB"/>
    </w:rPr>
  </w:style>
  <w:style w:type="paragraph" w:customStyle="1" w:styleId="mo">
    <w:name w:val="mo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ind w:left="150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mh1">
    <w:name w:val="mh1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 w:val="18"/>
      <w:szCs w:val="18"/>
      <w:lang w:eastAsia="en-GB"/>
    </w:rPr>
  </w:style>
  <w:style w:type="paragraph" w:customStyle="1" w:styleId="tftable">
    <w:name w:val="tftable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tftable1">
    <w:name w:val="tftable1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buttonclose">
    <w:name w:val="button_clos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uttongoback">
    <w:name w:val="button_goback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uttoncontinue">
    <w:name w:val="button_continu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uttoncontinuelarge">
    <w:name w:val="button_continue_large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uttonupload">
    <w:name w:val="button_upload"/>
    <w:basedOn w:val="Normal"/>
    <w:rsid w:val="00BB448A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pagelocator">
    <w:name w:val="page_locator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pagetitle">
    <w:name w:val="page_title"/>
    <w:basedOn w:val="Normal"/>
    <w:rsid w:val="00BB448A"/>
    <w:pPr>
      <w:pBdr>
        <w:top w:val="threeDEngrave" w:sz="6" w:space="0" w:color="000096"/>
        <w:left w:val="threeDEngrave" w:sz="6" w:space="0" w:color="000096"/>
        <w:bottom w:val="threeDEngrave" w:sz="6" w:space="0" w:color="000096"/>
        <w:right w:val="threeDEngrave" w:sz="6" w:space="0" w:color="000096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FFFFFF"/>
      <w:szCs w:val="24"/>
      <w:lang w:eastAsia="en-GB"/>
    </w:rPr>
  </w:style>
  <w:style w:type="paragraph" w:customStyle="1" w:styleId="w3-button-disabled">
    <w:name w:val="w3-button-disabled"/>
    <w:basedOn w:val="Normal"/>
    <w:rsid w:val="00BB448A"/>
    <w:pPr>
      <w:pBdr>
        <w:top w:val="single" w:sz="6" w:space="2" w:color="004B96"/>
        <w:left w:val="single" w:sz="6" w:space="3" w:color="004B96"/>
        <w:bottom w:val="single" w:sz="6" w:space="2" w:color="004B96"/>
        <w:right w:val="single" w:sz="6" w:space="3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w3-button">
    <w:name w:val="w3-button"/>
    <w:basedOn w:val="Normal"/>
    <w:rsid w:val="00BB448A"/>
    <w:pPr>
      <w:pBdr>
        <w:top w:val="single" w:sz="6" w:space="2" w:color="004B96"/>
        <w:left w:val="single" w:sz="6" w:space="3" w:color="004B96"/>
        <w:bottom w:val="single" w:sz="6" w:space="2" w:color="004B96"/>
        <w:right w:val="single" w:sz="6" w:space="3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kap-button">
    <w:name w:val="kap-button"/>
    <w:basedOn w:val="Normal"/>
    <w:rsid w:val="00BB448A"/>
    <w:pPr>
      <w:pBdr>
        <w:top w:val="single" w:sz="6" w:space="2" w:color="FFFFFF"/>
        <w:left w:val="single" w:sz="6" w:space="3" w:color="FFFFFF"/>
        <w:bottom w:val="single" w:sz="6" w:space="2" w:color="FFFFFF"/>
        <w:right w:val="single" w:sz="6" w:space="3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kap-button-small">
    <w:name w:val="kap-button-small"/>
    <w:basedOn w:val="Normal"/>
    <w:rsid w:val="00BB448A"/>
    <w:pPr>
      <w:pBdr>
        <w:top w:val="single" w:sz="6" w:space="2" w:color="FFFFFF"/>
        <w:left w:val="single" w:sz="6" w:space="3" w:color="FFFFFF"/>
        <w:bottom w:val="single" w:sz="6" w:space="2" w:color="FFFFFF"/>
        <w:right w:val="single" w:sz="6" w:space="3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pay-button">
    <w:name w:val="pay-button"/>
    <w:basedOn w:val="Normal"/>
    <w:rsid w:val="00BB448A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16"/>
      <w:szCs w:val="16"/>
      <w:lang w:eastAsia="en-GB"/>
    </w:rPr>
  </w:style>
  <w:style w:type="paragraph" w:customStyle="1" w:styleId="buttonbluemargin1pxh40px">
    <w:name w:val="button_blue_margin1px_h40px"/>
    <w:basedOn w:val="Normal"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character" w:customStyle="1" w:styleId="sceditor-selection">
    <w:name w:val="sceditor-selection"/>
    <w:basedOn w:val="DefaultParagraphFont"/>
    <w:rsid w:val="00BB448A"/>
  </w:style>
  <w:style w:type="paragraph" w:styleId="NormalWeb">
    <w:name w:val="Normal (Web)"/>
    <w:basedOn w:val="Normal"/>
    <w:uiPriority w:val="99"/>
    <w:semiHidden/>
    <w:unhideWhenUsed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character" w:customStyle="1" w:styleId="s2">
    <w:name w:val="s2"/>
    <w:basedOn w:val="DefaultParagraphFont"/>
    <w:rsid w:val="00BB448A"/>
  </w:style>
  <w:style w:type="character" w:customStyle="1" w:styleId="s1">
    <w:name w:val="s1"/>
    <w:basedOn w:val="DefaultParagraphFont"/>
    <w:rsid w:val="00BB448A"/>
  </w:style>
  <w:style w:type="paragraph" w:styleId="TOCHeading">
    <w:name w:val="TOC Heading"/>
    <w:basedOn w:val="Heading1"/>
    <w:next w:val="Normal"/>
    <w:uiPriority w:val="39"/>
    <w:unhideWhenUsed/>
    <w:qFormat/>
    <w:rsid w:val="00BB44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BB448A"/>
    <w:rPr>
      <w:rFonts w:asciiTheme="minorHAnsi" w:hAnsiTheme="minorHAns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B44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B44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448A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4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448A"/>
    <w:rPr>
      <w:rFonts w:asciiTheme="minorHAnsi" w:hAnsiTheme="minorHAnsi"/>
      <w:b/>
      <w:bCs/>
      <w:lang w:val="en-GB" w:eastAsia="en-US"/>
    </w:rPr>
  </w:style>
  <w:style w:type="table" w:styleId="TableGrid">
    <w:name w:val="Table Grid"/>
    <w:basedOn w:val="TableNormal"/>
    <w:rsid w:val="00BB4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BB448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itu.int/md/D22-TDAG32-C-0002/es" TargetMode="External"/><Relationship Id="rId26" Type="http://schemas.openxmlformats.org/officeDocument/2006/relationships/hyperlink" Target="https://www.itu.int/md/D22-WTDC25-C-0012/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TDAG32-C-0002/en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D22-TDAG31-C-0002/es" TargetMode="External"/><Relationship Id="rId25" Type="http://schemas.openxmlformats.org/officeDocument/2006/relationships/hyperlink" Target="https://www.itu.int/md/D22-WTDC25-C-0011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30-C-0002/es" TargetMode="External"/><Relationship Id="rId20" Type="http://schemas.openxmlformats.org/officeDocument/2006/relationships/hyperlink" Target="https://www.itu.int/md/D22-TDAG31-C-0002/e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app.powerbi.com/groups/me/reports/b389bd5f-6f2e-4250-9091-ccdbd06673fa/1ab3546972995bab8994?experience=power-bi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www.itu.int/md/D22-WTDC25-C-0004/en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itu.int/md/D22-TDAG30-C-0002/e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pp.powerbi.com/singleSignOn?experience=power-bi&amp;ru=https%3A%2F%2Fapp.powerbi.com%2Fgroups%2Fme%2Freports%2Fb389bd5f-6f2e-4250-9091-ccdbd06673fa%2F1ab3546972995bab8994%3Fexperience%3Dpower-bi%26noSignUpCheck%3D1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www.itu.int/md/D22-WTDC25-C-0004/es" TargetMode="External"/><Relationship Id="rId30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D22-TDAG32-C-0002/en" TargetMode="External"/><Relationship Id="rId3" Type="http://schemas.openxmlformats.org/officeDocument/2006/relationships/hyperlink" Target="https://www.itu.int/itu-d/sites/projects/home/projects/" TargetMode="External"/><Relationship Id="rId7" Type="http://schemas.openxmlformats.org/officeDocument/2006/relationships/hyperlink" Target="https://www.itu.int/md/D22-TDAG32-C-0002/es" TargetMode="External"/><Relationship Id="rId2" Type="http://schemas.openxmlformats.org/officeDocument/2006/relationships/hyperlink" Target="https://www.itu.int/en/ITU-D/Projects/Pages/Portfolio.aspx" TargetMode="External"/><Relationship Id="rId1" Type="http://schemas.openxmlformats.org/officeDocument/2006/relationships/hyperlink" Target="https://www.itu.int/itu-d/sites/projects/home/projects/" TargetMode="External"/><Relationship Id="rId6" Type="http://schemas.openxmlformats.org/officeDocument/2006/relationships/hyperlink" Target="https://www.itu.int/en/ITU-D/Projects/Pages/reports/default.aspx" TargetMode="External"/><Relationship Id="rId5" Type="http://schemas.openxmlformats.org/officeDocument/2006/relationships/hyperlink" Target="https://www.itu.int/en/ITU-D/Projects/Pages/reports/default.aspx" TargetMode="External"/><Relationship Id="rId4" Type="http://schemas.openxmlformats.org/officeDocument/2006/relationships/hyperlink" Target="https://www.itu.int/en/ITU-D/Projects/Pages/Portfolio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32a1a8c5-2265-4ebc-b7a0-2071e2c5c9bb"/>
    <ds:schemaRef ds:uri="http://purl.org/dc/terms/"/>
    <ds:schemaRef ds:uri="http://www.w3.org/XML/1998/namespace"/>
    <ds:schemaRef ds:uri="http://schemas.microsoft.com/office/2006/documentManagement/types"/>
    <ds:schemaRef ds:uri="996b2e75-67fd-4955-a3b0-5ab9934cb5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3CDCD7-C5F2-4771-8AAE-52A9BB39F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54</Pages>
  <Words>10529</Words>
  <Characters>67638</Characters>
  <Application>Microsoft Office Word</Application>
  <DocSecurity>0</DocSecurity>
  <Lines>563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78011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Spanish</cp:lastModifiedBy>
  <cp:revision>2</cp:revision>
  <cp:lastPrinted>2017-03-09T15:07:00Z</cp:lastPrinted>
  <dcterms:created xsi:type="dcterms:W3CDTF">2025-10-24T14:20:00Z</dcterms:created>
  <dcterms:modified xsi:type="dcterms:W3CDTF">2025-10-24T14:20:00Z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