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7" w:type="pct"/>
        <w:tblLayout w:type="fixed"/>
        <w:tblLook w:val="0000" w:firstRow="0" w:lastRow="0" w:firstColumn="0" w:lastColumn="0" w:noHBand="0" w:noVBand="0"/>
      </w:tblPr>
      <w:tblGrid>
        <w:gridCol w:w="1498"/>
        <w:gridCol w:w="4886"/>
        <w:gridCol w:w="1554"/>
        <w:gridCol w:w="1984"/>
      </w:tblGrid>
      <w:tr w:rsidR="00961D12" w:rsidRPr="00D13543" w14:paraId="23658664" w14:textId="77777777" w:rsidTr="00AC2258">
        <w:trPr>
          <w:cantSplit/>
          <w:trHeight w:val="1134"/>
        </w:trPr>
        <w:tc>
          <w:tcPr>
            <w:tcW w:w="755" w:type="pct"/>
          </w:tcPr>
          <w:p w14:paraId="7B75E2CA" w14:textId="2314B8B9" w:rsidR="00E80D1A" w:rsidRPr="00D13543" w:rsidRDefault="00A864A5" w:rsidP="00AA25E0">
            <w:pPr>
              <w:tabs>
                <w:tab w:val="clear" w:pos="1134"/>
              </w:tabs>
              <w:rPr>
                <w:b/>
                <w:bCs/>
                <w:szCs w:val="24"/>
                <w:lang w:val="fr-FR"/>
              </w:rPr>
            </w:pPr>
            <w:r w:rsidRPr="00D13543">
              <w:rPr>
                <w:lang w:val="fr-FR" w:eastAsia="fr-FR"/>
              </w:rPr>
              <w:drawing>
                <wp:inline distT="0" distB="0" distL="0" distR="0" wp14:anchorId="6CFF4907" wp14:editId="18A177BF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5" w:type="pct"/>
            <w:gridSpan w:val="2"/>
          </w:tcPr>
          <w:p w14:paraId="7B7782C2" w14:textId="30175EAD" w:rsidR="00E80D1A" w:rsidRPr="00D13543" w:rsidRDefault="00E80D1A" w:rsidP="0055124D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fr-FR"/>
              </w:rPr>
            </w:pPr>
            <w:r w:rsidRPr="00D13543">
              <w:rPr>
                <w:b/>
                <w:bCs/>
                <w:sz w:val="30"/>
                <w:szCs w:val="30"/>
                <w:lang w:val="fr-FR"/>
              </w:rPr>
              <w:t>Conférence mondiale de développement des télécommunications de 2025 (CMDT-25)</w:t>
            </w:r>
            <w:r w:rsidRPr="00D13543">
              <w:rPr>
                <w:b/>
                <w:bCs/>
                <w:sz w:val="32"/>
                <w:szCs w:val="32"/>
                <w:lang w:val="fr-FR"/>
              </w:rPr>
              <w:br/>
            </w:r>
            <w:r w:rsidRPr="00D13543">
              <w:rPr>
                <w:b/>
                <w:bCs/>
                <w:szCs w:val="24"/>
                <w:lang w:val="fr-FR"/>
              </w:rPr>
              <w:t>Bakou (République d</w:t>
            </w:r>
            <w:r w:rsidR="00294371" w:rsidRPr="00D13543">
              <w:rPr>
                <w:b/>
                <w:bCs/>
                <w:szCs w:val="24"/>
                <w:lang w:val="fr-FR"/>
              </w:rPr>
              <w:t>'</w:t>
            </w:r>
            <w:r w:rsidRPr="00D13543">
              <w:rPr>
                <w:b/>
                <w:bCs/>
                <w:szCs w:val="24"/>
                <w:lang w:val="fr-FR"/>
              </w:rPr>
              <w:t>Azerbaïdjan), 17</w:t>
            </w:r>
            <w:r w:rsidR="009903FC" w:rsidRPr="00D13543">
              <w:rPr>
                <w:b/>
                <w:bCs/>
                <w:szCs w:val="24"/>
                <w:lang w:val="fr-FR"/>
              </w:rPr>
              <w:t>-</w:t>
            </w:r>
            <w:r w:rsidRPr="00D13543">
              <w:rPr>
                <w:b/>
                <w:bCs/>
                <w:szCs w:val="24"/>
                <w:lang w:val="fr-FR"/>
              </w:rPr>
              <w:t>28 novembre 2025</w:t>
            </w:r>
          </w:p>
        </w:tc>
        <w:tc>
          <w:tcPr>
            <w:tcW w:w="1000" w:type="pct"/>
          </w:tcPr>
          <w:p w14:paraId="2C5DBE98" w14:textId="2E00326C" w:rsidR="00E80D1A" w:rsidRPr="00D13543" w:rsidRDefault="00A864A5" w:rsidP="0055124D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fr-FR"/>
              </w:rPr>
            </w:pPr>
            <w:r w:rsidRPr="00D13543">
              <w:rPr>
                <w:b/>
                <w:bCs/>
                <w:sz w:val="32"/>
                <w:szCs w:val="32"/>
                <w:lang w:val="fr-FR"/>
              </w:rPr>
              <w:drawing>
                <wp:inline distT="0" distB="0" distL="0" distR="0" wp14:anchorId="589B2DD4" wp14:editId="5439FAA0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D13543" w14:paraId="679DB3BF" w14:textId="77777777" w:rsidTr="00AC2258">
        <w:trPr>
          <w:cantSplit/>
        </w:trPr>
        <w:tc>
          <w:tcPr>
            <w:tcW w:w="3217" w:type="pct"/>
            <w:gridSpan w:val="2"/>
            <w:tcBorders>
              <w:top w:val="single" w:sz="12" w:space="0" w:color="auto"/>
            </w:tcBorders>
          </w:tcPr>
          <w:p w14:paraId="4C62B06C" w14:textId="77777777" w:rsidR="00D83BF5" w:rsidRPr="00D13543" w:rsidRDefault="00D83BF5" w:rsidP="00A327AF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fr-FR"/>
              </w:rPr>
            </w:pPr>
            <w:bookmarkStart w:id="0" w:name="dhead"/>
          </w:p>
        </w:tc>
        <w:tc>
          <w:tcPr>
            <w:tcW w:w="1783" w:type="pct"/>
            <w:gridSpan w:val="2"/>
            <w:tcBorders>
              <w:top w:val="single" w:sz="12" w:space="0" w:color="auto"/>
            </w:tcBorders>
          </w:tcPr>
          <w:p w14:paraId="0116ED64" w14:textId="77777777" w:rsidR="00D83BF5" w:rsidRPr="00D13543" w:rsidRDefault="00D83BF5" w:rsidP="00A327AF">
            <w:pPr>
              <w:spacing w:before="0" w:line="240" w:lineRule="atLeast"/>
              <w:rPr>
                <w:rFonts w:cstheme="minorHAnsi"/>
                <w:sz w:val="20"/>
                <w:lang w:val="fr-FR"/>
              </w:rPr>
            </w:pPr>
          </w:p>
        </w:tc>
      </w:tr>
      <w:tr w:rsidR="00D83BF5" w:rsidRPr="00D13543" w14:paraId="2DE0DADC" w14:textId="77777777" w:rsidTr="00AC2258">
        <w:trPr>
          <w:cantSplit/>
          <w:trHeight w:val="23"/>
        </w:trPr>
        <w:tc>
          <w:tcPr>
            <w:tcW w:w="3217" w:type="pct"/>
            <w:gridSpan w:val="2"/>
            <w:shd w:val="clear" w:color="auto" w:fill="auto"/>
          </w:tcPr>
          <w:p w14:paraId="28059CDA" w14:textId="152BF734" w:rsidR="00D83BF5" w:rsidRPr="00D13543" w:rsidRDefault="00F40E33" w:rsidP="00A327AF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D13543">
              <w:rPr>
                <w:lang w:val="fr-FR"/>
              </w:rPr>
              <w:t>SÉANCE PLÉNIÈRE</w:t>
            </w:r>
          </w:p>
        </w:tc>
        <w:tc>
          <w:tcPr>
            <w:tcW w:w="1783" w:type="pct"/>
            <w:gridSpan w:val="2"/>
          </w:tcPr>
          <w:p w14:paraId="7A5F1CCD" w14:textId="53C5BCEA" w:rsidR="00D83BF5" w:rsidRPr="00D13543" w:rsidRDefault="00F40E33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D13543">
              <w:rPr>
                <w:lang w:val="fr-FR"/>
              </w:rPr>
              <w:t xml:space="preserve">Document </w:t>
            </w:r>
            <w:r w:rsidR="009D3060" w:rsidRPr="00D13543">
              <w:rPr>
                <w:bCs/>
                <w:lang w:val="fr-FR"/>
              </w:rPr>
              <w:t>WTDC-25/</w:t>
            </w:r>
            <w:r w:rsidR="000A0999" w:rsidRPr="00D13543">
              <w:rPr>
                <w:bCs/>
                <w:color w:val="000000"/>
                <w:lang w:val="fr-FR"/>
              </w:rPr>
              <w:t>2(Ann.2)</w:t>
            </w:r>
            <w:r w:rsidRPr="00D13543">
              <w:rPr>
                <w:lang w:val="fr-FR"/>
              </w:rPr>
              <w:t>-F</w:t>
            </w:r>
          </w:p>
        </w:tc>
      </w:tr>
      <w:tr w:rsidR="00D83BF5" w:rsidRPr="00D13543" w14:paraId="54C2D06A" w14:textId="77777777" w:rsidTr="00AC2258">
        <w:trPr>
          <w:cantSplit/>
          <w:trHeight w:val="23"/>
        </w:trPr>
        <w:tc>
          <w:tcPr>
            <w:tcW w:w="3217" w:type="pct"/>
            <w:gridSpan w:val="2"/>
            <w:shd w:val="clear" w:color="auto" w:fill="auto"/>
          </w:tcPr>
          <w:p w14:paraId="26390377" w14:textId="50BB1F0F" w:rsidR="00D83BF5" w:rsidRPr="00D13543" w:rsidRDefault="00D83BF5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1783" w:type="pct"/>
            <w:gridSpan w:val="2"/>
          </w:tcPr>
          <w:p w14:paraId="7446A207" w14:textId="74A9C66A" w:rsidR="00D83BF5" w:rsidRPr="00D13543" w:rsidRDefault="000A0999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D13543">
              <w:rPr>
                <w:bCs/>
                <w:color w:val="000000"/>
                <w:lang w:val="fr-FR"/>
              </w:rPr>
              <w:t xml:space="preserve">13 octobre </w:t>
            </w:r>
            <w:r w:rsidR="00F40E33" w:rsidRPr="00D13543">
              <w:rPr>
                <w:lang w:val="fr-FR"/>
              </w:rPr>
              <w:t>2025</w:t>
            </w:r>
          </w:p>
        </w:tc>
      </w:tr>
      <w:tr w:rsidR="00D83BF5" w:rsidRPr="00D13543" w14:paraId="7D1F02CB" w14:textId="77777777" w:rsidTr="00AC2258">
        <w:trPr>
          <w:cantSplit/>
          <w:trHeight w:val="23"/>
        </w:trPr>
        <w:tc>
          <w:tcPr>
            <w:tcW w:w="3217" w:type="pct"/>
            <w:gridSpan w:val="2"/>
            <w:shd w:val="clear" w:color="auto" w:fill="auto"/>
          </w:tcPr>
          <w:p w14:paraId="50C265AC" w14:textId="74C2AF68" w:rsidR="00D83BF5" w:rsidRPr="00D13543" w:rsidRDefault="00D83BF5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1783" w:type="pct"/>
            <w:gridSpan w:val="2"/>
          </w:tcPr>
          <w:p w14:paraId="4CC3584B" w14:textId="100AE8BD" w:rsidR="00D83BF5" w:rsidRPr="00D13543" w:rsidRDefault="00F40E33" w:rsidP="009903FC">
            <w:pPr>
              <w:pStyle w:val="Committee"/>
              <w:framePr w:hSpace="0" w:wrap="auto" w:hAnchor="text" w:yAlign="inline"/>
              <w:rPr>
                <w:lang w:val="fr-FR"/>
              </w:rPr>
            </w:pPr>
            <w:r w:rsidRPr="00D13543">
              <w:rPr>
                <w:lang w:val="fr-FR"/>
              </w:rPr>
              <w:t>Original: anglais</w:t>
            </w:r>
          </w:p>
        </w:tc>
      </w:tr>
      <w:tr w:rsidR="00D83BF5" w:rsidRPr="00D13543" w14:paraId="0BA8CD3B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29BB25E0" w14:textId="7892C41D" w:rsidR="00D83BF5" w:rsidRPr="00D13543" w:rsidRDefault="000A0999" w:rsidP="00A327AF">
            <w:pPr>
              <w:pStyle w:val="Source"/>
              <w:spacing w:before="240" w:after="240"/>
              <w:rPr>
                <w:lang w:val="fr-FR"/>
              </w:rPr>
            </w:pPr>
            <w:r w:rsidRPr="00D13543">
              <w:rPr>
                <w:bCs/>
                <w:color w:val="000000"/>
                <w:lang w:val="fr-FR"/>
              </w:rPr>
              <w:t>Directeur du Bureau de développement des télécommunications</w:t>
            </w:r>
          </w:p>
        </w:tc>
      </w:tr>
      <w:tr w:rsidR="00D83BF5" w:rsidRPr="00D13543" w14:paraId="610454EC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5D61584" w14:textId="716ACCBA" w:rsidR="00D83BF5" w:rsidRPr="00D13543" w:rsidRDefault="000A0999" w:rsidP="000A0999">
            <w:pPr>
              <w:pStyle w:val="Title1"/>
              <w:spacing w:before="120" w:after="120"/>
              <w:rPr>
                <w:lang w:val="fr-FR"/>
              </w:rPr>
            </w:pPr>
            <w:r w:rsidRPr="00D13543">
              <w:rPr>
                <w:lang w:val="fr-FR"/>
              </w:rPr>
              <w:t>ANNEXE 2 DU DOCUMENT 2</w:t>
            </w:r>
          </w:p>
        </w:tc>
      </w:tr>
      <w:tr w:rsidR="00D83BF5" w:rsidRPr="00D13543" w14:paraId="3281F6CD" w14:textId="77777777" w:rsidTr="00AC2258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7E3AD81E" w14:textId="019AD872" w:rsidR="00D83BF5" w:rsidRPr="00D13543" w:rsidRDefault="00DE40DD" w:rsidP="00A327AF">
            <w:pPr>
              <w:pStyle w:val="Title2"/>
              <w:spacing w:before="240"/>
              <w:rPr>
                <w:lang w:val="fr-FR"/>
              </w:rPr>
            </w:pPr>
            <w:r w:rsidRPr="00D13543">
              <w:rPr>
                <w:lang w:val="fr-FR"/>
              </w:rPr>
              <w:t>CONTRIBUTION DES ACTIVITÉS RELATIVES AU PLAN OPÉRATIONNEL</w:t>
            </w:r>
            <w:r w:rsidR="0074369D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ET DES PROJETS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UIT-D À LA MISE EN ŒUVRE</w:t>
            </w:r>
            <w:r w:rsidR="0074369D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DES RÉSOLUTIONS DE LA CMDT-22</w:t>
            </w:r>
          </w:p>
        </w:tc>
      </w:tr>
      <w:tr w:rsidR="00EF1503" w:rsidRPr="00D13543" w14:paraId="3F37EAAA" w14:textId="77777777" w:rsidTr="0074369D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5E5D5FFA" w14:textId="195955EA" w:rsidR="00EF1503" w:rsidRPr="00D13543" w:rsidRDefault="00EF1503" w:rsidP="00A327AF">
            <w:pPr>
              <w:pStyle w:val="Title2"/>
              <w:spacing w:before="240"/>
              <w:rPr>
                <w:lang w:val="fr-FR"/>
              </w:rPr>
            </w:pPr>
          </w:p>
        </w:tc>
      </w:tr>
      <w:bookmarkEnd w:id="5"/>
      <w:bookmarkEnd w:id="6"/>
      <w:tr w:rsidR="00AF411C" w:rsidRPr="00D13543" w14:paraId="07261AB8" w14:textId="77777777" w:rsidTr="0074369D">
        <w:trPr>
          <w:cantSplit/>
          <w:trHeight w:val="23"/>
        </w:trPr>
        <w:tc>
          <w:tcPr>
            <w:tcW w:w="5000" w:type="pct"/>
            <w:gridSpan w:val="4"/>
            <w:shd w:val="clear" w:color="auto" w:fill="auto"/>
          </w:tcPr>
          <w:p w14:paraId="036CFCAD" w14:textId="77777777" w:rsidR="00AF411C" w:rsidRPr="00D13543" w:rsidRDefault="00AF411C" w:rsidP="000A0999">
            <w:pPr>
              <w:spacing w:after="120"/>
              <w:rPr>
                <w:lang w:val="fr-FR"/>
              </w:rPr>
            </w:pPr>
          </w:p>
        </w:tc>
      </w:tr>
    </w:tbl>
    <w:p w14:paraId="37552C2E" w14:textId="77777777" w:rsidR="000A0999" w:rsidRPr="00D13543" w:rsidRDefault="000A099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D13543">
        <w:rPr>
          <w:lang w:val="fr-FR"/>
        </w:rPr>
        <w:br w:type="page"/>
      </w:r>
    </w:p>
    <w:p w14:paraId="09BCE6B7" w14:textId="75AC4FF4" w:rsidR="000A0999" w:rsidRPr="00D13543" w:rsidRDefault="000A0999" w:rsidP="00943494">
      <w:pPr>
        <w:pStyle w:val="Headingb"/>
        <w:tabs>
          <w:tab w:val="clear" w:pos="1871"/>
          <w:tab w:val="clear" w:pos="2268"/>
          <w:tab w:val="left" w:pos="6145"/>
        </w:tabs>
        <w:rPr>
          <w:rFonts w:cstheme="minorHAnsi"/>
          <w:szCs w:val="28"/>
          <w:lang w:val="fr-FR"/>
        </w:rPr>
      </w:pPr>
      <w:bookmarkStart w:id="7" w:name="_Toc209097172"/>
      <w:bookmarkStart w:id="8" w:name="_Toc209618290"/>
      <w:bookmarkStart w:id="9" w:name="_Toc209618323"/>
      <w:bookmarkStart w:id="10" w:name="_Toc209621639"/>
      <w:r w:rsidRPr="00D13543">
        <w:rPr>
          <w:lang w:val="fr-FR"/>
        </w:rPr>
        <w:lastRenderedPageBreak/>
        <w:t>INTRODUCTION</w:t>
      </w:r>
      <w:bookmarkEnd w:id="7"/>
      <w:bookmarkEnd w:id="8"/>
      <w:bookmarkEnd w:id="9"/>
      <w:bookmarkEnd w:id="10"/>
    </w:p>
    <w:p w14:paraId="2EEBA6C4" w14:textId="78297D4A" w:rsidR="000A0999" w:rsidRPr="00D13543" w:rsidRDefault="000A0999" w:rsidP="000A0999">
      <w:pPr>
        <w:spacing w:after="120"/>
        <w:rPr>
          <w:rFonts w:cstheme="minorHAnsi"/>
          <w:lang w:val="fr-FR"/>
        </w:rPr>
      </w:pPr>
      <w:r w:rsidRPr="00D13543">
        <w:rPr>
          <w:lang w:val="fr-FR"/>
        </w:rPr>
        <w:t>La Conférence mondiale de développement des télécommunications (CMDT-22), qui s</w:t>
      </w:r>
      <w:r w:rsidR="00294371" w:rsidRPr="00D13543">
        <w:rPr>
          <w:lang w:val="fr-FR"/>
        </w:rPr>
        <w:t>'</w:t>
      </w:r>
      <w:r w:rsidRPr="00D13543">
        <w:rPr>
          <w:lang w:val="fr-FR"/>
        </w:rPr>
        <w:t>est tenue du 6 au 16 juin 2022 à Kigali (Rwanda), a adopté la Déclaration de Kigali et le Plan d</w:t>
      </w:r>
      <w:r w:rsidR="00294371" w:rsidRPr="00D13543">
        <w:rPr>
          <w:lang w:val="fr-FR"/>
        </w:rPr>
        <w:t>'</w:t>
      </w:r>
      <w:r w:rsidRPr="00D13543">
        <w:rPr>
          <w:lang w:val="fr-FR"/>
        </w:rPr>
        <w:t>action de Kigali, comprenant les Résolutions de la CMDT.</w:t>
      </w:r>
    </w:p>
    <w:p w14:paraId="21696E18" w14:textId="14FE348E" w:rsidR="000A0999" w:rsidRPr="00D13543" w:rsidRDefault="000A0999" w:rsidP="000A0999">
      <w:pPr>
        <w:spacing w:after="120"/>
        <w:rPr>
          <w:rFonts w:cstheme="minorBidi"/>
          <w:lang w:val="fr-FR"/>
        </w:rPr>
      </w:pPr>
      <w:r w:rsidRPr="00D13543">
        <w:rPr>
          <w:lang w:val="fr-FR"/>
        </w:rPr>
        <w:t>Le présent document est une Annexe du Document WTDC-25/02 et donne un aperçu de la mise en</w:t>
      </w:r>
      <w:r w:rsidR="0074369D" w:rsidRPr="00D13543">
        <w:rPr>
          <w:lang w:val="fr-FR"/>
        </w:rPr>
        <w:t> </w:t>
      </w:r>
      <w:r w:rsidRPr="00D13543">
        <w:rPr>
          <w:lang w:val="fr-FR"/>
        </w:rPr>
        <w:t>œuvre des Résolutions de la CMDT-22 dans le cadre des activités relatives au Plan opérationnel et des projets de l</w:t>
      </w:r>
      <w:r w:rsidR="00294371" w:rsidRPr="00D13543">
        <w:rPr>
          <w:lang w:val="fr-FR"/>
        </w:rPr>
        <w:t>'</w:t>
      </w:r>
      <w:r w:rsidRPr="00D13543">
        <w:rPr>
          <w:lang w:val="fr-FR"/>
        </w:rPr>
        <w:t>UIT-D. Le document porte strictement sur les activités et les projets mis en</w:t>
      </w:r>
      <w:r w:rsidR="0074369D" w:rsidRPr="00D13543">
        <w:rPr>
          <w:lang w:val="fr-FR"/>
        </w:rPr>
        <w:t> </w:t>
      </w:r>
      <w:r w:rsidRPr="00D13543">
        <w:rPr>
          <w:lang w:val="fr-FR"/>
        </w:rPr>
        <w:t>œuvre entre 2023 et 2025</w:t>
      </w:r>
      <w:r w:rsidRPr="00D13543">
        <w:rPr>
          <w:rStyle w:val="FootnoteReference"/>
          <w:rFonts w:cstheme="minorBidi"/>
          <w:lang w:val="fr-FR"/>
        </w:rPr>
        <w:footnoteReference w:id="1"/>
      </w:r>
      <w:r w:rsidRPr="00D13543">
        <w:rPr>
          <w:lang w:val="fr-FR"/>
        </w:rPr>
        <w:t xml:space="preserve"> et présente un bref aperçu des régions et des pays bénéficiaires. Veuillez noter que les correspondances ne sont pas exhaustives. Des rapports détaillés font l</w:t>
      </w:r>
      <w:r w:rsidR="00294371" w:rsidRPr="00D13543">
        <w:rPr>
          <w:lang w:val="fr-FR"/>
        </w:rPr>
        <w:t>'</w:t>
      </w:r>
      <w:r w:rsidRPr="00D13543">
        <w:rPr>
          <w:lang w:val="fr-FR"/>
        </w:rPr>
        <w:t>objet de documents distincts relatifs aux projets.</w:t>
      </w:r>
    </w:p>
    <w:p w14:paraId="64B14DBB" w14:textId="04DCAD83" w:rsidR="000A0999" w:rsidRPr="00D13543" w:rsidRDefault="000A0999" w:rsidP="000A0999">
      <w:pPr>
        <w:spacing w:after="120"/>
        <w:rPr>
          <w:rFonts w:cstheme="minorHAnsi"/>
          <w:lang w:val="fr-FR"/>
        </w:rPr>
      </w:pPr>
      <w:r w:rsidRPr="00D13543">
        <w:rPr>
          <w:lang w:val="fr-FR"/>
        </w:rPr>
        <w:t>Le présent document vient compléter les informations figurant dans le Document WTDC-25/02 et son Annexe 1 et s</w:t>
      </w:r>
      <w:r w:rsidR="00294371" w:rsidRPr="00D13543">
        <w:rPr>
          <w:lang w:val="fr-FR"/>
        </w:rPr>
        <w:t>'</w:t>
      </w:r>
      <w:r w:rsidRPr="00D13543">
        <w:rPr>
          <w:lang w:val="fr-FR"/>
        </w:rPr>
        <w:t>appuie sur les sources supplémentaires suivantes, mises à la disposition de tous les États Membres de l</w:t>
      </w:r>
      <w:r w:rsidR="00294371" w:rsidRPr="00D13543">
        <w:rPr>
          <w:lang w:val="fr-FR"/>
        </w:rPr>
        <w:t>'</w:t>
      </w:r>
      <w:r w:rsidRPr="00D13543">
        <w:rPr>
          <w:lang w:val="fr-FR"/>
        </w:rPr>
        <w:t>UIT:</w:t>
      </w:r>
    </w:p>
    <w:p w14:paraId="00FFF5ED" w14:textId="126E853A" w:rsidR="000A0999" w:rsidRPr="00D13543" w:rsidRDefault="00353CA4" w:rsidP="0074369D">
      <w:pPr>
        <w:pStyle w:val="enumlev1"/>
        <w:rPr>
          <w:rFonts w:cstheme="minorHAnsi"/>
          <w:lang w:val="fr-FR"/>
        </w:rPr>
      </w:pPr>
      <w:r w:rsidRPr="00D13543">
        <w:rPr>
          <w:lang w:val="fr-FR"/>
        </w:rPr>
        <w:t>–</w:t>
      </w:r>
      <w:r w:rsidRPr="00D13543">
        <w:rPr>
          <w:lang w:val="fr-FR"/>
        </w:rPr>
        <w:tab/>
      </w:r>
      <w:r w:rsidR="000A0999" w:rsidRPr="00D13543">
        <w:rPr>
          <w:lang w:val="fr-FR"/>
        </w:rPr>
        <w:t>Tableau de bord sur la mise en œuvre des initiatives régionales et des Résolutions de la</w:t>
      </w:r>
      <w:r w:rsidR="0074369D" w:rsidRPr="00D13543">
        <w:rPr>
          <w:lang w:val="fr-FR"/>
        </w:rPr>
        <w:t> </w:t>
      </w:r>
      <w:r w:rsidR="000A0999" w:rsidRPr="00D13543">
        <w:rPr>
          <w:lang w:val="fr-FR"/>
        </w:rPr>
        <w:t>CMDT-22 (</w:t>
      </w:r>
      <w:hyperlink r:id="rId12" w:history="1">
        <w:r w:rsidR="000A0999" w:rsidRPr="00D13543">
          <w:rPr>
            <w:rStyle w:val="Hyperlink"/>
            <w:lang w:val="fr-FR"/>
          </w:rPr>
          <w:t>lien</w:t>
        </w:r>
      </w:hyperlink>
      <w:r w:rsidR="000A0999" w:rsidRPr="00D13543">
        <w:rPr>
          <w:lang w:val="fr-FR"/>
        </w:rPr>
        <w:t>)</w:t>
      </w:r>
      <w:r w:rsidR="0074369D" w:rsidRPr="00D13543">
        <w:rPr>
          <w:lang w:val="fr-FR"/>
        </w:rPr>
        <w:t>.</w:t>
      </w:r>
      <w:hyperlink r:id="rId13" w:history="1"/>
    </w:p>
    <w:p w14:paraId="768A234A" w14:textId="34F9C668" w:rsidR="000A0999" w:rsidRPr="00D13543" w:rsidRDefault="00353CA4" w:rsidP="0074369D">
      <w:pPr>
        <w:pStyle w:val="enumlev1"/>
        <w:rPr>
          <w:rFonts w:cstheme="minorHAnsi"/>
          <w:lang w:val="fr-FR"/>
        </w:rPr>
      </w:pPr>
      <w:r w:rsidRPr="00D13543">
        <w:rPr>
          <w:lang w:val="fr-FR"/>
        </w:rPr>
        <w:t>–</w:t>
      </w:r>
      <w:r w:rsidR="003E7CBB" w:rsidRPr="00D13543">
        <w:rPr>
          <w:lang w:val="fr-FR"/>
        </w:rPr>
        <w:tab/>
      </w:r>
      <w:r w:rsidR="000A0999" w:rsidRPr="00D13543">
        <w:rPr>
          <w:lang w:val="fr-FR"/>
        </w:rPr>
        <w:t>Portail des projets de l</w:t>
      </w:r>
      <w:r w:rsidR="00294371" w:rsidRPr="00D13543">
        <w:rPr>
          <w:lang w:val="fr-FR"/>
        </w:rPr>
        <w:t>'</w:t>
      </w:r>
      <w:r w:rsidR="000A0999" w:rsidRPr="00D13543">
        <w:rPr>
          <w:lang w:val="fr-FR"/>
        </w:rPr>
        <w:t>UIT-D</w:t>
      </w:r>
      <w:r w:rsidR="000A0999" w:rsidRPr="00D13543">
        <w:rPr>
          <w:rStyle w:val="FootnoteReference"/>
          <w:rFonts w:cstheme="minorHAnsi"/>
          <w:lang w:val="fr-FR"/>
        </w:rPr>
        <w:footnoteReference w:id="2"/>
      </w:r>
      <w:r w:rsidR="0074369D" w:rsidRPr="00D13543">
        <w:rPr>
          <w:lang w:val="fr-FR"/>
        </w:rPr>
        <w:t>.</w:t>
      </w:r>
    </w:p>
    <w:p w14:paraId="2C78D5CE" w14:textId="6D3D506E" w:rsidR="000A0999" w:rsidRPr="00D13543" w:rsidRDefault="00353CA4" w:rsidP="0074369D">
      <w:pPr>
        <w:pStyle w:val="enumlev1"/>
        <w:rPr>
          <w:rFonts w:cstheme="minorHAnsi"/>
          <w:lang w:val="fr-FR"/>
        </w:rPr>
      </w:pPr>
      <w:r w:rsidRPr="00D13543">
        <w:rPr>
          <w:lang w:val="fr-FR"/>
        </w:rPr>
        <w:t>–</w:t>
      </w:r>
      <w:r w:rsidR="003E7CBB" w:rsidRPr="00D13543">
        <w:rPr>
          <w:lang w:val="fr-FR"/>
        </w:rPr>
        <w:tab/>
      </w:r>
      <w:r w:rsidR="000A0999" w:rsidRPr="00D13543">
        <w:rPr>
          <w:lang w:val="fr-FR"/>
        </w:rPr>
        <w:t>Tableau de bord des projets de l</w:t>
      </w:r>
      <w:r w:rsidR="00294371" w:rsidRPr="00D13543">
        <w:rPr>
          <w:lang w:val="fr-FR"/>
        </w:rPr>
        <w:t>'</w:t>
      </w:r>
      <w:r w:rsidR="000A0999" w:rsidRPr="00D13543">
        <w:rPr>
          <w:lang w:val="fr-FR"/>
        </w:rPr>
        <w:t>UIT-D pour les Membres de l</w:t>
      </w:r>
      <w:r w:rsidR="00294371" w:rsidRPr="00D13543">
        <w:rPr>
          <w:lang w:val="fr-FR"/>
        </w:rPr>
        <w:t>'</w:t>
      </w:r>
      <w:r w:rsidR="000A0999" w:rsidRPr="00D13543">
        <w:rPr>
          <w:lang w:val="fr-FR"/>
        </w:rPr>
        <w:t>UIT</w:t>
      </w:r>
      <w:r w:rsidR="000A0999" w:rsidRPr="00D13543">
        <w:rPr>
          <w:rStyle w:val="FootnoteReference"/>
          <w:rFonts w:cstheme="minorHAnsi"/>
          <w:lang w:val="fr-FR"/>
        </w:rPr>
        <w:footnoteReference w:id="3"/>
      </w:r>
      <w:r w:rsidR="0074369D" w:rsidRPr="00D13543">
        <w:rPr>
          <w:lang w:val="fr-FR"/>
        </w:rPr>
        <w:t>.</w:t>
      </w:r>
    </w:p>
    <w:p w14:paraId="32AF11E2" w14:textId="083189BA" w:rsidR="000A0999" w:rsidRPr="00D13543" w:rsidRDefault="000A0999" w:rsidP="000A0999">
      <w:pPr>
        <w:spacing w:after="120"/>
        <w:rPr>
          <w:rFonts w:cstheme="minorHAnsi"/>
          <w:lang w:val="fr-FR"/>
        </w:rPr>
      </w:pPr>
      <w:r w:rsidRPr="00D13543">
        <w:rPr>
          <w:lang w:val="fr-FR"/>
        </w:rPr>
        <w:t xml:space="preserve">De plus amples informations sur les travaux réalisés en vue de la mise en œuvre des résolutions sont disponibles dans les Documents </w:t>
      </w:r>
      <w:hyperlink r:id="rId14" w:history="1">
        <w:r w:rsidRPr="00D13543">
          <w:rPr>
            <w:rStyle w:val="Hyperlink"/>
            <w:lang w:val="fr-FR"/>
          </w:rPr>
          <w:t>TDAG 30/2</w:t>
        </w:r>
      </w:hyperlink>
      <w:r w:rsidRPr="00D13543">
        <w:rPr>
          <w:lang w:val="fr-FR"/>
        </w:rPr>
        <w:t xml:space="preserve">, </w:t>
      </w:r>
      <w:hyperlink r:id="rId15" w:history="1">
        <w:r w:rsidRPr="00D13543">
          <w:rPr>
            <w:rStyle w:val="Hyperlink"/>
            <w:lang w:val="fr-FR"/>
          </w:rPr>
          <w:t>TDAG 31/2</w:t>
        </w:r>
      </w:hyperlink>
      <w:r w:rsidRPr="00D13543">
        <w:rPr>
          <w:lang w:val="fr-FR"/>
        </w:rPr>
        <w:t xml:space="preserve"> et </w:t>
      </w:r>
      <w:hyperlink r:id="rId16" w:history="1">
        <w:r w:rsidRPr="00D13543">
          <w:rPr>
            <w:rStyle w:val="Hyperlink"/>
            <w:lang w:val="fr-FR"/>
          </w:rPr>
          <w:t>TDAG 32/2</w:t>
        </w:r>
      </w:hyperlink>
      <w:r w:rsidRPr="00D13543">
        <w:rPr>
          <w:lang w:val="fr-FR"/>
        </w:rPr>
        <w:t>.</w:t>
      </w:r>
      <w:hyperlink r:id="rId17" w:history="1"/>
      <w:hyperlink r:id="rId18" w:history="1"/>
      <w:hyperlink r:id="rId19" w:history="1"/>
    </w:p>
    <w:p w14:paraId="520CBF49" w14:textId="77777777" w:rsidR="000A0999" w:rsidRPr="00D13543" w:rsidRDefault="000A0999" w:rsidP="0074369D">
      <w:pPr>
        <w:rPr>
          <w:lang w:val="fr-FR"/>
        </w:rPr>
        <w:sectPr w:rsidR="000A0999" w:rsidRPr="00D13543" w:rsidSect="00632D5F">
          <w:headerReference w:type="default" r:id="rId20"/>
          <w:footerReference w:type="even" r:id="rId21"/>
          <w:headerReference w:type="first" r:id="rId22"/>
          <w:footerReference w:type="first" r:id="rId23"/>
          <w:pgSz w:w="11907" w:h="16840" w:code="9"/>
          <w:pgMar w:top="1134" w:right="1134" w:bottom="1134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  <w:r w:rsidRPr="00D13543">
        <w:rPr>
          <w:lang w:val="fr-FR"/>
        </w:rPr>
        <w:br w:type="page"/>
      </w:r>
    </w:p>
    <w:p w14:paraId="77A25A20" w14:textId="6A1D94CD" w:rsidR="0087250B" w:rsidRPr="00D13543" w:rsidRDefault="00CF25E8" w:rsidP="00B70B4C">
      <w:pPr>
        <w:pStyle w:val="Tabletitle"/>
        <w:spacing w:before="120"/>
        <w:jc w:val="left"/>
        <w:rPr>
          <w:rFonts w:cstheme="minorHAnsi"/>
          <w:lang w:val="fr-FR"/>
        </w:rPr>
      </w:pPr>
      <w:r w:rsidRPr="00D13543">
        <w:rPr>
          <w:lang w:val="fr-FR"/>
        </w:rPr>
        <w:lastRenderedPageBreak/>
        <w:t>RÉSOLUTIONS DE LA CMDT</w:t>
      </w:r>
    </w:p>
    <w:tbl>
      <w:tblPr>
        <w:tblW w:w="15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718"/>
        <w:gridCol w:w="4512"/>
      </w:tblGrid>
      <w:tr w:rsidR="0087250B" w:rsidRPr="00D13543" w14:paraId="300A1B8C" w14:textId="77777777" w:rsidTr="00631E95">
        <w:trPr>
          <w:trHeight w:val="300"/>
          <w:tblHeader/>
        </w:trPr>
        <w:tc>
          <w:tcPr>
            <w:tcW w:w="2977" w:type="dxa"/>
            <w:shd w:val="clear" w:color="auto" w:fill="4F81BD" w:themeFill="accent1"/>
            <w:noWrap/>
            <w:vAlign w:val="center"/>
          </w:tcPr>
          <w:p w14:paraId="2A6868C6" w14:textId="77777777" w:rsidR="0087250B" w:rsidRPr="00D13543" w:rsidRDefault="0087250B" w:rsidP="00B70B4C">
            <w:pPr>
              <w:pStyle w:val="Tablehead"/>
              <w:rPr>
                <w:rFonts w:cstheme="minorHAnsi"/>
                <w:color w:val="FFFFFF" w:themeColor="background1"/>
                <w:lang w:val="fr-FR"/>
              </w:rPr>
            </w:pPr>
            <w:r w:rsidRPr="00D13543">
              <w:rPr>
                <w:color w:val="FFFFFF" w:themeColor="background1"/>
                <w:lang w:val="fr-FR"/>
              </w:rPr>
              <w:t>Résolution</w:t>
            </w:r>
          </w:p>
        </w:tc>
        <w:tc>
          <w:tcPr>
            <w:tcW w:w="7718" w:type="dxa"/>
            <w:tcBorders>
              <w:bottom w:val="single" w:sz="4" w:space="0" w:color="auto"/>
            </w:tcBorders>
            <w:shd w:val="clear" w:color="auto" w:fill="4F81BD" w:themeFill="accent1"/>
            <w:noWrap/>
            <w:vAlign w:val="center"/>
          </w:tcPr>
          <w:p w14:paraId="0288442F" w14:textId="2EDAF6CB" w:rsidR="0087250B" w:rsidRPr="00D13543" w:rsidRDefault="0087250B" w:rsidP="00B70B4C">
            <w:pPr>
              <w:pStyle w:val="Tablehead"/>
              <w:rPr>
                <w:rFonts w:cstheme="minorHAnsi"/>
                <w:color w:val="FFFFFF" w:themeColor="background1"/>
                <w:lang w:val="fr-FR"/>
              </w:rPr>
            </w:pPr>
            <w:r w:rsidRPr="00D13543">
              <w:rPr>
                <w:color w:val="FFFFFF" w:themeColor="background1"/>
                <w:lang w:val="fr-FR"/>
              </w:rPr>
              <w:t>Mécanisme de mise en œuvre</w:t>
            </w:r>
            <w:r w:rsidRPr="00D13543">
              <w:rPr>
                <w:rStyle w:val="FootnoteReference"/>
                <w:rFonts w:cstheme="minorHAnsi"/>
                <w:b w:val="0"/>
                <w:color w:val="FFFFFF" w:themeColor="background1"/>
                <w:sz w:val="20"/>
                <w:lang w:val="fr-FR"/>
              </w:rPr>
              <w:footnoteReference w:id="4"/>
            </w:r>
            <w:r w:rsidR="00CF25E8" w:rsidRPr="00D13543">
              <w:rPr>
                <w:rStyle w:val="FootnoteReference"/>
                <w:rFonts w:cstheme="minorHAnsi"/>
                <w:b w:val="0"/>
                <w:color w:val="FFFFFF" w:themeColor="background1"/>
                <w:sz w:val="20"/>
                <w:lang w:val="fr-FR"/>
              </w:rPr>
              <w:t xml:space="preserve">, </w:t>
            </w:r>
            <w:r w:rsidRPr="00D13543">
              <w:rPr>
                <w:rStyle w:val="FootnoteReference"/>
                <w:rFonts w:cstheme="minorHAnsi"/>
                <w:b w:val="0"/>
                <w:color w:val="FFFFFF" w:themeColor="background1"/>
                <w:sz w:val="20"/>
                <w:lang w:val="fr-FR"/>
              </w:rPr>
              <w:footnoteReference w:id="5"/>
            </w: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4F81BD" w:themeFill="accent1"/>
            <w:noWrap/>
            <w:vAlign w:val="center"/>
          </w:tcPr>
          <w:p w14:paraId="40AC60CB" w14:textId="77777777" w:rsidR="0087250B" w:rsidRPr="00D13543" w:rsidRDefault="0087250B" w:rsidP="00B70B4C">
            <w:pPr>
              <w:pStyle w:val="Tablehead"/>
              <w:rPr>
                <w:rFonts w:cstheme="minorHAnsi"/>
                <w:color w:val="FFFFFF" w:themeColor="background1"/>
                <w:lang w:val="fr-FR"/>
              </w:rPr>
            </w:pPr>
            <w:r w:rsidRPr="00D13543">
              <w:rPr>
                <w:color w:val="FFFFFF" w:themeColor="background1"/>
                <w:lang w:val="fr-FR"/>
              </w:rPr>
              <w:t>Régions/pays bénéficiaires</w:t>
            </w:r>
          </w:p>
        </w:tc>
      </w:tr>
      <w:tr w:rsidR="0087250B" w:rsidRPr="00D13543" w14:paraId="77CFCAF6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</w:tcPr>
          <w:p w14:paraId="0ECFA580" w14:textId="343D0A93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1 (Rév.</w:t>
            </w:r>
            <w:r w:rsidR="00B70B4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B70B4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</w:t>
            </w:r>
            <w:r w:rsidR="00B70B4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Règlement intérieur du Secteur du développement des télécommunications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0CD898" w14:textId="2CD02635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Toutes les réunions (GCDT, Commissions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études 1 et 2, RPM, etc.) se sont tenues conformément aux règles et procédures énoncées dans la Résolution 1.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DE28CB" w14:textId="77777777" w:rsidR="0087250B" w:rsidRPr="00D13543" w:rsidRDefault="0087250B" w:rsidP="00C50E6B">
            <w:pPr>
              <w:pStyle w:val="Tabletext"/>
              <w:rPr>
                <w:lang w:val="fr-FR"/>
              </w:rPr>
            </w:pPr>
            <w:r w:rsidRPr="00D13543">
              <w:rPr>
                <w:lang w:val="fr-FR"/>
              </w:rPr>
              <w:t>Sans objet.</w:t>
            </w:r>
          </w:p>
        </w:tc>
      </w:tr>
      <w:tr w:rsidR="0087250B" w:rsidRPr="00D13543" w14:paraId="432CDE0F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AA29B0" w14:textId="3BF72E01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2 (Rév.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Établissement de commissions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études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0E3B8D" w14:textId="3C584AEE" w:rsidR="0087250B" w:rsidRPr="00D13543" w:rsidRDefault="0087250B" w:rsidP="00B70B4C">
            <w:pPr>
              <w:pStyle w:val="Tabletext"/>
              <w:rPr>
                <w:rFonts w:cstheme="minorBidi"/>
                <w:lang w:val="fr-FR"/>
              </w:rPr>
            </w:pPr>
            <w:r w:rsidRPr="00D13543">
              <w:rPr>
                <w:lang w:val="fr-FR"/>
              </w:rPr>
              <w:t>On trouvera des précisions sur les activités relatives à la Résolution 2 dans:</w:t>
            </w:r>
          </w:p>
          <w:p w14:paraId="0D0F5862" w14:textId="6169DFB2" w:rsidR="0087250B" w:rsidRPr="00D13543" w:rsidRDefault="00F24CE5" w:rsidP="00E22C39">
            <w:pPr>
              <w:pStyle w:val="enumlev1"/>
              <w:tabs>
                <w:tab w:val="clear" w:pos="1134"/>
                <w:tab w:val="clear" w:pos="1871"/>
                <w:tab w:val="clear" w:pos="2608"/>
                <w:tab w:val="clear" w:pos="3345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Le Document </w:t>
            </w:r>
            <w:hyperlink r:id="rId24" w:history="1">
              <w:r w:rsidR="0087250B" w:rsidRPr="00D13543">
                <w:rPr>
                  <w:rStyle w:val="Hyperlink"/>
                  <w:sz w:val="20"/>
                  <w:lang w:val="fr-FR"/>
                </w:rPr>
                <w:t>WTDC-25/11</w:t>
              </w:r>
            </w:hyperlink>
            <w:r w:rsidR="0087250B" w:rsidRPr="00D13543">
              <w:rPr>
                <w:sz w:val="20"/>
                <w:lang w:val="fr-FR"/>
              </w:rPr>
              <w:t xml:space="preserve"> </w:t>
            </w:r>
            <w:r w:rsidR="00CF25E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Rapport sur les activités de la Commission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études 1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UIT-D pendant la huitième période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études comprise entre la CMDT-22 et la</w:t>
            </w:r>
            <w:r w:rsidR="00CF25E8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CMDT-25</w:t>
            </w:r>
          </w:p>
          <w:p w14:paraId="20BE5802" w14:textId="335CC416" w:rsidR="0087250B" w:rsidRPr="00D13543" w:rsidRDefault="00F24CE5" w:rsidP="00E22C3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Le Document </w:t>
            </w:r>
            <w:hyperlink r:id="rId25" w:history="1">
              <w:r w:rsidR="0087250B" w:rsidRPr="00D13543">
                <w:rPr>
                  <w:rStyle w:val="Hyperlink"/>
                  <w:sz w:val="20"/>
                  <w:lang w:val="fr-FR"/>
                </w:rPr>
                <w:t>WTDC-25/12</w:t>
              </w:r>
            </w:hyperlink>
            <w:r w:rsidR="0087250B" w:rsidRPr="00D13543">
              <w:rPr>
                <w:sz w:val="20"/>
                <w:lang w:val="fr-FR"/>
              </w:rPr>
              <w:t xml:space="preserve"> </w:t>
            </w:r>
            <w:r w:rsidR="00CF25E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Rapport sur les activités de la Commission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études 2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UIT-D pendant la huitième période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études comprise entre la CMDT-22 et la</w:t>
            </w:r>
            <w:r w:rsidR="00E22C3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CMDT-25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43053D" w14:textId="77777777" w:rsidR="0087250B" w:rsidRPr="00D13543" w:rsidRDefault="0087250B" w:rsidP="00C50E6B">
            <w:pPr>
              <w:pStyle w:val="Tabletext"/>
              <w:rPr>
                <w:lang w:val="fr-FR"/>
              </w:rPr>
            </w:pPr>
            <w:r w:rsidRPr="00D13543">
              <w:rPr>
                <w:lang w:val="fr-FR"/>
              </w:rPr>
              <w:t>Sans objet.</w:t>
            </w:r>
          </w:p>
        </w:tc>
      </w:tr>
      <w:tr w:rsidR="0087250B" w:rsidRPr="00D13543" w14:paraId="00262034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2B4FCAAE" w14:textId="695B47E0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5 (Rév.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</w:t>
            </w:r>
            <w:r w:rsidR="00C2649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Renforcement de la participation des pays en développement aux activités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1F37E6" w14:textId="039596EF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  <w:r w:rsidR="00D13543" w:rsidRPr="00D13543">
              <w:rPr>
                <w:lang w:val="fr-FR"/>
              </w:rPr>
              <w:t>:</w:t>
            </w:r>
          </w:p>
          <w:p w14:paraId="5BB03F5B" w14:textId="7E4EB00F" w:rsidR="0087250B" w:rsidRPr="00D13543" w:rsidRDefault="00637E27" w:rsidP="00E22C3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14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7B66DE" w14:textId="68AC7D85" w:rsidR="0087250B" w:rsidRPr="00D13543" w:rsidRDefault="00F24CE5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E22C3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</w:t>
            </w:r>
          </w:p>
        </w:tc>
      </w:tr>
      <w:tr w:rsidR="0087250B" w:rsidRPr="00D13543" w14:paraId="64A2DA6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51AE1E4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CCEDF4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D16F2D" w14:textId="77777777" w:rsidR="0087250B" w:rsidRPr="00D13543" w:rsidRDefault="0087250B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073A2E3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6A17F1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4FE0E" w14:textId="47E9FE2B" w:rsidR="0087250B" w:rsidRPr="00D13543" w:rsidRDefault="008B0204" w:rsidP="00E22C3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9RAS24077 – Renforcement de la participation de la région Asie-Pacifique aux conférences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3261E" w14:textId="093515B5" w:rsidR="0087250B" w:rsidRPr="00D13543" w:rsidRDefault="007449CA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70495017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0C6566" w14:textId="12C9005B" w:rsidR="0087250B" w:rsidRPr="00D13543" w:rsidRDefault="0087250B" w:rsidP="00B60459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8 (Rév.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</w:t>
            </w:r>
            <w:r w:rsidR="00C2649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Collecte</w:t>
            </w:r>
            <w:r w:rsidR="00354EF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et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diffusion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informations et de statistiques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C9ADD56" w14:textId="77777777" w:rsidR="0087250B" w:rsidRPr="00D13543" w:rsidRDefault="0087250B" w:rsidP="00B60459">
            <w:pPr>
              <w:pStyle w:val="Tabletext"/>
              <w:widowControl w:val="0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opérationnel:</w:t>
            </w:r>
          </w:p>
          <w:p w14:paraId="7C29F991" w14:textId="2AD33095" w:rsidR="0087250B" w:rsidRPr="00D13543" w:rsidRDefault="008B0204" w:rsidP="00B60459">
            <w:pPr>
              <w:pStyle w:val="enumlev1"/>
              <w:widowControl w:val="0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42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0CC0B2" w14:textId="16061911" w:rsidR="0087250B" w:rsidRPr="00D13543" w:rsidRDefault="008B0204" w:rsidP="00B60459">
            <w:pPr>
              <w:pStyle w:val="enumlev1"/>
              <w:widowControl w:val="0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636508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1D1D480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479283FB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DE1750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313DD1" w14:textId="77777777" w:rsidR="0087250B" w:rsidRPr="00D13543" w:rsidRDefault="0087250B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261259F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7610AD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EA7D5A" w14:textId="5CC17607" w:rsidR="0087250B" w:rsidRPr="00D13543" w:rsidRDefault="008B0204" w:rsidP="00E22C3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2RER21029 </w:t>
            </w:r>
            <w:r w:rsidR="00E22C39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Rapport sur le suivi des DEEE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échelle régionale pour les Balkans occidentaux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D7C0F6" w14:textId="4970195F" w:rsidR="0087250B" w:rsidRPr="00D13543" w:rsidRDefault="008B0204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Bosnie-Herzégovine, Monténégro, Macédoine du Nord, Serbie</w:t>
            </w:r>
          </w:p>
        </w:tc>
      </w:tr>
      <w:tr w:rsidR="0087250B" w:rsidRPr="00D13543" w14:paraId="0375DA10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912F05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9BF521" w14:textId="02CDE933" w:rsidR="0087250B" w:rsidRPr="00D13543" w:rsidRDefault="00B56C19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9COS24019 – Renforcement des connaissances dans le domaine des technologies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intention des spécialistes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Institut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électricité du Costa Rica (ICE)</w:t>
            </w:r>
            <w:r w:rsidR="00C26498" w:rsidRPr="00D13543">
              <w:rPr>
                <w:sz w:val="20"/>
                <w:lang w:val="fr-FR"/>
              </w:rPr>
              <w:t xml:space="preserve"> –</w:t>
            </w:r>
            <w:r w:rsidR="0087250B" w:rsidRPr="00D13543">
              <w:rPr>
                <w:sz w:val="20"/>
                <w:lang w:val="fr-FR"/>
              </w:rPr>
              <w:t xml:space="preserve">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17C88F" w14:textId="0E473CD7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Costa Rica</w:t>
            </w:r>
          </w:p>
        </w:tc>
      </w:tr>
      <w:tr w:rsidR="0087250B" w:rsidRPr="00D13543" w14:paraId="33235F9B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B3B4F8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680030" w14:textId="70970841" w:rsidR="0087250B" w:rsidRPr="00D13543" w:rsidRDefault="00B56C19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9GLO23123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Promouvoir et mesurer la connectivité efficace et universelle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DBDFBE" w14:textId="3728F9F3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9F74901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F178024" w14:textId="5A044E18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9 </w:t>
            </w:r>
            <w:r w:rsidR="00354EF9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Participation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des pays, en particulier des pays en développement, à la gestion du spectre radioélectrique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9BE62D" w14:textId="77777777" w:rsidR="0087250B" w:rsidRPr="00D13543" w:rsidRDefault="0087250B" w:rsidP="00C50E6B">
            <w:pPr>
              <w:pStyle w:val="Tabletext"/>
              <w:rPr>
                <w:lang w:val="fr-FR"/>
              </w:rPr>
            </w:pPr>
            <w:r w:rsidRPr="00D13543">
              <w:rPr>
                <w:lang w:val="fr-FR"/>
              </w:rPr>
              <w:t>Plan opérationnel:</w:t>
            </w:r>
          </w:p>
          <w:p w14:paraId="3EDA4B5A" w14:textId="059F40B1" w:rsidR="0087250B" w:rsidRPr="00D13543" w:rsidRDefault="00040A63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37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E0233" w14:textId="3FAE1AFE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États arabes, Asie-Pacifique, pays de la CEI, monde ou régions multiples</w:t>
            </w:r>
          </w:p>
        </w:tc>
      </w:tr>
      <w:tr w:rsidR="0087250B" w:rsidRPr="00D13543" w14:paraId="0514C93B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EB8631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BF0868" w14:textId="77777777" w:rsidR="0087250B" w:rsidRPr="00D13543" w:rsidRDefault="0087250B" w:rsidP="00C50E6B">
            <w:pPr>
              <w:pStyle w:val="Tabletext"/>
              <w:rPr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25286" w14:textId="77777777" w:rsidR="0087250B" w:rsidRPr="00D13543" w:rsidRDefault="0087250B" w:rsidP="00B56C19">
            <w:pPr>
              <w:pStyle w:val="enumlev1"/>
              <w:tabs>
                <w:tab w:val="clear" w:pos="1134"/>
                <w:tab w:val="left" w:pos="585"/>
              </w:tabs>
              <w:ind w:left="585" w:hanging="425"/>
              <w:rPr>
                <w:sz w:val="20"/>
                <w:lang w:val="fr-FR"/>
              </w:rPr>
            </w:pPr>
          </w:p>
        </w:tc>
      </w:tr>
      <w:tr w:rsidR="0087250B" w:rsidRPr="00D13543" w14:paraId="2DB811A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9789B2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E4DBEA" w14:textId="172A97E8" w:rsidR="0087250B" w:rsidRPr="00D13543" w:rsidRDefault="00040A63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9GLO19099 – Assistance en vue de la création de systèmes-cadres nationaux de base pour la gestion du spectre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59B6A" w14:textId="78986891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C8D0C5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9899C2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37E991" w14:textId="05A2AA8F" w:rsidR="0087250B" w:rsidRPr="00D13543" w:rsidRDefault="00040A63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9GLO20102 – Assistance dans la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système de gestion et de contrôle du spectre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84D60" w14:textId="218BD03A" w:rsidR="0087250B" w:rsidRPr="00D13543" w:rsidRDefault="00040A63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2FC9666A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A1FC68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080E9" w14:textId="5F5278E9" w:rsidR="0087250B" w:rsidRPr="00D13543" w:rsidRDefault="00E71762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503F" w14:textId="55964AF5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</w:t>
            </w:r>
            <w:r w:rsidR="00E02222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Faso, Burundi, Cameroun, Cabo</w:t>
            </w:r>
            <w:r w:rsidR="00E02222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Verde, Rép. centrafricaine, Tchad, Congo,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Guinée-Bissau, Kenya, Lesotho, Libéria, Libye, Madagascar, Malawi, Mali, Mauritanie, Maurice, Maroc, Mozambique, Namibie, Niger, Nigéria, Rwanda (République du), Sao Tomé-et-Principe, Sénégal, Seychelles, Sierra Leone, Somalie, Rép. sudafricaine, Soudan du Sud, Soudan, Tanzanie, Togo, Tunisie, Ouganda, Zambie, Zimbabwe</w:t>
            </w:r>
          </w:p>
        </w:tc>
      </w:tr>
      <w:tr w:rsidR="0087250B" w:rsidRPr="00D13543" w14:paraId="13E15F6A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6ACF24" w14:textId="1692EA5F" w:rsidR="0087250B" w:rsidRPr="00D13543" w:rsidRDefault="0087250B" w:rsidP="00170E1A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10 (Rév.</w:t>
            </w:r>
            <w:r w:rsidR="001A182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Hyderabad,</w:t>
            </w:r>
            <w:r w:rsidR="00C2649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2010) – Assistance financière pour les programmes nationaux de gestion du spectre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9981BB" w14:textId="77777777" w:rsidR="0087250B" w:rsidRPr="00D13543" w:rsidRDefault="0087250B" w:rsidP="00170E1A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4129AC2" w14:textId="385575EE" w:rsidR="0087250B" w:rsidRPr="00D13543" w:rsidRDefault="00CC1B70" w:rsidP="00C50E6B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14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C327FA" w14:textId="3BC66EDB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États arabes, monde ou régions multiples</w:t>
            </w:r>
          </w:p>
        </w:tc>
      </w:tr>
      <w:tr w:rsidR="0087250B" w:rsidRPr="00D13543" w14:paraId="315F14FE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481624D3" w14:textId="77777777" w:rsidR="0087250B" w:rsidRPr="00D13543" w:rsidRDefault="0087250B" w:rsidP="00170E1A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8F8FCB" w14:textId="77777777" w:rsidR="0087250B" w:rsidRPr="00D13543" w:rsidRDefault="0087250B" w:rsidP="00170E1A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28C09C1" w14:textId="77777777" w:rsidR="0087250B" w:rsidRPr="00D13543" w:rsidRDefault="0087250B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</w:p>
        </w:tc>
      </w:tr>
      <w:tr w:rsidR="0087250B" w:rsidRPr="00D13543" w14:paraId="5D05277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7B532FC" w14:textId="77777777" w:rsidR="0087250B" w:rsidRPr="00D13543" w:rsidRDefault="0087250B" w:rsidP="00170E1A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D71B7CC" w14:textId="309C6D83" w:rsidR="0087250B" w:rsidRPr="00D13543" w:rsidRDefault="001B2696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9GLO19099 – Assistance en vue de la création de systèmes-cadres nationaux de base pour la gestion du spectre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A50D89" w14:textId="407C8A38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4C47F8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9C90E1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2EC28E" w14:textId="4C460999" w:rsidR="0087250B" w:rsidRPr="00D13543" w:rsidRDefault="001B2696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EA8387" w14:textId="657C7230" w:rsidR="0087250B" w:rsidRPr="00D13543" w:rsidRDefault="00B56C19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Algérie, Angola, Bénin, Botswana, Burkina Faso, Burundi, Cameroun, </w:t>
            </w:r>
            <w:r w:rsidR="00D13543" w:rsidRPr="00D13543">
              <w:rPr>
                <w:sz w:val="20"/>
                <w:lang w:val="fr-FR"/>
              </w:rPr>
              <w:t>Cabo Verde</w:t>
            </w:r>
            <w:r w:rsidR="0087250B" w:rsidRPr="00D13543">
              <w:rPr>
                <w:sz w:val="20"/>
                <w:lang w:val="fr-FR"/>
              </w:rPr>
              <w:t>, Rép.</w:t>
            </w:r>
            <w:r w:rsidR="00B6045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centrafricaine, Tchad, Congo, Côte</w:t>
            </w:r>
            <w:r w:rsidR="005C1F11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</w:t>
            </w:r>
            <w:r w:rsidR="00B6045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Bissau, Kenya, Lesotho, Libéria, Libye, Madagascar, Malawi, Mali, Mauritanie, Maurice, Maroc, Mozambique, Namibie, Niger, Nigéria, Rwanda (République</w:t>
            </w:r>
            <w:r w:rsidR="001B2696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du), Sao Tomé</w:t>
            </w:r>
            <w:r w:rsidR="00B6045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et-Principe, Sénégal, Seychelles, Sierra Leone, Somalie, Rép. sudafricaine, Soudan du Sud, Soudan, Tanzanie, Togo, Tunisie, Ouganda, Zambie, Zimbabwe</w:t>
            </w:r>
          </w:p>
        </w:tc>
      </w:tr>
      <w:tr w:rsidR="0087250B" w:rsidRPr="00D13543" w14:paraId="0DDD2279" w14:textId="77777777" w:rsidTr="00631E95">
        <w:trPr>
          <w:trHeight w:val="751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15D1B56" w14:textId="0E1944CC" w:rsidR="0087250B" w:rsidRPr="00D13543" w:rsidRDefault="0087250B" w:rsidP="00C50E6B">
            <w:pPr>
              <w:pStyle w:val="Tabletext"/>
              <w:tabs>
                <w:tab w:val="clear" w:pos="2552"/>
              </w:tabs>
              <w:ind w:left="-54" w:right="-32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11 </w:t>
            </w:r>
            <w:r w:rsidR="00BC3151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Services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issus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des télécommunications</w:t>
            </w:r>
            <w:r w:rsidR="00306C27" w:rsidRPr="00D13543">
              <w:rPr>
                <w:lang w:val="fr-FR"/>
              </w:rPr>
              <w:t>/</w:t>
            </w:r>
            <w:r w:rsidR="00846A67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technologi</w:t>
            </w:r>
            <w:r w:rsidR="00BC3151" w:rsidRPr="00D13543">
              <w:rPr>
                <w:lang w:val="fr-FR"/>
              </w:rPr>
              <w:t>e</w:t>
            </w:r>
            <w:r w:rsidRPr="00D13543">
              <w:rPr>
                <w:lang w:val="fr-FR"/>
              </w:rPr>
              <w:t>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 dans les zones rurales, isolées et mal desservies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E7C0C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719AEFA" w14:textId="5BC99C8C" w:rsidR="0087250B" w:rsidRPr="00D13543" w:rsidRDefault="005576B4" w:rsidP="00C50E6B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28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CA549F" w14:textId="0A9238A1" w:rsidR="0087250B" w:rsidRPr="00D13543" w:rsidRDefault="005576B4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</w:t>
            </w:r>
          </w:p>
          <w:p w14:paraId="031D15E2" w14:textId="5D8CB8F4" w:rsidR="0087250B" w:rsidRPr="00D13543" w:rsidRDefault="0012201A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="00B64C2B"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Asie-Pacifique, Europe, monde ou régions multiples</w:t>
            </w:r>
          </w:p>
        </w:tc>
      </w:tr>
      <w:tr w:rsidR="0087250B" w:rsidRPr="00D13543" w14:paraId="1B23218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780253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21AF97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59F545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</w:p>
        </w:tc>
      </w:tr>
      <w:tr w:rsidR="0087250B" w:rsidRPr="00D13543" w14:paraId="368C274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DC8DF4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2A6DFA" w14:textId="0757B8D0" w:rsidR="0087250B" w:rsidRPr="00D13543" w:rsidRDefault="005576B4" w:rsidP="00C50E6B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7GLO20108 – Renforcer les compétences numériques au moyen des Centres de transformation numérique (DTC)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C9D8BB" w14:textId="4BBCC98A" w:rsidR="0087250B" w:rsidRPr="00D13543" w:rsidRDefault="005576B4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Rép.</w:t>
            </w:r>
            <w:r w:rsidR="005845A3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dominicaine, Ghana, Indonésie, Maroc, Pakistan, Papouasie-Nouvelle-Guinée, Philippines, Rwanda (République du), Ouganda, Zambie</w:t>
            </w:r>
          </w:p>
        </w:tc>
      </w:tr>
      <w:tr w:rsidR="0087250B" w:rsidRPr="00D13543" w14:paraId="4B7851A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9CC4C4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970613" w14:textId="0DDE7113" w:rsidR="0087250B" w:rsidRPr="00D13543" w:rsidRDefault="005845A3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9CHI24013 – Garantir la couverture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de la connectivité numérique ainsi que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à celle-ci dans les territoires ruraux en retard du Chili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0EF47" w14:textId="43CA228F" w:rsidR="0087250B" w:rsidRPr="00D13543" w:rsidRDefault="005845A3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Chili</w:t>
            </w:r>
          </w:p>
        </w:tc>
      </w:tr>
      <w:tr w:rsidR="0087250B" w:rsidRPr="00D13543" w14:paraId="180B182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1E266B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8B408A" w14:textId="57749505" w:rsidR="0087250B" w:rsidRPr="00D13543" w:rsidRDefault="005845A3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37C19B" w14:textId="5DE6ABD9" w:rsidR="0087250B" w:rsidRPr="00D13543" w:rsidRDefault="005845A3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64279B5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CA93BA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0A3B" w14:textId="5CFA3DD2" w:rsidR="0087250B" w:rsidRPr="00D13543" w:rsidRDefault="00346224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9LES25007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Service de conseil agricole à source ouverte fondé sur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intelligence artificielle pour les petits exploitants agricoles au Lesotho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C3DB2" w14:textId="216050CE" w:rsidR="0087250B" w:rsidRPr="00D13543" w:rsidRDefault="00346224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Lesotho</w:t>
            </w:r>
          </w:p>
        </w:tc>
      </w:tr>
      <w:tr w:rsidR="0087250B" w:rsidRPr="00D13543" w14:paraId="5783124B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E7F7C52" w14:textId="46B62A5B" w:rsidR="0087250B" w:rsidRPr="00D13543" w:rsidRDefault="0087250B" w:rsidP="006C1CEE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15 </w:t>
            </w:r>
            <w:r w:rsidR="00354EF9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Recherche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appliquée et transfert de technologie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D15192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8332A94" w14:textId="6DA8B254" w:rsidR="0087250B" w:rsidRPr="00D13543" w:rsidRDefault="00F32417" w:rsidP="00C50E6B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9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235DD99" w14:textId="2A7DDB6C" w:rsidR="0087250B" w:rsidRPr="00D13543" w:rsidRDefault="00F32417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Monde ou régions multiples</w:t>
            </w:r>
          </w:p>
        </w:tc>
      </w:tr>
      <w:tr w:rsidR="0087250B" w:rsidRPr="00D13543" w14:paraId="5725332B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5A61ADA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05084EF" w14:textId="19B55A30" w:rsidR="0087250B" w:rsidRPr="00D13543" w:rsidRDefault="0087250B" w:rsidP="00F32417">
            <w:pPr>
              <w:pStyle w:val="Tabletext"/>
              <w:rPr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08C2C7" w14:textId="77777777" w:rsidR="0087250B" w:rsidRPr="00D13543" w:rsidRDefault="0087250B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</w:p>
        </w:tc>
      </w:tr>
      <w:tr w:rsidR="0087250B" w:rsidRPr="00D13543" w14:paraId="3E9280A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928E18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60908B" w14:textId="5107253F" w:rsidR="0087250B" w:rsidRPr="00D13543" w:rsidRDefault="00F32417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7RAF21102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Benchmarking des TIC en Afrique centrale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960D8B" w14:textId="07B3A34C" w:rsidR="0087250B" w:rsidRPr="00D13543" w:rsidRDefault="00F32417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Angola, Burundi, Cameroun, Rép.</w:t>
            </w:r>
            <w:r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centrafricaine, Tchad, Congo, Rép. dém.</w:t>
            </w:r>
            <w:r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 Congo, Guinée équatoriale, Gabon, Rwanda (République du), Sao Tomé-et-Principe</w:t>
            </w:r>
          </w:p>
        </w:tc>
      </w:tr>
      <w:tr w:rsidR="0087250B" w:rsidRPr="00D13543" w14:paraId="038AA0C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55EB43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33FC70" w14:textId="2E1AB81E" w:rsidR="0087250B" w:rsidRPr="00D13543" w:rsidRDefault="00F32417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7RAF25155 – Finalisation et diffusion des résultats du projet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analyse comparative des TIC en Afrique centrale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6854D0" w14:textId="3852D319" w:rsidR="0087250B" w:rsidRPr="00D13543" w:rsidRDefault="00F32417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Angola, Burundi, Cameroun, Rép.</w:t>
            </w:r>
            <w:r w:rsidR="00C26498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centrafricaine, Tchad, Congo, Rép.</w:t>
            </w:r>
            <w:r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dém.</w:t>
            </w:r>
            <w:r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 Congo, Guinée équatoriale, Gabon, Rwanda (République du), Sao</w:t>
            </w:r>
            <w:r w:rsidR="00C50E6B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Tomé</w:t>
            </w:r>
            <w:r w:rsidR="00C50E6B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et-Principe</w:t>
            </w:r>
          </w:p>
        </w:tc>
      </w:tr>
      <w:tr w:rsidR="0087250B" w:rsidRPr="00D13543" w14:paraId="616F77D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846DDD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B86780" w14:textId="4221EC20" w:rsidR="0087250B" w:rsidRPr="00D13543" w:rsidRDefault="00F32417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678BEB" w14:textId="6F4183C2" w:rsidR="0087250B" w:rsidRPr="00D13543" w:rsidRDefault="00F32417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56FD59D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C56035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CA36CE" w14:textId="1818241B" w:rsidR="0087250B" w:rsidRPr="00D13543" w:rsidRDefault="00F32417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 Brésil)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A56AC2" w14:textId="2C03383D" w:rsidR="0087250B" w:rsidRPr="00D13543" w:rsidRDefault="00F32417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15B84A1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06D2E6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9A0B53" w14:textId="0A4B1870" w:rsidR="0087250B" w:rsidRPr="00D13543" w:rsidRDefault="00F32417" w:rsidP="00C50E6B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9RER20026 </w:t>
            </w:r>
            <w:r w:rsidR="00C50E6B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Centre international de recherche, de développement et de test des nouveaux équipements et services et des nouvelles technologies (IRDTC) – Phase</w:t>
            </w:r>
            <w:r w:rsidR="006C1CEE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B123D4" w14:textId="6C1BB57D" w:rsidR="0087250B" w:rsidRPr="00D13543" w:rsidRDefault="00F32417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Arménie, Azerbaïdjan, Bélarus, Kazakhstan, Kirghizistan, Fédération de Russie, Tadjikistan, Turkménistan, Ouzbékistan</w:t>
            </w:r>
          </w:p>
        </w:tc>
      </w:tr>
      <w:tr w:rsidR="0087250B" w:rsidRPr="00D13543" w14:paraId="33A28262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9FF3889" w14:textId="46CC0316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16 (Rév.</w:t>
            </w:r>
            <w:r w:rsidR="006C1CEE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6C1CEE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Mesures spéciales en faveur des pays les moins avancés, des petits États insulaires en développement, des pays en développement sans littoral et des pays dont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économie est en transition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F28B3FE" w14:textId="77777777" w:rsidR="0087250B" w:rsidRPr="00D13543" w:rsidRDefault="0087250B" w:rsidP="00B60459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78DD10B" w14:textId="49A529C1" w:rsidR="0087250B" w:rsidRPr="00D13543" w:rsidRDefault="00F32417" w:rsidP="00B6045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21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7333C70" w14:textId="0BC9D07B" w:rsidR="0087250B" w:rsidRPr="00D13543" w:rsidRDefault="00F32417" w:rsidP="00B6045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Asie-Pacifique, monde ou régions multiples</w:t>
            </w:r>
          </w:p>
        </w:tc>
      </w:tr>
      <w:tr w:rsidR="0087250B" w:rsidRPr="00D13543" w14:paraId="3B4D8C7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C70C071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939CE6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F6E21F" w14:textId="77777777" w:rsidR="0087250B" w:rsidRPr="00D13543" w:rsidRDefault="0087250B" w:rsidP="00B60459">
            <w:pPr>
              <w:pStyle w:val="enumlev1"/>
              <w:keepNext/>
              <w:keepLines/>
              <w:tabs>
                <w:tab w:val="clear" w:pos="1134"/>
                <w:tab w:val="left" w:pos="585"/>
              </w:tabs>
              <w:ind w:left="585" w:hanging="425"/>
              <w:rPr>
                <w:sz w:val="20"/>
                <w:lang w:val="fr-FR"/>
              </w:rPr>
            </w:pPr>
          </w:p>
        </w:tc>
      </w:tr>
      <w:tr w:rsidR="0087250B" w:rsidRPr="00D13543" w14:paraId="0359959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91181FA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B40CC5" w14:textId="35AF4D19" w:rsidR="0087250B" w:rsidRPr="00D13543" w:rsidRDefault="00F32417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2ALB24003 – Agriculture numérique et transformation rurale en Albanie (DART)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5A96D7" w14:textId="0319B017" w:rsidR="0087250B" w:rsidRPr="00D13543" w:rsidRDefault="00F32417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</w:t>
            </w:r>
          </w:p>
        </w:tc>
      </w:tr>
      <w:tr w:rsidR="0087250B" w:rsidRPr="00D13543" w14:paraId="7DBC49F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ECB9EE4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9B41AF" w14:textId="0582A4D5" w:rsidR="0087250B" w:rsidRPr="00D13543" w:rsidRDefault="00F32417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2GLO18094 – Amélioration des plans nationaux de télécommunications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urgence et de coordination pour sauver des vies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339A89" w14:textId="0AF12613" w:rsidR="0087250B" w:rsidRPr="00D13543" w:rsidRDefault="00F32417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572385A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B6D8A07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550289" w14:textId="3EE4F18E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2GLO20104-02 – Programme de connectivité communautaire de Giga Barbade et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OECS: garantir la sécurité en ligne des enfants et la connectivité communautaire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F335C" w14:textId="6AD4AAA0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</w:t>
            </w:r>
          </w:p>
        </w:tc>
      </w:tr>
      <w:tr w:rsidR="0087250B" w:rsidRPr="00D13543" w14:paraId="14D43DF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9E885C7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0D5CC" w14:textId="1531F398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2RAS22070 – Îles intelligentes dans le 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6B6EB" w14:textId="288DC8D3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Papouasie-Nouvelle-Guinée, Vanuatu</w:t>
            </w:r>
          </w:p>
        </w:tc>
      </w:tr>
      <w:tr w:rsidR="0087250B" w:rsidRPr="00D13543" w14:paraId="2C134F8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D5A42D0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F8BB" w14:textId="1321F00E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7GLO03043 – Développement des télécommunications rurales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00F99" w14:textId="4E67E696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C82032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BDFAE82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36ACB5" w14:textId="46E1FA81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7GLO24146 – Deuxième phase du projet "La cybersécurité au service du bien social" (MSIT)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8C82C7" w14:textId="089EADEF" w:rsidR="0087250B" w:rsidRPr="00D13543" w:rsidRDefault="006C1CEE" w:rsidP="00B60459">
            <w:pPr>
              <w:pStyle w:val="enumlev1"/>
              <w:keepNext/>
              <w:keepLines/>
              <w:tabs>
                <w:tab w:val="clear" w:pos="1134"/>
              </w:tabs>
              <w:ind w:left="449" w:right="-98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Angola, Bangladesh, Belize, Bénin, Burkina Faso, Burundi, </w:t>
            </w:r>
            <w:r w:rsidR="0087250B" w:rsidRPr="00C63796">
              <w:rPr>
                <w:sz w:val="20"/>
                <w:lang w:val="fr-FR"/>
              </w:rPr>
              <w:t xml:space="preserve">Cambodge, </w:t>
            </w:r>
            <w:r w:rsidR="00D13543" w:rsidRPr="00C63796">
              <w:rPr>
                <w:sz w:val="20"/>
                <w:lang w:val="fr-FR"/>
              </w:rPr>
              <w:t>Cabo Verde</w:t>
            </w:r>
            <w:r w:rsidR="0087250B" w:rsidRPr="00C63796">
              <w:rPr>
                <w:sz w:val="20"/>
                <w:lang w:val="fr-FR"/>
              </w:rPr>
              <w:t>, Rép</w:t>
            </w:r>
            <w:r w:rsidR="0087250B" w:rsidRPr="00D13543">
              <w:rPr>
                <w:sz w:val="20"/>
                <w:lang w:val="fr-FR"/>
              </w:rPr>
              <w:t>.</w:t>
            </w:r>
            <w:r w:rsidR="00B60459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centrafricaine, Tchad, Comores (Union</w:t>
            </w:r>
            <w:r w:rsidR="00FF574E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des), Cuba, Rép. dém. du Congo, Djibouti, Dominique, Rép. dominicaine, Érythrée, Éthiopie, Fidji, Gambie, Grenade, Guinée, Guinée-Bissau, Haïti, Jamaïque, Kiribati, R.d.p. lao, Lesotho, Libéria, Madagascar, Malawi, Maldives, Mali, Îles</w:t>
            </w:r>
            <w:r w:rsidR="00491AE4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Marshall, Mauritanie, Micronésie, Mozambique, Népal (République du), Niger, Papouasie-Nouvelle-Guinée, Rwanda (République du), Sainte-Lucie, Saint</w:t>
            </w:r>
            <w:r w:rsidR="00B6045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Vincent-et-les-Grenadines, Samoa (État</w:t>
            </w:r>
            <w:r w:rsidR="00B6045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indépendant du), Sénégal, Sierra Leone, Îles Salomon, Somalie, Soudan du Sud, Soudan, Suriname, Tanzanie, Timor-Leste, Togo, Tonga, Tuvalu, Ouganda, Vanuatu, Zambie</w:t>
            </w:r>
          </w:p>
        </w:tc>
      </w:tr>
      <w:tr w:rsidR="0087250B" w:rsidRPr="00D13543" w14:paraId="6AF712A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2BEE62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8F2AFF" w14:textId="35CD28D5" w:rsidR="0087250B" w:rsidRPr="00D13543" w:rsidRDefault="006C1CEE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7RAS23072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transformation numérique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715C83" w14:textId="222D19E1" w:rsidR="0087250B" w:rsidRPr="00D13543" w:rsidRDefault="006C1CEE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Bhoutan, Cambodge, R.d.p. lao, Papouasie</w:t>
            </w:r>
            <w:r w:rsidR="008449AC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Nouvelle-Guinée, Philippines, Vanuatu</w:t>
            </w:r>
          </w:p>
        </w:tc>
      </w:tr>
      <w:tr w:rsidR="0087250B" w:rsidRPr="00D13543" w14:paraId="1E905775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393CE0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53233A" w14:textId="2BCE938B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7RAS23073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Stratégies pour la cybersécurité dans la région du 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B559E" w14:textId="2BED6222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Îles Cook, Fidji, Kiribati, Îles Marshall, Micronésie, Niue, Palaos, Papouasie</w:t>
            </w:r>
            <w:r w:rsidR="008449AC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Nouvelle-Guinée, Samoa (État</w:t>
            </w:r>
            <w:r w:rsidR="008449AC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indépendant du), Îles Salomon, Tonga, Tuvalu, Vanuatu</w:t>
            </w:r>
          </w:p>
        </w:tc>
      </w:tr>
      <w:tr w:rsidR="0087250B" w:rsidRPr="00D13543" w14:paraId="3F8D80D8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277DAC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B11C642" w14:textId="096F869A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7RAS24074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numérique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financièrement abordable aux services TIC en Asie-Pacifique – Deuxième phase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EFBF60" w14:textId="5289122C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4DBBB81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294B67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27A39C" w14:textId="524F666C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7SUR23017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nationale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– Suriname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BC3EA3" w14:textId="56CDC674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Suriname</w:t>
            </w:r>
          </w:p>
        </w:tc>
      </w:tr>
      <w:tr w:rsidR="0087250B" w:rsidRPr="00D13543" w14:paraId="5EFBC9C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59187F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1A117B" w14:textId="2EFC6E5B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9BAR21003 – Évaluation sur la qualité de service pour les services large bande fixe à la Barbade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1D741A" w14:textId="091BE364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</w:t>
            </w:r>
          </w:p>
        </w:tc>
      </w:tr>
      <w:tr w:rsidR="0087250B" w:rsidRPr="00D13543" w14:paraId="1C7012C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C79E52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59435D" w14:textId="72394B37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9BER25001 – Centre national des opérations de cybersécurité (BNCSOC) – Bermudes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7A2F29" w14:textId="3F6857C8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Bermudes</w:t>
            </w:r>
          </w:p>
        </w:tc>
      </w:tr>
      <w:tr w:rsidR="0087250B" w:rsidRPr="00D13543" w14:paraId="0141345A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28D692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0FF4" w14:textId="20121D7C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9FSM22001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réalisation des ODD grâce à la transformation numérique afin de renforcer la résilience des communautés en Micronésie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8D71D" w14:textId="036E1163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Kiribati, Îles Marshall, Micronésie, Nauru, Palaos</w:t>
            </w:r>
          </w:p>
        </w:tc>
      </w:tr>
      <w:tr w:rsidR="0087250B" w:rsidRPr="00D13543" w14:paraId="24A4E90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D8218B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C05C5" w14:textId="6ADFE90E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762637" w14:textId="29FFEAFA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right="-42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</w:t>
            </w:r>
            <w:r w:rsidR="00B6045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Faso, Burundi, Cameroun, Cabo</w:t>
            </w:r>
            <w:r w:rsidR="00B60459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Verde, Rép. centrafricaine, Tchad, Congo, Côte</w:t>
            </w:r>
            <w:r w:rsidR="00B6045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</w:t>
            </w:r>
            <w:r w:rsidR="00B6045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Bissau, Kenya, Lesotho, Libéria, Libye, Madagascar, Malawi, Mali, Mauritanie, Maurice, Maroc, Mozambique, Namibie, Niger, Nigéria, Rwanda (République du), Sao Tomé</w:t>
            </w:r>
            <w:r w:rsidR="00B6045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et-Principe, Sénégal, Seychelles, Sierra Leone, Somalie, Rép. sudafricaine, Soudan</w:t>
            </w:r>
            <w:r w:rsidR="00B6045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</w:t>
            </w:r>
            <w:r w:rsidR="00B6045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Sud, Soudan, Tanzanie, Togo, Tunisie, Ouganda, Zambie, Zimbabwe</w:t>
            </w:r>
          </w:p>
        </w:tc>
      </w:tr>
      <w:tr w:rsidR="0087250B" w:rsidRPr="00D13543" w14:paraId="53AF9A1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58D156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7AD20D" w14:textId="7C70382D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9RAS22071 – Promouvoir la réalisation des ODD en améliorant les moyens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existence et la résilience, grâce à la diversification économique et à la transformation numérique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D9416C" w14:textId="2B62130E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Îles Salomon, Tonga, Tuvalu, Vanuatu</w:t>
            </w:r>
          </w:p>
        </w:tc>
      </w:tr>
      <w:tr w:rsidR="0087250B" w:rsidRPr="00D13543" w14:paraId="0DE5EE2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2B70D4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84CA4A" w14:textId="71F70A2D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9RCA24004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Optimiser les financements innovants pour les groupes mal desservis afin de renforcer la résilience et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accélérer la réalisation des ODD à Antigua-et-Barbuda et Sainte-Lucie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13187" w14:textId="24F446A2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Antigua-et-Barbuda, Sainte-Lucie</w:t>
            </w:r>
          </w:p>
        </w:tc>
      </w:tr>
      <w:tr w:rsidR="0087250B" w:rsidRPr="00D13543" w14:paraId="132D9EB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8EED79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09764" w14:textId="1A4475CC" w:rsidR="0087250B" w:rsidRPr="00D13543" w:rsidRDefault="006C1CEE" w:rsidP="00B60459">
            <w:pPr>
              <w:pStyle w:val="enumlev1"/>
              <w:widowControl w:val="0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9RLA21019 – Kit pratique "mers intelligentes" pour la résilience face aux catastrophes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9645" w14:textId="0E0B0A84" w:rsidR="0087250B" w:rsidRPr="00D13543" w:rsidRDefault="006C1CEE" w:rsidP="00B60459">
            <w:pPr>
              <w:pStyle w:val="enumlev1"/>
              <w:widowControl w:val="0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Barbade, Grenade, Saint-Vincent-et-les-Grenadines, Trinité-et-Tobago</w:t>
            </w:r>
          </w:p>
        </w:tc>
      </w:tr>
      <w:tr w:rsidR="0087250B" w:rsidRPr="00D13543" w14:paraId="5E80CDFE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2EE7E3" w14:textId="6FEB81F2" w:rsidR="0087250B" w:rsidRPr="00D13543" w:rsidRDefault="0087250B" w:rsidP="00375370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17 </w:t>
            </w:r>
            <w:r w:rsidR="00354EF9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Mise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e</w:t>
            </w:r>
            <w:r w:rsidR="00846A67" w:rsidRPr="00D13543">
              <w:rPr>
                <w:lang w:val="fr-FR"/>
              </w:rPr>
              <w:t>n </w:t>
            </w:r>
            <w:r w:rsidRPr="00D13543">
              <w:rPr>
                <w:lang w:val="fr-FR"/>
              </w:rPr>
              <w:t>œuvre aux niveaux national, régional, interrégional et mondial des initiatives régionales approuvées et coopération en la matière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A82D0A6" w14:textId="77777777" w:rsidR="0087250B" w:rsidRPr="00D13543" w:rsidRDefault="0087250B" w:rsidP="00375370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78B3A56" w14:textId="2670B96D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92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349BA67" w14:textId="41A653F1" w:rsidR="0087250B" w:rsidRPr="00D13543" w:rsidRDefault="006C1CEE" w:rsidP="00B60459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Amériques, États arabes, Asie-Pacifique, pays de la CEI, Europe, monde ou régions multiples </w:t>
            </w:r>
          </w:p>
        </w:tc>
      </w:tr>
      <w:tr w:rsidR="0087250B" w:rsidRPr="00D13543" w14:paraId="43C9F54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E6B7B8B" w14:textId="77777777" w:rsidR="0087250B" w:rsidRPr="00D13543" w:rsidRDefault="0087250B" w:rsidP="00375370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C6F370C" w14:textId="77777777" w:rsidR="0087250B" w:rsidRPr="00D13543" w:rsidRDefault="0087250B" w:rsidP="00375370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9F9FFF" w14:textId="77777777" w:rsidR="0087250B" w:rsidRPr="00D13543" w:rsidRDefault="0087250B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75CB76B7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5D326AB" w14:textId="77777777" w:rsidR="0087250B" w:rsidRPr="00D13543" w:rsidRDefault="0087250B" w:rsidP="00375370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7F365B" w14:textId="373834D4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2GLO24138 – Renforcer les communications et les partenariats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des initiatives régionales de la CMDT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54F86F" w14:textId="33D1E681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712640E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9963F4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059115" w14:textId="48D80F0F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2PAK22002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Villages intelligents au Pakistan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49B9EC1" w14:textId="7B87AB3C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Pakistan</w:t>
            </w:r>
          </w:p>
        </w:tc>
      </w:tr>
      <w:tr w:rsidR="0087250B" w:rsidRPr="00D13543" w14:paraId="5125C00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395DD1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5004FE" w14:textId="612EC0EB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2RAS22070 – Îles intelligentes dans le 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DC2FE2" w14:textId="700CAB8E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Papouasie-Nouvelle-Guinée, Vanuatu</w:t>
            </w:r>
          </w:p>
        </w:tc>
      </w:tr>
      <w:tr w:rsidR="0087250B" w:rsidRPr="00D13543" w14:paraId="3BBB209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043A41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FB6D10" w14:textId="11A4F435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7RAS23072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transformation numérique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93BCB5" w14:textId="3AB913D9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Bhoutan, Cambodge, R.d.p. lao, Papouasie</w:t>
            </w:r>
            <w:r w:rsidR="00B60459" w:rsidRPr="00D13543">
              <w:rPr>
                <w:sz w:val="20"/>
                <w:lang w:val="fr-FR"/>
              </w:rPr>
              <w:t>-</w:t>
            </w:r>
            <w:r w:rsidR="0087250B" w:rsidRPr="00D13543">
              <w:rPr>
                <w:sz w:val="20"/>
                <w:lang w:val="fr-FR"/>
              </w:rPr>
              <w:t>Nouvelle-Guinée, Philippines, Vanuatu</w:t>
            </w:r>
          </w:p>
        </w:tc>
      </w:tr>
      <w:tr w:rsidR="0087250B" w:rsidRPr="00D13543" w14:paraId="31D8AF82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4DDA9C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6C7133C" w14:textId="3093E083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7RAS24074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numérique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financièrement abordable aux services TIC en Asie-Pacifique – Deuxième phase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399366" w14:textId="2022ABB0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1B6AA92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0D1E70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F9867A8" w14:textId="37289C38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7RAS24076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Étude de faisabilité: répondre aux besoins particuliers des petits États insulaires en développement du Pacifique en matière de télécommunication/TIC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CD84C1" w14:textId="31665257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Kiribati, Îles Marshall, Micronésie, Nauru, Palaos, Papouasie-Nouvelle-Guinée, Samoa (État indépendant du), Îles Salomon, Tonga, Tuvalu, Vanuatu</w:t>
            </w:r>
          </w:p>
        </w:tc>
      </w:tr>
      <w:tr w:rsidR="0087250B" w:rsidRPr="00D13543" w14:paraId="3F0AD83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5E8B44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5909F2" w14:textId="5E708627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9COL24042 – Mise à jour du Plan général de la Colombie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arrêt des émissions analogiques (GPCAE) et bonnes pratiques en matière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à la télévision et de services de télévision universels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DF4FF3" w14:textId="4AA51C47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199A842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E16C0D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F14E79" w14:textId="7364B132" w:rsidR="0087250B" w:rsidRPr="00D13543" w:rsidRDefault="00E60971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9COS24019 – Renforcement des connaissances dans le domaine des technologies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intention des spécialistes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Institut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 xml:space="preserve">électricité du Costa Rica (ICE)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5C6BA5" w14:textId="56E0629F" w:rsidR="0087250B" w:rsidRPr="00D13543" w:rsidRDefault="00E60971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Costa Rica</w:t>
            </w:r>
          </w:p>
        </w:tc>
      </w:tr>
      <w:tr w:rsidR="0087250B" w:rsidRPr="00D13543" w14:paraId="2A5DA99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7CD165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DE4A89" w14:textId="794DA5BA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9ELS24008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MERIAN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Renforcement des capacités du CENTA et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ENA en matière de recherche, de vulgarisation et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éducation numérique agricoles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DE688C" w14:textId="7960A991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El Salvador</w:t>
            </w:r>
          </w:p>
        </w:tc>
      </w:tr>
      <w:tr w:rsidR="0087250B" w:rsidRPr="00D13543" w14:paraId="100A4582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63FBA8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E3C17C" w14:textId="630DB618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9HON23023 – Proposition de mise à jour normative et réglementaire des télécommunications en République du Honduras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826FDC" w14:textId="5C20AE5E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Honduras</w:t>
            </w:r>
          </w:p>
        </w:tc>
      </w:tr>
      <w:tr w:rsidR="0087250B" w:rsidRPr="00D13543" w14:paraId="5FDC2AE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51945F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9F2332" w14:textId="1154822D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9PAR24003 – Assistance technique à la Commission nationale des télécommunications du Paraguay dans le domaine réglementaire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16342B" w14:textId="3D62F7C3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Paraguay</w:t>
            </w:r>
          </w:p>
        </w:tc>
      </w:tr>
      <w:tr w:rsidR="0087250B" w:rsidRPr="00D13543" w14:paraId="1F9C3687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C663B6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02B332" w14:textId="17C44606" w:rsidR="0087250B" w:rsidRPr="00D13543" w:rsidRDefault="00226124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9RAB19028 – Assistance au Réseau arabe des technoparcs et pépinières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entreprise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A13C8A" w14:textId="4269F20F" w:rsidR="0087250B" w:rsidRPr="00D13543" w:rsidRDefault="0006104C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7B736BF7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6E49BF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3FC159" w14:textId="084365BE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8D080F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E947C6" w14:textId="16AD505F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16704F5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601D84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D38EEF" w14:textId="30C775C6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9RAS21065 –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élaboration de normes et de cadres pour les technologies essentielles en Asie du Sud-Est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1F50EC" w14:textId="655461AF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Indonésie, Malaisie, Philippines, Thaïlande</w:t>
            </w:r>
          </w:p>
        </w:tc>
      </w:tr>
      <w:tr w:rsidR="0087250B" w:rsidRPr="00D13543" w14:paraId="54054108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DA1969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B1C4AEB" w14:textId="219E8D84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9RAS21067 – Connect2Recover – Renforcer les infrastructures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écosystème numériques face au COVID-19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7730EA2" w14:textId="023F5EAE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2AEB452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89CA42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513FC2" w14:textId="07F1570B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9RCA24004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Optimiser les financements innovants pour les groupes mal desservis afin de renforcer la résilience et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accélérer la réalisation des ODD à Antigua-et-Barbuda et Sainte-Lucie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07D10A" w14:textId="66D67879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Antigua-et-Barbuda, Sainte-Lucie</w:t>
            </w:r>
          </w:p>
        </w:tc>
      </w:tr>
      <w:tr w:rsidR="0087250B" w:rsidRPr="00D13543" w14:paraId="401461F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EC7A3F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E9C4D8" w14:textId="376ECBDA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9RCA24005 – Innovation réglementaire régionale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Amérique centrale – Bac</w:t>
            </w:r>
            <w:r w:rsidR="00844CDE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à sable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318051" w14:textId="6A04CA6E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Belize, Costa Rica, Rép. dominicaine, El</w:t>
            </w:r>
            <w:r w:rsidR="00BD3725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Salvador, Guatemala, Honduras, Panama</w:t>
            </w:r>
          </w:p>
        </w:tc>
      </w:tr>
      <w:tr w:rsidR="0087250B" w:rsidRPr="00D13543" w14:paraId="2BB3B15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9001A7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03A211" w14:textId="21843166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9RLA21019 – Kit pratique "mers intelligentes" pour la résilience face aux catastrophes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6D3C6B" w14:textId="73518E0C" w:rsidR="0087250B" w:rsidRPr="00D13543" w:rsidRDefault="0006104C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Barbade, Grenade, Saint-Vincent-et-les-Grenadines, Trinité-et-Tobago</w:t>
            </w:r>
          </w:p>
        </w:tc>
      </w:tr>
      <w:tr w:rsidR="0087250B" w:rsidRPr="00D13543" w14:paraId="430E9D3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7A6E94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4F91F2" w14:textId="17FDE64A" w:rsidR="0087250B" w:rsidRPr="00D13543" w:rsidRDefault="00226124" w:rsidP="008449AC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9RLA23022 – Appui à la mise en œuvre des initiatives régionales pour la région Amériques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9ECC41" w14:textId="0B087A75" w:rsidR="0087250B" w:rsidRPr="00D13543" w:rsidRDefault="00345D86" w:rsidP="008449AC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Cuba, Honduras, Mexique, Panama, Paraguay, Uruguay</w:t>
            </w:r>
          </w:p>
        </w:tc>
      </w:tr>
      <w:tr w:rsidR="0087250B" w:rsidRPr="00D13543" w14:paraId="216E9FD0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22B18139" w14:textId="5590D8F4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Bid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18 </w:t>
            </w:r>
            <w:r w:rsidR="00354EF9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Assistance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technique spéciale à la Palestine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B73D6E" w14:textId="43D9AEA3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i/>
                <w:iCs/>
                <w:lang w:val="fr-FR"/>
              </w:rPr>
            </w:pPr>
            <w:r w:rsidRPr="00D13543">
              <w:rPr>
                <w:lang w:val="fr-FR"/>
              </w:rPr>
              <w:t>Mis en œuvre</w:t>
            </w:r>
            <w:r w:rsidRPr="00D13543">
              <w:rPr>
                <w:rStyle w:val="FootnoteReference"/>
                <w:rFonts w:cstheme="minorBidi"/>
                <w:color w:val="000000" w:themeColor="text1"/>
                <w:sz w:val="20"/>
                <w:lang w:val="fr-FR"/>
              </w:rPr>
              <w:footnoteReference w:id="6"/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BC50A5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</w:p>
        </w:tc>
      </w:tr>
      <w:tr w:rsidR="0087250B" w:rsidRPr="00D13543" w14:paraId="2D40E66C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BF5A82F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41E0B4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C5613C3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</w:p>
        </w:tc>
      </w:tr>
      <w:tr w:rsidR="0087250B" w:rsidRPr="00D13543" w14:paraId="6C1CF1EB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DD49B1F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4FBE97" w14:textId="03853B32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9RAB19028 – Assistance au Réseau arabe des technoparcs et pépinières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entreprise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4F87E4" w14:textId="0FFBE281" w:rsidR="0087250B" w:rsidRPr="00D13543" w:rsidRDefault="00345D86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0F1452B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D79B823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E29E" w14:textId="01F61FEB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E575C9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7A14F" w14:textId="55D928CE" w:rsidR="0087250B" w:rsidRPr="00D13543" w:rsidRDefault="00345D86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6B182A3D" w14:textId="77777777" w:rsidTr="00631E95">
        <w:trPr>
          <w:trHeight w:val="30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B598BD" w14:textId="0CE2BAD3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20 (Rév.</w:t>
            </w:r>
            <w:r w:rsidR="00345D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345D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Accès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non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discriminatoire aux moyens, services et applications connexes modernes reposant sur les télécommunications et les 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6B139D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805BDC2" w14:textId="1EC9B23A" w:rsidR="0087250B" w:rsidRPr="00D13543" w:rsidRDefault="002A309C" w:rsidP="008449AC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6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09EEB9" w14:textId="0A9490AF" w:rsidR="0087250B" w:rsidRPr="00D13543" w:rsidRDefault="00345D86" w:rsidP="008449AC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pays de la CEI</w:t>
            </w:r>
          </w:p>
        </w:tc>
      </w:tr>
      <w:tr w:rsidR="0087250B" w:rsidRPr="00D13543" w14:paraId="5CA45FF4" w14:textId="77777777" w:rsidTr="00631E95">
        <w:trPr>
          <w:trHeight w:val="300"/>
        </w:trPr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91949E4" w14:textId="3F7A73C7" w:rsidR="0087250B" w:rsidRPr="00D13543" w:rsidRDefault="0087250B" w:rsidP="00B60459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21 </w:t>
            </w:r>
            <w:r w:rsidR="00354EF9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Renforcement de la coordination et de la collaboration avec les organisations régionales et sous-régionales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3480AC" w14:textId="77777777" w:rsidR="0087250B" w:rsidRPr="00D13543" w:rsidRDefault="0087250B" w:rsidP="00B60459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B394650" w14:textId="03B0A993" w:rsidR="0087250B" w:rsidRPr="00D13543" w:rsidRDefault="002A309C" w:rsidP="00B6045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4F2AB5A" w14:textId="6A47A160" w:rsidR="0087250B" w:rsidRPr="00D13543" w:rsidRDefault="00345D86" w:rsidP="00B60459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DD2EE5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Europe, monde ou régions multiples</w:t>
            </w:r>
          </w:p>
        </w:tc>
      </w:tr>
      <w:tr w:rsidR="0087250B" w:rsidRPr="00D13543" w14:paraId="1C36A625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01FFB0" w14:textId="35E70843" w:rsidR="0087250B" w:rsidRPr="00D13543" w:rsidRDefault="0087250B" w:rsidP="00841D43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22 </w:t>
            </w:r>
            <w:r w:rsidR="00354EF9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Procédures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appel alternatives sur les réseaux de télécommunication internationaux et identification de leur origine dans le cadre de la fourniture de services internationaux de télécommunication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CBAD9EE" w14:textId="77777777" w:rsidR="0087250B" w:rsidRPr="00D13543" w:rsidRDefault="0087250B" w:rsidP="00841D43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74754E1" w14:textId="7A93AD8E" w:rsidR="0087250B" w:rsidRPr="00D13543" w:rsidRDefault="002A309C" w:rsidP="008449AC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3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1001BC9" w14:textId="529B073A" w:rsidR="0087250B" w:rsidRPr="00D13543" w:rsidRDefault="002A309C" w:rsidP="008449AC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Monde ou régions multiples</w:t>
            </w:r>
          </w:p>
        </w:tc>
      </w:tr>
      <w:tr w:rsidR="0087250B" w:rsidRPr="00D13543" w14:paraId="2BF72131" w14:textId="77777777" w:rsidTr="00631E95">
        <w:trPr>
          <w:trHeight w:val="30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8ECA" w14:textId="4450E776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23 (Rév.</w:t>
            </w:r>
            <w:r w:rsidR="002A309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345D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Accès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à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Internet et disponibilité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Internet pour les pays en développement et principes de taxation applicables aux connexions Internet internationales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2C1CE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6D9207B9" w14:textId="490FCE8E" w:rsidR="0087250B" w:rsidRPr="00D13543" w:rsidRDefault="002A309C" w:rsidP="008449AC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8399E" w14:textId="72DF03C4" w:rsidR="0087250B" w:rsidRPr="00D13543" w:rsidRDefault="002A309C" w:rsidP="008449AC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monde ou régions multiples</w:t>
            </w:r>
          </w:p>
        </w:tc>
      </w:tr>
      <w:tr w:rsidR="0087250B" w:rsidRPr="00D13543" w14:paraId="03B9534C" w14:textId="77777777" w:rsidTr="00631E95">
        <w:trPr>
          <w:trHeight w:val="300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C11085" w14:textId="7A41109D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24 (Rév.</w:t>
            </w:r>
            <w:r w:rsidR="002A309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Dubaï,</w:t>
            </w:r>
            <w:r w:rsidR="002A309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2014) – Pouvoir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conféré au Groupe consultatif pour le développement des télécommunications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agir entre les Conférences mondiales de développement des télécommunications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3A38F3E" w14:textId="15606128" w:rsidR="0087250B" w:rsidRPr="00D13543" w:rsidRDefault="002A309C" w:rsidP="008449AC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Des renseignements sur la mise en œuvre de cette résolution figurent dans le </w:t>
            </w:r>
            <w:hyperlink r:id="rId26" w:history="1">
              <w:r w:rsidR="0087250B" w:rsidRPr="00D13543">
                <w:rPr>
                  <w:rStyle w:val="Hyperlink"/>
                  <w:sz w:val="20"/>
                  <w:lang w:val="fr-FR"/>
                </w:rPr>
                <w:t>Rapport à la CMDT-25 sur les activités du Groupe consultatif pour le développement des télécommunications (GCDT) pour la période 2023-2025</w:t>
              </w:r>
            </w:hyperlink>
            <w:hyperlink r:id="rId27" w:history="1"/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BAF798" w14:textId="77777777" w:rsidR="0087250B" w:rsidRPr="00D13543" w:rsidRDefault="0087250B" w:rsidP="00DB3B6B">
            <w:pPr>
              <w:pStyle w:val="enumlev1"/>
              <w:tabs>
                <w:tab w:val="clear" w:pos="1134"/>
                <w:tab w:val="left" w:pos="585"/>
              </w:tabs>
              <w:spacing w:before="360"/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2B0863A4" w14:textId="77777777" w:rsidTr="00631E95">
        <w:trPr>
          <w:trHeight w:val="300"/>
        </w:trPr>
        <w:tc>
          <w:tcPr>
            <w:tcW w:w="2977" w:type="dxa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2C40" w14:textId="5892F8D6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Bidi"/>
                <w:color w:val="000000" w:themeColor="text1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25 </w:t>
            </w:r>
            <w:r w:rsidR="003F667F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Assistance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aux pays ayant des besoins spéciaux: Afghanistan, Burundi, Érythrée, Éthiopie, Guinée, Guinée-Bissau, Haïti, Libéria, République centrafricaine, République démocratique du Congo, Rwanda, Sierra Leone, Somalie, Soudan du Sud et Timor</w:t>
            </w:r>
            <w:r w:rsidR="00B60459" w:rsidRPr="00D13543">
              <w:rPr>
                <w:lang w:val="fr-FR"/>
              </w:rPr>
              <w:noBreakHyphen/>
            </w:r>
            <w:r w:rsidRPr="00D13543">
              <w:rPr>
                <w:lang w:val="fr-FR"/>
              </w:rPr>
              <w:t>Leste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78272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B34182B" w14:textId="649B6737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3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69ED7" w14:textId="2859CC6F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États arabes, Asie-Pacifique</w:t>
            </w:r>
          </w:p>
        </w:tc>
      </w:tr>
      <w:tr w:rsidR="0087250B" w:rsidRPr="00D13543" w14:paraId="4D825C03" w14:textId="77777777" w:rsidTr="00B60459">
        <w:trPr>
          <w:trHeight w:val="56"/>
        </w:trPr>
        <w:tc>
          <w:tcPr>
            <w:tcW w:w="2977" w:type="dxa"/>
            <w:vMerge/>
            <w:noWrap/>
          </w:tcPr>
          <w:p w14:paraId="7BE353A1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0C4B83" w14:textId="77777777" w:rsidR="0087250B" w:rsidRPr="00D13543" w:rsidRDefault="0087250B" w:rsidP="00B60459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B9BC88" w14:textId="77777777" w:rsidR="0087250B" w:rsidRPr="00D13543" w:rsidRDefault="0087250B" w:rsidP="00B60459">
            <w:pPr>
              <w:pStyle w:val="enumlev1"/>
              <w:keepNext/>
              <w:keepLines/>
              <w:tabs>
                <w:tab w:val="clear" w:pos="1134"/>
                <w:tab w:val="left" w:pos="585"/>
              </w:tabs>
              <w:spacing w:before="0"/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299AA2A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D10B82F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76AC6E" w14:textId="207793F2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9RAS25002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numérique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financièrement abordable aux services TIC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1CB21" w14:textId="309102F2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Bangladesh, Cambodge, Maldives, Îles</w:t>
            </w:r>
            <w:r w:rsidR="00F94948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Marshall, Mongolie, Nauru, Pakistan, Papouasie-Nouvelle-Guinée, Vanuatu</w:t>
            </w:r>
          </w:p>
        </w:tc>
      </w:tr>
      <w:tr w:rsidR="0087250B" w:rsidRPr="00D13543" w14:paraId="25A6791E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C5ECF90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4D9A8F" w14:textId="3509DC34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9RAF24107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UE aux systèmes de cartographie nationale du large bande en Afrique (</w:t>
            </w:r>
            <w:proofErr w:type="spellStart"/>
            <w:r w:rsidR="0087250B" w:rsidRPr="00D13543">
              <w:rPr>
                <w:sz w:val="20"/>
                <w:lang w:val="fr-FR"/>
              </w:rPr>
              <w:t>AfricaBBMaps</w:t>
            </w:r>
            <w:proofErr w:type="spellEnd"/>
            <w:r w:rsidR="0087250B" w:rsidRPr="00D13543">
              <w:rPr>
                <w:sz w:val="20"/>
                <w:lang w:val="fr-FR"/>
              </w:rPr>
              <w:t>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2F3238" w14:textId="047A607E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Bénin, Botswana, Burundi,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Éthiopie, Kenya, Malawi, Nigéria, Ouganda, Zambie, Zimbabwe</w:t>
            </w:r>
          </w:p>
        </w:tc>
      </w:tr>
      <w:tr w:rsidR="0087250B" w:rsidRPr="00D13543" w14:paraId="307B475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E814784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A18811" w14:textId="31C50715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9RAF24105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Contribution du Danemark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449AC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 xml:space="preserve">nitiative "Alertes précoces pour tous" (EW4All) (OMM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Danemark)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EDCA6C" w14:textId="03EAA76D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Niger, Somalie, Soudan du Sud, Tanzanie, Ouganda</w:t>
            </w:r>
          </w:p>
        </w:tc>
      </w:tr>
      <w:tr w:rsidR="0087250B" w:rsidRPr="00D13543" w14:paraId="375A1333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46C6744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C257F2" w14:textId="44F3DE5E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9RAF21101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transformation numérique en Afrique grâce à la connectivité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B4BA41" w14:textId="25863347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Éthiopie</w:t>
            </w:r>
          </w:p>
        </w:tc>
      </w:tr>
      <w:tr w:rsidR="0087250B" w:rsidRPr="00D13543" w14:paraId="2F83F5D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59F5F3A" w14:textId="77777777" w:rsidR="0087250B" w:rsidRPr="00D13543" w:rsidRDefault="0087250B" w:rsidP="00B60459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14E36D" w14:textId="28DE3193" w:rsidR="0087250B" w:rsidRPr="00D13543" w:rsidRDefault="002A309C" w:rsidP="00B6045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2659EA5" w14:textId="52B55E9C" w:rsidR="0087250B" w:rsidRPr="00D13543" w:rsidRDefault="002A309C" w:rsidP="00B60459">
            <w:pPr>
              <w:pStyle w:val="enumlev1"/>
              <w:tabs>
                <w:tab w:val="clear" w:pos="1134"/>
              </w:tabs>
              <w:ind w:left="449" w:right="-42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</w:t>
            </w:r>
            <w:r w:rsidR="00F94948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Faso, Burundi, Cameroun, Cabo</w:t>
            </w:r>
            <w:r w:rsidR="00F94948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Verde, Rép. centrafricaine, Tchad, Congo,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Guinée-Bissau, Kenya, Lesotho, Libéria, Libye, Madagascar, Malawi, Mali, Mauritanie, Maurice, Maroc, Mozambique, Namibie, Niger, Nigéria, Rwanda (République du), Sao Tomé-et-Principe, Sénégal, Seychelles, Sierra Leone, Somalie, Rép. sudafricaine, Soudan du Sud, Soudan, Tanzanie, Togo, Tunisie, Ouganda, Zambie, Zimbabwe</w:t>
            </w:r>
          </w:p>
        </w:tc>
      </w:tr>
      <w:tr w:rsidR="0087250B" w:rsidRPr="00D13543" w14:paraId="02461C6D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479E62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8066B4" w14:textId="054F47B1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E575C9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FF0C1C2" w14:textId="61B32AC0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449" w:right="-8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382320A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56BD394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AE456" w14:textId="7564E527" w:rsidR="0087250B" w:rsidRPr="00D13543" w:rsidRDefault="002A309C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9RAB19028 – Assistance au Réseau arabe des technoparcs et pépinières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entreprise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680AC" w14:textId="640FD57F" w:rsidR="0087250B" w:rsidRPr="00D13543" w:rsidRDefault="002A309C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2D6674F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6A7614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CDC9B" w14:textId="1275709D" w:rsidR="0087250B" w:rsidRPr="00D13543" w:rsidRDefault="00177CD0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9GLO24137 – Accélérateur multi-parties prenantes EW4All dans les PMA et les PEID (fonds UNDRR-Suède)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B7F608" w14:textId="397CC2F2" w:rsidR="0087250B" w:rsidRPr="00D13543" w:rsidRDefault="00EE6031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Bangladesh, Haïti, Libéria, Mozambique, Somalie</w:t>
            </w:r>
          </w:p>
        </w:tc>
      </w:tr>
      <w:tr w:rsidR="0087250B" w:rsidRPr="00D13543" w14:paraId="0E03080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4EA0E18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F980D8" w14:textId="79C4B469" w:rsidR="0087250B" w:rsidRPr="00D13543" w:rsidRDefault="00EE6031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9GLO21112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 cyberespace sain et sécurisé au profit des enfants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D08ECC" w14:textId="3FF9B5C1" w:rsidR="0087250B" w:rsidRPr="00D13543" w:rsidRDefault="00EE6031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Burundi, Éthiopie, Malawi, Malte, Maroc, Ouzbékistan</w:t>
            </w:r>
          </w:p>
        </w:tc>
      </w:tr>
      <w:tr w:rsidR="0087250B" w:rsidRPr="00D13543" w14:paraId="5F55CFF9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5576E7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35FCD0" w14:textId="56B40014" w:rsidR="0087250B" w:rsidRPr="00D13543" w:rsidRDefault="00EE6031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7RAF25157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la mise en œuvre des projets Govstack dans la région 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0307DC6" w14:textId="4058F0C0" w:rsidR="0087250B" w:rsidRPr="00D13543" w:rsidRDefault="008457D0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[Inconnu], Gambie, Guinée, Guinée-Bissau, Sénégal</w:t>
            </w:r>
          </w:p>
        </w:tc>
      </w:tr>
      <w:tr w:rsidR="0087250B" w:rsidRPr="00D13543" w14:paraId="4C48E69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A18626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8383E0" w14:textId="40FBD6E1" w:rsidR="0087250B" w:rsidRPr="00D13543" w:rsidRDefault="00EE6031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7RAF25155 – Finalisation et diffusion des résultats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analyse comparative des TIC en Afrique centrale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466F16F" w14:textId="6DEE65EC" w:rsidR="0087250B" w:rsidRPr="00D13543" w:rsidRDefault="008457D0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[Inconnu], Angola, Burundi, Cameroun, Rép.</w:t>
            </w:r>
            <w:r w:rsidR="0058693C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centrafricaine, Tchad, Congo, Rép. dém. du Congo, Guinée équatoriale, Gabon, Rwanda (République du), Sao Tomé-et-Principe</w:t>
            </w:r>
          </w:p>
        </w:tc>
      </w:tr>
      <w:tr w:rsidR="0087250B" w:rsidRPr="00D13543" w14:paraId="0540DAE2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3C43D8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7A1141" w14:textId="2F18D788" w:rsidR="0087250B" w:rsidRPr="00D13543" w:rsidRDefault="00EE6031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7RAF24106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Cyberrésilience au service du développement numérique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F4CBF1" w14:textId="48740BF2" w:rsidR="0087250B" w:rsidRPr="00D13543" w:rsidRDefault="008457D0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Mozambique, Rwanda (République du), Zambie</w:t>
            </w:r>
          </w:p>
        </w:tc>
      </w:tr>
      <w:tr w:rsidR="0087250B" w:rsidRPr="00D13543" w14:paraId="749DC771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419CD2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E0C5E3" w14:textId="24969873" w:rsidR="0087250B" w:rsidRPr="00D13543" w:rsidRDefault="00EE6031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7RAF21102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Benchmarking des TIC en Afrique centrale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145215" w14:textId="0C3CF643" w:rsidR="0087250B" w:rsidRPr="00D13543" w:rsidRDefault="008457D0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Angola, Burundi, Cameroun, Rép. centrafricaine, Tchad, Congo, Rép. dém. du Congo, Guinée équatoriale, Gabon, Rwanda (République du), Sao Tomé-et-Principe</w:t>
            </w:r>
          </w:p>
        </w:tc>
      </w:tr>
      <w:tr w:rsidR="0087250B" w:rsidRPr="00D13543" w14:paraId="3784C498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3F935C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90291E" w14:textId="654413D8" w:rsidR="0087250B" w:rsidRPr="00D13543" w:rsidRDefault="00EE6031" w:rsidP="00B60459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7GLO25151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"Her Cyber Tracks"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III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865557" w14:textId="025246AC" w:rsidR="0087250B" w:rsidRPr="00D13543" w:rsidRDefault="0058693C" w:rsidP="00DE15C5">
            <w:pPr>
              <w:pStyle w:val="enumlev1"/>
              <w:keepNext/>
              <w:keepLines/>
              <w:tabs>
                <w:tab w:val="clear" w:pos="1134"/>
              </w:tabs>
              <w:ind w:left="449" w:right="-5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</w:t>
            </w:r>
            <w:r w:rsidR="00FD080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Bissau, Libéria, Mali, Moldova, Monténégro, Niger, Nigéria, Macédoine</w:t>
            </w:r>
            <w:r w:rsidR="00FD0809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du</w:t>
            </w:r>
            <w:r w:rsidR="00FD0809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Nord, Sénégal, Serbie, Sierra Leone, Togo, Ukraine</w:t>
            </w:r>
          </w:p>
        </w:tc>
      </w:tr>
      <w:tr w:rsidR="0087250B" w:rsidRPr="00D13543" w14:paraId="63471C6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B76DAD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B5C82A" w14:textId="6CF8C46A" w:rsidR="0087250B" w:rsidRPr="00D13543" w:rsidRDefault="00EE6031" w:rsidP="00DE15C5">
            <w:pPr>
              <w:pStyle w:val="enumlev1"/>
              <w:keepNext/>
              <w:keepLines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7GLO24146 – Deuxième phase du projet "La cybersécurité au service du bien social" (MSIT)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DCCC24E" w14:textId="2C09AB5F" w:rsidR="0087250B" w:rsidRPr="00D13543" w:rsidRDefault="008457D0" w:rsidP="00DE15C5">
            <w:pPr>
              <w:pStyle w:val="enumlev1"/>
              <w:keepNext/>
              <w:keepLines/>
              <w:tabs>
                <w:tab w:val="clear" w:pos="1134"/>
              </w:tabs>
              <w:spacing w:before="60"/>
              <w:ind w:left="449" w:right="-1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Angola, Bangladesh, </w:t>
            </w:r>
            <w:r w:rsidR="0087250B" w:rsidRPr="00C63796">
              <w:rPr>
                <w:sz w:val="20"/>
                <w:lang w:val="fr-FR"/>
              </w:rPr>
              <w:t>Belize, Bénin, Burkina</w:t>
            </w:r>
            <w:r w:rsidR="007C48C7" w:rsidRPr="00C63796">
              <w:rPr>
                <w:sz w:val="20"/>
                <w:lang w:val="fr-FR"/>
              </w:rPr>
              <w:t> </w:t>
            </w:r>
            <w:r w:rsidR="0087250B" w:rsidRPr="00C63796">
              <w:rPr>
                <w:sz w:val="20"/>
                <w:lang w:val="fr-FR"/>
              </w:rPr>
              <w:t xml:space="preserve">Faso, Burundi, Cambodge, </w:t>
            </w:r>
            <w:r w:rsidR="00D13543" w:rsidRPr="00C63796">
              <w:rPr>
                <w:sz w:val="20"/>
                <w:lang w:val="fr-FR"/>
              </w:rPr>
              <w:t>Cabo Verde</w:t>
            </w:r>
            <w:r w:rsidR="0087250B" w:rsidRPr="00C63796">
              <w:rPr>
                <w:sz w:val="20"/>
                <w:lang w:val="fr-FR"/>
              </w:rPr>
              <w:t>, Rép.</w:t>
            </w:r>
            <w:r w:rsidR="0091651B" w:rsidRPr="00C63796">
              <w:rPr>
                <w:sz w:val="20"/>
                <w:lang w:val="fr-FR"/>
              </w:rPr>
              <w:t> </w:t>
            </w:r>
            <w:r w:rsidR="0087250B" w:rsidRPr="00C63796">
              <w:rPr>
                <w:sz w:val="20"/>
                <w:lang w:val="fr-FR"/>
              </w:rPr>
              <w:t>centrafricaine, Tchad, Comores (Union des), Cuba, Rép. dém. du Congo, Djibouti, Dominique, Rép. dominicaine, Érythrée, Éthiopie, Fidji, Gambie, Grenade, Guinée, Guinée-Bissau, Haïti, Jamaïque,</w:t>
            </w:r>
            <w:r w:rsidR="0087250B" w:rsidRPr="00D13543">
              <w:rPr>
                <w:sz w:val="20"/>
                <w:lang w:val="fr-FR"/>
              </w:rPr>
              <w:t xml:space="preserve"> Kiribati, R.d.p. lao, Lesotho, Libéria, Madagascar, Malawi, Maldives, Mali, Îles Marshall, Mauritanie, Micronésie, Mozambique, Népal (République du), Niger, Papouasie-Nouvelle-Guinée, Rwanda (République du), Sainte-Lucie, Saint</w:t>
            </w:r>
            <w:r w:rsidR="007C48C7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Vincent-et-les-Grenadines, Samoa (État</w:t>
            </w:r>
            <w:r w:rsidR="007C48C7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indépendant du), Sénégal, Sierra Leone, Îles Salomon, Somalie, Soudan du Sud, Soudan, Suriname, Tanzanie, Timor-Leste, Togo, Tonga, Tuvalu, Ouganda, Vanuatu, Zambie</w:t>
            </w:r>
          </w:p>
        </w:tc>
      </w:tr>
      <w:tr w:rsidR="0087250B" w:rsidRPr="00D13543" w14:paraId="77A52F06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A187A6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1C67A1" w14:textId="26E50F23" w:rsidR="0087250B" w:rsidRPr="00D13543" w:rsidRDefault="00EE6031" w:rsidP="00DE15C5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7GLO24142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Partenariat pour le renforcement de la cybersécurité </w:t>
            </w:r>
            <w:r w:rsidR="008449AC" w:rsidRPr="00D13543">
              <w:rPr>
                <w:sz w:val="20"/>
                <w:lang w:val="fr-FR"/>
              </w:rPr>
              <w:t xml:space="preserve">– </w:t>
            </w:r>
            <w:r w:rsidR="0087250B" w:rsidRPr="00D13543">
              <w:rPr>
                <w:sz w:val="20"/>
                <w:lang w:val="fr-FR"/>
              </w:rPr>
              <w:t>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C07DC1" w14:textId="41655EE2" w:rsidR="0087250B" w:rsidRPr="00D13543" w:rsidRDefault="008457D0" w:rsidP="00DE15C5">
            <w:pPr>
              <w:pStyle w:val="enumlev1"/>
              <w:tabs>
                <w:tab w:val="clear" w:pos="1134"/>
              </w:tabs>
              <w:spacing w:before="60"/>
              <w:ind w:left="449" w:right="-1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</w:t>
            </w:r>
            <w:r w:rsidR="00DE15C5" w:rsidRPr="00D13543">
              <w:rPr>
                <w:sz w:val="20"/>
                <w:lang w:val="fr-FR"/>
              </w:rPr>
              <w:t>-</w:t>
            </w:r>
            <w:r w:rsidR="0087250B" w:rsidRPr="00D13543">
              <w:rPr>
                <w:sz w:val="20"/>
                <w:lang w:val="fr-FR"/>
              </w:rPr>
              <w:t>Bissau, Libéria, Mali, Moldova, Monténégro, Niger, Nigéria, Macédoine du Nord, Sénégal, Serbie, Sierra Leone, Togo, Ukraine</w:t>
            </w:r>
          </w:p>
        </w:tc>
      </w:tr>
      <w:tr w:rsidR="0087250B" w:rsidRPr="00D13543" w14:paraId="717B114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709F83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482F86A" w14:textId="0544880D" w:rsidR="0087250B" w:rsidRPr="00D13543" w:rsidRDefault="00EE6031" w:rsidP="00DE15C5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7GLO20108 – Renforcer les compétences numériques au moyen des Centres de transformation numérique (DTC)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80F670" w14:textId="4D2CEBA0" w:rsidR="0087250B" w:rsidRPr="00D13543" w:rsidRDefault="008457D0" w:rsidP="00DE15C5">
            <w:pPr>
              <w:pStyle w:val="enumlev1"/>
              <w:tabs>
                <w:tab w:val="clear" w:pos="1134"/>
              </w:tabs>
              <w:spacing w:before="60"/>
              <w:ind w:left="449" w:right="-70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pacing w:val="-2"/>
                <w:sz w:val="20"/>
                <w:lang w:val="fr-FR"/>
              </w:rPr>
              <w:t>Côte d</w:t>
            </w:r>
            <w:r w:rsidR="00294371" w:rsidRPr="00D13543">
              <w:rPr>
                <w:spacing w:val="-2"/>
                <w:sz w:val="20"/>
                <w:lang w:val="fr-FR"/>
              </w:rPr>
              <w:t>'</w:t>
            </w:r>
            <w:r w:rsidR="0087250B" w:rsidRPr="00D13543">
              <w:rPr>
                <w:spacing w:val="-2"/>
                <w:sz w:val="20"/>
                <w:lang w:val="fr-FR"/>
              </w:rPr>
              <w:t>Ivoire, Rép. dém. du Congo, Rép.</w:t>
            </w:r>
            <w:r w:rsidR="00DE15C5" w:rsidRPr="00D13543">
              <w:rPr>
                <w:spacing w:val="-2"/>
                <w:sz w:val="20"/>
                <w:lang w:val="fr-FR"/>
              </w:rPr>
              <w:t xml:space="preserve"> </w:t>
            </w:r>
            <w:r w:rsidR="0087250B" w:rsidRPr="00D13543">
              <w:rPr>
                <w:spacing w:val="-2"/>
                <w:sz w:val="20"/>
                <w:lang w:val="fr-FR"/>
              </w:rPr>
              <w:t>dominicaine, Ghana, Indonésie, Maroc, Pakistan, Papouasie-Nouvelle-Guinée, Philippines, Rwanda (République du), Ouganda, Zambie</w:t>
            </w:r>
          </w:p>
        </w:tc>
      </w:tr>
      <w:tr w:rsidR="0087250B" w:rsidRPr="00D13543" w14:paraId="689F5459" w14:textId="77777777" w:rsidTr="00631E95">
        <w:trPr>
          <w:trHeight w:val="58"/>
        </w:trPr>
        <w:tc>
          <w:tcPr>
            <w:tcW w:w="2977" w:type="dxa"/>
            <w:vMerge/>
            <w:noWrap/>
          </w:tcPr>
          <w:p w14:paraId="1953EFC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214987" w14:textId="5A78D2D9" w:rsidR="0087250B" w:rsidRPr="00D13543" w:rsidRDefault="00EE6031" w:rsidP="00DE15C5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7GLO20106 – Renforcer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écosystème numérique et les compétences numériques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autonomisation économique des femmes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0EA366" w14:textId="4D0C91B7" w:rsidR="0087250B" w:rsidRPr="00D13543" w:rsidRDefault="008457D0" w:rsidP="00DE15C5">
            <w:pPr>
              <w:pStyle w:val="enumlev1"/>
              <w:tabs>
                <w:tab w:val="clear" w:pos="1134"/>
              </w:tabs>
              <w:spacing w:before="60"/>
              <w:ind w:left="449" w:right="-1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Burundi, Éthiopie, Haïti</w:t>
            </w:r>
          </w:p>
        </w:tc>
      </w:tr>
      <w:tr w:rsidR="0087250B" w:rsidRPr="00D13543" w14:paraId="64399459" w14:textId="77777777" w:rsidTr="00631E95">
        <w:trPr>
          <w:trHeight w:val="58"/>
        </w:trPr>
        <w:tc>
          <w:tcPr>
            <w:tcW w:w="2977" w:type="dxa"/>
            <w:vMerge/>
            <w:noWrap/>
          </w:tcPr>
          <w:p w14:paraId="4373C16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D096C4" w14:textId="240EB708" w:rsidR="0087250B" w:rsidRPr="00D13543" w:rsidRDefault="00EE6031" w:rsidP="00DE15C5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2RER20008-03 – Programme mondial de transformation numérique – Initiative pour une administration en ligne dans la Corne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34B612" w14:textId="6AD52242" w:rsidR="0087250B" w:rsidRPr="00D13543" w:rsidRDefault="008457D0" w:rsidP="00DE15C5">
            <w:pPr>
              <w:pStyle w:val="enumlev1"/>
              <w:tabs>
                <w:tab w:val="clear" w:pos="1134"/>
              </w:tabs>
              <w:spacing w:before="60"/>
              <w:ind w:left="449" w:right="-1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Djibouti, Kenya, Somalie</w:t>
            </w:r>
          </w:p>
        </w:tc>
      </w:tr>
      <w:tr w:rsidR="0087250B" w:rsidRPr="00D13543" w14:paraId="1EDE188F" w14:textId="77777777" w:rsidTr="00631E95">
        <w:trPr>
          <w:trHeight w:val="58"/>
        </w:trPr>
        <w:tc>
          <w:tcPr>
            <w:tcW w:w="2977" w:type="dxa"/>
            <w:vMerge/>
            <w:noWrap/>
          </w:tcPr>
          <w:p w14:paraId="0FFD02E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66542D" w14:textId="11A10738" w:rsidR="0087250B" w:rsidRPr="00D13543" w:rsidRDefault="00EE6031" w:rsidP="00DE15C5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2GLO21119 – Création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C26498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Cyber4Good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B83BE3" w14:textId="662FA5AF" w:rsidR="0087250B" w:rsidRPr="00D13543" w:rsidRDefault="008457D0" w:rsidP="00DE15C5">
            <w:pPr>
              <w:pStyle w:val="enumlev1"/>
              <w:tabs>
                <w:tab w:val="clear" w:pos="1134"/>
              </w:tabs>
              <w:spacing w:before="60"/>
              <w:ind w:left="449" w:right="-1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Libéria, Malawi, Mauritanie, Rwanda</w:t>
            </w:r>
            <w:r w:rsidR="00300DB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(République du), Tanzanie</w:t>
            </w:r>
          </w:p>
        </w:tc>
      </w:tr>
      <w:tr w:rsidR="0087250B" w:rsidRPr="00D13543" w14:paraId="2B5B899B" w14:textId="77777777" w:rsidTr="00631E95">
        <w:trPr>
          <w:trHeight w:val="58"/>
        </w:trPr>
        <w:tc>
          <w:tcPr>
            <w:tcW w:w="2977" w:type="dxa"/>
            <w:vMerge/>
            <w:noWrap/>
          </w:tcPr>
          <w:p w14:paraId="4960D60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00A217" w14:textId="3AA13792" w:rsidR="0087250B" w:rsidRPr="00D13543" w:rsidRDefault="00EE6031" w:rsidP="00DE15C5">
            <w:pPr>
              <w:pStyle w:val="enumlev1"/>
              <w:widowControl w:val="0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2CAF23002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Établissement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centre de formation pour la fibre optique dans la République centrafricaine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571F60" w14:textId="21193DDE" w:rsidR="0087250B" w:rsidRPr="00D13543" w:rsidRDefault="008457D0" w:rsidP="00DE15C5">
            <w:pPr>
              <w:pStyle w:val="enumlev1"/>
              <w:widowControl w:val="0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République centrafricaine</w:t>
            </w:r>
          </w:p>
        </w:tc>
      </w:tr>
      <w:tr w:rsidR="0087250B" w:rsidRPr="00D13543" w14:paraId="0A1121A4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D8820" w14:textId="03091DAD" w:rsidR="0087250B" w:rsidRPr="00D13543" w:rsidRDefault="0087250B" w:rsidP="008449AC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30 </w:t>
            </w:r>
            <w:r w:rsidR="003F667F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Rôle</w:t>
            </w:r>
            <w:r w:rsidR="00D35BE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du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Secteur du développement des télécommunications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 dans la mise en œuvre des résultats du Sommet mondial sur la société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du Programme de développement durable à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horizon 2030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EC0D04" w14:textId="6FD99B93" w:rsidR="0087250B" w:rsidRPr="00D13543" w:rsidRDefault="0087250B" w:rsidP="00EE6031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BBC20AE" w14:textId="259F7ADB" w:rsidR="0087250B" w:rsidRPr="00D13543" w:rsidRDefault="008457D0" w:rsidP="008449AC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9995B5" w14:textId="7303910A" w:rsidR="0087250B" w:rsidRPr="00D13543" w:rsidRDefault="008457D0" w:rsidP="00992A0F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Asie-Pacifique, Europe, monde ou régions multiples</w:t>
            </w:r>
          </w:p>
        </w:tc>
      </w:tr>
      <w:tr w:rsidR="0087250B" w:rsidRPr="00D13543" w14:paraId="2FB0AF9C" w14:textId="77777777" w:rsidTr="00631E9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443EBC" w14:textId="73D3E26D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31 </w:t>
            </w:r>
            <w:r w:rsidR="003F667F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Travaux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préparatoires régionaux pour les conférences mondiales de développement des télécommunications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787F1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696F3A1" w14:textId="0B72D0DD" w:rsidR="0087250B" w:rsidRPr="00D13543" w:rsidRDefault="008457D0" w:rsidP="00992A0F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10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5C4ED" w14:textId="3389D1E9" w:rsidR="0087250B" w:rsidRPr="00D13543" w:rsidRDefault="008457D0" w:rsidP="00992A0F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pays de la CEI, Europe</w:t>
            </w:r>
          </w:p>
        </w:tc>
      </w:tr>
      <w:tr w:rsidR="0087250B" w:rsidRPr="00D13543" w14:paraId="144C79F7" w14:textId="77777777" w:rsidTr="00631E95">
        <w:trPr>
          <w:trHeight w:val="300"/>
        </w:trPr>
        <w:tc>
          <w:tcPr>
            <w:tcW w:w="2977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284DC2B9" w14:textId="4C490190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33 (Rév.</w:t>
            </w:r>
            <w:r w:rsidR="00D35BE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Dubaï,</w:t>
            </w:r>
            <w:r w:rsidR="00D35BE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2014) – Aide</w:t>
            </w:r>
            <w:r w:rsidR="00D35BEC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et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soutien à la Serbie pour la remise en état de son système public de radiodiffusion détruit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A33FEE2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C60F79" w14:textId="77777777" w:rsidR="0087250B" w:rsidRPr="00D13543" w:rsidRDefault="0087250B" w:rsidP="00992A0F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2E6C313A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54EFA68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8D3C8C2" w14:textId="4B65BAAE" w:rsidR="0087250B" w:rsidRPr="00D13543" w:rsidRDefault="008457D0" w:rsidP="00992A0F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2RER21029 </w:t>
            </w:r>
            <w:r w:rsidR="00992A0F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Rapport sur le suivi des DEEE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échelle régionale pour les Balkans occidentaux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C973CC" w14:textId="34595EA8" w:rsidR="0087250B" w:rsidRPr="00D13543" w:rsidRDefault="008457D0" w:rsidP="00992A0F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Bosnie-Herzégovine, Monténégro, Macédoine du Nord, Serbie</w:t>
            </w:r>
          </w:p>
        </w:tc>
      </w:tr>
      <w:tr w:rsidR="0087250B" w:rsidRPr="00D13543" w14:paraId="1696529A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7A948E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45F712F" w14:textId="123E73ED" w:rsidR="0087250B" w:rsidRPr="00D13543" w:rsidRDefault="008457D0" w:rsidP="00992A0F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7GLO24142 </w:t>
            </w:r>
            <w:r w:rsidR="008449AC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Partenariat pour le renforcement de la cybersécurité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85DDAE" w14:textId="676C8E4A" w:rsidR="0087250B" w:rsidRPr="00D13543" w:rsidRDefault="008457D0" w:rsidP="00992A0F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</w:t>
            </w:r>
            <w:r w:rsidR="001163D8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Bissau, Libéria, Mali, Moldova, Monténégro, Niger, Nigéria, Macédoine du Nord, Sénégal, Serbie, Sierra Leone, Togo, Ukraine</w:t>
            </w:r>
          </w:p>
        </w:tc>
      </w:tr>
      <w:tr w:rsidR="0087250B" w:rsidRPr="00D13543" w14:paraId="5E3631E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FEB912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2B2E6D" w14:textId="1C841874" w:rsidR="0087250B" w:rsidRPr="00D13543" w:rsidRDefault="008457D0" w:rsidP="00992A0F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7GLO25151 </w:t>
            </w:r>
            <w:r w:rsidR="00992A0F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"Her Cyber Tracks"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III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2A0CF1C" w14:textId="4BD6F584" w:rsidR="0087250B" w:rsidRPr="00D13543" w:rsidRDefault="008457D0" w:rsidP="00992A0F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</w:t>
            </w:r>
            <w:r w:rsidR="001163D8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Bissau, Libéria, Mali, Moldova, Monténégro, Niger, Nigéria, Macédoine du Nord, Sénégal, Serbie, Sierra Leone, Togo, Ukraine</w:t>
            </w:r>
          </w:p>
        </w:tc>
      </w:tr>
      <w:tr w:rsidR="0087250B" w:rsidRPr="00D13543" w14:paraId="6FB14495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0251E64" w14:textId="46F3DAB6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34 </w:t>
            </w:r>
            <w:r w:rsidR="003F667F" w:rsidRPr="00D13543">
              <w:rPr>
                <w:lang w:val="fr-FR"/>
              </w:rPr>
              <w:t xml:space="preserve">(Rév. Kigali, 2022) – </w:t>
            </w:r>
            <w:r w:rsidRPr="00D13543">
              <w:rPr>
                <w:lang w:val="fr-FR"/>
              </w:rPr>
              <w:t>Rôle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des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télécommunications et des 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 dans la préparation en prévision des catastrophes,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alerte avancée,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atténuation des effets des catastrophes, les interventions et les opérations de secours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0BDA5E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60C4FB2C" w14:textId="1E12B95F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53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FCC229" w14:textId="1D4AD433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DE15C5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2491AF17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EA0EFF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2340BA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7729F7" w14:textId="77777777" w:rsidR="0087250B" w:rsidRPr="00D13543" w:rsidRDefault="0087250B" w:rsidP="00122456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308229F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3F6CE5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E568FF0" w14:textId="6BAC3956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2GLO18094 – Amélioration des plans nationaux de télécommunications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urgence et de coordination pour sauver des vies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9DCA3BB" w14:textId="15137FA0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Régions multiples </w:t>
            </w:r>
          </w:p>
        </w:tc>
      </w:tr>
      <w:tr w:rsidR="0087250B" w:rsidRPr="00D13543" w14:paraId="7E49EEC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C905A7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EC8059" w14:textId="0874C7BC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7GLO03043 – Développement des télécommunications rurales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49160" w14:textId="1BF70CF4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15DA6D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55B5A5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64946" w14:textId="75383491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7GLO24144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Alertes précoces pour tous (EW4All): fonds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destinés à appuyer la mise en œuvre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initiative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5D1C8" w14:textId="027D3E68" w:rsidR="0087250B" w:rsidRPr="00D13543" w:rsidRDefault="007014F4" w:rsidP="00846A67">
            <w:pPr>
              <w:pStyle w:val="enumlev1"/>
              <w:tabs>
                <w:tab w:val="clear" w:pos="1134"/>
              </w:tabs>
              <w:spacing w:before="120"/>
              <w:ind w:left="449" w:right="66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="00122456"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Cabo Verde, Djibouti, Guyana, Monténégro, Macédoine du Nord, Sao</w:t>
            </w:r>
            <w:r w:rsidR="00846A67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Tomé</w:t>
            </w:r>
            <w:r w:rsidR="00846A67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et-Principe</w:t>
            </w:r>
          </w:p>
        </w:tc>
      </w:tr>
      <w:tr w:rsidR="0087250B" w:rsidRPr="00D13543" w14:paraId="5894F5FB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0D6875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139490" w14:textId="5DF12862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7RAS24074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numérique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financièrement abordable aux services TIC en Asie-Pacifique – Deuxième phase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71E5F" w14:textId="5DC7F038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585707C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5AD855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E1F8D5" w14:textId="263D6A0B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9GLO21111 – Connect2Recover – Renforcer les infrastructures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écosystème numériques face au COVID-19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3D820" w14:textId="6BF63B86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631B1C3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DD3754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46FFE8" w14:textId="08806F08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9GLO23122 – Mise en œuvre de la Phase 2 du projet relatif à la Carte de connectivité en cas de catastrophe (DCM)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43C53" w14:textId="6CFDE119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243048B2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216183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ABAC3B" w14:textId="733BA9E8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9GLO24137 – Accélérateur multi-parties prenantes EW4All dans les PMA et les PEID (fonds UNDRR-Suède)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FB1A65" w14:textId="4ABB13B7" w:rsidR="0087250B" w:rsidRPr="00D13543" w:rsidRDefault="00122456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Bangladesh, Haïti, Libéria, Mozambique, Somalie</w:t>
            </w:r>
          </w:p>
        </w:tc>
      </w:tr>
      <w:tr w:rsidR="0087250B" w:rsidRPr="00D13543" w14:paraId="6A0E6A62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B618A6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06DADF" w14:textId="5EA85289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9GLO24143 – Systèmes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 xml:space="preserve">alerte précoce aux risques climatiques (CREWS)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Accélérateur multi-parties prenantes pour les alertes précoces pour tous (EW4All) dans les PMA et les PEID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076DDC" w14:textId="49C02B6D" w:rsidR="0087250B" w:rsidRPr="00D13543" w:rsidRDefault="003540C0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Comores (Union des), Kiribati, Madagascar, Maurice, Îles Salomon, Tonga</w:t>
            </w:r>
          </w:p>
        </w:tc>
      </w:tr>
      <w:tr w:rsidR="0087250B" w:rsidRPr="00D13543" w14:paraId="63C9B80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6142D2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154587" w14:textId="6D7934D5" w:rsidR="0087250B" w:rsidRPr="00D13543" w:rsidRDefault="00146534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9RAF24105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Contribution du Danemark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7014F4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 xml:space="preserve">nitiative "Alertes précoces pour tous" (EW4All) (OMM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Danemark)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191865" w14:textId="781E2E24" w:rsidR="0087250B" w:rsidRPr="00D13543" w:rsidRDefault="003540C0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Niger, Somalie, Soudan du Sud, Tanzanie, Ouganda</w:t>
            </w:r>
          </w:p>
        </w:tc>
      </w:tr>
      <w:tr w:rsidR="0087250B" w:rsidRPr="00D13543" w14:paraId="66E23F8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CA6B10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12484" w14:textId="6468D56D" w:rsidR="0087250B" w:rsidRPr="00D13543" w:rsidRDefault="00107A0F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9RAS25002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numérique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financièrement abordable aux services TIC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AF413" w14:textId="36060F5C" w:rsidR="0087250B" w:rsidRPr="00D13543" w:rsidRDefault="003540C0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Bangladesh, Cambodge, Maldives, Îles Marshall, Mongolie, Nauru, Pakistan, Papouasie-Nouvelle-Guinée, Vanuatu</w:t>
            </w:r>
          </w:p>
        </w:tc>
      </w:tr>
      <w:tr w:rsidR="0087250B" w:rsidRPr="00D13543" w14:paraId="2FFEC56D" w14:textId="77777777" w:rsidTr="00631E95">
        <w:trPr>
          <w:trHeight w:val="6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AB70CA" w14:textId="33EC8B2D" w:rsidR="0087250B" w:rsidRPr="00D13543" w:rsidRDefault="0087250B" w:rsidP="00B70B4C">
            <w:pPr>
              <w:pStyle w:val="Tabletext"/>
              <w:jc w:val="center"/>
              <w:rPr>
                <w:rFonts w:cstheme="minorBidi"/>
                <w:color w:val="000000" w:themeColor="text1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36 (Rév.</w:t>
            </w:r>
            <w:r w:rsidR="00FC279A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FC279A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Soutien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à</w:t>
            </w:r>
            <w:r w:rsidR="00FC279A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Union africaine des télécommunications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C12B3F3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Mis en œuvre.</w:t>
            </w:r>
            <w:r w:rsidRPr="00D13543">
              <w:rPr>
                <w:rStyle w:val="FootnoteReference"/>
                <w:color w:val="000000"/>
                <w:sz w:val="20"/>
                <w:lang w:val="fr-FR"/>
              </w:rPr>
              <w:footnoteReference w:id="7"/>
            </w:r>
            <w:r w:rsidRPr="00D13543">
              <w:rPr>
                <w:lang w:val="fr-FR"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8E3E75" w14:textId="0E2D6D6A" w:rsidR="0087250B" w:rsidRPr="00D13543" w:rsidRDefault="003540C0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</w:t>
            </w:r>
          </w:p>
        </w:tc>
      </w:tr>
      <w:tr w:rsidR="0087250B" w:rsidRPr="00D13543" w14:paraId="78A3E41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5BE8C5E8" w14:textId="77777777" w:rsidR="0087250B" w:rsidRPr="00D13543" w:rsidRDefault="0087250B" w:rsidP="00B70B4C">
            <w:pPr>
              <w:pStyle w:val="Tabletext"/>
              <w:jc w:val="center"/>
              <w:rPr>
                <w:rFonts w:cstheme="minorBidi"/>
                <w:color w:val="000000" w:themeColor="text1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FD30EC" w14:textId="77777777" w:rsidR="0087250B" w:rsidRPr="00D13543" w:rsidRDefault="0087250B" w:rsidP="007014F4">
            <w:pPr>
              <w:pStyle w:val="Tabletext"/>
              <w:rPr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  <w:p w14:paraId="0B4A86D5" w14:textId="2AD17A57" w:rsidR="0087250B" w:rsidRPr="00D13543" w:rsidRDefault="003540C0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235C97" w14:textId="518A6CE1" w:rsidR="0087250B" w:rsidRPr="00D13543" w:rsidRDefault="003540C0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 Faso, Burundi, Cameroun, Cabo Verde, Rép.</w:t>
            </w:r>
            <w:r w:rsidR="00846A67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centrafricaine, Tchad, Congo,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Guinée-Bissau, Kenya, Lesotho, Libéria, Libye, Madagascar, Malawi, Mali, Mauritanie, Maurice, Maroc, Mozambique, Namibie, Niger, Nigéria, Rwanda (République</w:t>
            </w:r>
            <w:r w:rsidR="00F6556D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du), Sao Tomé-et-Principe, Sénégal, Seychelles, Sierra Leone, Somalie, Rép. sudafricaine, Soudan du Sud, Soudan, Tanzanie, Togo, Tunisie, Ouganda, Zambie, Zimbabwe</w:t>
            </w:r>
          </w:p>
        </w:tc>
      </w:tr>
      <w:tr w:rsidR="0087250B" w:rsidRPr="00D13543" w14:paraId="757E3BF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427170DD" w14:textId="77777777" w:rsidR="0087250B" w:rsidRPr="00D13543" w:rsidRDefault="0087250B" w:rsidP="00B70B4C">
            <w:pPr>
              <w:pStyle w:val="Tabletext"/>
              <w:jc w:val="center"/>
              <w:rPr>
                <w:rFonts w:cstheme="minorBidi"/>
                <w:color w:val="000000" w:themeColor="text1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039E89" w14:textId="7525CB7D" w:rsidR="0087250B" w:rsidRPr="00D13543" w:rsidRDefault="003540C0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9RAF24105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Contribution du Danemark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C26498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 xml:space="preserve">nitiative "Alertes précoces pour tous" (EW4All) (OMM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Danemark)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E5B5DA" w14:textId="5E93FAF8" w:rsidR="0087250B" w:rsidRPr="00D13543" w:rsidRDefault="00A15801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Niger, Somalie, Soudan du Sud, Tanzanie, Ouganda</w:t>
            </w:r>
          </w:p>
        </w:tc>
      </w:tr>
      <w:tr w:rsidR="0087250B" w:rsidRPr="00D13543" w14:paraId="5FDF9A6D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6D06A46" w14:textId="470D7059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37 (Rév.</w:t>
            </w:r>
            <w:r w:rsidR="006414D0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6414D0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Réduction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 la fracture numérique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489C198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3D4A69B" w14:textId="3A03D03C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70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4861DF" w14:textId="67EB4703" w:rsidR="0087250B" w:rsidRPr="00D13543" w:rsidRDefault="00A15801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FB6751" w:rsidRPr="00D13543">
              <w:rPr>
                <w:sz w:val="20"/>
                <w:lang w:val="fr-FR"/>
              </w:rPr>
              <w:t>\</w:t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41A0FD9C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0343D1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1847A4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811F78" w14:textId="77777777" w:rsidR="0087250B" w:rsidRPr="00D13543" w:rsidRDefault="0087250B" w:rsidP="003D6E81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6E20BC5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82E1A4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B39A2A" w14:textId="72998675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2NER21005 </w:t>
            </w:r>
            <w:r w:rsidR="00846A6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Projet de villages intelligents pour le développement rural au Niger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2E452E" w14:textId="4E44020B" w:rsidR="0087250B" w:rsidRPr="00D13543" w:rsidRDefault="00A15801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Niger</w:t>
            </w:r>
          </w:p>
        </w:tc>
      </w:tr>
      <w:tr w:rsidR="0087250B" w:rsidRPr="00D13543" w14:paraId="6877D10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8E7470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BB7B8" w14:textId="68BF31E0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2RAS22070 – Îles intelligentes dans le 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3FD42" w14:textId="53C7F885" w:rsidR="0087250B" w:rsidRPr="00D13543" w:rsidRDefault="00A1580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Papouasie-Nouvelle-Guinée, Vanuatu</w:t>
            </w:r>
          </w:p>
        </w:tc>
      </w:tr>
      <w:tr w:rsidR="0087250B" w:rsidRPr="00D13543" w14:paraId="0313DB7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799C8F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BE7428" w14:textId="3CC932AE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2RLA21018 – Surmonter les obstacles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inclusion numérique: Les jeunes Américaines savent coder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7AFB9F" w14:textId="60BFC693" w:rsidR="0087250B" w:rsidRPr="00D13543" w:rsidRDefault="00A1580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Argentine, Brésil, Équateur, Mexique</w:t>
            </w:r>
          </w:p>
        </w:tc>
      </w:tr>
      <w:tr w:rsidR="0087250B" w:rsidRPr="00D13543" w14:paraId="1193383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BD7B38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103F6F" w14:textId="0F3E873B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2RLA21021 – Inclusion numérique des jeunes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E3E92" w14:textId="75FAC59D" w:rsidR="0087250B" w:rsidRPr="00D13543" w:rsidRDefault="00A1580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Argentine, Bolivie, Paraguay</w:t>
            </w:r>
          </w:p>
        </w:tc>
      </w:tr>
      <w:tr w:rsidR="0087250B" w:rsidRPr="00D13543" w14:paraId="5C65369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7DF586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4F9F38" w14:textId="3CB50AD9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7GLO20108 – Renforcer les compétences numériques au moyen des Centres de transformation numérique (DTC)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9BF079" w14:textId="1E918B87" w:rsidR="0087250B" w:rsidRPr="00D13543" w:rsidRDefault="00A15801" w:rsidP="00846A67">
            <w:pPr>
              <w:pStyle w:val="enumlev1"/>
              <w:tabs>
                <w:tab w:val="clear" w:pos="1134"/>
              </w:tabs>
              <w:ind w:left="449" w:right="-7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Rép.</w:t>
            </w:r>
            <w:r w:rsidR="00846A67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dominicaine, Ghana, Indonésie, Maroc, Pakistan, Papouasie-Nouvelle-Guinée, Philippines, Rwanda (République du), Ouganda, Zambie</w:t>
            </w:r>
          </w:p>
        </w:tc>
      </w:tr>
      <w:tr w:rsidR="0087250B" w:rsidRPr="00D13543" w14:paraId="7D85496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1EBF02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691C4D" w14:textId="6CE6CE7E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F93C9" w14:textId="4A9B7369" w:rsidR="0087250B" w:rsidRPr="00D13543" w:rsidRDefault="00A1580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655C6655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D5CF36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F2258E" w14:textId="1F172BF6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7GLO23132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"jeunes chefs de file" dans le cadre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46A67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Generation Connect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7BDE1" w14:textId="3B38B972" w:rsidR="0087250B" w:rsidRPr="00D13543" w:rsidRDefault="00A1580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AE94D3A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4CEC5F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8E3F19" w14:textId="14B4CE3C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760CD" w14:textId="15C4B662" w:rsidR="0087250B" w:rsidRPr="00D13543" w:rsidRDefault="00A1580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26E8795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34458C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D9DCE" w14:textId="1C38C3DC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9PNG20003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Appui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entrepreneuriat,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investissement et au commerce en zone rurale en Papouasie-Nouvelle-Guinée (STREIT PNG)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BE2CB" w14:textId="1FCFEF55" w:rsidR="0087250B" w:rsidRPr="00D13543" w:rsidRDefault="003D6E81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Papouasie-Nouvelle-Guinée</w:t>
            </w:r>
          </w:p>
        </w:tc>
      </w:tr>
      <w:tr w:rsidR="0087250B" w:rsidRPr="00D13543" w14:paraId="5AFE7307" w14:textId="77777777" w:rsidTr="00631E95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noWrap/>
            <w:vAlign w:val="center"/>
          </w:tcPr>
          <w:p w14:paraId="3F84A2AD" w14:textId="3B0426D2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40 (Rév.</w:t>
            </w:r>
            <w:r w:rsidR="00C942AF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C942AF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Groupe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sur</w:t>
            </w:r>
            <w:r w:rsidR="00846A67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les initiatives pour le renforcement des capacités</w:t>
            </w:r>
          </w:p>
        </w:tc>
        <w:tc>
          <w:tcPr>
            <w:tcW w:w="7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5E61A209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62920F48" w14:textId="298B595C" w:rsidR="0087250B" w:rsidRPr="00D13543" w:rsidRDefault="00A15801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14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600C82B0" w14:textId="319C73C2" w:rsidR="0087250B" w:rsidRPr="00D13543" w:rsidRDefault="00C942AF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Asie-Pacifique, monde ou régions multiples</w:t>
            </w:r>
          </w:p>
        </w:tc>
      </w:tr>
      <w:tr w:rsidR="0087250B" w:rsidRPr="00D13543" w14:paraId="3B9DD557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E8FAC41" w14:textId="3BA355BC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45 (Rév.</w:t>
            </w:r>
            <w:r w:rsidR="00C942AF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C942AF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Mécanismes</w:t>
            </w:r>
            <w:r w:rsidR="00C942AF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propres à améliorer la coopération en matière de cybersécurité, y compris la lutte contre le spam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03C37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7A2D48A" w14:textId="493A2BE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65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D1510" w14:textId="3A82F13A" w:rsidR="0087250B" w:rsidRPr="00D13543" w:rsidRDefault="00C942AF" w:rsidP="00846A67">
            <w:pPr>
              <w:pStyle w:val="enumlev1"/>
              <w:tabs>
                <w:tab w:val="clear" w:pos="1134"/>
              </w:tabs>
              <w:spacing w:before="360"/>
              <w:ind w:left="449" w:right="-74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Asie-Pacifique, pays de la CEI, Europe, monde ou régions multiples</w:t>
            </w:r>
          </w:p>
        </w:tc>
      </w:tr>
      <w:tr w:rsidR="0087250B" w:rsidRPr="00D13543" w14:paraId="791CDF51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10E2BD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B5C582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6C83E" w14:textId="77777777" w:rsidR="0087250B" w:rsidRPr="00D13543" w:rsidRDefault="0087250B" w:rsidP="001E43D3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046BD40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3B01CB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B514E" w14:textId="4E99044E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2GLO21119 – Création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46A67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Cyber4Good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7B0496" w14:textId="0D9D5574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Libéria, Malawi, Mauritanie, Rwanda (République du), Tanzanie</w:t>
            </w:r>
          </w:p>
        </w:tc>
      </w:tr>
      <w:tr w:rsidR="0087250B" w:rsidRPr="00D13543" w14:paraId="51104CA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7B1A26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AF1F8E" w14:textId="478B1F62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2KYR21002 –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en République kirghize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A6CE4" w14:textId="2F92BBE8" w:rsidR="0087250B" w:rsidRPr="00D13543" w:rsidRDefault="00C942AF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Kirghizistan</w:t>
            </w:r>
          </w:p>
        </w:tc>
      </w:tr>
      <w:tr w:rsidR="0087250B" w:rsidRPr="00D13543" w14:paraId="70076249" w14:textId="77777777" w:rsidTr="00631E95">
        <w:trPr>
          <w:trHeight w:val="250"/>
        </w:trPr>
        <w:tc>
          <w:tcPr>
            <w:tcW w:w="2977" w:type="dxa"/>
            <w:vMerge/>
            <w:noWrap/>
            <w:hideMark/>
          </w:tcPr>
          <w:p w14:paraId="79599D1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ECC0A3" w14:textId="3F690AA6" w:rsidR="0087250B" w:rsidRPr="00D13543" w:rsidRDefault="00C942AF" w:rsidP="00674226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7GLO24142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Partenariat pour le renforcement de la cybersécurité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A73774" w14:textId="4497133B" w:rsidR="0087250B" w:rsidRPr="00D13543" w:rsidRDefault="00C942AF" w:rsidP="00674226">
            <w:pPr>
              <w:pStyle w:val="enumlev1"/>
              <w:keepNext/>
              <w:keepLines/>
              <w:widowControl w:val="0"/>
              <w:tabs>
                <w:tab w:val="clear" w:pos="1134"/>
              </w:tabs>
              <w:spacing w:before="120"/>
              <w:ind w:left="448" w:right="-62" w:hanging="420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</w:t>
            </w:r>
            <w:r w:rsidR="00846A67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Bissau, Libéria, Mali, Moldova, Monténégro, Niger, Nigéria, Macédoine du Nord, Sénégal, Serbie, Sierra Leone, Togo, Ukraine</w:t>
            </w:r>
          </w:p>
        </w:tc>
      </w:tr>
      <w:tr w:rsidR="0087250B" w:rsidRPr="00D13543" w14:paraId="4AF02BF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652822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58FBB3" w14:textId="4A07B1AE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7GLO24146 – Deuxième phase du projet "La cybersécurité au service du bien social" (MSIT)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BCC577" w14:textId="4298EB8F" w:rsidR="0087250B" w:rsidRPr="00D13543" w:rsidRDefault="00C942AF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Angola, Bangladesh, Belize, Bénin, Burkina Faso, Burundi, </w:t>
            </w:r>
            <w:r w:rsidR="0087250B" w:rsidRPr="00C63796">
              <w:rPr>
                <w:sz w:val="20"/>
                <w:lang w:val="fr-FR"/>
              </w:rPr>
              <w:t xml:space="preserve">Cambodge, </w:t>
            </w:r>
            <w:r w:rsidR="00D13543" w:rsidRPr="00C63796">
              <w:rPr>
                <w:sz w:val="20"/>
                <w:lang w:val="fr-FR"/>
              </w:rPr>
              <w:t>Cabo Verde</w:t>
            </w:r>
            <w:r w:rsidR="0087250B" w:rsidRPr="00C63796">
              <w:rPr>
                <w:sz w:val="20"/>
                <w:lang w:val="fr-FR"/>
              </w:rPr>
              <w:t>, Rép.</w:t>
            </w:r>
            <w:r w:rsidR="00BF0AB2" w:rsidRPr="00C63796">
              <w:rPr>
                <w:sz w:val="20"/>
                <w:lang w:val="fr-FR"/>
              </w:rPr>
              <w:t> </w:t>
            </w:r>
            <w:r w:rsidR="0087250B" w:rsidRPr="00C63796">
              <w:rPr>
                <w:sz w:val="20"/>
                <w:lang w:val="fr-FR"/>
              </w:rPr>
              <w:t>centrafricaine, Tchad, Comores (Union</w:t>
            </w:r>
            <w:r w:rsidR="00903F11" w:rsidRPr="00C63796">
              <w:rPr>
                <w:sz w:val="20"/>
                <w:lang w:val="fr-FR"/>
              </w:rPr>
              <w:t> </w:t>
            </w:r>
            <w:r w:rsidR="0087250B" w:rsidRPr="00C63796">
              <w:rPr>
                <w:sz w:val="20"/>
                <w:lang w:val="fr-FR"/>
              </w:rPr>
              <w:t>des), Cuba, Rép. dém. du Congo, Djibouti, Dominique, Rép. dominicaine, Érythrée, Éthiopie, Fidji, Gambie, Grenade</w:t>
            </w:r>
            <w:r w:rsidR="0087250B" w:rsidRPr="00D13543">
              <w:rPr>
                <w:sz w:val="20"/>
                <w:lang w:val="fr-FR"/>
              </w:rPr>
              <w:t>, Guinée, Guinée-Bissau, Haïti, Jamaïque, Kiribati, R.d.p. lao, Lesotho, Libéria, Madagascar, Malawi, Maldives, Mali, Îles</w:t>
            </w:r>
            <w:r w:rsidR="00903F11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Marshall, Mauritanie, Micronésie, Mozambique, Népal (République du), Niger, Papouasie-Nouvelle-Guinée, Rwanda (République du), Sainte-Lucie, Saint-Vincent-et-les-Grenadines, Samoa (État indépendant du), Sénégal, Sierra Leone, Îles Salomon, Somalie, Soudan du Sud, Soudan, Suriname, Tanzanie, Timor-Leste, Togo, Tonga, Tuvalu, Ouganda, Vanuatu, Zambie</w:t>
            </w:r>
          </w:p>
        </w:tc>
      </w:tr>
      <w:tr w:rsidR="0087250B" w:rsidRPr="00D13543" w14:paraId="4321446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AD466D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4A4F" w14:textId="1B07482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7GLO25151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"Her Cyber Tracks"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III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95B0" w14:textId="60E724A0" w:rsidR="0087250B" w:rsidRPr="00D13543" w:rsidRDefault="00C942AF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Guinée-Bissau, Libéria, Mali, Moldova, Monténégro, Niger, Nigéria, Macédoine du Nord, Sénégal, Serbie, Sierra Leone, Togo, Ukraine</w:t>
            </w:r>
          </w:p>
        </w:tc>
      </w:tr>
      <w:tr w:rsidR="0087250B" w:rsidRPr="00D13543" w14:paraId="009FB0A7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E48DCA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510CF" w14:textId="7CC7E9AC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7OMA13005 –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centre pour la cybersécurité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innovation pour la région des États arabes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A2CD04" w14:textId="42DFC01A" w:rsidR="0087250B" w:rsidRPr="00D13543" w:rsidRDefault="00C942AF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 des États arabes</w:t>
            </w:r>
          </w:p>
        </w:tc>
      </w:tr>
      <w:tr w:rsidR="0087250B" w:rsidRPr="00D13543" w14:paraId="317F1D1A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948B1D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DC3D4B" w14:textId="60B41697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7RAF24106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Cyberrésilience au service du développement numérique dans les pays les moins avancés (CRDD-PMA)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2834D1" w14:textId="60F76E0A" w:rsidR="0087250B" w:rsidRPr="00D13543" w:rsidRDefault="00C942AF" w:rsidP="007014F4">
            <w:pPr>
              <w:pStyle w:val="enumlev1"/>
              <w:tabs>
                <w:tab w:val="clear" w:pos="1134"/>
              </w:tabs>
              <w:spacing w:before="12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Mozambique, Rwanda (République du), Zambie</w:t>
            </w:r>
          </w:p>
        </w:tc>
      </w:tr>
      <w:tr w:rsidR="0087250B" w:rsidRPr="00D13543" w14:paraId="7EC0A94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48C4CD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6D424D" w14:textId="1D5B5F7A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7RAS23073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Stratégies pour la cybersécurité dans la région du 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956E99" w14:textId="7564D45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Îles Cook, Fidji, Kiribati, Îles Marshall, Micronésie, Niue, Palaos, Papouasie-Nouvelle-Guinée, Samoa (État indépendant du), Îles Salomon, Tonga, Tuvalu, Vanuatu</w:t>
            </w:r>
          </w:p>
        </w:tc>
      </w:tr>
      <w:tr w:rsidR="0087250B" w:rsidRPr="00D13543" w14:paraId="22A9838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02A6CB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98BE28" w14:textId="738ED2C2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7SUR23017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nationale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– Suriname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C3E80A" w14:textId="784F2FFC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Suriname</w:t>
            </w:r>
          </w:p>
        </w:tc>
      </w:tr>
      <w:tr w:rsidR="0087250B" w:rsidRPr="00D13543" w14:paraId="15184DE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C26A45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7C359D" w14:textId="339A3A3F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9BER25001 – Centre national des opérations de cybersécurité (BNCSOC) – Bermudes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2199DC" w14:textId="0411E29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Bermudes</w:t>
            </w:r>
          </w:p>
        </w:tc>
      </w:tr>
      <w:tr w:rsidR="0087250B" w:rsidRPr="00D13543" w14:paraId="13E15A65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070C37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06DF47" w14:textId="4CB503E9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9BHA20005 –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CIRT aux Bahamas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B09217" w14:textId="14464EF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Bahamas</w:t>
            </w:r>
          </w:p>
        </w:tc>
      </w:tr>
      <w:tr w:rsidR="0087250B" w:rsidRPr="00D13543" w14:paraId="0768E83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755869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194E02" w14:textId="3BA58DCA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9BHU24005 – Renforcement des capacités en matière de cybersécurité pour les fonctionnaires bhoutanais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D285EE" w14:textId="4081DEBD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Bhoutan</w:t>
            </w:r>
          </w:p>
        </w:tc>
      </w:tr>
      <w:tr w:rsidR="0087250B" w:rsidRPr="00D13543" w14:paraId="69306E8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EA01C0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611BC7" w14:textId="1184D9C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9GLO21112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 cyberespace sain et sécurisé au profit des enfants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38134" w14:textId="4020D729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Burundi, Éthiopie, Malawi, Malte, Maroc, Ouzbékistan</w:t>
            </w:r>
          </w:p>
        </w:tc>
      </w:tr>
      <w:tr w:rsidR="0087250B" w:rsidRPr="00D13543" w14:paraId="01292DE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20DD5B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CC93B0" w14:textId="02549BD3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9GLO23124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Partenariat pour le renforcement de la cybersécurité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1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4AA859" w14:textId="456965E8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9BAD95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3D2F36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CF7866" w14:textId="1713D105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9HON24024 – Mise en place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équipe nationale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au Honduras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4AD42F" w14:textId="37EF40C1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Honduras</w:t>
            </w:r>
          </w:p>
        </w:tc>
      </w:tr>
      <w:tr w:rsidR="0087250B" w:rsidRPr="00D13543" w14:paraId="35367ED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030459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EA2559" w14:textId="00144B12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9MLW19002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CERT au Malawi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A76E11" w14:textId="760C1D78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Malawi</w:t>
            </w:r>
          </w:p>
        </w:tc>
      </w:tr>
      <w:tr w:rsidR="0087250B" w:rsidRPr="00D13543" w14:paraId="5D623C8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6AD7AF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4172C" w14:textId="3711C56A" w:rsidR="0087250B" w:rsidRPr="00D13543" w:rsidRDefault="00C942AF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9RAS24078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Édition 2024 du cyberexercice régional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9D5F7" w14:textId="52A5D757" w:rsidR="0087250B" w:rsidRPr="00D13543" w:rsidRDefault="00C942AF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Brunéi Darussalam</w:t>
            </w:r>
          </w:p>
        </w:tc>
      </w:tr>
      <w:tr w:rsidR="0087250B" w:rsidRPr="00D13543" w14:paraId="7BEB8068" w14:textId="77777777" w:rsidTr="00631E95">
        <w:trPr>
          <w:trHeight w:val="1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AA4C76" w14:textId="38CFF078" w:rsidR="0087250B" w:rsidRPr="00D13543" w:rsidRDefault="0087250B" w:rsidP="00537FAE">
            <w:pPr>
              <w:pStyle w:val="Tabletext"/>
              <w:tabs>
                <w:tab w:val="clear" w:pos="2552"/>
              </w:tabs>
              <w:ind w:left="-96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43</w:t>
            </w:r>
            <w:r w:rsidR="00E768E4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(Rév.</w:t>
            </w:r>
            <w:r w:rsidR="00E768E4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E768E4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Assistance dans le domaine de la mise en œuvre des Télécommunications mobiles internationales et des réseaux futurs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440EF9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7CFF6AED" w14:textId="60CEB4BF" w:rsidR="0087250B" w:rsidRPr="00D13543" w:rsidRDefault="00EF375C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20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DB60BB1" w14:textId="2C4C3066" w:rsidR="0087250B" w:rsidRPr="00D13543" w:rsidRDefault="008A0838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CEI, Europe, monde ou régions multiples</w:t>
            </w:r>
          </w:p>
        </w:tc>
      </w:tr>
      <w:tr w:rsidR="0087250B" w:rsidRPr="00D13543" w14:paraId="67D4F19D" w14:textId="77777777" w:rsidTr="00631E9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AA0068" w14:textId="5C792C37" w:rsidR="0087250B" w:rsidRPr="00D13543" w:rsidRDefault="0087250B" w:rsidP="00674226">
            <w:pPr>
              <w:pStyle w:val="Tabletext"/>
              <w:ind w:left="-34" w:right="-43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46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E768E4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Assistance</w:t>
            </w:r>
            <w:r w:rsidR="00537FAE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en</w:t>
            </w:r>
            <w:r w:rsidR="00537FAE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faveur des peuples et des communautés autochtones par le biais des 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</w:t>
            </w:r>
            <w:r w:rsidR="006C6E9D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la communication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DE5B8A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656A9B17" w14:textId="27158DD8" w:rsidR="0087250B" w:rsidRPr="00D13543" w:rsidRDefault="00EF375C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17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E2AB5D" w14:textId="7F2D2B6D" w:rsidR="0087250B" w:rsidRPr="00D13543" w:rsidRDefault="008A0838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monde ou régions multiples</w:t>
            </w:r>
          </w:p>
        </w:tc>
      </w:tr>
      <w:tr w:rsidR="0087250B" w:rsidRPr="00D13543" w14:paraId="4B0F6C5F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F460446" w14:textId="68DF2518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47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Mieux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faire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connaître et appliquer les Recommandations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 dans les pays en développement, y</w:t>
            </w:r>
            <w:r w:rsidR="0067422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compris les essais de conformité et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interopérabilité des systèmes produits sur la base de Recommandations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1EF560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7AB85F21" w14:textId="18863F0E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11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4577BC" w14:textId="175C7196" w:rsidR="0087250B" w:rsidRPr="00D13543" w:rsidRDefault="008A0838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Pays de la CEI, monde ou régions multiples</w:t>
            </w:r>
          </w:p>
        </w:tc>
      </w:tr>
      <w:tr w:rsidR="0087250B" w:rsidRPr="00D13543" w14:paraId="7962FD2E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9BD42C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B73344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369E47" w14:textId="77777777" w:rsidR="0087250B" w:rsidRPr="00D13543" w:rsidRDefault="0087250B" w:rsidP="008A0838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3B6B9EA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597C36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30EDDD" w14:textId="14D24387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21F2C8" w14:textId="1572873B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6571768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AB3194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DDAF1B" w14:textId="6B29AECA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</w:t>
            </w:r>
            <w:r w:rsidR="00F5475A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Brésil)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A937161" w14:textId="65BA8DF7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3C9134C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CDCB5D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7E32C" w14:textId="1C77D2CC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9RER20026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Centre international de recherche, de développement et de test des nouveaux équipements et services et des nouvelles technologies (IRDTC) – Phase</w:t>
            </w:r>
            <w:r w:rsidR="00AA6E9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FD6D" w14:textId="32B06D68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Arménie, Azerbaïdjan, Bélarus, Kazakhstan, Kirghizistan, Fédération de Russie, Tadjikistan, Turkménistan, Ouzbékistan</w:t>
            </w:r>
          </w:p>
        </w:tc>
      </w:tr>
      <w:tr w:rsidR="0087250B" w:rsidRPr="00D13543" w14:paraId="28AD2592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A1E17A" w14:textId="33225E24" w:rsidR="0087250B" w:rsidRPr="00D13543" w:rsidRDefault="0087250B" w:rsidP="007E0FEB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48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Renforcement de la coopération entre régulateurs de télécommunications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253C77B" w14:textId="77777777" w:rsidR="0087250B" w:rsidRPr="00D13543" w:rsidRDefault="0087250B" w:rsidP="007E0FEB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318A26F" w14:textId="6DD6A72A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56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0C09F53" w14:textId="31346246" w:rsidR="0087250B" w:rsidRPr="00D13543" w:rsidRDefault="008A0838" w:rsidP="007014F4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91451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Europe, monde ou régions multiples</w:t>
            </w:r>
          </w:p>
        </w:tc>
      </w:tr>
      <w:tr w:rsidR="0087250B" w:rsidRPr="00D13543" w14:paraId="572E3B6B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5872A88" w14:textId="77777777" w:rsidR="0087250B" w:rsidRPr="00D13543" w:rsidRDefault="0087250B" w:rsidP="007E0FEB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776ABC" w14:textId="77777777" w:rsidR="0087250B" w:rsidRPr="00D13543" w:rsidRDefault="0087250B" w:rsidP="007E0FEB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946AB80" w14:textId="77777777" w:rsidR="0087250B" w:rsidRPr="00D13543" w:rsidRDefault="0087250B" w:rsidP="007E0FEB">
            <w:pPr>
              <w:pStyle w:val="enumlev1"/>
              <w:keepNext/>
              <w:keepLines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0D97E49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3AA639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BC85E1" w14:textId="1C4AF34F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68EEA5" w14:textId="72C7855A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</w:t>
            </w:r>
            <w:r w:rsidR="0091451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Faso, Burundi, Cameroun, Cabo</w:t>
            </w:r>
            <w:r w:rsidR="0091451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Verde, Rép. centrafricaine, Tchad, Congo,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Guinée-Bissau, Kenya, Lesotho, Libéria, Libye, Madagascar, Malawi, Mali, Mauritanie, Maurice, Maroc, Mozambique, Namibie, Niger, Nigéria, Rwanda (République du), Sao Tomé-et-Principe, Sénégal, Seychelles, Sierra Leone, Somalie, Rép. sudafricaine, Soudan du Sud, Soudan, Tanzanie, Togo, Tunisie, Ouganda, Zambie, Zimbabwe</w:t>
            </w:r>
          </w:p>
        </w:tc>
      </w:tr>
      <w:tr w:rsidR="0087250B" w:rsidRPr="00D13543" w14:paraId="6AC27BF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72A4F7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37B923" w14:textId="12BAC716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C647EF" w14:textId="5B001BBF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30C0BFB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21A41A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55100A" w14:textId="0E7484C5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</w:t>
            </w:r>
            <w:r w:rsidR="004B1713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Brésil)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5512D8" w14:textId="4EC74EBC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6D49080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D8686E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F1F5BA" w14:textId="78F31444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9GLO19099 – Assistance en vue de la création de systèmes-cadres nationaux de base pour la gestion du spectre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6CC832" w14:textId="40B5FEF9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40E24E4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5C58A3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6538D09" w14:textId="0A919535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9GLO23127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Réseau de régulation du numérique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56692F" w14:textId="1CC11C3B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D82B9D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DA9F93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C9E01B" w14:textId="194643E2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9RAB18026-02 – Assistance dans le domaine des télécommunications/TIC dans les régions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7A7700F" w14:textId="307BBB48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18B39D4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0C832" w14:textId="1339035B" w:rsidR="0087250B" w:rsidRPr="00D13543" w:rsidRDefault="0087250B" w:rsidP="002768D4">
            <w:pPr>
              <w:pStyle w:val="Tabletext"/>
              <w:keepNext/>
              <w:keepLines/>
              <w:jc w:val="center"/>
              <w:rPr>
                <w:rFonts w:cstheme="minorBidi"/>
                <w:color w:val="000000" w:themeColor="text1"/>
                <w:lang w:val="fr-FR"/>
              </w:rPr>
            </w:pPr>
            <w:r w:rsidRPr="00D13543">
              <w:rPr>
                <w:lang w:val="fr-FR"/>
              </w:rPr>
              <w:t>RÉSOLUTION 51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Fourniture</w:t>
            </w:r>
            <w:r w:rsidR="0067422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à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Iraq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une assistance et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un appui pour la poursuite de la reconstruction et de la remise en état de ses systèmes de télécommunication/TIC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3AD047F" w14:textId="77777777" w:rsidR="0087250B" w:rsidRPr="00D13543" w:rsidRDefault="0087250B" w:rsidP="002768D4">
            <w:pPr>
              <w:pStyle w:val="Tabletext"/>
              <w:keepNext/>
              <w:keepLines/>
              <w:rPr>
                <w:rFonts w:cstheme="minorHAnsi"/>
                <w:iCs/>
                <w:lang w:val="fr-FR"/>
              </w:rPr>
            </w:pPr>
            <w:r w:rsidRPr="00D13543">
              <w:rPr>
                <w:lang w:val="fr-FR"/>
              </w:rPr>
              <w:t>Mis en œuvre</w:t>
            </w:r>
            <w:r w:rsidRPr="00D13543">
              <w:rPr>
                <w:rStyle w:val="FootnoteReference"/>
                <w:rFonts w:cstheme="minorBidi"/>
                <w:color w:val="000000"/>
                <w:sz w:val="20"/>
                <w:lang w:val="fr-FR"/>
              </w:rPr>
              <w:footnoteReference w:id="8"/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FECFBF9" w14:textId="5FA106D0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Iraq</w:t>
            </w:r>
          </w:p>
        </w:tc>
      </w:tr>
      <w:tr w:rsidR="0087250B" w:rsidRPr="00D13543" w14:paraId="33A472C5" w14:textId="77777777" w:rsidTr="00631E95">
        <w:trPr>
          <w:trHeight w:val="319"/>
        </w:trPr>
        <w:tc>
          <w:tcPr>
            <w:tcW w:w="2977" w:type="dxa"/>
            <w:vMerge/>
            <w:noWrap/>
          </w:tcPr>
          <w:p w14:paraId="45364099" w14:textId="77777777" w:rsidR="0087250B" w:rsidRPr="00D13543" w:rsidRDefault="0087250B" w:rsidP="002768D4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D590B77" w14:textId="77777777" w:rsidR="0087250B" w:rsidRPr="00D13543" w:rsidRDefault="0087250B" w:rsidP="002768D4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C19C4EC" w14:textId="77777777" w:rsidR="0087250B" w:rsidRPr="00D13543" w:rsidRDefault="0087250B" w:rsidP="002768D4">
            <w:pPr>
              <w:pStyle w:val="enumlev1"/>
              <w:keepNext/>
              <w:keepLines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74555A5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46D3ABBC" w14:textId="77777777" w:rsidR="0087250B" w:rsidRPr="00D13543" w:rsidRDefault="0087250B" w:rsidP="002768D4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1701FAB" w14:textId="03B534EF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9RAB19028 – Assistance au Réseau arabe des technoparcs et pépinières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entreprise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57BAAD5" w14:textId="59D0DF05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327DB748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9776E7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D64B69" w14:textId="29E661AC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E575C9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17D61B" w14:textId="7F01F84D" w:rsidR="0087250B" w:rsidRPr="00D13543" w:rsidRDefault="008A0838" w:rsidP="007014F4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05626E49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0718" w14:textId="08B4B25E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52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Dubaï,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2014) – Renforcement du rôle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agent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exécution du Secteur du développement des télécommunications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35F790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46732F9" w14:textId="78BA95E6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165FB4" w14:textId="583893D4" w:rsidR="0087250B" w:rsidRPr="00D13543" w:rsidRDefault="008A0838" w:rsidP="00EE5D29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pays de la CEI</w:t>
            </w:r>
          </w:p>
        </w:tc>
      </w:tr>
      <w:tr w:rsidR="0087250B" w:rsidRPr="00D13543" w14:paraId="52DC7F63" w14:textId="77777777" w:rsidTr="00631E95">
        <w:trPr>
          <w:trHeight w:val="300"/>
        </w:trPr>
        <w:tc>
          <w:tcPr>
            <w:tcW w:w="2977" w:type="dxa"/>
            <w:vMerge/>
            <w:shd w:val="clear" w:color="auto" w:fill="auto"/>
            <w:noWrap/>
          </w:tcPr>
          <w:p w14:paraId="2C2D9D9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039719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C893D7" w14:textId="77777777" w:rsidR="0087250B" w:rsidRPr="00D13543" w:rsidRDefault="0087250B" w:rsidP="008A0838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7C47A3DE" w14:textId="77777777" w:rsidTr="00631E95">
        <w:trPr>
          <w:trHeight w:val="300"/>
        </w:trPr>
        <w:tc>
          <w:tcPr>
            <w:tcW w:w="2977" w:type="dxa"/>
            <w:vMerge/>
            <w:shd w:val="clear" w:color="auto" w:fill="auto"/>
            <w:noWrap/>
            <w:hideMark/>
          </w:tcPr>
          <w:p w14:paraId="700FE27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BF7B" w14:textId="399D9E26" w:rsidR="0087250B" w:rsidRPr="00D13543" w:rsidRDefault="008A0838" w:rsidP="007014F4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7014F4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199D7" w14:textId="45700559" w:rsidR="0087250B" w:rsidRPr="00D13543" w:rsidRDefault="008A083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0C2E407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88E3" w14:textId="69F8F941" w:rsidR="0087250B" w:rsidRPr="00D13543" w:rsidRDefault="0087250B" w:rsidP="007014F4">
            <w:pPr>
              <w:pStyle w:val="Tabletext"/>
              <w:keepNext/>
              <w:keepLines/>
              <w:jc w:val="center"/>
              <w:rPr>
                <w:rFonts w:cstheme="minorBid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53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Dubaï,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2014) – Cadre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stratégique et financier pour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élaboration et la mise en œuvre du Plan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action de Dubaï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F9E5570" w14:textId="77777777" w:rsidR="0087250B" w:rsidRPr="00D13543" w:rsidRDefault="0087250B" w:rsidP="007014F4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Mis en œuvre</w:t>
            </w:r>
            <w:r w:rsidRPr="00D13543">
              <w:rPr>
                <w:rStyle w:val="FootnoteReference"/>
                <w:rFonts w:cstheme="minorHAnsi"/>
                <w:color w:val="000000"/>
                <w:sz w:val="20"/>
                <w:lang w:val="fr-FR"/>
              </w:rPr>
              <w:footnoteReference w:id="9"/>
            </w:r>
            <w:r w:rsidRPr="00D13543">
              <w:rPr>
                <w:lang w:val="fr-FR"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4095E3" w14:textId="205809DD" w:rsidR="0087250B" w:rsidRPr="00D13543" w:rsidRDefault="008A0838" w:rsidP="007014F4">
            <w:pPr>
              <w:pStyle w:val="Tabletext"/>
              <w:keepNext/>
              <w:keepLines/>
              <w:tabs>
                <w:tab w:val="clear" w:pos="284"/>
                <w:tab w:val="clear" w:pos="851"/>
                <w:tab w:val="clear" w:pos="1134"/>
                <w:tab w:val="clear" w:pos="1418"/>
                <w:tab w:val="clear" w:pos="1871"/>
                <w:tab w:val="clear" w:pos="1985"/>
                <w:tab w:val="clear" w:pos="2268"/>
                <w:tab w:val="clear" w:pos="2552"/>
                <w:tab w:val="clear" w:pos="3119"/>
                <w:tab w:val="clear" w:pos="3402"/>
                <w:tab w:val="clear" w:pos="3686"/>
                <w:tab w:val="clear" w:pos="3969"/>
                <w:tab w:val="left" w:pos="590"/>
              </w:tabs>
              <w:rPr>
                <w:lang w:val="fr-FR"/>
              </w:rPr>
            </w:pPr>
            <w:r w:rsidRPr="00D13543">
              <w:rPr>
                <w:lang w:val="fr-FR"/>
              </w:rPr>
              <w:tab/>
            </w:r>
            <w:r w:rsidR="0087250B" w:rsidRPr="00D13543">
              <w:rPr>
                <w:lang w:val="fr-FR"/>
              </w:rPr>
              <w:t>Sans objet.</w:t>
            </w:r>
          </w:p>
        </w:tc>
      </w:tr>
      <w:tr w:rsidR="0087250B" w:rsidRPr="00D13543" w14:paraId="48521ECA" w14:textId="77777777" w:rsidTr="00631E95">
        <w:trPr>
          <w:trHeight w:val="355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B2D415" w14:textId="5B78477F" w:rsidR="0087250B" w:rsidRPr="00D13543" w:rsidRDefault="0087250B" w:rsidP="007E0FEB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55 (Rév.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6C6E9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Intégration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du principe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égalité entre les femmes et les hommes à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 pour renforcer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autonomisation des femmes grâce aux télécommunications/TIC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A7F06EA" w14:textId="77777777" w:rsidR="0087250B" w:rsidRPr="00D13543" w:rsidRDefault="0087250B" w:rsidP="007E0FEB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6391E52" w14:textId="525781F6" w:rsidR="0087250B" w:rsidRPr="00D13543" w:rsidRDefault="008A0838" w:rsidP="00EE5D2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45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8FC7646" w14:textId="1A80339F" w:rsidR="0087250B" w:rsidRPr="00D13543" w:rsidRDefault="008A083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EE5D2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3D842C55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174108A" w14:textId="77777777" w:rsidR="0087250B" w:rsidRPr="00D13543" w:rsidRDefault="0087250B" w:rsidP="007E0FEB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AB39DA" w14:textId="77777777" w:rsidR="0087250B" w:rsidRPr="00D13543" w:rsidRDefault="0087250B" w:rsidP="007E0FEB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D7311E" w14:textId="77777777" w:rsidR="0087250B" w:rsidRPr="00D13543" w:rsidRDefault="0087250B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19D0317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2A589F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AA1DA5" w14:textId="0EA9B3F0" w:rsidR="0087250B" w:rsidRPr="00D13543" w:rsidRDefault="008A083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7GLO20106 – Renforcer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écosystème numérique et les compétences numériques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autonomisation économique des femmes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403222" w14:textId="517A44C0" w:rsidR="0087250B" w:rsidRPr="00D13543" w:rsidRDefault="008A083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Burundi, Éthiopie, Haïti</w:t>
            </w:r>
          </w:p>
        </w:tc>
      </w:tr>
      <w:tr w:rsidR="0087250B" w:rsidRPr="00D13543" w14:paraId="7FA1F67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306B0B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2B7554C" w14:textId="47CB61DF" w:rsidR="0087250B" w:rsidRPr="00D13543" w:rsidRDefault="008A083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500A25" w14:textId="1FA81E2F" w:rsidR="0087250B" w:rsidRPr="00D13543" w:rsidRDefault="008A083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615A999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37A43C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87C50D" w14:textId="3BF06A6C" w:rsidR="0087250B" w:rsidRPr="00D13543" w:rsidRDefault="00AA6E99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9F3253" w14:textId="0AB44F84" w:rsidR="0087250B" w:rsidRPr="00D13543" w:rsidRDefault="004A12E2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4E01662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BC3A80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11CA6A" w14:textId="772C71E1" w:rsidR="0087250B" w:rsidRPr="00D13543" w:rsidRDefault="00AA6E99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9GLO23130 – Initiative "Her Digital Skills for Life"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8F356C" w14:textId="05794A2A" w:rsidR="0087250B" w:rsidRPr="00D13543" w:rsidRDefault="004A12E2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DAAE89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6B97C1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D9D9CB" w14:textId="6675FAE7" w:rsidR="0087250B" w:rsidRPr="00D13543" w:rsidRDefault="00AA6E99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9GLO23131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Prix "EQUALS in Tech"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4850203" w14:textId="48D8705E" w:rsidR="0087250B" w:rsidRPr="00D13543" w:rsidRDefault="004A12E2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10A008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0A97E8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672E06" w14:textId="1B78CFCE" w:rsidR="0087250B" w:rsidRPr="00D13543" w:rsidRDefault="00AA6E99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9GLO23136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 réseau de femmes dirigeantes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5D6C21" w14:textId="7A0E80AD" w:rsidR="0087250B" w:rsidRPr="00D13543" w:rsidRDefault="004A12E2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43963F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7C44E3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FA16F0" w14:textId="641963DE" w:rsidR="0087250B" w:rsidRPr="00D13543" w:rsidRDefault="00AA6E99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9RAS21065 –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élaboration de normes et de cadres pour les technologies essentielles en Asie du Sud-Est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4E9F12" w14:textId="1B45B8D5" w:rsidR="0087250B" w:rsidRPr="00D13543" w:rsidRDefault="004A12E2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Indonésie, Malaisie, Philippines, Thaïlande</w:t>
            </w:r>
          </w:p>
        </w:tc>
      </w:tr>
      <w:tr w:rsidR="0087250B" w:rsidRPr="00D13543" w14:paraId="0D796138" w14:textId="77777777" w:rsidTr="00631E95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D8A58" w14:textId="702F663B" w:rsidR="0087250B" w:rsidRPr="00D13543" w:rsidRDefault="0087250B" w:rsidP="00674226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57 (Rév.</w:t>
            </w:r>
            <w:r w:rsidR="00D166C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Hyderabad,</w:t>
            </w:r>
            <w:r w:rsidR="00EE5D2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2010) – Assistance à la Somalie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A713CF8" w14:textId="77777777" w:rsidR="0087250B" w:rsidRPr="00D13543" w:rsidRDefault="0087250B" w:rsidP="00674226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53CB842" w14:textId="06E9E79F" w:rsidR="0087250B" w:rsidRPr="00D13543" w:rsidRDefault="00C2448F" w:rsidP="0067422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69A0331" w14:textId="301CD37B" w:rsidR="0087250B" w:rsidRPr="00D13543" w:rsidRDefault="004A12E2" w:rsidP="0067422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États arabes</w:t>
            </w:r>
          </w:p>
        </w:tc>
      </w:tr>
      <w:tr w:rsidR="0087250B" w:rsidRPr="00D13543" w14:paraId="3472D9D3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49362E9" w14:textId="77777777" w:rsidR="0087250B" w:rsidRPr="00D13543" w:rsidRDefault="0087250B" w:rsidP="00674226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54635A6" w14:textId="77777777" w:rsidR="0087250B" w:rsidRPr="00D13543" w:rsidRDefault="0087250B" w:rsidP="00674226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184F334" w14:textId="77777777" w:rsidR="0087250B" w:rsidRPr="00D13543" w:rsidRDefault="0087250B" w:rsidP="00674226">
            <w:pPr>
              <w:pStyle w:val="enumlev1"/>
              <w:keepNext/>
              <w:keepLines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6D81EE5B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51B3584" w14:textId="77777777" w:rsidR="0087250B" w:rsidRPr="00D13543" w:rsidRDefault="0087250B" w:rsidP="00674226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E0D5D4" w14:textId="5762F92E" w:rsidR="0087250B" w:rsidRPr="00D13543" w:rsidRDefault="00C2448F" w:rsidP="00674226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2RER20008-03 – Programme mondial de transformation numérique – Initiative pour une administration en ligne dans la Corne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B5EE40" w14:textId="4BDC309A" w:rsidR="0087250B" w:rsidRPr="00D13543" w:rsidRDefault="004A12E2" w:rsidP="00674226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Djibouti, Kenya, Somalie</w:t>
            </w:r>
          </w:p>
        </w:tc>
      </w:tr>
      <w:tr w:rsidR="0087250B" w:rsidRPr="00D13543" w14:paraId="52F43E28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CA2027C" w14:textId="77777777" w:rsidR="0087250B" w:rsidRPr="00D13543" w:rsidRDefault="0087250B" w:rsidP="00674226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E461866" w14:textId="1505E76B" w:rsidR="0087250B" w:rsidRPr="00D13543" w:rsidRDefault="00C2448F" w:rsidP="00674226">
            <w:pPr>
              <w:pStyle w:val="enumlev1"/>
              <w:keepNext/>
              <w:keepLines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7GLO24146 – Deuxième phase du projet "La cybersécurité au service du bien social" (MSIT)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222FA97" w14:textId="140E4A28" w:rsidR="0087250B" w:rsidRPr="00D13543" w:rsidRDefault="004A12E2" w:rsidP="00674226">
            <w:pPr>
              <w:pStyle w:val="enumlev1"/>
              <w:keepNext/>
              <w:keepLines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Angola, Bangladesh, </w:t>
            </w:r>
            <w:r w:rsidR="0087250B" w:rsidRPr="00C63796">
              <w:rPr>
                <w:sz w:val="20"/>
                <w:lang w:val="fr-FR"/>
              </w:rPr>
              <w:t xml:space="preserve">Belize, Bénin, Burkina Faso, Burundi, Cambodge, </w:t>
            </w:r>
            <w:r w:rsidR="00D13543" w:rsidRPr="00C63796">
              <w:rPr>
                <w:sz w:val="20"/>
                <w:lang w:val="fr-FR"/>
              </w:rPr>
              <w:t>Cabo Verde</w:t>
            </w:r>
            <w:r w:rsidR="0087250B" w:rsidRPr="00C63796">
              <w:rPr>
                <w:sz w:val="20"/>
                <w:lang w:val="fr-FR"/>
              </w:rPr>
              <w:t>, Rép.</w:t>
            </w:r>
            <w:r w:rsidR="007B1210" w:rsidRPr="00C63796">
              <w:rPr>
                <w:sz w:val="20"/>
                <w:lang w:val="fr-FR"/>
              </w:rPr>
              <w:t> </w:t>
            </w:r>
            <w:r w:rsidR="0087250B" w:rsidRPr="00C63796">
              <w:rPr>
                <w:sz w:val="20"/>
                <w:lang w:val="fr-FR"/>
              </w:rPr>
              <w:t>centrafricaine, Tchad, Comores (Union</w:t>
            </w:r>
            <w:r w:rsidR="005E02FC" w:rsidRPr="00C63796">
              <w:rPr>
                <w:sz w:val="20"/>
                <w:lang w:val="fr-FR"/>
              </w:rPr>
              <w:t> </w:t>
            </w:r>
            <w:r w:rsidR="0087250B" w:rsidRPr="00C63796">
              <w:rPr>
                <w:sz w:val="20"/>
                <w:lang w:val="fr-FR"/>
              </w:rPr>
              <w:t>des), Cuba, Rép. dém. du Congo, Djibouti, Dominique, Rép. dominicaine</w:t>
            </w:r>
            <w:r w:rsidR="0087250B" w:rsidRPr="00D13543">
              <w:rPr>
                <w:sz w:val="20"/>
                <w:lang w:val="fr-FR"/>
              </w:rPr>
              <w:t>, Érythrée, Éthiopie, Fidji, Gambie, Grenade, Guinée, Guinée-Bissau, Haïti, Jamaïque, Kiribati, R.d.p. lao, Lesotho, Libéria, Madagascar, Malawi, Maldives, Mali, Îles</w:t>
            </w:r>
            <w:r w:rsidR="00645F51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Marshall, Mauritanie, Micronésie, Mozambique, Népal (République du), Niger, Papouasie-Nouvelle-Guinée, Rwanda (République du), Sainte-Lucie, Saint-Vincent-et-les-Grenadines, Samoa (État indépendant du), Sénégal, Sierra Leone, Îles Salomon, Somalie, Soudan du Sud, Soudan, Suriname, Tanzanie, Timor-Leste, Togo, Tonga, Tuvalu, Ouganda, Vanuatu, Zambie</w:t>
            </w:r>
          </w:p>
        </w:tc>
      </w:tr>
      <w:tr w:rsidR="0087250B" w:rsidRPr="00D13543" w14:paraId="3E023461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F01736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5B5EFD7" w14:textId="78363897" w:rsidR="0087250B" w:rsidRPr="00D13543" w:rsidRDefault="004B72D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9GLO24137 – Accélérateur multi-parties prenantes EW4All dans les PMA et les PEID (fonds UNDRR-Suède)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FBF03D0" w14:textId="401DAEBF" w:rsidR="0087250B" w:rsidRPr="00D13543" w:rsidRDefault="004B72D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Bangladesh, Haïti, Libéria, Mozambique, Somalie</w:t>
            </w:r>
          </w:p>
        </w:tc>
      </w:tr>
      <w:tr w:rsidR="0087250B" w:rsidRPr="00D13543" w14:paraId="4AEB05BD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5A043B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05241C2" w14:textId="554BB70C" w:rsidR="0087250B" w:rsidRPr="00D13543" w:rsidRDefault="004B72D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9RAB19028 – Assistance au Réseau arabe des technoparcs et pépinières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entreprise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EB18293" w14:textId="3510C809" w:rsidR="0087250B" w:rsidRPr="00D13543" w:rsidRDefault="004B72D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4AAA0B6A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547F05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DAFFEF" w14:textId="018BC749" w:rsidR="0087250B" w:rsidRPr="00D13543" w:rsidRDefault="004B72D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E575C9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99499F" w14:textId="4E562D3A" w:rsidR="0087250B" w:rsidRPr="00D13543" w:rsidRDefault="004B72D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1551562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884B34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5DDA4F9" w14:textId="558BD67B" w:rsidR="0087250B" w:rsidRPr="00D13543" w:rsidRDefault="004B72D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30EAEB5" w14:textId="2DAEE091" w:rsidR="0087250B" w:rsidRPr="00D13543" w:rsidRDefault="004B72D8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 Faso, Burundi, Cameroun, Cabo Verde, Rép.</w:t>
            </w:r>
            <w:r w:rsidR="00AA668B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centrafricaine, Tchad, Congo, Côte</w:t>
            </w:r>
            <w:r w:rsidR="00AA668B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Guinée-Bissau, Kenya, Lesotho, Libéria, Libye, Madagascar, Malawi, Mali, Mauritanie, Maurice, Maroc, Mozambique, Namibie, Niger, Nigéria, Rwanda (République</w:t>
            </w:r>
            <w:r w:rsidR="00742FCB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du), Sao Tomé-et-Principe, Sénégal, Seychelles, Sierra Leone, Somalie, Rép. sudafricaine, Soudan du Sud, Soudan, Tanzanie, Togo, Tunisie, Ouganda, Zambie, Zimbabwe</w:t>
            </w:r>
          </w:p>
        </w:tc>
      </w:tr>
      <w:tr w:rsidR="0087250B" w:rsidRPr="00D13543" w14:paraId="0CF1F4FA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C64096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CAE8A6" w14:textId="75D92E5C" w:rsidR="0087250B" w:rsidRPr="00D13543" w:rsidRDefault="004B72D8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9RAF24105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Contribution du Danemark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A11007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 xml:space="preserve">nitiative "Alertes précoces pour tous" (EW4All) (OMM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Danemark)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4C15EE" w14:textId="7C453757" w:rsidR="0087250B" w:rsidRPr="00D13543" w:rsidRDefault="00E92BDE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Niger, Somalie, Soudan du Sud, Tanzanie, Ouganda</w:t>
            </w:r>
          </w:p>
        </w:tc>
      </w:tr>
      <w:tr w:rsidR="0087250B" w:rsidRPr="00D13543" w14:paraId="4F801937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94FC00F" w14:textId="1928ECBD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58 (Rév.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Accessibilité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des télécommunications</w:t>
            </w:r>
            <w:r w:rsidR="005C7358" w:rsidRPr="00D13543">
              <w:rPr>
                <w:lang w:val="fr-FR"/>
              </w:rPr>
              <w:t>/</w:t>
            </w:r>
            <w:r w:rsidR="00EE5D29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 pour les personnes handicapées et les personnes ayant des besoins particuliers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87E3DA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F3D0B52" w14:textId="4828AC8A" w:rsidR="0087250B" w:rsidRPr="00D13543" w:rsidRDefault="00643319" w:rsidP="00EE5D2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A9C76A3" w14:textId="0B17C2AB" w:rsidR="0087250B" w:rsidRPr="00D13543" w:rsidRDefault="00643319" w:rsidP="00EE5D29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Asie-Pacifique, pays de la CEI, Europe, monde ou régions multiples</w:t>
            </w:r>
          </w:p>
        </w:tc>
      </w:tr>
      <w:tr w:rsidR="0087250B" w:rsidRPr="00D13543" w14:paraId="7856533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0054303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8C9A024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A1164D7" w14:textId="77777777" w:rsidR="0087250B" w:rsidRPr="00D13543" w:rsidRDefault="0087250B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100F950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2C326E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B8D938" w14:textId="08BF6C26" w:rsidR="0087250B" w:rsidRPr="00D13543" w:rsidRDefault="00643319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2ALB24003 – Agriculture numérique et transformation rurale en Albanie (DART)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71F6A2" w14:textId="242F702E" w:rsidR="0087250B" w:rsidRPr="00D13543" w:rsidRDefault="00643319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</w:t>
            </w:r>
          </w:p>
        </w:tc>
      </w:tr>
      <w:tr w:rsidR="0087250B" w:rsidRPr="00D13543" w14:paraId="76CEA82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0D4B76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8DF644" w14:textId="73A5B581" w:rsidR="0087250B" w:rsidRPr="00D13543" w:rsidRDefault="003C45BE" w:rsidP="00EE5D29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2RLA21018 – Surmonter les obstacles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inclusion numérique: Les jeunes Américaines savent coder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2D597B" w14:textId="5DA4D213" w:rsidR="0087250B" w:rsidRPr="00D13543" w:rsidRDefault="00643319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Argentine, Brésil, Équateur, Mexique</w:t>
            </w:r>
          </w:p>
        </w:tc>
      </w:tr>
      <w:tr w:rsidR="0087250B" w:rsidRPr="00D13543" w14:paraId="7BB09A81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</w:tcPr>
          <w:p w14:paraId="71161CFC" w14:textId="1F8A9DFB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59 (Rév.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Renforcer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la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coordination et la coopération entre les trois Secteurs sur des questions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intérêt mutuel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2E58E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50D7C17" w14:textId="0CAE39CC" w:rsidR="0087250B" w:rsidRPr="00D13543" w:rsidRDefault="00643319" w:rsidP="00EE5D2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689889" w14:textId="2B454DF6" w:rsidR="0087250B" w:rsidRPr="00D13543" w:rsidRDefault="00643319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Pays de la CEI</w:t>
            </w:r>
          </w:p>
        </w:tc>
      </w:tr>
      <w:tr w:rsidR="0087250B" w:rsidRPr="00D13543" w14:paraId="5E5C8C18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2445CB" w14:textId="406B7F8E" w:rsidR="0087250B" w:rsidRPr="00D13543" w:rsidRDefault="0087250B" w:rsidP="003C45BE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60 (Hyderabad,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2010) – Assistance</w:t>
            </w:r>
            <w:r w:rsidR="00EE5D29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aux pays en situations spéciales:</w:t>
            </w:r>
            <w:r w:rsidR="00EE5D2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Haïti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7964B33" w14:textId="77777777" w:rsidR="0087250B" w:rsidRPr="00D13543" w:rsidRDefault="0087250B" w:rsidP="003C45BE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BCF9DD2" w14:textId="0C308CE1" w:rsidR="0087250B" w:rsidRPr="00D13543" w:rsidRDefault="00643319" w:rsidP="00EE5D2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7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277913" w14:textId="115F4309" w:rsidR="0087250B" w:rsidRPr="00D13543" w:rsidRDefault="00643319" w:rsidP="00EE5D29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Monde ou régions multiples</w:t>
            </w:r>
          </w:p>
        </w:tc>
      </w:tr>
      <w:tr w:rsidR="0087250B" w:rsidRPr="00D13543" w14:paraId="62A1488F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1F77530E" w14:textId="77777777" w:rsidR="0087250B" w:rsidRPr="00D13543" w:rsidRDefault="0087250B" w:rsidP="003C45BE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BA0DDD" w14:textId="77777777" w:rsidR="0087250B" w:rsidRPr="00D13543" w:rsidRDefault="0087250B" w:rsidP="003C45BE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B29F97" w14:textId="77777777" w:rsidR="0087250B" w:rsidRPr="00D13543" w:rsidRDefault="0087250B" w:rsidP="003C45BE">
            <w:pPr>
              <w:pStyle w:val="enumlev1"/>
              <w:keepNext/>
              <w:keepLines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0624478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0697495" w14:textId="77777777" w:rsidR="0087250B" w:rsidRPr="00D13543" w:rsidRDefault="0087250B" w:rsidP="003C45BE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AA61C7" w14:textId="46544366" w:rsidR="0087250B" w:rsidRPr="00D13543" w:rsidRDefault="00643319" w:rsidP="00EE5D2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7GLO20106 – Renforcer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écosystème numérique et les compétences numériques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autonomisation économique des femmes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75ED7A" w14:textId="6CD8CC94" w:rsidR="0087250B" w:rsidRPr="00D13543" w:rsidRDefault="00643319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Burundi, Éthiopie, Haïti</w:t>
            </w:r>
          </w:p>
        </w:tc>
      </w:tr>
      <w:tr w:rsidR="0087250B" w:rsidRPr="00D13543" w14:paraId="606162A0" w14:textId="77777777" w:rsidTr="00631E9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8B03A" w14:textId="0AFF2448" w:rsidR="0087250B" w:rsidRPr="00D13543" w:rsidRDefault="0087250B" w:rsidP="00B70B4C">
            <w:pPr>
              <w:pStyle w:val="Tabletext"/>
              <w:jc w:val="center"/>
              <w:rPr>
                <w:rFonts w:cstheme="minorBidi"/>
                <w:lang w:val="fr-FR"/>
              </w:rPr>
            </w:pPr>
            <w:r w:rsidRPr="00D13543">
              <w:rPr>
                <w:lang w:val="fr-FR"/>
              </w:rPr>
              <w:t>RÉSOLUTION 62 (Rév.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Évaluation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et mesure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exposition des personnes aux champs électromagnétiques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BED850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12151CDC" w14:textId="4CDD719B" w:rsidR="0087250B" w:rsidRPr="00D13543" w:rsidRDefault="00643319" w:rsidP="00EE5D29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3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122D564" w14:textId="681125B3" w:rsidR="0087250B" w:rsidRPr="00D13543" w:rsidRDefault="00643319" w:rsidP="00EE5D29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Europe</w:t>
            </w:r>
          </w:p>
        </w:tc>
      </w:tr>
      <w:tr w:rsidR="0087250B" w:rsidRPr="00D13543" w14:paraId="450B606F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311735D" w14:textId="33D87F3E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63 (Rév.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Attribution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des adresses de protocole Internet et mesures propres à faciliter le passage à la version 6 du protocole Internet et le déploiement de ce protocole dans les pays en développement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836518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ECA06F0" w14:textId="79FFE2FD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E4F803" w14:textId="0E9B5D4E" w:rsidR="0087250B" w:rsidRPr="00D13543" w:rsidRDefault="00643319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Asie-Pacifique, Europe, monde ou régions multiples</w:t>
            </w:r>
          </w:p>
        </w:tc>
      </w:tr>
      <w:tr w:rsidR="0087250B" w:rsidRPr="00D13543" w14:paraId="6B4AFCD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607F57E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5BB04E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8875816" w14:textId="77777777" w:rsidR="0087250B" w:rsidRPr="00D13543" w:rsidRDefault="0087250B" w:rsidP="003C45BE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4E6AA0C4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6D37EF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BA3A5E" w14:textId="3753593B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E575C9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E30605" w14:textId="0FF7B98B" w:rsidR="0087250B" w:rsidRPr="00D13543" w:rsidRDefault="00643319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58C981D5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6CD2" w14:textId="3A9975E2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64 (Rév.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5C7358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Protection</w:t>
            </w:r>
            <w:r w:rsidR="00C26498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et appui pour les utilisateurs/</w:t>
            </w:r>
            <w:r w:rsidR="00AD6786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consommateurs de services issus des télécommunications/</w:t>
            </w:r>
            <w:r w:rsidR="00AD6786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AA9AA8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9FFC8CD" w14:textId="25B3A4E3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17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04817E5" w14:textId="194B7FE6" w:rsidR="0087250B" w:rsidRPr="00D13543" w:rsidRDefault="00AF36B2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monde ou régions multiples</w:t>
            </w:r>
          </w:p>
        </w:tc>
      </w:tr>
      <w:tr w:rsidR="0087250B" w:rsidRPr="00D13543" w14:paraId="4398D691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4586B9D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C938747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2B98E67" w14:textId="77777777" w:rsidR="0087250B" w:rsidRPr="00D13543" w:rsidRDefault="0087250B" w:rsidP="003C45BE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0A548AC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96C47A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059661" w14:textId="5AA704E6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7GLO23132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"jeunes chefs de file" dans le cadre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C26498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Generation Connect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6D05F" w14:textId="6D0C0F28" w:rsidR="0087250B" w:rsidRPr="00D13543" w:rsidRDefault="00AF36B2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7F68BC6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85CCBF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0963C6" w14:textId="6006B433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7GLO25152 – Initiative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échange international sur la réglementation des déchets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équipements électriques et électroniques et la mobilisation des entreprises technologiques – Créer une économie circulaire pour le secteur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électronique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4580BD" w14:textId="75CD3364" w:rsidR="0087250B" w:rsidRPr="00D13543" w:rsidRDefault="00AF36B2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Colombie, République dominicaine, Inde, Nigéria, Philippines, République sudafricaine</w:t>
            </w:r>
          </w:p>
        </w:tc>
      </w:tr>
      <w:tr w:rsidR="0087250B" w:rsidRPr="00D13543" w14:paraId="6BF2B11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00FE0C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E2E59" w14:textId="053F2A9F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9BAR21003 – Évaluation sur la qualité de service pour les services large bande fixe à la Barbade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B4C4E8" w14:textId="23A915FB" w:rsidR="0087250B" w:rsidRPr="00D13543" w:rsidRDefault="00AF36B2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</w:t>
            </w:r>
          </w:p>
        </w:tc>
      </w:tr>
      <w:tr w:rsidR="0087250B" w:rsidRPr="00D13543" w14:paraId="02DA4DB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88019F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71176F" w14:textId="66FD6FF7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9CDD16" w14:textId="74E002EF" w:rsidR="0087250B" w:rsidRPr="00D13543" w:rsidRDefault="00AF36B2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261EC0C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BE42C3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80FF71" w14:textId="6E6593FE" w:rsidR="0087250B" w:rsidRPr="00D13543" w:rsidRDefault="00643319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</w:t>
            </w:r>
            <w:r w:rsidR="00307DCB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Brésil)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D46B22" w14:textId="5AD5A3C6" w:rsidR="0087250B" w:rsidRPr="00D13543" w:rsidRDefault="00AF36B2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5E81E434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4D692CD" w14:textId="21559DC6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66 (Rév.</w:t>
            </w:r>
            <w:r w:rsidR="00D86F0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D86F0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Les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communication,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environnement, les changements climatiques et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économie circulaire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6CA634B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D4FFD28" w14:textId="1807DB13" w:rsidR="0087250B" w:rsidRPr="00D13543" w:rsidRDefault="001318B4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44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565EDB" w14:textId="244346D0" w:rsidR="0087250B" w:rsidRPr="00D13543" w:rsidRDefault="003C45BE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8B1639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799C16FE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381C876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983D642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1BF7945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</w:p>
        </w:tc>
      </w:tr>
      <w:tr w:rsidR="0087250B" w:rsidRPr="00D13543" w14:paraId="7451786F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42B00B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0C647DD" w14:textId="4E9407B6" w:rsidR="0087250B" w:rsidRPr="00D13543" w:rsidRDefault="001318B4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2GLO18094 – Amélioration des plans nationaux de télécommunications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urgence et de coordination pour sauver des vies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BFC0BA" w14:textId="166FE352" w:rsidR="0087250B" w:rsidRPr="00D13543" w:rsidRDefault="001318B4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070066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486247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3304CF" w14:textId="01271C83" w:rsidR="0087250B" w:rsidRPr="00D13543" w:rsidRDefault="001318B4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7RAS24075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une économie circulaire pour le secteur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électronique et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électricité en Thaïlande et en Mongolie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4C6FF7" w14:textId="3FD852FA" w:rsidR="0087250B" w:rsidRPr="00D13543" w:rsidRDefault="001318B4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Mongolie, Thaïlande</w:t>
            </w:r>
          </w:p>
        </w:tc>
      </w:tr>
      <w:tr w:rsidR="0087250B" w:rsidRPr="00D13543" w14:paraId="46FD0F2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4B1CB8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3D99910" w14:textId="407A3D0D" w:rsidR="0087250B" w:rsidRPr="00D13543" w:rsidRDefault="001318B4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9GLO23126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Élaboration et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politique et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réglementation sur les déchets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équipements électriques et électroniques pour une économie circulaire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D1DC4C" w14:textId="76F79F57" w:rsidR="0087250B" w:rsidRPr="00D13543" w:rsidRDefault="001318B4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Zambie</w:t>
            </w:r>
          </w:p>
        </w:tc>
      </w:tr>
      <w:tr w:rsidR="0087250B" w:rsidRPr="00D13543" w14:paraId="0A0EDFE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53AFFD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75CF8B" w14:textId="4ECBFEDB" w:rsidR="0087250B" w:rsidRPr="00D13543" w:rsidRDefault="001318B4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9GLO24148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Faire progresser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 du secteur du numérique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environnement afin de parvenir à la neutralité carbone du secteur aux Philippines et en Tanzanie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A7EBD4" w14:textId="29FCBC00" w:rsidR="0087250B" w:rsidRPr="00D13543" w:rsidRDefault="001318B4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Philippines, Tanzanie</w:t>
            </w:r>
          </w:p>
        </w:tc>
      </w:tr>
      <w:tr w:rsidR="0087250B" w:rsidRPr="00D13543" w14:paraId="6F32D50D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7AFBFF5" w14:textId="3728379B" w:rsidR="0087250B" w:rsidRPr="00D13543" w:rsidRDefault="0087250B" w:rsidP="00674226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67 (Rév.</w:t>
            </w:r>
            <w:r w:rsidR="00D86F0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D86F0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Rôle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du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Secteur du développement des télécommunications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 dans la protection en ligne des enfants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64188F" w14:textId="77777777" w:rsidR="0087250B" w:rsidRPr="00D13543" w:rsidRDefault="0087250B" w:rsidP="00674226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170EF7D9" w14:textId="5313B6D4" w:rsidR="0087250B" w:rsidRPr="00D13543" w:rsidRDefault="001318B4" w:rsidP="0067422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18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01AC11" w14:textId="27806F58" w:rsidR="0087250B" w:rsidRPr="00D13543" w:rsidRDefault="001318B4" w:rsidP="0067422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Asie-Pacifique, pays de la CEI, Europe, monde ou régions multiples</w:t>
            </w:r>
          </w:p>
        </w:tc>
      </w:tr>
      <w:tr w:rsidR="0087250B" w:rsidRPr="00D13543" w14:paraId="77E34F04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C243B80" w14:textId="77777777" w:rsidR="0087250B" w:rsidRPr="00D13543" w:rsidRDefault="0087250B" w:rsidP="00674226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0B6701" w14:textId="77777777" w:rsidR="0087250B" w:rsidRPr="00D13543" w:rsidRDefault="0087250B" w:rsidP="00674226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17B7279" w14:textId="77777777" w:rsidR="0087250B" w:rsidRPr="00D13543" w:rsidRDefault="0087250B" w:rsidP="00674226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35CB713C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665B3C18" w14:textId="77777777" w:rsidR="0087250B" w:rsidRPr="00D13543" w:rsidRDefault="0087250B" w:rsidP="00674226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1D62D2" w14:textId="2F2144A4" w:rsidR="0087250B" w:rsidRPr="00D13543" w:rsidRDefault="001318B4" w:rsidP="0067422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9GLO21112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 cyberespace sain et sécurisé au profit des enfants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3650707" w14:textId="7266208F" w:rsidR="0087250B" w:rsidRPr="00D13543" w:rsidRDefault="001318B4" w:rsidP="0067422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66089F1E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58C3CE88" w14:textId="77777777" w:rsidR="0087250B" w:rsidRPr="00D13543" w:rsidRDefault="0087250B" w:rsidP="00674226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AD71909" w14:textId="14ED8E68" w:rsidR="0087250B" w:rsidRPr="00D13543" w:rsidRDefault="001318B4" w:rsidP="0067422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9GLO25001 – Réseau mondial visant à étendre la portée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efficacité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éducation à la sécurité en ligne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8E8621C" w14:textId="264852ED" w:rsidR="0087250B" w:rsidRPr="00D13543" w:rsidRDefault="001318B4" w:rsidP="0067422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0448613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73CD1EA8" w14:textId="77777777" w:rsidR="0087250B" w:rsidRPr="00D13543" w:rsidRDefault="0087250B" w:rsidP="00674226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0E4A" w14:textId="42A235D3" w:rsidR="0087250B" w:rsidRPr="00D13543" w:rsidRDefault="001318B4" w:rsidP="0067422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9RAS20063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Protection en ligne des enfants (COP) pour la région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6FF14" w14:textId="65D91AC0" w:rsidR="0087250B" w:rsidRPr="00D13543" w:rsidRDefault="00C83885" w:rsidP="0067422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Bhoutan, Mongolie, Pakistan, Thaïlande</w:t>
            </w:r>
          </w:p>
        </w:tc>
      </w:tr>
      <w:tr w:rsidR="0087250B" w:rsidRPr="00D13543" w14:paraId="317F92E5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D83848" w14:textId="51DC9F86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69 (Rév.</w:t>
            </w:r>
            <w:r w:rsidR="00D86F0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Kigali,</w:t>
            </w:r>
            <w:r w:rsidR="00D86F05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2022) – Faciliter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la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création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équipes nationales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intervention en cas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incident informatique, en particulier pour les pays en développement, et coopération entre ces équipes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F3F089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6D5F6B18" w14:textId="6B10A301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51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727EB6D" w14:textId="6C0C35A9" w:rsidR="0087250B" w:rsidRPr="00D13543" w:rsidRDefault="00C83885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543A3C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2DCEDED8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63338B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6131F3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6A25CCC" w14:textId="77777777" w:rsidR="0087250B" w:rsidRPr="00D13543" w:rsidRDefault="0087250B" w:rsidP="008B1639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60C5A6E7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447CB0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458F9D" w14:textId="1CEFD974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2GLO21119 – Création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AD6786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Cyber4Good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A31E13" w14:textId="68B53018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Libéria, Malawi, Mauritanie, Rwanda (République du), Tanzanie</w:t>
            </w:r>
          </w:p>
        </w:tc>
      </w:tr>
      <w:tr w:rsidR="0087250B" w:rsidRPr="00D13543" w14:paraId="4635639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9A0D5B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33B99A" w14:textId="088B5D55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2KYR21002 –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en République kirghize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D6426E8" w14:textId="45294219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Kirghizistan</w:t>
            </w:r>
          </w:p>
        </w:tc>
      </w:tr>
      <w:tr w:rsidR="0087250B" w:rsidRPr="00D13543" w14:paraId="783224F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93A01A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5F2CAE" w14:textId="337C8956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7GLO24142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Partenariat pour le renforcement de la cybersécurité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41D918" w14:textId="5C6388DC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Bénin, Bosnie-Herzégovine, Burkina Faso, Cabo Verde, 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Gambie, Géorgie, Ghana, Guinée, Guinée-Bissau, Libéria, Mali, Moldova, Monténégro, Niger, Nigéria, Macédoine du Nord, Sénégal, Serbie, Sierra Leone, Togo, Ukraine</w:t>
            </w:r>
          </w:p>
        </w:tc>
      </w:tr>
      <w:tr w:rsidR="0087250B" w:rsidRPr="00D13543" w14:paraId="2746971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6C0065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C135A9" w14:textId="43230920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7GLO24146 – Deuxième phase du projet "La cybersécurité au service du bien social" (MSIT)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349BB7" w14:textId="3CD83776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Angola, Bangladesh, Belize, Bénin, Burkina Faso, Burundi, Cambodge, </w:t>
            </w:r>
            <w:r w:rsidR="00D13543" w:rsidRPr="00D13543">
              <w:rPr>
                <w:sz w:val="20"/>
                <w:lang w:val="fr-FR"/>
              </w:rPr>
              <w:t>Cabo Verde</w:t>
            </w:r>
            <w:r w:rsidR="0087250B" w:rsidRPr="00D13543">
              <w:rPr>
                <w:sz w:val="20"/>
                <w:lang w:val="fr-FR"/>
              </w:rPr>
              <w:t>, Rép.</w:t>
            </w:r>
            <w:r w:rsidR="00543A3C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centrafricaine, Tchad, Comores (Union</w:t>
            </w:r>
            <w:r w:rsidR="00543A3C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des), Cuba, Rép. dém. du Congo, Djibouti, Dominique, Rép. dominicaine, Érythrée, Éthiopie, Fidji, Gambie, Grenade, Guinée, Guinée-Bissau, Haïti, Jamaïque, Kiribati, R.d.p. lao, Lesotho, Libéria, Madagascar, Malawi, Maldives, Mali, Îles Marshall, Mauritanie, Micronésie, Mozambique, Népal (République du), Niger, Papouasie-Nouvelle-Guinée, Rwanda (République du), Sainte-Lucie, Saint-Vincent-et-les-Grenadines, Samoa (État indépendant du), Sénégal, Sierra Leone, Îles Salomon, Somalie, Soudan du Sud, Soudan,</w:t>
            </w:r>
            <w:r w:rsidR="00543A3C" w:rsidRPr="00D13543">
              <w:rPr>
                <w:sz w:val="20"/>
                <w:lang w:val="fr-FR"/>
              </w:rPr>
              <w:t xml:space="preserve"> </w:t>
            </w:r>
            <w:r w:rsidR="0087250B" w:rsidRPr="00D13543">
              <w:rPr>
                <w:sz w:val="20"/>
                <w:lang w:val="fr-FR"/>
              </w:rPr>
              <w:t>Suriname, Tanzanie, Timor-Leste, Togo, Tonga, Tuvalu, Ouganda, Vanuatu, Zambie</w:t>
            </w:r>
          </w:p>
        </w:tc>
      </w:tr>
      <w:tr w:rsidR="0087250B" w:rsidRPr="00D13543" w14:paraId="395C658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A20395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4541A2" w14:textId="0FD9A665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7RAF24106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Cyberrésilience au service du développement numérique dans les pays les moins avancés (CRDD-PMA)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F3BB11" w14:textId="608EF91A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Mozambique, Rwanda (République du), Zambie</w:t>
            </w:r>
          </w:p>
        </w:tc>
      </w:tr>
      <w:tr w:rsidR="0087250B" w:rsidRPr="00D13543" w14:paraId="52EFB85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8AEAFC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9920D5" w14:textId="7A6E717A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7SUR23017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nationale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– Suriname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8D5B2E" w14:textId="437DB9FE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Suriname</w:t>
            </w:r>
          </w:p>
        </w:tc>
      </w:tr>
      <w:tr w:rsidR="0087250B" w:rsidRPr="00D13543" w14:paraId="2E20C46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17FF07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39FA86" w14:textId="2C4C8D52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9BER25001 – Centre national des opérations de cybersécurité (BNCSOC) – Bermudes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4CBDF9" w14:textId="768C4CE1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Bermudes</w:t>
            </w:r>
          </w:p>
        </w:tc>
      </w:tr>
      <w:tr w:rsidR="0087250B" w:rsidRPr="00D13543" w14:paraId="069CF952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A1AD60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913F4E" w14:textId="295C8FD3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9BHA20005 –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équipe CIRT aux Bahamas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3663BD" w14:textId="6301BC0F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Bahamas</w:t>
            </w:r>
          </w:p>
        </w:tc>
      </w:tr>
      <w:tr w:rsidR="0087250B" w:rsidRPr="00D13543" w14:paraId="5C2D257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F155FF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100BEF" w14:textId="2A3EE0DA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9GLO21112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 cyberespace sain et sécurisé au profit des enfants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A68AF1" w14:textId="50036F10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Arménie, Burundi, Éthiopie, Malawi, Malte, Maroc, Ouzbékistan</w:t>
            </w:r>
          </w:p>
        </w:tc>
      </w:tr>
      <w:tr w:rsidR="0087250B" w:rsidRPr="00D13543" w14:paraId="6488E5F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B02C52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536115" w14:textId="6E02F644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9GLO23124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Partenariat pour le renforcement de la cybersécurité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1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C047A2" w14:textId="38EF5FFD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9D3E11B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2EC40C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7ED827" w14:textId="4F181324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9HON24024 – Mise en place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équipe nationale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intervention en cas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incident informatique (CIRT) au Honduras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9374EB8" w14:textId="254D3C94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Honduras</w:t>
            </w:r>
          </w:p>
        </w:tc>
      </w:tr>
      <w:tr w:rsidR="0087250B" w:rsidRPr="00D13543" w14:paraId="2B82FA0C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06F90BE" w14:textId="25E8CE5E" w:rsidR="0087250B" w:rsidRPr="00D13543" w:rsidRDefault="0087250B" w:rsidP="00AD6786">
            <w:pPr>
              <w:pStyle w:val="Tabletext"/>
              <w:keepNext/>
              <w:keepLines/>
              <w:ind w:left="-26" w:right="-56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71 </w:t>
            </w:r>
            <w:r w:rsidR="00D86F05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</w:t>
            </w:r>
            <w:r w:rsidR="00AD67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Renforcement de la coopération entre les États</w:t>
            </w:r>
            <w:r w:rsidR="00AD67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Membres, les Membres de Secteur, les Associés et les établissements universitaires participant aux travaux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UIT-D et évolution du rôle du secteur privé au sein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UIT-D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08AE3" w14:textId="77777777" w:rsidR="0087250B" w:rsidRPr="00D13543" w:rsidRDefault="0087250B" w:rsidP="006F3F84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CACF357" w14:textId="33C170BC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17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7FD107" w14:textId="77B1D78A" w:rsidR="0087250B" w:rsidRPr="00D13543" w:rsidRDefault="00C83885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pays de la CEI, monde ou régions multiples</w:t>
            </w:r>
          </w:p>
        </w:tc>
      </w:tr>
      <w:tr w:rsidR="0087250B" w:rsidRPr="00D13543" w14:paraId="75EDBA62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5ABF659D" w14:textId="77777777" w:rsidR="0087250B" w:rsidRPr="00D13543" w:rsidRDefault="0087250B" w:rsidP="006F3F84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BAA2E45" w14:textId="77777777" w:rsidR="0087250B" w:rsidRPr="00D13543" w:rsidRDefault="0087250B" w:rsidP="006F3F84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BDFF08" w14:textId="77777777" w:rsidR="0087250B" w:rsidRPr="00D13543" w:rsidRDefault="0087250B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75AE192D" w14:textId="77777777" w:rsidTr="00631E95">
        <w:trPr>
          <w:trHeight w:val="355"/>
        </w:trPr>
        <w:tc>
          <w:tcPr>
            <w:tcW w:w="2977" w:type="dxa"/>
            <w:vMerge/>
            <w:noWrap/>
            <w:hideMark/>
          </w:tcPr>
          <w:p w14:paraId="3C1431B2" w14:textId="77777777" w:rsidR="0087250B" w:rsidRPr="00D13543" w:rsidRDefault="0087250B" w:rsidP="006F3F84">
            <w:pPr>
              <w:pStyle w:val="Tabletext"/>
              <w:keepNext/>
              <w:keepLines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3494F" w14:textId="0E241FCB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2GLO21114 – Projet mondial de 2021 sur les statistiques relatives aux déchets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équipements électriques et électroniques – Économie circulaire pour le secteur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électronique, Partie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05F1F" w14:textId="614B882C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5A665A6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08C95C" w14:textId="193813DD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73 </w:t>
            </w:r>
            <w:r w:rsidR="00D86F05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 – Centres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formation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Académie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21AB8E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6DBF5E52" w14:textId="46BB74D4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9253D1" w14:textId="53850658" w:rsidR="0087250B" w:rsidRPr="00D13543" w:rsidRDefault="00C83885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Asie-Pacifique, monde ou régions multiples</w:t>
            </w:r>
          </w:p>
        </w:tc>
      </w:tr>
      <w:tr w:rsidR="0087250B" w:rsidRPr="00D13543" w14:paraId="093EBDB4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1B965A4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127935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C0EC86" w14:textId="77777777" w:rsidR="0087250B" w:rsidRPr="00D13543" w:rsidRDefault="0087250B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0F1066B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70060E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491844E" w14:textId="40247666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8DAC1C" w14:textId="3EA186CC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E771D5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342663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56E6C7" w14:textId="1B75E2A7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COEGLO001 – Renforcement des capacités à travers les Centres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excellence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1E021A3" w14:textId="6969A701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2018E5C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</w:tcPr>
          <w:p w14:paraId="1AAC819F" w14:textId="44A93850" w:rsidR="0087250B" w:rsidRPr="00D13543" w:rsidRDefault="0087250B" w:rsidP="00B70B4C">
            <w:pPr>
              <w:pStyle w:val="Tabletext"/>
              <w:jc w:val="center"/>
              <w:rPr>
                <w:rFonts w:cstheme="minorBidi"/>
                <w:color w:val="000000" w:themeColor="text1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75 (Rév.</w:t>
            </w:r>
            <w:r w:rsidR="001318B4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1318B4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Mise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en œuvre du Manifeste Smart</w:t>
            </w:r>
            <w:r w:rsidR="00AD67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Africa et appui au développement du secteur des 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 en Afrique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57864" w14:textId="77777777" w:rsidR="0087250B" w:rsidRPr="00D13543" w:rsidRDefault="0087250B" w:rsidP="00B70B4C">
            <w:pPr>
              <w:pStyle w:val="Tabletext"/>
              <w:rPr>
                <w:rFonts w:cstheme="minorHAnsi"/>
                <w:iCs/>
                <w:lang w:val="fr-FR"/>
              </w:rPr>
            </w:pPr>
            <w:r w:rsidRPr="00D13543">
              <w:rPr>
                <w:lang w:val="fr-FR"/>
              </w:rPr>
              <w:t>Mis en œuvre</w:t>
            </w:r>
            <w:r w:rsidRPr="00D13543">
              <w:rPr>
                <w:rStyle w:val="FootnoteReference"/>
                <w:rFonts w:cstheme="minorHAnsi"/>
                <w:iCs/>
                <w:color w:val="000000"/>
                <w:sz w:val="20"/>
                <w:lang w:val="fr-FR"/>
              </w:rPr>
              <w:footnoteReference w:id="10"/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8870A" w14:textId="0E76532A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</w:t>
            </w:r>
          </w:p>
        </w:tc>
      </w:tr>
      <w:tr w:rsidR="0087250B" w:rsidRPr="00D13543" w14:paraId="09A96D5D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BF1F7D" w14:textId="5A4B3C37" w:rsidR="0087250B" w:rsidRPr="00D13543" w:rsidRDefault="0087250B" w:rsidP="00AA59EB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76 </w:t>
            </w:r>
            <w:r w:rsidR="001318B4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 – Promouvoir</w:t>
            </w:r>
            <w:r w:rsidR="001318B4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utilisation des 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 au service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autonomisation socio</w:t>
            </w:r>
            <w:r w:rsidR="001318B4" w:rsidRPr="00D13543">
              <w:rPr>
                <w:lang w:val="fr-FR"/>
              </w:rPr>
              <w:noBreakHyphen/>
            </w:r>
            <w:r w:rsidRPr="00D13543">
              <w:rPr>
                <w:lang w:val="fr-FR"/>
              </w:rPr>
              <w:t>économique des jeunes femmes et des jeunes hommes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27BD80" w14:textId="77777777" w:rsidR="0087250B" w:rsidRPr="00D13543" w:rsidRDefault="0087250B" w:rsidP="00AA59EB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729DAF17" w14:textId="4B37EE29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32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7F268C0" w14:textId="09723573" w:rsidR="0087250B" w:rsidRPr="00D13543" w:rsidRDefault="00C83885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Asie-Pacifique, pays de la CEI, Europe, monde ou régions multiples</w:t>
            </w:r>
          </w:p>
        </w:tc>
      </w:tr>
      <w:tr w:rsidR="0087250B" w:rsidRPr="00D13543" w14:paraId="11106964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43D5339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5283703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2D35929" w14:textId="77777777" w:rsidR="0087250B" w:rsidRPr="00D13543" w:rsidRDefault="0087250B" w:rsidP="008B1639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116C70E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DA7DF98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39A1E2" w14:textId="0FE789F5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2GLO21115 </w:t>
            </w:r>
            <w:r w:rsidR="00AD6786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Badges de compétences numériques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0448DE" w14:textId="7B0B4D01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Éthiopie, Jamaïque, Kenya, Népal (République</w:t>
            </w:r>
            <w:r w:rsidR="002F19D7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du), Philippines</w:t>
            </w:r>
          </w:p>
        </w:tc>
      </w:tr>
      <w:tr w:rsidR="0087250B" w:rsidRPr="00D13543" w14:paraId="5B1EA0C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833F1F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D62C01" w14:textId="6BA88065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2RAF20091 – Promotion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emplois décents et amélioration des compétences des jeunes dans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économie numérique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26300B2" w14:textId="52298CAA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right="-102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Kenya, Nigéria, Rwanda (République du), Sénégal, République sudafricaine</w:t>
            </w:r>
          </w:p>
        </w:tc>
      </w:tr>
      <w:tr w:rsidR="0087250B" w:rsidRPr="00D13543" w14:paraId="121DF004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10BC74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E95485" w14:textId="0BED2339" w:rsidR="0087250B" w:rsidRPr="00D13543" w:rsidRDefault="00C57692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7GLO20106 – Renforcer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écosystème numérique et les compétences numériques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autonomisation économique des femmes dans les pays les moins avancés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5C6F12" w14:textId="3FC5EE20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Burundi, Éthiopie, Haïti</w:t>
            </w:r>
          </w:p>
        </w:tc>
      </w:tr>
      <w:tr w:rsidR="0087250B" w:rsidRPr="00D13543" w14:paraId="63B277C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18D813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A260C3" w14:textId="22EFAA4C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66ED83" w14:textId="084C41A1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F965F8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0AB030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A04B02" w14:textId="444BB364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7GLO23132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"jeunes chefs de file" dans le cadre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A11007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Generation Connect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6A644A" w14:textId="3AFB8C79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603606D5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6DC509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D0C2BFD" w14:textId="43B0759C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0043CD" w14:textId="535259BE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660EC09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3B100D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7AA57B" w14:textId="6F14099E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9EGY25004 – Protéger et autonomiser les femmes dans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espace numérique: plaidoyer en faveur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approche fondée sur la sécurité humaine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42B23F1" w14:textId="19B30740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Égypte</w:t>
            </w:r>
          </w:p>
        </w:tc>
      </w:tr>
      <w:tr w:rsidR="0087250B" w:rsidRPr="00D13543" w14:paraId="03A75902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EFF849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8DD0D3" w14:textId="12C1224F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9GLO24149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Mises à jour du programme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Académie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 xml:space="preserve">UIT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Qualcomm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90E4D3" w14:textId="315604B4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D5CF230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60E59D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99B58C" w14:textId="5731599F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9PNG20003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Appui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entrepreneuriat,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investissement et au commerce en zone rurale en Papouasie-Nouvelle-Guinée (STREIT PNG)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D67BED" w14:textId="3CE9F170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Papouasie-Nouvelle-Guinée</w:t>
            </w:r>
          </w:p>
        </w:tc>
      </w:tr>
      <w:tr w:rsidR="0087250B" w:rsidRPr="00D13543" w14:paraId="213417E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1C3F30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4F3A58" w14:textId="6C184D43" w:rsidR="0087250B" w:rsidRPr="00D13543" w:rsidRDefault="00C83885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9RAF23104 – Des compétences numériques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inclusion numérique des jeunes filles et des jeunes en 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7E23E7" w14:textId="1D7FE48F" w:rsidR="0087250B" w:rsidRPr="00D13543" w:rsidRDefault="00C83885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 Afrique</w:t>
            </w:r>
          </w:p>
        </w:tc>
      </w:tr>
      <w:tr w:rsidR="0087250B" w:rsidRPr="00D13543" w14:paraId="0F0009D3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685E197" w14:textId="797DF7EF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77 (Rév.</w:t>
            </w:r>
            <w:r w:rsidR="001200BE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1200BE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Les</w:t>
            </w:r>
            <w:r w:rsidR="001200BE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technologies et les applications large bande au service de la croissance et du développement accrus des</w:t>
            </w:r>
            <w:r w:rsidR="000928B3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services de télécommunication/</w:t>
            </w:r>
            <w:r w:rsidR="000928B3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communication et de la connectivité large bande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2C548B" w14:textId="77777777" w:rsidR="0087250B" w:rsidRPr="00D13543" w:rsidRDefault="0087250B" w:rsidP="00E90955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74B4278B" w14:textId="3913524A" w:rsidR="0087250B" w:rsidRPr="00D13543" w:rsidRDefault="007454B6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08004B" w14:textId="1C0C4B58" w:rsidR="0087250B" w:rsidRPr="00D13543" w:rsidRDefault="00067998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Asie-Pacifique, pays de la CEI, Europe, monde ou régions multiples</w:t>
            </w:r>
          </w:p>
        </w:tc>
      </w:tr>
      <w:tr w:rsidR="0087250B" w:rsidRPr="00D13543" w14:paraId="513C1959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0F85AF8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ACB481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956B23" w14:textId="77777777" w:rsidR="0087250B" w:rsidRPr="00D13543" w:rsidRDefault="0087250B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4F97977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9A53A1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B20DCC" w14:textId="42E8149A" w:rsidR="0087250B" w:rsidRPr="00D13543" w:rsidRDefault="007454B6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2ARM23001 – Projet pilote sur les réseaux ruraux en Arménie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C8209B" w14:textId="252EE774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Arménie</w:t>
            </w:r>
          </w:p>
        </w:tc>
      </w:tr>
      <w:tr w:rsidR="0087250B" w:rsidRPr="00D13543" w14:paraId="61C77578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0599F90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F2A095" w14:textId="18087631" w:rsidR="0087250B" w:rsidRPr="00D13543" w:rsidRDefault="007454B6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2GLO18097 – Nouvelle interface graphique des cartes interactives des réseaux de transmission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0772AF" w14:textId="24F602D0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B4E2B1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BF26AE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B6EB0" w14:textId="271F2A9A" w:rsidR="0087250B" w:rsidRPr="00D13543" w:rsidRDefault="007454B6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2GLO20110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Connectivité large bande dans les zones non connectées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2492E" w14:textId="0094BB5B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7B4EDAC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0D9340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AED739" w14:textId="5AAD3DE8" w:rsidR="0087250B" w:rsidRPr="00D13543" w:rsidRDefault="007454B6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2PAK22002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Villages intelligents au Pakistan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839341" w14:textId="1D7C773C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Pakistan</w:t>
            </w:r>
          </w:p>
        </w:tc>
      </w:tr>
      <w:tr w:rsidR="0087250B" w:rsidRPr="00D13543" w14:paraId="693C44B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130E96C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BB5272" w14:textId="1A257783" w:rsidR="0087250B" w:rsidRPr="00D13543" w:rsidRDefault="007454B6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9BAR21003 – Évaluation sur la qualité de service pour les services large bande fixe à la Barbade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56A671" w14:textId="1C66787D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</w:t>
            </w:r>
          </w:p>
        </w:tc>
      </w:tr>
      <w:tr w:rsidR="0087250B" w:rsidRPr="00D13543" w14:paraId="41E7E8F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48262B6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CDED8" w14:textId="7F7DBC7D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DDF40A" w14:textId="018381A8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71324A3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8E0401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068FD6" w14:textId="56A230F8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</w:t>
            </w:r>
            <w:r w:rsidR="00EC6FF5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Brésil)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C8DF7A" w14:textId="590EBF68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0EB79E46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15747B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667EC2" w14:textId="3283A2A9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19C56D" w14:textId="04D7865F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48B6D64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53F955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0CDAC" w14:textId="5CDD183A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9GLO23123 </w:t>
            </w:r>
            <w:r w:rsidR="00A11007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Promouvoir et mesurer la connectivité efficace et universelle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F19A0" w14:textId="3AA54828" w:rsidR="0087250B" w:rsidRPr="00D13543" w:rsidRDefault="00067998" w:rsidP="00AD6786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81C91E9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485D9B" w14:textId="166C81F2" w:rsidR="0087250B" w:rsidRPr="00D13543" w:rsidRDefault="0087250B" w:rsidP="00AD6786">
            <w:pPr>
              <w:pStyle w:val="Tabletext"/>
              <w:keepNext/>
              <w:keepLines/>
              <w:ind w:left="-54" w:right="-56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78 </w:t>
            </w:r>
            <w:r w:rsidR="00793BED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</w:t>
            </w:r>
            <w:r w:rsidR="00AD67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Renforcement des capacités pour</w:t>
            </w:r>
            <w:r w:rsidR="00793BED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lutter contre le détournement et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utilisation abusive des ressources de numérotage du Secteur de la normalisation des télécommunications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3BD308" w14:textId="77777777" w:rsidR="0087250B" w:rsidRPr="00D13543" w:rsidRDefault="0087250B" w:rsidP="000928B3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A1BBDF0" w14:textId="273864B8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8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531F1F9" w14:textId="2806E090" w:rsidR="0087250B" w:rsidRPr="00D13543" w:rsidRDefault="00067998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Monde ou régions multiples </w:t>
            </w:r>
          </w:p>
        </w:tc>
      </w:tr>
      <w:tr w:rsidR="0087250B" w:rsidRPr="00D13543" w14:paraId="2C982198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</w:tcPr>
          <w:p w14:paraId="4B1650D1" w14:textId="2F191015" w:rsidR="0087250B" w:rsidRPr="00D13543" w:rsidRDefault="0087250B" w:rsidP="00AD6786">
            <w:pPr>
              <w:pStyle w:val="Tabletext"/>
              <w:ind w:left="-54" w:right="-56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79 </w:t>
            </w:r>
            <w:r w:rsidR="00793BED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</w:t>
            </w:r>
            <w:r w:rsidR="00AD6786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– Rôle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des</w:t>
            </w:r>
            <w:r w:rsidR="00AD6786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télécommunications/TIC dans la lutte contre la contrefaçon et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altération volontaire de dispositifs de télécommunication/</w:t>
            </w:r>
            <w:r w:rsidR="00AD6786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communication et le traitement de ce problème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72C1B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3D3DAE8" w14:textId="7FD983AF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4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10C0D" w14:textId="57257113" w:rsidR="0087250B" w:rsidRPr="00D13543" w:rsidRDefault="00067998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Pays de la CEI, monde ou régions multiples </w:t>
            </w:r>
          </w:p>
        </w:tc>
      </w:tr>
      <w:tr w:rsidR="0087250B" w:rsidRPr="00D13543" w14:paraId="43EA2FF2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4D9A03" w14:textId="1860A34F" w:rsidR="0087250B" w:rsidRPr="00D13543" w:rsidRDefault="0087250B" w:rsidP="00AD6786">
            <w:pPr>
              <w:pStyle w:val="Tabletext"/>
              <w:ind w:left="-54" w:right="-56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80 (Rév.</w:t>
            </w:r>
            <w:r w:rsidR="00793BE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Buenos</w:t>
            </w:r>
            <w:r w:rsidR="00793BED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 2017) – Établir et promouvoir des cadres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sécurisés dans les pays en développement afin de faciliter et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encourager les échanges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informations économiques par voie électronique entre partenaires économiques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1A3E1B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10CD638F" w14:textId="010B80B3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8BCF405" w14:textId="11BAF329" w:rsidR="0087250B" w:rsidRPr="00D13543" w:rsidRDefault="00067998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</w:t>
            </w:r>
          </w:p>
        </w:tc>
      </w:tr>
      <w:tr w:rsidR="0087250B" w:rsidRPr="00D13543" w14:paraId="48F97742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A3E1F6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82</w:t>
            </w:r>
          </w:p>
          <w:p w14:paraId="0C464BCB" w14:textId="0FAA059F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(Rév. Kigali, 2022) – Préserver</w:t>
            </w:r>
            <w:r w:rsidR="00BE42E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et</w:t>
            </w:r>
            <w:r w:rsidR="00BE42E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promouvoir le multilinguisme sur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Internet en faveur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une société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inclusive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D65AC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5D654854" w14:textId="25CD75B4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10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3E3164" w14:textId="6CC04C98" w:rsidR="0087250B" w:rsidRPr="00D13543" w:rsidRDefault="00067998" w:rsidP="00AD6786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monde ou régions multiples</w:t>
            </w:r>
          </w:p>
        </w:tc>
      </w:tr>
      <w:tr w:rsidR="0087250B" w:rsidRPr="00D13543" w14:paraId="7B7BD39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2561061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3304B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486C9F" w14:textId="77777777" w:rsidR="0087250B" w:rsidRPr="00D13543" w:rsidRDefault="0087250B" w:rsidP="008B1639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1F03A51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87070A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0CEE" w14:textId="38DBE14D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9COL24043 </w:t>
            </w:r>
            <w:r w:rsidR="00AD6786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Modèle contractuel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exploitation du registre du domaine ".co"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30000" w14:textId="4E208E65" w:rsidR="0087250B" w:rsidRPr="00D13543" w:rsidRDefault="00067998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132E6475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E139D2" w14:textId="507AF9B7" w:rsidR="0087250B" w:rsidRPr="00D13543" w:rsidRDefault="0087250B" w:rsidP="00EC6FF5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83 (Buenos</w:t>
            </w:r>
            <w:r w:rsidR="00BE42E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Aires,</w:t>
            </w:r>
            <w:r w:rsidR="00BE42E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2017) – Assistance spéciale et appui au Gouvernement de la Libye pour la reconstruction de ses réseaux de télécommunication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741EA9" w14:textId="77777777" w:rsidR="0087250B" w:rsidRPr="00D13543" w:rsidRDefault="0087250B" w:rsidP="00EC6FF5">
            <w:pPr>
              <w:pStyle w:val="Tabletext"/>
              <w:keepNext/>
              <w:keepLines/>
              <w:rPr>
                <w:rFonts w:cstheme="minorBidi"/>
                <w:i/>
                <w:lang w:val="fr-FR"/>
              </w:rPr>
            </w:pPr>
            <w:r w:rsidRPr="00D13543">
              <w:rPr>
                <w:lang w:val="fr-FR"/>
              </w:rPr>
              <w:t>Mis en œuvre</w:t>
            </w:r>
            <w:r w:rsidRPr="00D13543">
              <w:rPr>
                <w:rStyle w:val="FootnoteReference"/>
                <w:rFonts w:cstheme="minorBidi"/>
                <w:color w:val="000000" w:themeColor="text1"/>
                <w:sz w:val="20"/>
                <w:lang w:val="fr-FR"/>
              </w:rPr>
              <w:footnoteReference w:id="11"/>
            </w:r>
            <w:r w:rsidRPr="00D13543">
              <w:rPr>
                <w:lang w:val="fr-FR"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C8E60E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705DC59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75D0926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D8DB6A6" w14:textId="77777777" w:rsidR="0087250B" w:rsidRPr="00D13543" w:rsidRDefault="0087250B" w:rsidP="00EC6FF5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0A4E123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510F01E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587235C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086F4BB" w14:textId="5532E355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9RAB19028 – Assistance au Réseau arabe des technoparcs et pépinières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entreprise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4677C0E" w14:textId="6EBA3BB2" w:rsidR="0087250B" w:rsidRPr="00D13543" w:rsidRDefault="00067998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6B656FF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47C9969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BA33996" w14:textId="13D5B6EC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9RAB20030 – Centre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expertise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sur le protocole iPv6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IoT pour la région des États arabe</w:t>
            </w:r>
            <w:r w:rsidR="00E575C9" w:rsidRPr="00D13543">
              <w:rPr>
                <w:sz w:val="20"/>
                <w:lang w:val="fr-FR"/>
              </w:rPr>
              <w:t>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E4E657" w14:textId="79C16663" w:rsidR="0087250B" w:rsidRPr="00D13543" w:rsidRDefault="00A22A4F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Arabie saoudite, Bahreïn, Comores (Union des), Djibouti, Égypte, Émirats arabes unis, État de Palestine, Iraq, Jordanie, Koweït, Liban, Libye, Maroc, Mauritanie, Oman, Qatar, Somalie, Soudan, Syrie, Tunisie, Yémen</w:t>
            </w:r>
          </w:p>
        </w:tc>
      </w:tr>
      <w:tr w:rsidR="0087250B" w:rsidRPr="00D13543" w14:paraId="0E06CB2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2D8476A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DC983B8" w14:textId="45293A89" w:rsidR="0087250B" w:rsidRPr="00D13543" w:rsidRDefault="00226123" w:rsidP="00AD6786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9RAF18089 – Convention de délégation PRIDA-UIT en vue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CEFE83" w14:textId="1DDC2D18" w:rsidR="0087250B" w:rsidRPr="00D13543" w:rsidRDefault="00A22A4F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Algérie, Angola, Bénin, Botswana, Burkina Faso, Burundi, Cameroun, Cabo Verde, Rép.</w:t>
            </w:r>
            <w:r w:rsidR="00131FE3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centrafricaine, Tchad, Congo, Côte</w:t>
            </w:r>
            <w:r w:rsidR="00131FE3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Ivoire, Rép. dém. du Congo, Djibouti, Égypte, Guinée équatoriale, Érythrée, Eswatini, Éthiopie, Gabon, Gambie, Ghana, Guinée, Guinée-Bissau, Kenya, Lesotho, Libéria, Libye, Madagascar, Malawi, Mali, Mauritanie, Maurice, Maroc, Mozambique, Namibie, Niger, Nigéria, Rwanda (République du), Sao Tomé-et-Principe, Sénégal, Seychelles, Sierra Leone, Somalie, Rép.</w:t>
            </w:r>
            <w:r w:rsidR="00131FE3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sudafricaine, Soudan du Sud, Soudan, Tanzanie, Togo, Tunisie, Ouganda, Zambie, Zimbabwe</w:t>
            </w:r>
          </w:p>
        </w:tc>
      </w:tr>
      <w:tr w:rsidR="0087250B" w:rsidRPr="00D13543" w14:paraId="2E54E012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</w:tcPr>
          <w:p w14:paraId="35AD19D2" w14:textId="60936330" w:rsidR="0087250B" w:rsidRPr="00D13543" w:rsidRDefault="0087250B" w:rsidP="00131FE3">
            <w:pPr>
              <w:pStyle w:val="Tabletext"/>
              <w:keepNext/>
              <w:keepLines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 xml:space="preserve">RÉSOLUTION 84 </w:t>
            </w:r>
            <w:r w:rsidR="00BE42E9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 – Lutter</w:t>
            </w:r>
            <w:r w:rsidR="00BE42E9" w:rsidRPr="00D13543">
              <w:rPr>
                <w:lang w:val="fr-FR"/>
              </w:rPr>
              <w:t> </w:t>
            </w:r>
            <w:r w:rsidRPr="00D13543">
              <w:rPr>
                <w:lang w:val="fr-FR"/>
              </w:rPr>
              <w:t>contre le vol de dispositifs de télécommunication mobiles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CC46807" w14:textId="77777777" w:rsidR="0087250B" w:rsidRPr="00D13543" w:rsidRDefault="0087250B" w:rsidP="00131FE3">
            <w:pPr>
              <w:pStyle w:val="Tabletext"/>
              <w:keepNext/>
              <w:keepLines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5D7AD1C" w14:textId="6D931C93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2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5BC9AD" w14:textId="20548754" w:rsidR="0087250B" w:rsidRPr="00D13543" w:rsidRDefault="000674EF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Monde ou régions multiples </w:t>
            </w:r>
          </w:p>
        </w:tc>
      </w:tr>
      <w:tr w:rsidR="0087250B" w:rsidRPr="00D13543" w14:paraId="387C596D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24CD83" w14:textId="0AA01DB1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 xml:space="preserve">RÉSOLUTION 85 </w:t>
            </w:r>
            <w:r w:rsidR="00BE42E9" w:rsidRPr="00D13543">
              <w:rPr>
                <w:lang w:val="fr-FR"/>
              </w:rPr>
              <w:t>(Rév. Kigali, 2022</w:t>
            </w:r>
            <w:r w:rsidRPr="00D13543">
              <w:rPr>
                <w:lang w:val="fr-FR"/>
              </w:rPr>
              <w:t>) – Faciliter</w:t>
            </w:r>
            <w:r w:rsidR="00631E95" w:rsidRPr="00D13543">
              <w:rPr>
                <w:lang w:val="fr-FR"/>
              </w:rPr>
              <w:t xml:space="preserve"> </w:t>
            </w:r>
            <w:r w:rsidRPr="00D13543">
              <w:rPr>
                <w:lang w:val="fr-FR"/>
              </w:rPr>
              <w:t>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avènement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Internet des objets ainsi que des villes et communautés intelligentes et durables pour le développement à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échelle mondiale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3ECCC31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E625716" w14:textId="30348894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14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C59B4DE" w14:textId="022C12FD" w:rsidR="0087250B" w:rsidRPr="00D13543" w:rsidRDefault="000674EF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Amériques, États arabes, pays de la CEI, monde ou régions multiples </w:t>
            </w:r>
          </w:p>
        </w:tc>
      </w:tr>
      <w:tr w:rsidR="0087250B" w:rsidRPr="00D13543" w14:paraId="6C4E1B8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157F8DF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759DEF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38C0EE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3898379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B83560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8701F6" w14:textId="40635E6E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630A89" w14:textId="2C2D9F61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AB72F5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29A2FA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0237E5A" w14:textId="46458AC6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B30442" w14:textId="1542AAFA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44D34E2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0A014D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4D5094" w14:textId="6254399C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</w:t>
            </w:r>
            <w:r w:rsidR="00CD592D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Brésil)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1925FE" w14:textId="5E38B10F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09F8D19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969EF9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18F08E" w14:textId="162E2BF8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9EGY24003 – Promouvoir une infrastructure de télécommunication pour le développement de villes et de communautés intelligentes et durables en Égypte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D17817" w14:textId="5CF962D0" w:rsidR="0087250B" w:rsidRPr="00D13543" w:rsidRDefault="00CD592D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Égypte</w:t>
            </w:r>
          </w:p>
        </w:tc>
      </w:tr>
      <w:tr w:rsidR="0087250B" w:rsidRPr="00D13543" w14:paraId="0869CAD4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298E43E9" w14:textId="02DBB9B2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87 (Kigali, 2022) – Connecter toutes les écoles à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Internet et tous les jeunes aux services issus des 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D00D3F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5990E4B" w14:textId="79854DC4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9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9471E80" w14:textId="61DDE900" w:rsidR="0087250B" w:rsidRPr="00D13543" w:rsidRDefault="000674EF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Pays de la CEI, monde ou régions multiples </w:t>
            </w:r>
          </w:p>
        </w:tc>
      </w:tr>
      <w:tr w:rsidR="0087250B" w:rsidRPr="00D13543" w14:paraId="76461FF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5D96CE9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7FDA01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DB5B31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4CD1F75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B455DA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260976" w14:textId="09A1C505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2GLO20104-02 – Programme de connectivité communautaire de Giga Barbade et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OECS: garantir la sécurité en ligne des enfants et la connectivité communautaire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5C636" w14:textId="6DEFAB61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</w:t>
            </w:r>
          </w:p>
        </w:tc>
      </w:tr>
      <w:tr w:rsidR="0087250B" w:rsidRPr="00D13543" w14:paraId="2C202EE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E0B53E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9F53DD" w14:textId="653FBCE9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2GLO20104-03 – Initiative GIGA,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0F192" w14:textId="38085C92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9025E84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9B51F7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855BF1" w14:textId="66BDF04F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pacing w:val="-2"/>
                <w:sz w:val="20"/>
                <w:lang w:val="fr-FR"/>
              </w:rPr>
              <w:t>2GLO20104-04 – Initiative GIGA visant à connecter toutes les écoles à l</w:t>
            </w:r>
            <w:r w:rsidR="00294371" w:rsidRPr="00D13543">
              <w:rPr>
                <w:spacing w:val="-2"/>
                <w:sz w:val="20"/>
                <w:lang w:val="fr-FR"/>
              </w:rPr>
              <w:t>'</w:t>
            </w:r>
            <w:r w:rsidR="0087250B" w:rsidRPr="00D13543">
              <w:rPr>
                <w:spacing w:val="-2"/>
                <w:sz w:val="20"/>
                <w:lang w:val="fr-FR"/>
              </w:rPr>
              <w:t>Internet – BDT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251779" w14:textId="76046E26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7CF886A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AF0B49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DA987" w14:textId="2780C393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9GLO23125 – Analyse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et appui aux programmes relatifs aux activités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C26498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Giga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D6641" w14:textId="5B847361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471B3A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6552B9F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B517F7" w14:textId="2FBA5370" w:rsidR="0087250B" w:rsidRPr="00D13543" w:rsidRDefault="00226123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9GLO24140 – Renforcer les capacités pour accélérer la connectivité dans les écoles en collaboration avec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C26498" w:rsidRPr="00D13543">
              <w:rPr>
                <w:sz w:val="20"/>
                <w:lang w:val="fr-FR"/>
              </w:rPr>
              <w:t>I</w:t>
            </w:r>
            <w:r w:rsidR="0087250B" w:rsidRPr="00D13543">
              <w:rPr>
                <w:sz w:val="20"/>
                <w:lang w:val="fr-FR"/>
              </w:rPr>
              <w:t>nitiative Giga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53367" w14:textId="5366F7A6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14883A0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905370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1DC876" w14:textId="77AC910E" w:rsidR="0087250B" w:rsidRPr="00D13543" w:rsidRDefault="00856F57" w:rsidP="00674226">
            <w:pPr>
              <w:pStyle w:val="enumlev1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9GLO24145 – Connecter les écoles dans les pays (GIGA)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A02F6E" w14:textId="7CF8A1A3" w:rsidR="0087250B" w:rsidRPr="00D13543" w:rsidRDefault="000674EF" w:rsidP="00674226">
            <w:pPr>
              <w:pStyle w:val="enumlev1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0BA98751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5EE63D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943AF" w14:textId="5A950F1A" w:rsidR="0087250B" w:rsidRPr="00D13543" w:rsidRDefault="00856F57" w:rsidP="00674226">
            <w:pPr>
              <w:pStyle w:val="enumlev1"/>
              <w:widowControl w:val="0"/>
              <w:tabs>
                <w:tab w:val="clear" w:pos="1134"/>
              </w:tabs>
              <w:spacing w:before="60"/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9STP24004 – Projet Giga sur la connectivité dans les écoles </w:t>
            </w:r>
            <w:r w:rsidR="00C26498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Sao Tomé-et-Principe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69832" w14:textId="7037D25F" w:rsidR="0087250B" w:rsidRPr="00D13543" w:rsidRDefault="000674EF" w:rsidP="00674226">
            <w:pPr>
              <w:pStyle w:val="enumlev1"/>
              <w:widowControl w:val="0"/>
              <w:tabs>
                <w:tab w:val="clear" w:pos="1134"/>
              </w:tabs>
              <w:spacing w:before="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Sao Tomé-et-Principe</w:t>
            </w:r>
          </w:p>
        </w:tc>
      </w:tr>
      <w:tr w:rsidR="0087250B" w:rsidRPr="00D13543" w14:paraId="29F1D2F0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1B8D70B" w14:textId="48475981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lastRenderedPageBreak/>
              <w:t>RÉSOLUTION 88 (Kigali, 2022) – Coalition pour le numérique Partner2Connect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UIT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1E5F58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473C7C1A" w14:textId="07785860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13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5E12916" w14:textId="2624968F" w:rsidR="0087250B" w:rsidRPr="00D13543" w:rsidRDefault="00A02F32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Afrique, Amériques, États arabes, pays de la CEI, Europe, monde ou régions multiples </w:t>
            </w:r>
          </w:p>
        </w:tc>
      </w:tr>
      <w:tr w:rsidR="0087250B" w:rsidRPr="00D13543" w14:paraId="2DB74053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3D35FF8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98BCA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8B2280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18BEA734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A2B6FF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F7433D3" w14:textId="61D6CBE7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9GLO25150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IDB P2C BDT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F4E33E" w14:textId="73D2CFA1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AB158E3" w14:textId="77777777" w:rsidTr="00631E95">
        <w:trPr>
          <w:trHeight w:val="1038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5213C0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89 (Kigali, 2022) – La transformation numérique au service du développement durable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7088C9E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E076C74" w14:textId="578696BF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86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CB5CBB" w14:textId="2F0B4B14" w:rsidR="0087250B" w:rsidRPr="00D13543" w:rsidRDefault="00D87460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</w:t>
            </w:r>
            <w:r w:rsidR="00D11325" w:rsidRPr="00D13543">
              <w:rPr>
                <w:sz w:val="20"/>
                <w:lang w:val="fr-FR"/>
              </w:rPr>
              <w:noBreakHyphen/>
            </w:r>
            <w:r w:rsidR="0087250B" w:rsidRPr="00D13543">
              <w:rPr>
                <w:sz w:val="20"/>
                <w:lang w:val="fr-FR"/>
              </w:rPr>
              <w:t>Pacifique, pays de la CEI, Europe, monde ou régions multiples</w:t>
            </w:r>
          </w:p>
        </w:tc>
      </w:tr>
      <w:tr w:rsidR="0087250B" w:rsidRPr="00D13543" w14:paraId="34430EFF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20ABC5F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69C33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3339F3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4F7269F0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BA31FD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081381" w14:textId="21947196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2ALB24003 – Agriculture numérique et transformation rurale en Albanie (DART)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E10465" w14:textId="69DCDF60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</w:t>
            </w:r>
          </w:p>
        </w:tc>
      </w:tr>
      <w:tr w:rsidR="0087250B" w:rsidRPr="00D13543" w14:paraId="55C1BD21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356EE7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6E946" w14:textId="366655D9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2NER21005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Projet de villages intelligents pour le développement rural au Niger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01C7D" w14:textId="25C33E71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Niger</w:t>
            </w:r>
          </w:p>
        </w:tc>
      </w:tr>
      <w:tr w:rsidR="0087250B" w:rsidRPr="00D13543" w14:paraId="73B58EBA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4816D0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40C822" w14:textId="0078494E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2PAK22002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Villages intelligents au Pakistan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4AC6B2" w14:textId="489380DB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Pakistan</w:t>
            </w:r>
          </w:p>
        </w:tc>
      </w:tr>
      <w:tr w:rsidR="0087250B" w:rsidRPr="00D13543" w14:paraId="03718043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7315D5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D6E8D6" w14:textId="05FF23B4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2RAS22070 – Îles intelligentes dans le 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F3AD9" w14:textId="07FEF4AE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Papouasie-Nouvelle-Guinée, Vanuatu</w:t>
            </w:r>
          </w:p>
        </w:tc>
      </w:tr>
      <w:tr w:rsidR="0087250B" w:rsidRPr="00D13543" w14:paraId="02757BE0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34522D4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9F092E" w14:textId="6E8E0322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2RER20008-02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Green GovStack: Accélérer la transformation numérique des services publics aux fins de la durabilité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2FF923" w14:textId="4837D274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E2CEED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01DF0C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AAE92C" w14:textId="1FA5B2BF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2RER20008-03 – Programme mondial de transformation numérique – Initiative pour une administration en ligne dans la Corne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C01687" w14:textId="1FC3022F" w:rsidR="0087250B" w:rsidRPr="00D13543" w:rsidRDefault="00D87460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Djibouti, Kenya, Somalie</w:t>
            </w:r>
          </w:p>
        </w:tc>
      </w:tr>
      <w:tr w:rsidR="0087250B" w:rsidRPr="00D13543" w14:paraId="2D35FB2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CD397F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7A5BEA" w14:textId="2DA788CD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7CIS25001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Coopération numérique gouvernementale dans les pays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Asie centrale et du Caucase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4F0C8" w14:textId="3E1D95B1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Arménie, Azerbaïdjan, Kazakhstan, Kirghizistan, Tadjikistan, Turkménistan, Ouzbékistan</w:t>
            </w:r>
          </w:p>
        </w:tc>
      </w:tr>
      <w:tr w:rsidR="0087250B" w:rsidRPr="00D13543" w14:paraId="323AFF3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AF0E07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E0BC4D" w14:textId="40DF38C1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A4CC36" w14:textId="77D1BAFE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AB4861B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C5DEBC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9E783" w14:textId="2A89542F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7GLO23133 – Renforcer les compétences numériques au moyen des Centres de transformation numérique (DTC) </w:t>
            </w:r>
            <w:r w:rsidR="00631E95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Deuxième phase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605D" w14:textId="3E805B28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Côte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Ivoire</w:t>
            </w:r>
          </w:p>
        </w:tc>
      </w:tr>
      <w:tr w:rsidR="0087250B" w:rsidRPr="00D13543" w14:paraId="1C43659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A89AE19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E8CB52" w14:textId="55F552A1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7MNE24002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Transformation numérique des collectivités locales au Monténégro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CD0B9C" w14:textId="1D203CB2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Monténégro</w:t>
            </w:r>
          </w:p>
        </w:tc>
      </w:tr>
      <w:tr w:rsidR="0087250B" w:rsidRPr="00D13543" w14:paraId="35F4F4D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09C5C4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8D834F" w14:textId="01D6CE93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7RAF25157</w:t>
            </w:r>
            <w:r w:rsidR="0045576A" w:rsidRPr="00D13543">
              <w:rPr>
                <w:sz w:val="20"/>
                <w:lang w:val="fr-FR"/>
              </w:rPr>
              <w:t xml:space="preserve"> – </w:t>
            </w:r>
            <w:r w:rsidR="0087250B" w:rsidRPr="00D13543">
              <w:rPr>
                <w:sz w:val="20"/>
                <w:lang w:val="fr-FR"/>
              </w:rPr>
              <w:t>Soutien à la mise en œuvre des projets Govstack dans la région Afrique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F35446" w14:textId="5E14815A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Gambie, Guinée, Guinée-Bissau, Sénégal</w:t>
            </w:r>
          </w:p>
        </w:tc>
      </w:tr>
      <w:tr w:rsidR="0087250B" w:rsidRPr="00D13543" w14:paraId="08D2F5D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160EBA4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3CB3C4" w14:textId="1819D737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7RAS23072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transformation numérique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C94118" w14:textId="0D8CB2A6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Bhoutan, Cambodge, R.d.p. lao, Papouasie-Nouvelle-Guinée, Philippines, Vanuatu</w:t>
            </w:r>
          </w:p>
        </w:tc>
      </w:tr>
      <w:tr w:rsidR="0087250B" w:rsidRPr="00D13543" w14:paraId="7FC5FBE0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02EBEF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6176A7" w14:textId="3963C45F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7RAS24076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Étude de faisabilité: répondre aux besoins particuliers des petits États</w:t>
            </w:r>
            <w:r w:rsidR="00631E95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insulaires en développement du Pacifique en matière de télécommunication/TIC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1CBD9" w14:textId="00B2603D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Kiribati, Îles Marshall, Micronésie, Nauru, Palaos, Papouasie-Nouvelle-Guinée, Samoa (État indépendant du), Îles Salomon, Tonga, Tuvalu, Vanuatu</w:t>
            </w:r>
          </w:p>
        </w:tc>
      </w:tr>
      <w:tr w:rsidR="0087250B" w:rsidRPr="00D13543" w14:paraId="63984D2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95CBB7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915F3D" w14:textId="7FDCDF94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9CHI24013 – Garantir la couverture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de la connectivité numérique ainsi que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à celle-ci dans les territoires ruraux en retard du Chili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FF5CCF" w14:textId="57174EEF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Chili</w:t>
            </w:r>
          </w:p>
        </w:tc>
      </w:tr>
      <w:tr w:rsidR="0087250B" w:rsidRPr="00D13543" w14:paraId="45B2263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4D40CA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F76EAA" w14:textId="44563223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5D4878" w14:textId="1822C3F1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0A11D84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E7016B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24606C" w14:textId="55785FF6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9COS24019 – Renforcement des connaissances dans le domaine des technologies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intention des spécialistes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Institut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 xml:space="preserve">électricité du Costa Rica (ICE) </w:t>
            </w:r>
            <w:r w:rsidR="00631E95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Phase 2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93BEF7" w14:textId="63A0E448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Costa Rica</w:t>
            </w:r>
          </w:p>
        </w:tc>
      </w:tr>
      <w:tr w:rsidR="0087250B" w:rsidRPr="00D13543" w14:paraId="0DDFCE2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9A21D3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88F05" w14:textId="638A2CF2" w:rsidR="0087250B" w:rsidRPr="00D13543" w:rsidRDefault="00856F57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9FSM22001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réalisation des ODD grâce à la transformation numérique afin de renforcer la résilience des communautés en Micronésie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A36ED5" w14:textId="118C9B0F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Kiribati, Îles Marshall, Micronésie, Nauru, Palaos</w:t>
            </w:r>
          </w:p>
        </w:tc>
      </w:tr>
      <w:tr w:rsidR="0087250B" w:rsidRPr="00D13543" w14:paraId="484487C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DF5644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58A2F" w14:textId="6875AA67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9GLO13072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Programme conjoint sur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de la santé sur mobile dans la lutte contre les maladies non transmissibles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62E6FF" w14:textId="0991A610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FFDDD7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819872E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63B7CA" w14:textId="49BEB430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9GLO23127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Réseau de régulation du numérique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8EB68B" w14:textId="1D16D504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F5F626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927134D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1C335C" w14:textId="2A7BB179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9GLO23128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Renforcement des capacités pour la transformation numérique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B27B6" w14:textId="2AD299CA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010663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94F223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FC005" w14:textId="524713E2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9GLO23129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Prise en charge des écosystèmes à code source ouvert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innovation dans les services publics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629DA" w14:textId="7096A147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3F9A59A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002E138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B05A85" w14:textId="325954EE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9GLO23134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visant à encourager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de technologies innovantes pour édifier une société numérique de prospérité partagée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8D5B70" w14:textId="030EE310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D80E3FF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B52DB4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B27CC6" w14:textId="6EAB0EFF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9LES25007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Service de conseil agricole à source ouverte fondé sur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intelligence artificielle pour les petits exploitants agricoles au Lesotho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696CD5" w14:textId="2B4B1304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Lesotho</w:t>
            </w:r>
          </w:p>
        </w:tc>
      </w:tr>
      <w:tr w:rsidR="0087250B" w:rsidRPr="00D13543" w14:paraId="381BBBA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4B7857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87887B" w14:textId="6FC50533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9MAU25002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le développement de services gouvernementaux numériques en s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appuyant sur les principes, les spécifications et les ressources de GovStack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BD29E" w14:textId="61F35BAC" w:rsidR="0087250B" w:rsidRPr="00D13543" w:rsidRDefault="00824FA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Mauritanie</w:t>
            </w:r>
          </w:p>
        </w:tc>
      </w:tr>
      <w:tr w:rsidR="0087250B" w:rsidRPr="00D13543" w14:paraId="2967623B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AFB081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1BE42" w14:textId="68DDB9EC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9MOZ23005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Jeter les bases du projet VaMoz Digital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CBF65" w14:textId="483CE6ED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Mozambique</w:t>
            </w:r>
          </w:p>
        </w:tc>
      </w:tr>
      <w:tr w:rsidR="0087250B" w:rsidRPr="00D13543" w14:paraId="68CA2DE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E30316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E4DAB9" w14:textId="05C477A2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9RAB18026-02 – Assistance dans le domaine des télécommunications/TIC dans les régions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A7A0A1" w14:textId="1853721F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14672C9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F4F186F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69324B" w14:textId="66A1E83C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9RAF21101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Accélérer la transformation numérique en Afrique grâce à la connectivité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BB242A" w14:textId="66452D7D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Éthiopie</w:t>
            </w:r>
          </w:p>
        </w:tc>
      </w:tr>
      <w:tr w:rsidR="0087250B" w:rsidRPr="00D13543" w14:paraId="05467C7D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5263B5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FC2C3" w14:textId="7412FA02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9RAF25152 – Transformation numérique durable en Afrique/Projet régional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intégration numérique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Afrique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Ouest (DfTA/WARDIP) en Gambie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F8F39" w14:textId="27050185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Gambie</w:t>
            </w:r>
          </w:p>
        </w:tc>
      </w:tr>
      <w:tr w:rsidR="0087250B" w:rsidRPr="00D13543" w14:paraId="573F9CA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C2287C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BF91E4" w14:textId="121355AA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9RAS21065 –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élaboration de normes et de cadres pour les technologies essentielles en Asie du Sud-Est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4CC572" w14:textId="5E8665B3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Indonésie, Malaisie, Philippines, Thaïlande</w:t>
            </w:r>
          </w:p>
        </w:tc>
      </w:tr>
      <w:tr w:rsidR="0087250B" w:rsidRPr="00D13543" w14:paraId="7F1DA417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E697E6C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23C136" w14:textId="5397E878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9RAS22071 – Promouvoir la réalisation des ODD en améliorant les moyens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existence et la résilience, grâce à la diversification économique et à la transformation numérique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B81580" w14:textId="79B65F99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Îles Salomon, Tonga, Tuvalu, Vanuatu</w:t>
            </w:r>
          </w:p>
        </w:tc>
      </w:tr>
      <w:tr w:rsidR="0087250B" w:rsidRPr="00D13543" w14:paraId="0512AC0D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F2D095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CBC8D5" w14:textId="411164CA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9RAS25002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numérique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financièrement abordable aux services TIC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E4941B" w14:textId="3E563BDF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Bangladesh, Cambodge, Maldives, Îles Marshall, Mongolie, Nauru, Pakistan, Papouasie-Nouvelle-Guinée, Vanuatu</w:t>
            </w:r>
          </w:p>
        </w:tc>
      </w:tr>
      <w:tr w:rsidR="0087250B" w:rsidRPr="00D13543" w14:paraId="32AD850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85F12D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628AB6" w14:textId="3075231A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9RCA24005 – Innovation réglementaire régionale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Amérique centrale – Bac à sable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704256" w14:textId="0C688AB0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Belize, Costa Rica, Rép. dominicaine, El</w:t>
            </w:r>
            <w:r w:rsidR="006C0B39" w:rsidRPr="00D13543">
              <w:rPr>
                <w:sz w:val="20"/>
                <w:lang w:val="fr-FR"/>
              </w:rPr>
              <w:t> </w:t>
            </w:r>
            <w:r w:rsidR="0087250B" w:rsidRPr="00D13543">
              <w:rPr>
                <w:sz w:val="20"/>
                <w:lang w:val="fr-FR"/>
              </w:rPr>
              <w:t>Salvador, Guatemala, Honduras, Panama</w:t>
            </w:r>
          </w:p>
        </w:tc>
      </w:tr>
      <w:tr w:rsidR="0087250B" w:rsidRPr="00D13543" w14:paraId="7E3E3F5A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5D548B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527E67" w14:textId="0DAD5ED8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9SWZ24001 – Accélérer le développement des services publics numériques en Eswatini en s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appuyant sur les principes de GovStack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C7EF90" w14:textId="6D07D91F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Eswatini</w:t>
            </w:r>
          </w:p>
        </w:tc>
      </w:tr>
      <w:tr w:rsidR="0087250B" w:rsidRPr="00D13543" w14:paraId="5B36D39D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51149F2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4E9244" w14:textId="0B2D52F9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9TUN21004 – Digital4Reforms – La transformation numérique au service du développement durable en Tunisie (Centre numérique)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4E343D" w14:textId="0F42EF54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Tunisie</w:t>
            </w:r>
          </w:p>
        </w:tc>
      </w:tr>
      <w:tr w:rsidR="0087250B" w:rsidRPr="00D13543" w14:paraId="746F49D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1610480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93DD" w14:textId="3803EF8F" w:rsidR="0087250B" w:rsidRPr="00D13543" w:rsidRDefault="0045715C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9UGA21008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et formation proposées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Ouganda concernant la Stratégie de développement national des TIC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37EAB" w14:textId="677F2A4D" w:rsidR="0087250B" w:rsidRPr="00D13543" w:rsidRDefault="00815FFC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Ouganda</w:t>
            </w:r>
          </w:p>
        </w:tc>
      </w:tr>
      <w:tr w:rsidR="0087250B" w:rsidRPr="00D13543" w14:paraId="38BCFA57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7100F7" w14:textId="714F5AAA" w:rsidR="0087250B" w:rsidRPr="00D13543" w:rsidRDefault="0087250B" w:rsidP="00631E95">
            <w:pPr>
              <w:pStyle w:val="Tabletext"/>
              <w:ind w:left="-68" w:right="-70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RÉSOLUTION 90 (Kigali, 2022) – Promouvoir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entrepreneuriat centré sur les télécommunications/</w:t>
            </w:r>
            <w:r w:rsidR="00631E95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TIC et les écosystèmes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innovation numérique pour le développement durable du numérique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63EFCB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7972C5FC" w14:textId="0121B727" w:rsidR="0087250B" w:rsidRPr="00D13543" w:rsidRDefault="00E43C8D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59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Résolution pour la période 2023-2025.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205DD9" w14:textId="45598F52" w:rsidR="0087250B" w:rsidRPr="00D13543" w:rsidRDefault="00950E33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Asie-Pacifique, pays de la CEI, Europe, monde ou régions multiples</w:t>
            </w:r>
          </w:p>
        </w:tc>
      </w:tr>
      <w:tr w:rsidR="0087250B" w:rsidRPr="00D13543" w14:paraId="4F1AEBE0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44DCB16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8E6F11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047D74A" w14:textId="77777777" w:rsidR="0087250B" w:rsidRPr="00D13543" w:rsidRDefault="0087250B" w:rsidP="008B1639">
            <w:pPr>
              <w:pStyle w:val="enumlev1"/>
              <w:tabs>
                <w:tab w:val="clear" w:pos="1134"/>
                <w:tab w:val="left" w:pos="585"/>
              </w:tabs>
              <w:ind w:left="584" w:hanging="425"/>
              <w:rPr>
                <w:sz w:val="20"/>
                <w:lang w:val="fr-FR"/>
              </w:rPr>
            </w:pPr>
          </w:p>
        </w:tc>
      </w:tr>
      <w:tr w:rsidR="0087250B" w:rsidRPr="00D13543" w14:paraId="41BAC3E9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6D7E0D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D98A99" w14:textId="7F57794C" w:rsidR="0087250B" w:rsidRPr="00D13543" w:rsidRDefault="00E43C8D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2BEN20004 – Développer et entretenir des écosystèmes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innovation numérique durables propres à améliorer la résilience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autonomisation des jeunes au Bénin grâce à une approche solide des considérations hommes-femmes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A6D809" w14:textId="7B5DB85D" w:rsidR="0087250B" w:rsidRPr="00D13543" w:rsidRDefault="00950E3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Bénin</w:t>
            </w:r>
          </w:p>
        </w:tc>
      </w:tr>
      <w:tr w:rsidR="0087250B" w:rsidRPr="00D13543" w14:paraId="0808BBB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4FA980A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A77BAC" w14:textId="19DA92E3" w:rsidR="0087250B" w:rsidRPr="00D13543" w:rsidRDefault="00E43C8D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2RAS22068 –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TIC résiliente en Asie-Pacifique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402644" w14:textId="50814CA8" w:rsidR="0087250B" w:rsidRPr="00D13543" w:rsidRDefault="00950E3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25A9201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2156FF5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B74F11C" w14:textId="6C16EA9C" w:rsidR="0087250B" w:rsidRPr="00D13543" w:rsidRDefault="005B7A63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2RER21029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Rapport sur le suivi des DEEE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échelle régionale pour les Balkans occidentaux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052703F" w14:textId="6B969C6B" w:rsidR="0087250B" w:rsidRPr="00D13543" w:rsidRDefault="00950E3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Bosnie-Herzégovine, Monténégro, Macédoine du Nord, Serbie</w:t>
            </w:r>
          </w:p>
        </w:tc>
      </w:tr>
      <w:tr w:rsidR="0087250B" w:rsidRPr="00D13543" w14:paraId="72864415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441E2D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A8E218" w14:textId="07553B39" w:rsidR="0087250B" w:rsidRPr="00D13543" w:rsidRDefault="005B7A63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2RLA21021 – Inclusion numérique des jeunes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F69A32" w14:textId="0AFF5518" w:rsidR="0087250B" w:rsidRPr="00D13543" w:rsidRDefault="00950E3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Argentine, Bolivie, Paraguay</w:t>
            </w:r>
          </w:p>
        </w:tc>
      </w:tr>
      <w:tr w:rsidR="0087250B" w:rsidRPr="00D13543" w14:paraId="63011441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23EEC441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9EBB760" w14:textId="4097AECB" w:rsidR="0087250B" w:rsidRPr="00D13543" w:rsidRDefault="005B7A63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7GLO22121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Réduire la fracture numérique entre les hommes et les femmes pour les femmes entrepreneurs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E6957A" w14:textId="6135EDFF" w:rsidR="0087250B" w:rsidRPr="00D13543" w:rsidRDefault="00950E33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5123F99D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3B72DE8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CFB483" w14:textId="5CD61550" w:rsidR="0087250B" w:rsidRPr="00D13543" w:rsidRDefault="005B7A63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B4CECC3" w14:textId="561A3E6B" w:rsidR="0087250B" w:rsidRPr="00D13543" w:rsidRDefault="00032CE1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197FDAEE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C2BD0C7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F54CD7" w14:textId="010B20E5" w:rsidR="0087250B" w:rsidRPr="00D13543" w:rsidRDefault="00C065AF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9GLO23129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Prise en charge des écosystèmes à code source ouvert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innovation dans les services publics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91B955" w14:textId="062B3E42" w:rsidR="0087250B" w:rsidRPr="00D13543" w:rsidRDefault="00032CE1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12B6FD3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58FEA943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B05026" w14:textId="6DAC76C7" w:rsidR="0087250B" w:rsidRPr="00D13543" w:rsidRDefault="00C065AF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9GLO24147 – Accélérateur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initiatives régionales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innovation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 (MIIT)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FF8F5B" w14:textId="5702C4F9" w:rsidR="0087250B" w:rsidRPr="00D13543" w:rsidRDefault="00032CE1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7EF5C1A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6A6DBC5B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DFCC93" w14:textId="067CE223" w:rsidR="0087250B" w:rsidRPr="00D13543" w:rsidRDefault="00C065AF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9SAF19004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Centre pour la transformation numérique en Afrique, en République sudafricaine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B7CAE4" w14:textId="5F6E80C8" w:rsidR="0087250B" w:rsidRPr="00D13543" w:rsidRDefault="00032CE1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République sudafricaine</w:t>
            </w:r>
          </w:p>
        </w:tc>
      </w:tr>
      <w:tr w:rsidR="0087250B" w:rsidRPr="00D13543" w14:paraId="295F4E47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4AD3206" w14:textId="77777777" w:rsidR="0087250B" w:rsidRPr="00D13543" w:rsidRDefault="0087250B" w:rsidP="00B70B4C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365158E" w14:textId="36B2A4DF" w:rsidR="0087250B" w:rsidRPr="00D13543" w:rsidRDefault="00C065AF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9SAU25010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Création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centre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innovation axé sur les technologies quantiques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F8A85A" w14:textId="7CF4D615" w:rsidR="0087250B" w:rsidRPr="00D13543" w:rsidRDefault="00032CE1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Arabie saoudite</w:t>
            </w:r>
          </w:p>
        </w:tc>
      </w:tr>
    </w:tbl>
    <w:p w14:paraId="4D840FAC" w14:textId="4053AC72" w:rsidR="008F5E12" w:rsidRPr="00D13543" w:rsidRDefault="008F5E12" w:rsidP="00411B94">
      <w:pPr>
        <w:pStyle w:val="Tabletitle"/>
        <w:spacing w:before="120"/>
        <w:jc w:val="left"/>
        <w:rPr>
          <w:lang w:val="fr-FR"/>
        </w:rPr>
      </w:pPr>
      <w:r w:rsidRPr="00D13543">
        <w:rPr>
          <w:lang w:val="fr-FR"/>
        </w:rPr>
        <w:br w:type="page"/>
      </w:r>
    </w:p>
    <w:p w14:paraId="484ABB81" w14:textId="078D83F4" w:rsidR="0087250B" w:rsidRPr="00D13543" w:rsidRDefault="00631E95" w:rsidP="00411B94">
      <w:pPr>
        <w:pStyle w:val="Tabletitle"/>
        <w:spacing w:before="120"/>
        <w:jc w:val="left"/>
        <w:rPr>
          <w:rFonts w:cstheme="minorHAnsi"/>
          <w:lang w:val="fr-FR"/>
        </w:rPr>
      </w:pPr>
      <w:r w:rsidRPr="00D13543">
        <w:rPr>
          <w:lang w:val="fr-FR"/>
        </w:rPr>
        <w:lastRenderedPageBreak/>
        <w:t>RECOMMANDATIONS DE LA CMDT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867"/>
        <w:gridCol w:w="4319"/>
      </w:tblGrid>
      <w:tr w:rsidR="0087250B" w:rsidRPr="00D13543" w14:paraId="5F853F02" w14:textId="77777777" w:rsidTr="00631E95">
        <w:trPr>
          <w:trHeight w:val="300"/>
          <w:tblHeader/>
        </w:trPr>
        <w:tc>
          <w:tcPr>
            <w:tcW w:w="2977" w:type="dxa"/>
            <w:shd w:val="clear" w:color="auto" w:fill="0070C0"/>
            <w:noWrap/>
            <w:vAlign w:val="center"/>
          </w:tcPr>
          <w:p w14:paraId="7608292A" w14:textId="77777777" w:rsidR="0087250B" w:rsidRPr="00D13543" w:rsidRDefault="0087250B" w:rsidP="0085335E">
            <w:pPr>
              <w:pStyle w:val="Tablehead"/>
              <w:rPr>
                <w:rFonts w:cstheme="minorHAnsi"/>
                <w:color w:val="FFFFFF" w:themeColor="background1"/>
                <w:lang w:val="fr-FR"/>
              </w:rPr>
            </w:pPr>
            <w:r w:rsidRPr="00D13543">
              <w:rPr>
                <w:color w:val="FFFFFF" w:themeColor="background1"/>
                <w:lang w:val="fr-FR"/>
              </w:rPr>
              <w:t>Recommandation</w:t>
            </w:r>
          </w:p>
        </w:tc>
        <w:tc>
          <w:tcPr>
            <w:tcW w:w="7867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32202047" w14:textId="77777777" w:rsidR="0087250B" w:rsidRPr="00D13543" w:rsidRDefault="0087250B" w:rsidP="0085335E">
            <w:pPr>
              <w:pStyle w:val="Tablehead"/>
              <w:rPr>
                <w:rFonts w:cstheme="minorHAnsi"/>
                <w:color w:val="FFFFFF" w:themeColor="background1"/>
                <w:lang w:val="fr-FR"/>
              </w:rPr>
            </w:pPr>
            <w:r w:rsidRPr="00D13543">
              <w:rPr>
                <w:color w:val="FFFFFF" w:themeColor="background1"/>
                <w:lang w:val="fr-FR"/>
              </w:rPr>
              <w:t>Mécanisme de mise en œuvre</w:t>
            </w:r>
          </w:p>
        </w:tc>
        <w:tc>
          <w:tcPr>
            <w:tcW w:w="4319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15830C8D" w14:textId="77777777" w:rsidR="0087250B" w:rsidRPr="00D13543" w:rsidRDefault="0087250B" w:rsidP="0085335E">
            <w:pPr>
              <w:pStyle w:val="Tablehead"/>
              <w:rPr>
                <w:rFonts w:cstheme="minorHAnsi"/>
                <w:color w:val="FFFFFF" w:themeColor="background1"/>
                <w:lang w:val="fr-FR"/>
              </w:rPr>
            </w:pPr>
            <w:r w:rsidRPr="00D13543">
              <w:rPr>
                <w:color w:val="FFFFFF" w:themeColor="background1"/>
                <w:lang w:val="fr-FR"/>
              </w:rPr>
              <w:t>Régions/pays bénéficiaires</w:t>
            </w:r>
          </w:p>
        </w:tc>
      </w:tr>
      <w:tr w:rsidR="0087250B" w:rsidRPr="00D13543" w14:paraId="7CE09739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15CF1C00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15 – Les modèles et les méthodes de détermination des coûts des services nationaux de télécommunication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71F189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F4BDDD3" w14:textId="3C37EBBE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Cs w:val="24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8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6369DA" w14:textId="09010523" w:rsidR="0087250B" w:rsidRPr="00D13543" w:rsidRDefault="00EE468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monde ou régions multiples</w:t>
            </w:r>
          </w:p>
        </w:tc>
      </w:tr>
      <w:tr w:rsidR="0087250B" w:rsidRPr="00D13543" w14:paraId="045BFF5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4F166D67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A6FE07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102D2C1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52EDBCF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585EB206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3E063BA" w14:textId="1C29AA77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9BRA19008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 cadre réglementaire favorable à la transformation numérique au Brésil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125E9E5B" w14:textId="5815B609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50AB65C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577E4AB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8C34C8" w14:textId="303BBDD5" w:rsidR="0087250B" w:rsidRPr="00D13543" w:rsidRDefault="004C6B89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9BRA98006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Soutien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Agence nationale des télécommunications (ANATEL, Brésil)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1D37F" w14:textId="279FAD14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</w:t>
            </w:r>
          </w:p>
        </w:tc>
      </w:tr>
      <w:tr w:rsidR="0087250B" w:rsidRPr="00D13543" w14:paraId="323773B8" w14:textId="77777777" w:rsidTr="00631E95">
        <w:trPr>
          <w:trHeight w:val="715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6BAD46" w14:textId="7A36F21A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16 – Le rééquilibrage des tarifs et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orientation des tarifs vers les coûts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FE3428C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7C7CF92E" w14:textId="4031BAEE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Cs w:val="24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7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F4463E" w14:textId="00C2553C" w:rsidR="0087250B" w:rsidRPr="00D13543" w:rsidRDefault="00EE468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monde ou régions multiples</w:t>
            </w:r>
          </w:p>
        </w:tc>
      </w:tr>
      <w:tr w:rsidR="0087250B" w:rsidRPr="00D13543" w14:paraId="16BE21B5" w14:textId="77777777" w:rsidTr="00631E95">
        <w:trPr>
          <w:trHeight w:val="50"/>
        </w:trPr>
        <w:tc>
          <w:tcPr>
            <w:tcW w:w="2977" w:type="dxa"/>
            <w:vMerge/>
            <w:noWrap/>
            <w:vAlign w:val="center"/>
          </w:tcPr>
          <w:p w14:paraId="145F205B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068F39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5569C7B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25FEC602" w14:textId="77777777" w:rsidTr="00631E95">
        <w:trPr>
          <w:trHeight w:val="380"/>
        </w:trPr>
        <w:tc>
          <w:tcPr>
            <w:tcW w:w="2977" w:type="dxa"/>
            <w:vMerge/>
            <w:noWrap/>
            <w:vAlign w:val="center"/>
          </w:tcPr>
          <w:p w14:paraId="171FDC85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14:paraId="3C5BA3E6" w14:textId="10A5110E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HAnsi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2RLA21020 – Aider les pays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Amérique latine à identifier les meilleures pratiques en matière de développement et de mise en œuvre de réseaux communautaires en tant que solutions de connectivité innovantes dans les zones rurales et isolées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2AB7045" w14:textId="35C6A18E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</w:t>
            </w:r>
          </w:p>
        </w:tc>
      </w:tr>
      <w:tr w:rsidR="0087250B" w:rsidRPr="00D13543" w14:paraId="7844B931" w14:textId="77777777" w:rsidTr="00631E95">
        <w:trPr>
          <w:trHeight w:val="300"/>
        </w:trPr>
        <w:tc>
          <w:tcPr>
            <w:tcW w:w="2977" w:type="dxa"/>
            <w:tcBorders>
              <w:right w:val="single" w:sz="4" w:space="0" w:color="auto"/>
            </w:tcBorders>
            <w:noWrap/>
            <w:vAlign w:val="center"/>
          </w:tcPr>
          <w:p w14:paraId="39FF0462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17</w:t>
            </w:r>
          </w:p>
          <w:p w14:paraId="0757EC49" w14:textId="0B31BA4D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Partage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installations en zones rurales et isolées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5310675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7593EA3" w14:textId="426D1E67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Cs w:val="24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50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6E20774" w14:textId="3445151E" w:rsidR="0087250B" w:rsidRPr="00D13543" w:rsidRDefault="00EE468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Asie-Pacifique, pays de la CEI, Europe, monde ou régions multiples</w:t>
            </w:r>
          </w:p>
        </w:tc>
      </w:tr>
      <w:tr w:rsidR="0087250B" w:rsidRPr="00D13543" w14:paraId="4A41495A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F8174A6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19 – Les télécommunications pour les zones rurales et isolées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2464FB38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51065102" w14:textId="4172D839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Cs w:val="24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60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C2172E4" w14:textId="4AC4214B" w:rsidR="0087250B" w:rsidRPr="00D13543" w:rsidRDefault="00EE468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Afrique, Amériques, États arabes, Asie-Pacifique</w:t>
            </w:r>
            <w:r w:rsidR="004C6B89" w:rsidRPr="00D13543">
              <w:rPr>
                <w:sz w:val="20"/>
                <w:lang w:val="fr-FR"/>
              </w:rPr>
              <w:t xml:space="preserve">, </w:t>
            </w:r>
            <w:r w:rsidR="0087250B" w:rsidRPr="00D13543">
              <w:rPr>
                <w:sz w:val="20"/>
                <w:lang w:val="fr-FR"/>
              </w:rPr>
              <w:t>Pays de la CEI, Europe, monde ou régions multiples</w:t>
            </w:r>
          </w:p>
        </w:tc>
      </w:tr>
      <w:tr w:rsidR="0087250B" w:rsidRPr="00D13543" w14:paraId="61437F8B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45A7E832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583B296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866F7F7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20507E8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580D5E7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A9AFA06" w14:textId="75626182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2ARM23001 – Projet pilote sur les réseaux ruraux en Arménie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76A2CD" w14:textId="56DF047F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Arménie</w:t>
            </w:r>
          </w:p>
        </w:tc>
      </w:tr>
      <w:tr w:rsidR="0087250B" w:rsidRPr="00D13543" w14:paraId="5A3D5AAD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B128B4F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1772B1F" w14:textId="7243AE80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2RAS22070 – Îles intelligentes dans le Pacifique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BDFA6F" w14:textId="30B2E204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Papouasie-Nouvelle-Guinée, Vanuatu</w:t>
            </w:r>
          </w:p>
        </w:tc>
      </w:tr>
      <w:tr w:rsidR="0087250B" w:rsidRPr="00D13543" w14:paraId="1A9EE3C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ECC7D7B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5F6C156" w14:textId="3A40E200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2ALB24003 – Agriculture numérique et transformation rurale en Albanie (DART)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663B836" w14:textId="022E50BF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</w:t>
            </w:r>
          </w:p>
        </w:tc>
      </w:tr>
      <w:tr w:rsidR="0087250B" w:rsidRPr="00D13543" w14:paraId="36AC24B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5C9451C8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1124A5C" w14:textId="1A46605B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7GLO03043 – Développement des télécommunications rurales dans les pays les moins avancés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5BB8A0E" w14:textId="397C1A9D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4886E28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50A1EA3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45FAA0" w14:textId="1494C08E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9CHI24013 – Garantir la couverture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de la connectivité numérique ainsi que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à celle-ci dans les territoires ruraux en retard du Chili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CBACB" w14:textId="5A005D72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Chili</w:t>
            </w:r>
          </w:p>
        </w:tc>
      </w:tr>
      <w:tr w:rsidR="0087250B" w:rsidRPr="00D13543" w14:paraId="2CA55DFB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9AD1447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7FEFF3AE" w14:textId="302C69E4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645F36" w14:textId="2432FADC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21E71285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F1324F9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C7E4689" w14:textId="58BDDEC2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9PNG20003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Appui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entrepreneuriat,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investissement et au commerce en zone rurale en Papouasie-Nouvelle-Guinée (STREIT PNG)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64ED0F" w14:textId="57E596EF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Papouasie-Nouvelle-Guinée</w:t>
            </w:r>
          </w:p>
        </w:tc>
      </w:tr>
      <w:tr w:rsidR="0087250B" w:rsidRPr="00D13543" w14:paraId="372B6EA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38BE4964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124955" w14:textId="16667D09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9RAS22071 – Promouvoir la réalisation des ODD en améliorant les moyens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existence et la résilience, grâce à la diversification économique et à la transformation numérique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43113" w14:textId="3C03396E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Îles Salomon, Tonga, Tuvalu, Vanuatu</w:t>
            </w:r>
          </w:p>
        </w:tc>
      </w:tr>
      <w:tr w:rsidR="0087250B" w:rsidRPr="00D13543" w14:paraId="0E17BE96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8410B2F" w14:textId="73D87EB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20 – Initiatives politiques et réglementaires en faveur du développement des télécommunications/</w:t>
            </w:r>
            <w:r w:rsidR="004F15CC" w:rsidRPr="00D13543">
              <w:rPr>
                <w:lang w:val="fr-FR"/>
              </w:rPr>
              <w:br/>
            </w:r>
            <w:r w:rsidRPr="00D13543">
              <w:rPr>
                <w:lang w:val="fr-FR"/>
              </w:rPr>
              <w:t>technologies de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information et de la communication/du large bande dans les zones rurales et isolées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256CFFC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2775BC15" w14:textId="0BF4ADB9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19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881293B" w14:textId="1F9BBD74" w:rsidR="0087250B" w:rsidRPr="00D13543" w:rsidRDefault="00EE468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Amériques, États arabes, Asie-Pacifique, pays de la CEI, Europe, monde ou régions multiples</w:t>
            </w:r>
          </w:p>
        </w:tc>
      </w:tr>
      <w:tr w:rsidR="0087250B" w:rsidRPr="00D13543" w14:paraId="0C1D149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3FF74799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C82A0E3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A62D1F3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684BF29A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2AAEED8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299AB17" w14:textId="1193A92F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2RAS22068 –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TIC résiliente en Asie-Pacifique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4543EE" w14:textId="0B21DBA4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1588259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4A6F96D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4BBB1A0" w14:textId="5AC55227" w:rsidR="0087250B" w:rsidRPr="00D13543" w:rsidRDefault="004C6B89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2RER21029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Rapport sur le suivi des DEEE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échelle régionale pour les Balkans occidentaux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9A1799" w14:textId="11023ADC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Albanie, Bosnie-Herzégovine, Monténégro, Macédoine du Nord, Serbie</w:t>
            </w:r>
          </w:p>
        </w:tc>
      </w:tr>
      <w:tr w:rsidR="0087250B" w:rsidRPr="00D13543" w14:paraId="3435325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316157A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142AF15" w14:textId="45A9FBBE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2RLA21021 – Inclusion numérique des jeunes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43703B" w14:textId="2A4C9367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Argentine, Bolivie, Paraguay</w:t>
            </w:r>
          </w:p>
        </w:tc>
      </w:tr>
      <w:tr w:rsidR="0087250B" w:rsidRPr="00D13543" w14:paraId="60801DB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7DA1D0E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599AB49" w14:textId="5D2714B6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7RAF21102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Benchmarking des TIC en Afrique centrale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4CB31C" w14:textId="51F590A6" w:rsidR="0087250B" w:rsidRPr="00D13543" w:rsidRDefault="00EE468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Angola, Burundi, Cameroun, Rép. centrafricaine, Tchad, Congo, Rép. dém. du Congo, Guinée équatoriale, Gabon, Rwanda (République du), Sao Tomé-et-Principe</w:t>
            </w:r>
          </w:p>
        </w:tc>
      </w:tr>
      <w:tr w:rsidR="0087250B" w:rsidRPr="00D13543" w14:paraId="54DAF752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2E01396B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0049757" w14:textId="36045974" w:rsidR="0087250B" w:rsidRPr="00D13543" w:rsidRDefault="00A9608A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9CHI24013 – Garantir la couverture et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de la connectivité numérique ainsi que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à celle-ci dans les territoires ruraux en retard du Chili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2E936F" w14:textId="11A02A79" w:rsidR="0087250B" w:rsidRPr="00D13543" w:rsidRDefault="003F5648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Chili</w:t>
            </w:r>
          </w:p>
        </w:tc>
      </w:tr>
      <w:tr w:rsidR="0087250B" w:rsidRPr="00D13543" w14:paraId="3BD8CDA1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F4EDF00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FCDF784" w14:textId="4D598A63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9COL19040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Assistance technique pour valider, planifier et mettre en œuvre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octroi de permis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utilisation du spectre pour les IMT et appliquer des bonnes pratiques en vue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améliorer le taux de pénétration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Internet en Colombie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9D47D0" w14:textId="364A2E01" w:rsidR="0087250B" w:rsidRPr="00D13543" w:rsidRDefault="003F5648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2B50C33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75575E1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7497EACA" w14:textId="7036546A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9COL24042 – Mise à jour du Plan général de la Colombie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arrêt des émissions analogiques (GPCAE) et bonnes pratiques en matière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accès à la télévision et de services de télévision universels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172E1D" w14:textId="75C55271" w:rsidR="0087250B" w:rsidRPr="00D13543" w:rsidRDefault="003F5648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Colombie</w:t>
            </w:r>
          </w:p>
        </w:tc>
      </w:tr>
      <w:tr w:rsidR="0087250B" w:rsidRPr="00D13543" w14:paraId="2DB05A7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545DBCB2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B1CCD7C" w14:textId="39CFB5FD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9GLO21116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UIT et FCDO – Promouvoir des politiques et des réglementations propices dans les PMA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03D934" w14:textId="34D2B1E1" w:rsidR="0087250B" w:rsidRPr="00D13543" w:rsidRDefault="003F5648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Brésil, Indonésie, Kenya, Nigéria, Rép. sudafricaine</w:t>
            </w:r>
          </w:p>
        </w:tc>
      </w:tr>
      <w:tr w:rsidR="0087250B" w:rsidRPr="00D13543" w14:paraId="3F431C7F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618C2288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815B34A" w14:textId="2C47AEC5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9HON23023 – Proposition de mise à jour normative et réglementaire des télécommunications en République du Honduras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8C0FB3" w14:textId="2ECA24F8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Honduras</w:t>
            </w:r>
          </w:p>
        </w:tc>
      </w:tr>
      <w:tr w:rsidR="0087250B" w:rsidRPr="00D13543" w14:paraId="586DC956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CA8FF25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A50DB19" w14:textId="43AF1B98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9PAR24003 – Assistance technique à la Commission nationale des télécommunications du Paraguay dans le domaine réglementaire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F231D0" w14:textId="2D8202E5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Paraguay</w:t>
            </w:r>
          </w:p>
        </w:tc>
      </w:tr>
      <w:tr w:rsidR="0087250B" w:rsidRPr="00D13543" w14:paraId="07FEBA25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06D1BABE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6F5BDFA" w14:textId="50AB089F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right="-112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9RAS22071 – Promouvoir la réalisation des ODD en améliorant les moyens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existence et la résilience, grâce à la diversification économique et à la transformation numérique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C85E715" w14:textId="274B48FE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Fidji, Îles Salomon, Tonga, Tuvalu, Vanuatu</w:t>
            </w:r>
          </w:p>
        </w:tc>
      </w:tr>
      <w:tr w:rsidR="0087250B" w:rsidRPr="00D13543" w14:paraId="67494A56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237C2AE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21 – Les TIC et les changements climatiques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034719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36F77D29" w14:textId="7D97F821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right="28" w:hanging="567"/>
              <w:rPr>
                <w:rFonts w:cstheme="minorBidi"/>
                <w:szCs w:val="24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5 actions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64749371" w14:textId="437ABD09" w:rsidR="0087250B" w:rsidRPr="00D13543" w:rsidRDefault="009F013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Afrique, Amériques, États arabes </w:t>
            </w:r>
          </w:p>
        </w:tc>
      </w:tr>
      <w:tr w:rsidR="0087250B" w:rsidRPr="00D13543" w14:paraId="57A23419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01B5C1DA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4DA7E4B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3D2BE2A2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70B967BA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04B5755B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4063E878" w14:textId="70AF8E64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2GLO18094 – Amélioration des plans nationaux de télécommunications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urgence et de coordination pour sauver des vies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3DA1736" w14:textId="78D58E82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Régions multiples</w:t>
            </w:r>
          </w:p>
        </w:tc>
      </w:tr>
      <w:tr w:rsidR="0087250B" w:rsidRPr="00D13543" w14:paraId="3FBDDB50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13CD471B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52D8617" w14:textId="20B13BFD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2RAS22068 – Améliorer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infrastructure TIC résiliente en Asie-Pacifique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7DEB6E" w14:textId="4D6D30DB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  <w:tr w:rsidR="0087250B" w:rsidRPr="00D13543" w14:paraId="085020EE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71936BBE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F995681" w14:textId="0AF23CFE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9GLO24148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Faire progresser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action du secteur du numérique pour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environnement afin de parvenir à la neutralité carbone du secteur aux Philippines et en Tanzanie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985DB7" w14:textId="7A5E3844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Philippines, Tanzanie</w:t>
            </w:r>
          </w:p>
        </w:tc>
      </w:tr>
      <w:tr w:rsidR="0087250B" w:rsidRPr="00D13543" w14:paraId="7F5922C2" w14:textId="77777777" w:rsidTr="00631E95">
        <w:trPr>
          <w:trHeight w:val="62"/>
        </w:trPr>
        <w:tc>
          <w:tcPr>
            <w:tcW w:w="2977" w:type="dxa"/>
            <w:vMerge/>
            <w:noWrap/>
            <w:vAlign w:val="center"/>
          </w:tcPr>
          <w:p w14:paraId="050C1039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AD7124E" w14:textId="390CEF45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9GLO23126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Élaboration et mise en œuvre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politique et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une réglementation sur les déchets d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équipements électriques et électroniques pour une économie circulaire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7E60BA2" w14:textId="6B0EB46C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Zambie</w:t>
            </w:r>
          </w:p>
        </w:tc>
      </w:tr>
      <w:tr w:rsidR="0087250B" w:rsidRPr="00D13543" w14:paraId="58804D38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</w:tcPr>
          <w:p w14:paraId="199775AC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8A1170" w14:textId="24E4A422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7RAS24075 </w:t>
            </w:r>
            <w:r w:rsidR="0045576A" w:rsidRPr="00D13543">
              <w:rPr>
                <w:sz w:val="20"/>
                <w:lang w:val="fr-FR"/>
              </w:rPr>
              <w:t>–</w:t>
            </w:r>
            <w:r w:rsidR="0087250B" w:rsidRPr="00D13543">
              <w:rPr>
                <w:sz w:val="20"/>
                <w:lang w:val="fr-FR"/>
              </w:rPr>
              <w:t xml:space="preserve"> Créer une économie circulaire pour le secteur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électronique et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électricité en Thaïlande et en Mongolie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65CBDA3D" w14:textId="5684E162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Mongolie, Thaïlande</w:t>
            </w:r>
          </w:p>
        </w:tc>
      </w:tr>
      <w:tr w:rsidR="0087250B" w:rsidRPr="00D13543" w14:paraId="0D53989C" w14:textId="77777777" w:rsidTr="00631E95">
        <w:trPr>
          <w:trHeight w:val="300"/>
        </w:trPr>
        <w:tc>
          <w:tcPr>
            <w:tcW w:w="2977" w:type="dxa"/>
            <w:vMerge/>
            <w:noWrap/>
            <w:vAlign w:val="center"/>
            <w:hideMark/>
          </w:tcPr>
          <w:p w14:paraId="4D1F4F3C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2F8E3C" w14:textId="459B33C2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9RLA21019 – Kit pratique "mers intelligentes" pour la résilience face aux catastrophes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5AAE" w14:textId="40C50F9A" w:rsidR="0087250B" w:rsidRPr="00D13543" w:rsidRDefault="009F0134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Barbade, Grenade, Saint-Vincent-et-les-Grenadines, Trinité-et-Tobago</w:t>
            </w:r>
          </w:p>
        </w:tc>
      </w:tr>
      <w:tr w:rsidR="0087250B" w:rsidRPr="00D13543" w14:paraId="0F00933C" w14:textId="77777777" w:rsidTr="00631E95">
        <w:trPr>
          <w:trHeight w:val="300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125284" w14:textId="47CDBA62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RECOMMANDATION 22 – Réduire l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écart en matière de normalisation en association avec les groupes régionaux des commissions d</w:t>
            </w:r>
            <w:r w:rsidR="00294371" w:rsidRPr="00D13543">
              <w:rPr>
                <w:lang w:val="fr-FR"/>
              </w:rPr>
              <w:t>'</w:t>
            </w:r>
            <w:r w:rsidRPr="00D13543">
              <w:rPr>
                <w:lang w:val="fr-FR"/>
              </w:rPr>
              <w:t>études</w:t>
            </w:r>
          </w:p>
        </w:tc>
        <w:tc>
          <w:tcPr>
            <w:tcW w:w="78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68F4747B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Plan opérationnel</w:t>
            </w:r>
          </w:p>
          <w:p w14:paraId="05258D6C" w14:textId="7814DC2B" w:rsidR="0087250B" w:rsidRPr="00D13543" w:rsidRDefault="009F0134" w:rsidP="00631E95">
            <w:pPr>
              <w:pStyle w:val="enumlev1"/>
              <w:tabs>
                <w:tab w:val="clear" w:pos="1134"/>
              </w:tabs>
              <w:ind w:left="598" w:hanging="567"/>
              <w:rPr>
                <w:rFonts w:cstheme="minorBidi"/>
                <w:szCs w:val="24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Au total, 3 activités relatives au Plan opérationnel ont été mises en œuvre/sont en cours de mise en œuvre au cours du cycle actuel à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appui de cette Recommandation pour la période 2023-2025.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20F4616" w14:textId="7AB15A2C" w:rsidR="0087250B" w:rsidRPr="00D13543" w:rsidRDefault="009F0134" w:rsidP="00631E95">
            <w:pPr>
              <w:pStyle w:val="enumlev1"/>
              <w:tabs>
                <w:tab w:val="clear" w:pos="1134"/>
              </w:tabs>
              <w:spacing w:before="360"/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 xml:space="preserve">Pays de la CEI, Europe </w:t>
            </w:r>
          </w:p>
        </w:tc>
      </w:tr>
      <w:tr w:rsidR="0087250B" w:rsidRPr="00D13543" w14:paraId="4360F7A4" w14:textId="77777777" w:rsidTr="00631E95">
        <w:trPr>
          <w:trHeight w:val="300"/>
        </w:trPr>
        <w:tc>
          <w:tcPr>
            <w:tcW w:w="2977" w:type="dxa"/>
            <w:vMerge/>
            <w:noWrap/>
          </w:tcPr>
          <w:p w14:paraId="241D2516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0D2490FD" w14:textId="77777777" w:rsidR="0087250B" w:rsidRPr="00D13543" w:rsidRDefault="0087250B" w:rsidP="00B70B4C">
            <w:pPr>
              <w:pStyle w:val="Tabletext"/>
              <w:rPr>
                <w:rFonts w:cstheme="minorHAnsi"/>
                <w:lang w:val="fr-FR"/>
              </w:rPr>
            </w:pPr>
            <w:r w:rsidRPr="00D13543">
              <w:rPr>
                <w:lang w:val="fr-FR"/>
              </w:rPr>
              <w:t>Projets:</w:t>
            </w:r>
          </w:p>
        </w:tc>
        <w:tc>
          <w:tcPr>
            <w:tcW w:w="4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DB0523" w14:textId="77777777" w:rsidR="0087250B" w:rsidRPr="00D13543" w:rsidRDefault="0087250B" w:rsidP="00631E95">
            <w:pPr>
              <w:pStyle w:val="enumlev1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</w:p>
        </w:tc>
      </w:tr>
      <w:tr w:rsidR="0087250B" w:rsidRPr="00D13543" w14:paraId="474C26DF" w14:textId="77777777" w:rsidTr="00631E95">
        <w:trPr>
          <w:trHeight w:val="300"/>
        </w:trPr>
        <w:tc>
          <w:tcPr>
            <w:tcW w:w="2977" w:type="dxa"/>
            <w:vMerge/>
            <w:noWrap/>
            <w:hideMark/>
          </w:tcPr>
          <w:p w14:paraId="7A0925F1" w14:textId="77777777" w:rsidR="0087250B" w:rsidRPr="00D13543" w:rsidRDefault="0087250B" w:rsidP="00411B94">
            <w:pPr>
              <w:pStyle w:val="Tabletext"/>
              <w:jc w:val="center"/>
              <w:rPr>
                <w:rFonts w:cstheme="minorHAnsi"/>
                <w:lang w:val="fr-FR" w:eastAsia="en-GB"/>
              </w:rPr>
            </w:pPr>
          </w:p>
        </w:tc>
        <w:tc>
          <w:tcPr>
            <w:tcW w:w="7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C0186CF" w14:textId="24B2D1B7" w:rsidR="0087250B" w:rsidRPr="00D13543" w:rsidRDefault="009F0134" w:rsidP="00631E95">
            <w:pPr>
              <w:pStyle w:val="enumlev1"/>
              <w:widowControl w:val="0"/>
              <w:tabs>
                <w:tab w:val="clear" w:pos="1134"/>
              </w:tabs>
              <w:ind w:left="598" w:hanging="567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9RAS24077 – Renforcement de la participation de la région Asie-Pacifique aux conférences de l</w:t>
            </w:r>
            <w:r w:rsidR="00294371" w:rsidRPr="00D13543">
              <w:rPr>
                <w:sz w:val="20"/>
                <w:lang w:val="fr-FR"/>
              </w:rPr>
              <w:t>'</w:t>
            </w:r>
            <w:r w:rsidR="0087250B" w:rsidRPr="00D13543">
              <w:rPr>
                <w:sz w:val="20"/>
                <w:lang w:val="fr-FR"/>
              </w:rPr>
              <w:t>UIT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9DA191" w14:textId="332B6C7E" w:rsidR="0087250B" w:rsidRPr="00D13543" w:rsidRDefault="009F0134" w:rsidP="00631E95">
            <w:pPr>
              <w:pStyle w:val="enumlev1"/>
              <w:widowControl w:val="0"/>
              <w:tabs>
                <w:tab w:val="clear" w:pos="1134"/>
              </w:tabs>
              <w:ind w:left="449" w:hanging="418"/>
              <w:rPr>
                <w:sz w:val="20"/>
                <w:lang w:val="fr-FR"/>
              </w:rPr>
            </w:pPr>
            <w:r w:rsidRPr="00D13543">
              <w:rPr>
                <w:sz w:val="20"/>
                <w:lang w:val="fr-FR"/>
              </w:rPr>
              <w:t>–</w:t>
            </w:r>
            <w:r w:rsidRPr="00D13543">
              <w:rPr>
                <w:sz w:val="20"/>
                <w:lang w:val="fr-FR"/>
              </w:rPr>
              <w:tab/>
            </w:r>
            <w:r w:rsidR="0087250B" w:rsidRPr="00D13543">
              <w:rPr>
                <w:sz w:val="20"/>
                <w:lang w:val="fr-FR"/>
              </w:rPr>
              <w:t>Asie-Pacifique</w:t>
            </w:r>
          </w:p>
        </w:tc>
      </w:tr>
    </w:tbl>
    <w:p w14:paraId="764C3C0C" w14:textId="77777777" w:rsidR="00411B94" w:rsidRPr="00D13543" w:rsidRDefault="00411B94">
      <w:pPr>
        <w:jc w:val="center"/>
        <w:rPr>
          <w:lang w:val="fr-FR"/>
        </w:rPr>
      </w:pPr>
      <w:r w:rsidRPr="00D13543">
        <w:rPr>
          <w:lang w:val="fr-FR"/>
        </w:rPr>
        <w:t>______________</w:t>
      </w:r>
    </w:p>
    <w:sectPr w:rsidR="00411B94" w:rsidRPr="00D13543" w:rsidSect="00E037E1">
      <w:headerReference w:type="default" r:id="rId28"/>
      <w:headerReference w:type="first" r:id="rId29"/>
      <w:pgSz w:w="16840" w:h="11907" w:orient="landscape" w:code="9"/>
      <w:pgMar w:top="1134" w:right="1134" w:bottom="1134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A135" w14:textId="77777777" w:rsidR="00090BCF" w:rsidRDefault="00090BCF">
      <w:r>
        <w:separator/>
      </w:r>
    </w:p>
  </w:endnote>
  <w:endnote w:type="continuationSeparator" w:id="0">
    <w:p w14:paraId="01E0227D" w14:textId="77777777" w:rsidR="00090BCF" w:rsidRDefault="0009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895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A32805" w14:textId="2575BBAA" w:rsidR="00E45D05" w:rsidRPr="00C1192C" w:rsidRDefault="00E45D05">
    <w:pPr>
      <w:ind w:right="360"/>
      <w:rPr>
        <w:lang w:val="es-ES_tradnl"/>
      </w:rPr>
    </w:pPr>
    <w:r>
      <w:fldChar w:fldCharType="begin"/>
    </w:r>
    <w:r w:rsidRPr="00C1192C">
      <w:rPr>
        <w:lang w:val="es-ES_tradnl"/>
      </w:rPr>
      <w:instrText xml:space="preserve"> FILENAME \p  \* MERGEFORMAT </w:instrText>
    </w:r>
    <w:r>
      <w:fldChar w:fldCharType="separate"/>
    </w:r>
    <w:r w:rsidR="004B150A">
      <w:rPr>
        <w:noProof/>
        <w:lang w:val="es-ES_tradnl"/>
      </w:rPr>
      <w:t>P:\FRA\ITU-D\CONF-D\WTDC17\DIV\413949F.docx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46A67">
      <w:rPr>
        <w:noProof/>
      </w:rPr>
      <w:t>31.10.25</w:t>
    </w:r>
    <w:r>
      <w:fldChar w:fldCharType="end"/>
    </w:r>
    <w:r w:rsidRPr="00C1192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B150A">
      <w:rPr>
        <w:noProof/>
      </w:rPr>
      <w:t>10.03.17</w:t>
    </w:r>
    <w:r>
      <w:fldChar w:fldCharType="end"/>
    </w:r>
  </w:p>
  <w:p w14:paraId="7FB68D54" w14:textId="77777777" w:rsidR="00FA3E00" w:rsidRDefault="00FA3E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81FA" w14:textId="7096A262" w:rsidR="00D83BF5" w:rsidRPr="00784E03" w:rsidRDefault="00D83BF5" w:rsidP="003B7D04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EBB9" w14:textId="77777777" w:rsidR="00090BCF" w:rsidRDefault="00090BCF">
      <w:r>
        <w:rPr>
          <w:b/>
        </w:rPr>
        <w:t>_______________</w:t>
      </w:r>
    </w:p>
  </w:footnote>
  <w:footnote w:type="continuationSeparator" w:id="0">
    <w:p w14:paraId="59449692" w14:textId="77777777" w:rsidR="00090BCF" w:rsidRDefault="00090BCF">
      <w:r>
        <w:continuationSeparator/>
      </w:r>
    </w:p>
  </w:footnote>
  <w:footnote w:id="1">
    <w:p w14:paraId="23BC6A14" w14:textId="0A1CE254" w:rsidR="000A0999" w:rsidRPr="00282E56" w:rsidRDefault="000A0999" w:rsidP="00C26498">
      <w:pPr>
        <w:pStyle w:val="FootnoteText"/>
        <w:rPr>
          <w:sz w:val="20"/>
        </w:rPr>
      </w:pPr>
      <w:r w:rsidRPr="00C26498">
        <w:rPr>
          <w:rStyle w:val="FootnoteReference"/>
          <w:sz w:val="20"/>
          <w:lang w:val="fr-FR"/>
        </w:rPr>
        <w:footnoteRef/>
      </w:r>
      <w:r w:rsidR="00040A63">
        <w:rPr>
          <w:lang w:val="fr-FR"/>
        </w:rPr>
        <w:tab/>
      </w:r>
      <w:r w:rsidRPr="00C26498">
        <w:rPr>
          <w:i/>
          <w:iCs/>
          <w:lang w:val="fr-FR"/>
        </w:rPr>
        <w:t>Les informations contenues dans le présent document comprennent des données allant jusqu</w:t>
      </w:r>
      <w:r w:rsidR="00294371" w:rsidRPr="00C26498">
        <w:rPr>
          <w:i/>
          <w:iCs/>
          <w:lang w:val="fr-FR"/>
        </w:rPr>
        <w:t>'</w:t>
      </w:r>
      <w:r w:rsidRPr="00C26498">
        <w:rPr>
          <w:i/>
          <w:iCs/>
          <w:lang w:val="fr-FR"/>
        </w:rPr>
        <w:t>au</w:t>
      </w:r>
      <w:r w:rsidR="0074369D" w:rsidRPr="00C26498">
        <w:rPr>
          <w:i/>
          <w:iCs/>
          <w:lang w:val="fr-FR"/>
        </w:rPr>
        <w:t> </w:t>
      </w:r>
      <w:r w:rsidRPr="00C26498">
        <w:rPr>
          <w:i/>
          <w:iCs/>
          <w:lang w:val="fr-FR"/>
        </w:rPr>
        <w:t>31 août 2025. Les nouveaux projets signés après cette date ne sont pas inclus dans le présent document. Le contenu du présent rapport a été élaboré à partir d</w:t>
      </w:r>
      <w:r w:rsidR="00294371" w:rsidRPr="00C26498">
        <w:rPr>
          <w:i/>
          <w:iCs/>
          <w:lang w:val="fr-FR"/>
        </w:rPr>
        <w:t>'</w:t>
      </w:r>
      <w:r w:rsidRPr="00C26498">
        <w:rPr>
          <w:i/>
          <w:iCs/>
          <w:lang w:val="fr-FR"/>
        </w:rPr>
        <w:t>un extrait des informations disponibles dans les bases de données de l</w:t>
      </w:r>
      <w:r w:rsidR="00294371" w:rsidRPr="00C26498">
        <w:rPr>
          <w:i/>
          <w:iCs/>
          <w:lang w:val="fr-FR"/>
        </w:rPr>
        <w:t>'</w:t>
      </w:r>
      <w:r w:rsidRPr="00C26498">
        <w:rPr>
          <w:i/>
          <w:iCs/>
          <w:lang w:val="fr-FR"/>
        </w:rPr>
        <w:t>UIT, avec des corrections de forme apportées par les fonctionnaires concernés du BDT.</w:t>
      </w:r>
    </w:p>
  </w:footnote>
  <w:footnote w:id="2">
    <w:p w14:paraId="0E3E4EE5" w14:textId="363DA66A" w:rsidR="000A0999" w:rsidRPr="00282E56" w:rsidRDefault="000A0999" w:rsidP="00CF25E8">
      <w:pPr>
        <w:pStyle w:val="FootnoteText"/>
        <w:rPr>
          <w:rFonts w:cstheme="minorHAnsi"/>
          <w:i/>
          <w:iCs/>
          <w:sz w:val="20"/>
        </w:rPr>
      </w:pPr>
      <w:r w:rsidRPr="00C26498">
        <w:rPr>
          <w:rStyle w:val="FootnoteReference"/>
          <w:rFonts w:cstheme="minorHAnsi"/>
          <w:sz w:val="20"/>
          <w:lang w:val="fr-FR"/>
        </w:rPr>
        <w:footnoteRef/>
      </w:r>
      <w:r w:rsidR="00040A63" w:rsidRPr="00C26498">
        <w:rPr>
          <w:lang w:val="fr-FR"/>
        </w:rPr>
        <w:tab/>
      </w:r>
      <w:r>
        <w:rPr>
          <w:i/>
          <w:iCs/>
          <w:lang w:val="fr-FR"/>
        </w:rPr>
        <w:t>Disponible à l</w:t>
      </w:r>
      <w:r w:rsidR="00294371">
        <w:rPr>
          <w:i/>
          <w:iCs/>
          <w:lang w:val="fr-FR"/>
        </w:rPr>
        <w:t>'</w:t>
      </w:r>
      <w:r>
        <w:rPr>
          <w:i/>
          <w:iCs/>
          <w:lang w:val="fr-FR"/>
        </w:rPr>
        <w:t xml:space="preserve">adresse </w:t>
      </w:r>
      <w:hyperlink r:id="rId1" w:anchor="/fr" w:history="1">
        <w:r w:rsidR="00824509">
          <w:rPr>
            <w:rStyle w:val="Hyperlink"/>
            <w:i/>
            <w:iCs/>
            <w:lang w:val="fr-FR"/>
          </w:rPr>
          <w:t>https://www.itu.int/itu-d/sites/projects/home/projects/</w:t>
        </w:r>
      </w:hyperlink>
      <w:r>
        <w:rPr>
          <w:i/>
          <w:iCs/>
          <w:lang w:val="fr-FR"/>
        </w:rPr>
        <w:t>.</w:t>
      </w:r>
      <w:r w:rsidR="00C26498">
        <w:rPr>
          <w:i/>
          <w:iCs/>
          <w:lang w:val="fr-FR"/>
        </w:rPr>
        <w:br/>
      </w:r>
      <w:r>
        <w:rPr>
          <w:i/>
          <w:iCs/>
          <w:lang w:val="fr-FR"/>
        </w:rPr>
        <w:t>Des informations spécifiques sur chaque projet sont disponibles à l</w:t>
      </w:r>
      <w:r w:rsidR="00294371">
        <w:rPr>
          <w:i/>
          <w:iCs/>
          <w:lang w:val="fr-FR"/>
        </w:rPr>
        <w:t>'</w:t>
      </w:r>
      <w:r>
        <w:rPr>
          <w:i/>
          <w:iCs/>
          <w:lang w:val="fr-FR"/>
        </w:rPr>
        <w:t>adresse</w:t>
      </w:r>
      <w:r w:rsidR="00CF25E8">
        <w:rPr>
          <w:i/>
          <w:iCs/>
          <w:lang w:val="fr-FR"/>
        </w:rPr>
        <w:br/>
      </w:r>
      <w:hyperlink r:id="rId2" w:history="1">
        <w:r w:rsidRPr="005722E3">
          <w:rPr>
            <w:rStyle w:val="Hyperlink"/>
            <w:i/>
            <w:iCs/>
            <w:lang w:val="fr-FR"/>
          </w:rPr>
          <w:t>https://www.itu.int/en/ITU-D/Projects/Pages/Portfolio.aspx</w:t>
        </w:r>
      </w:hyperlink>
      <w:r>
        <w:rPr>
          <w:i/>
          <w:iCs/>
          <w:lang w:val="fr-FR"/>
        </w:rPr>
        <w:t>.</w:t>
      </w:r>
      <w:r>
        <w:rPr>
          <w:lang w:val="fr-FR"/>
        </w:rPr>
        <w:t xml:space="preserve"> </w:t>
      </w:r>
      <w:hyperlink r:id="rId3" w:history="1"/>
      <w:hyperlink r:id="rId4" w:history="1"/>
    </w:p>
  </w:footnote>
  <w:footnote w:id="3">
    <w:p w14:paraId="07656D11" w14:textId="67476402" w:rsidR="000A0999" w:rsidRPr="00282E56" w:rsidRDefault="000A0999" w:rsidP="00CF25E8">
      <w:pPr>
        <w:pStyle w:val="FootnoteText"/>
        <w:rPr>
          <w:rFonts w:cstheme="minorHAnsi"/>
          <w:i/>
          <w:iCs/>
          <w:sz w:val="20"/>
        </w:rPr>
      </w:pPr>
      <w:r w:rsidRPr="00C26498">
        <w:rPr>
          <w:rStyle w:val="FootnoteReference"/>
          <w:rFonts w:cstheme="minorHAnsi"/>
          <w:sz w:val="20"/>
          <w:lang w:val="fr-FR"/>
        </w:rPr>
        <w:footnoteRef/>
      </w:r>
      <w:r w:rsidR="00040A63" w:rsidRPr="00C26498">
        <w:rPr>
          <w:lang w:val="fr-FR"/>
        </w:rPr>
        <w:tab/>
      </w:r>
      <w:r>
        <w:rPr>
          <w:i/>
          <w:iCs/>
          <w:lang w:val="fr-FR"/>
        </w:rPr>
        <w:t>Disponible à l</w:t>
      </w:r>
      <w:r w:rsidR="00294371">
        <w:rPr>
          <w:i/>
          <w:iCs/>
          <w:lang w:val="fr-FR"/>
        </w:rPr>
        <w:t>'</w:t>
      </w:r>
      <w:r>
        <w:rPr>
          <w:i/>
          <w:iCs/>
          <w:lang w:val="fr-FR"/>
        </w:rPr>
        <w:t xml:space="preserve">adresse </w:t>
      </w:r>
      <w:hyperlink r:id="rId5" w:history="1">
        <w:r w:rsidRPr="005722E3">
          <w:rPr>
            <w:rStyle w:val="Hyperlink"/>
            <w:i/>
            <w:iCs/>
            <w:lang w:val="fr-FR"/>
          </w:rPr>
          <w:t>https://www.itu.int/en/ITU-D/Projects/Pages/reports/default.aspx</w:t>
        </w:r>
      </w:hyperlink>
      <w:r>
        <w:rPr>
          <w:i/>
          <w:iCs/>
          <w:lang w:val="fr-FR"/>
        </w:rPr>
        <w:t xml:space="preserve"> (compte TIES nécessaire)</w:t>
      </w:r>
      <w:hyperlink r:id="rId6" w:history="1"/>
    </w:p>
  </w:footnote>
  <w:footnote w:id="4">
    <w:p w14:paraId="635CA45A" w14:textId="3EABCF6B" w:rsidR="0087250B" w:rsidRPr="00282E56" w:rsidRDefault="0087250B" w:rsidP="00C26498">
      <w:pPr>
        <w:pStyle w:val="FootnoteText"/>
        <w:rPr>
          <w:sz w:val="20"/>
        </w:rPr>
      </w:pPr>
      <w:r w:rsidRPr="00282E56">
        <w:rPr>
          <w:rStyle w:val="FootnoteReference"/>
          <w:sz w:val="20"/>
          <w:lang w:val="fr-FR"/>
        </w:rPr>
        <w:footnoteRef/>
      </w:r>
      <w:r w:rsidR="00040A63">
        <w:rPr>
          <w:lang w:val="fr-FR"/>
        </w:rPr>
        <w:tab/>
      </w:r>
      <w:r>
        <w:rPr>
          <w:lang w:val="fr-FR"/>
        </w:rPr>
        <w:t>Les activités relatives au Plan opérationnel entreprises chaque année, par exemple les plates-formes fédératrices, ont été prises en compte de manière systématique dans le présent rapport, pour chaque année du cycle.</w:t>
      </w:r>
    </w:p>
  </w:footnote>
  <w:footnote w:id="5">
    <w:p w14:paraId="7419FCF7" w14:textId="3D496903" w:rsidR="0087250B" w:rsidRPr="00282E56" w:rsidRDefault="0087250B" w:rsidP="00C26498">
      <w:pPr>
        <w:pStyle w:val="FootnoteText"/>
        <w:rPr>
          <w:sz w:val="20"/>
        </w:rPr>
      </w:pPr>
      <w:r w:rsidRPr="00282E56">
        <w:rPr>
          <w:rStyle w:val="FootnoteReference"/>
          <w:sz w:val="20"/>
          <w:lang w:val="fr-FR"/>
        </w:rPr>
        <w:footnoteRef/>
      </w:r>
      <w:r w:rsidR="00040A63">
        <w:rPr>
          <w:lang w:val="fr-FR"/>
        </w:rPr>
        <w:tab/>
      </w:r>
      <w:r>
        <w:rPr>
          <w:lang w:val="fr-FR"/>
        </w:rPr>
        <w:t>Une activité relative au Plan opérationnel peut contribuer à la mise en œuvre de plusieurs résolutions et/ou recommandations.</w:t>
      </w:r>
    </w:p>
  </w:footnote>
  <w:footnote w:id="6">
    <w:p w14:paraId="240A7BA1" w14:textId="08EA04FF" w:rsidR="0087250B" w:rsidRPr="00282E56" w:rsidRDefault="0087250B" w:rsidP="00C26498">
      <w:pPr>
        <w:pStyle w:val="FootnoteText"/>
        <w:rPr>
          <w:sz w:val="20"/>
        </w:rPr>
      </w:pPr>
      <w:r w:rsidRPr="3CB63489">
        <w:rPr>
          <w:rStyle w:val="FootnoteReference"/>
          <w:sz w:val="20"/>
          <w:lang w:val="fr-FR"/>
        </w:rPr>
        <w:footnoteRef/>
      </w:r>
      <w:r w:rsidR="0003235A">
        <w:rPr>
          <w:lang w:val="fr-FR"/>
        </w:rPr>
        <w:tab/>
      </w:r>
      <w:r>
        <w:rPr>
          <w:lang w:val="fr-FR"/>
        </w:rPr>
        <w:t>Élaboration d</w:t>
      </w:r>
      <w:r w:rsidR="00294371">
        <w:rPr>
          <w:lang w:val="fr-FR"/>
        </w:rPr>
        <w:t>'</w:t>
      </w:r>
      <w:r>
        <w:rPr>
          <w:lang w:val="fr-FR"/>
        </w:rPr>
        <w:t>un plan national pour les télécommunications d</w:t>
      </w:r>
      <w:r w:rsidR="00294371">
        <w:rPr>
          <w:lang w:val="fr-FR"/>
        </w:rPr>
        <w:t>'</w:t>
      </w:r>
      <w:r>
        <w:rPr>
          <w:lang w:val="fr-FR"/>
        </w:rPr>
        <w:t>urgence (NETP) et appui technique pour la connectivité d</w:t>
      </w:r>
      <w:r w:rsidR="00294371">
        <w:rPr>
          <w:lang w:val="fr-FR"/>
        </w:rPr>
        <w:t>'</w:t>
      </w:r>
      <w:r>
        <w:rPr>
          <w:lang w:val="fr-FR"/>
        </w:rPr>
        <w:t>urgence. Compétences techniques pour les discussions sur la gestion du spectre, examen du Tableau national d</w:t>
      </w:r>
      <w:r w:rsidR="00294371">
        <w:rPr>
          <w:lang w:val="fr-FR"/>
        </w:rPr>
        <w:t>'</w:t>
      </w:r>
      <w:r>
        <w:rPr>
          <w:lang w:val="fr-FR"/>
        </w:rPr>
        <w:t>attribution des bandes de fréquences (NFAT) de la Palestine et fourniture d</w:t>
      </w:r>
      <w:r w:rsidR="00294371">
        <w:rPr>
          <w:lang w:val="fr-FR"/>
        </w:rPr>
        <w:t>'</w:t>
      </w:r>
      <w:r>
        <w:rPr>
          <w:lang w:val="fr-FR"/>
        </w:rPr>
        <w:t>un appui réglementaire sous forme d</w:t>
      </w:r>
      <w:r w:rsidR="00294371">
        <w:rPr>
          <w:lang w:val="fr-FR"/>
        </w:rPr>
        <w:t>'</w:t>
      </w:r>
      <w:r>
        <w:rPr>
          <w:lang w:val="fr-FR"/>
        </w:rPr>
        <w:t>analyses de marché, de modélisation des coûts et d</w:t>
      </w:r>
      <w:r w:rsidR="00294371">
        <w:rPr>
          <w:lang w:val="fr-FR"/>
        </w:rPr>
        <w:t>'</w:t>
      </w:r>
      <w:r>
        <w:rPr>
          <w:lang w:val="fr-FR"/>
        </w:rPr>
        <w:t>élaboration d</w:t>
      </w:r>
      <w:r w:rsidR="00294371">
        <w:rPr>
          <w:lang w:val="fr-FR"/>
        </w:rPr>
        <w:t>'</w:t>
      </w:r>
      <w:r>
        <w:rPr>
          <w:lang w:val="fr-FR"/>
        </w:rPr>
        <w:t>un cadre national de numérotage.</w:t>
      </w:r>
    </w:p>
  </w:footnote>
  <w:footnote w:id="7">
    <w:p w14:paraId="4135988B" w14:textId="7E01F881" w:rsidR="0087250B" w:rsidRPr="00282E56" w:rsidRDefault="0087250B" w:rsidP="00C26498">
      <w:pPr>
        <w:pStyle w:val="FootnoteText"/>
        <w:rPr>
          <w:sz w:val="20"/>
        </w:rPr>
      </w:pPr>
      <w:r w:rsidRPr="00282E56">
        <w:rPr>
          <w:rStyle w:val="FootnoteReference"/>
          <w:sz w:val="20"/>
          <w:lang w:val="fr-FR"/>
        </w:rPr>
        <w:footnoteRef/>
      </w:r>
      <w:r w:rsidR="00767DE2">
        <w:rPr>
          <w:lang w:val="fr-FR"/>
        </w:rPr>
        <w:tab/>
      </w:r>
      <w:r>
        <w:rPr>
          <w:lang w:val="fr-FR"/>
        </w:rPr>
        <w:t xml:space="preserve">Voir le Document </w:t>
      </w:r>
      <w:hyperlink r:id="rId7" w:history="1">
        <w:r w:rsidRPr="006414D0">
          <w:rPr>
            <w:rStyle w:val="Hyperlink"/>
            <w:lang w:val="fr-FR"/>
          </w:rPr>
          <w:t>TDAG-25/2</w:t>
        </w:r>
      </w:hyperlink>
      <w:r>
        <w:rPr>
          <w:lang w:val="fr-FR"/>
        </w:rPr>
        <w:t>. Soutien du BDT à l</w:t>
      </w:r>
      <w:r w:rsidR="00294371">
        <w:rPr>
          <w:lang w:val="fr-FR"/>
        </w:rPr>
        <w:t>'</w:t>
      </w:r>
      <w:r>
        <w:rPr>
          <w:lang w:val="fr-FR"/>
        </w:rPr>
        <w:t>UAT, axé sur le renforcement de la collaboration et des capacités dans le secteur des TIC en Afrique. Formation conjointe sur les tableaux nationaux d</w:t>
      </w:r>
      <w:r w:rsidR="00294371">
        <w:rPr>
          <w:lang w:val="fr-FR"/>
        </w:rPr>
        <w:t>'</w:t>
      </w:r>
      <w:r>
        <w:rPr>
          <w:lang w:val="fr-FR"/>
        </w:rPr>
        <w:t>attribution des fréquences en Éthiopie et Séminaire régional des radiocommunications (RRS-25-Afrique) à Djibouti, visant à aligner les cadres nationaux sur les normes internationales. Séminaire et renforcement des capacités sur l</w:t>
      </w:r>
      <w:r w:rsidR="00294371">
        <w:rPr>
          <w:lang w:val="fr-FR"/>
        </w:rPr>
        <w:t>'</w:t>
      </w:r>
      <w:r w:rsidR="00C26498">
        <w:rPr>
          <w:lang w:val="fr-FR"/>
        </w:rPr>
        <w:t>I</w:t>
      </w:r>
      <w:r>
        <w:rPr>
          <w:lang w:val="fr-FR"/>
        </w:rPr>
        <w:t>nitiative EW4ALL. Soutien à l</w:t>
      </w:r>
      <w:r w:rsidR="00294371">
        <w:rPr>
          <w:lang w:val="fr-FR"/>
        </w:rPr>
        <w:t>'</w:t>
      </w:r>
      <w:r>
        <w:rPr>
          <w:lang w:val="fr-FR"/>
        </w:rPr>
        <w:t>élaboration de cadres de partenariat annuels, promotion de la collaboration avec d</w:t>
      </w:r>
      <w:r w:rsidR="00294371">
        <w:rPr>
          <w:lang w:val="fr-FR"/>
        </w:rPr>
        <w:t>'</w:t>
      </w:r>
      <w:r>
        <w:rPr>
          <w:lang w:val="fr-FR"/>
        </w:rPr>
        <w:t>autres institutions des Nations</w:t>
      </w:r>
      <w:r w:rsidR="006414D0">
        <w:rPr>
          <w:lang w:val="fr-FR"/>
        </w:rPr>
        <w:t> </w:t>
      </w:r>
      <w:r>
        <w:rPr>
          <w:lang w:val="fr-FR"/>
        </w:rPr>
        <w:t>Unies et organisations régionales pour faire progresser la transformation numérique et l</w:t>
      </w:r>
      <w:r w:rsidR="00294371">
        <w:rPr>
          <w:lang w:val="fr-FR"/>
        </w:rPr>
        <w:t>'</w:t>
      </w:r>
      <w:r>
        <w:rPr>
          <w:lang w:val="fr-FR"/>
        </w:rPr>
        <w:t>harmonisation de la réglementation en Afrique.</w:t>
      </w:r>
      <w:hyperlink r:id="rId8" w:history="1"/>
    </w:p>
  </w:footnote>
  <w:footnote w:id="8">
    <w:p w14:paraId="4029EA28" w14:textId="2F9F8506" w:rsidR="0087250B" w:rsidRPr="00282E56" w:rsidRDefault="0087250B" w:rsidP="00C26498">
      <w:pPr>
        <w:pStyle w:val="FootnoteText"/>
        <w:rPr>
          <w:rFonts w:cstheme="minorBidi"/>
          <w:sz w:val="20"/>
        </w:rPr>
      </w:pPr>
      <w:r w:rsidRPr="3CB63489">
        <w:rPr>
          <w:rStyle w:val="FootnoteReference"/>
          <w:sz w:val="20"/>
          <w:lang w:val="fr-FR"/>
        </w:rPr>
        <w:footnoteRef/>
      </w:r>
      <w:r w:rsidR="007B1210">
        <w:rPr>
          <w:lang w:val="fr-FR"/>
        </w:rPr>
        <w:tab/>
      </w:r>
      <w:r>
        <w:rPr>
          <w:lang w:val="fr-FR"/>
        </w:rPr>
        <w:t>Examen du NETP actuel de l</w:t>
      </w:r>
      <w:r w:rsidR="00294371">
        <w:rPr>
          <w:lang w:val="fr-FR"/>
        </w:rPr>
        <w:t>'</w:t>
      </w:r>
      <w:r>
        <w:rPr>
          <w:lang w:val="fr-FR"/>
        </w:rPr>
        <w:t>Iraq, Forum régional des jeunes filles dans le secteur des TIC organisé en 2024 et lancement de l</w:t>
      </w:r>
      <w:r w:rsidR="00294371">
        <w:rPr>
          <w:lang w:val="fr-FR"/>
        </w:rPr>
        <w:t>'</w:t>
      </w:r>
      <w:r w:rsidR="00C26498">
        <w:rPr>
          <w:lang w:val="fr-FR"/>
        </w:rPr>
        <w:t>I</w:t>
      </w:r>
      <w:r>
        <w:rPr>
          <w:lang w:val="fr-FR"/>
        </w:rPr>
        <w:t>nitiative EW4All.</w:t>
      </w:r>
    </w:p>
  </w:footnote>
  <w:footnote w:id="9">
    <w:p w14:paraId="2308DC52" w14:textId="7CBA7B06" w:rsidR="0087250B" w:rsidRPr="00282E56" w:rsidRDefault="0087250B" w:rsidP="00C26498">
      <w:pPr>
        <w:pStyle w:val="FootnoteText"/>
        <w:rPr>
          <w:sz w:val="20"/>
        </w:rPr>
      </w:pPr>
      <w:r w:rsidRPr="00282E56">
        <w:rPr>
          <w:rStyle w:val="FootnoteReference"/>
          <w:sz w:val="20"/>
          <w:lang w:val="fr-FR"/>
        </w:rPr>
        <w:footnoteRef/>
      </w:r>
      <w:r w:rsidR="007B1210">
        <w:rPr>
          <w:lang w:val="fr-FR"/>
        </w:rPr>
        <w:tab/>
      </w:r>
      <w:r>
        <w:rPr>
          <w:lang w:val="fr-FR"/>
        </w:rPr>
        <w:t>Cette Résolution porte sur la mise en œuvre du Plan d</w:t>
      </w:r>
      <w:r w:rsidR="00294371">
        <w:rPr>
          <w:lang w:val="fr-FR"/>
        </w:rPr>
        <w:t>'</w:t>
      </w:r>
      <w:r>
        <w:rPr>
          <w:lang w:val="fr-FR"/>
        </w:rPr>
        <w:t>action de Dubaï, qui a été achevée.</w:t>
      </w:r>
    </w:p>
  </w:footnote>
  <w:footnote w:id="10">
    <w:p w14:paraId="25F8FCD3" w14:textId="5E1B24C5" w:rsidR="0087250B" w:rsidRPr="00282E56" w:rsidRDefault="0087250B" w:rsidP="00C26498">
      <w:pPr>
        <w:pStyle w:val="FootnoteText"/>
        <w:rPr>
          <w:sz w:val="20"/>
        </w:rPr>
      </w:pPr>
      <w:r w:rsidRPr="00282E56">
        <w:rPr>
          <w:rStyle w:val="FootnoteReference"/>
          <w:sz w:val="20"/>
          <w:lang w:val="fr-FR"/>
        </w:rPr>
        <w:footnoteRef/>
      </w:r>
      <w:r w:rsidR="00AA59EB">
        <w:rPr>
          <w:lang w:val="fr-FR"/>
        </w:rPr>
        <w:tab/>
      </w:r>
      <w:r>
        <w:rPr>
          <w:lang w:val="fr-FR"/>
        </w:rPr>
        <w:t>Cette Résolution a été mise en œuvre dans le cadre de la collaboration entre l</w:t>
      </w:r>
      <w:r w:rsidR="00294371">
        <w:rPr>
          <w:lang w:val="fr-FR"/>
        </w:rPr>
        <w:t>'</w:t>
      </w:r>
      <w:r>
        <w:rPr>
          <w:lang w:val="fr-FR"/>
        </w:rPr>
        <w:t>UIT et l</w:t>
      </w:r>
      <w:r w:rsidR="00294371">
        <w:rPr>
          <w:lang w:val="fr-FR"/>
        </w:rPr>
        <w:t>'</w:t>
      </w:r>
      <w:r>
        <w:rPr>
          <w:lang w:val="fr-FR"/>
        </w:rPr>
        <w:t>Union africaine, ainsi que dans le cadre de la mise en œuvre des initiatives régionales AFR1 et AFR2.</w:t>
      </w:r>
    </w:p>
  </w:footnote>
  <w:footnote w:id="11">
    <w:p w14:paraId="5C07E59F" w14:textId="1BBC1DE7" w:rsidR="0087250B" w:rsidRPr="00282E56" w:rsidRDefault="0087250B" w:rsidP="00C26498">
      <w:pPr>
        <w:tabs>
          <w:tab w:val="clear" w:pos="1134"/>
          <w:tab w:val="clear" w:pos="1871"/>
          <w:tab w:val="clear" w:pos="2268"/>
          <w:tab w:val="left" w:pos="284"/>
        </w:tabs>
        <w:rPr>
          <w:rFonts w:cstheme="minorBidi"/>
          <w:sz w:val="20"/>
        </w:rPr>
      </w:pPr>
      <w:r w:rsidRPr="3CB63489">
        <w:rPr>
          <w:rStyle w:val="FootnoteReference"/>
          <w:sz w:val="20"/>
          <w:lang w:val="fr-FR"/>
        </w:rPr>
        <w:footnoteRef/>
      </w:r>
      <w:r w:rsidR="00411B94">
        <w:rPr>
          <w:lang w:val="fr-FR"/>
        </w:rPr>
        <w:tab/>
      </w:r>
      <w:r>
        <w:rPr>
          <w:lang w:val="fr-FR"/>
        </w:rPr>
        <w:t>Appui politique et réglementaire concernant la loi sur les TIC portant sur les technologies numériques, la cybersécurité et le commerce électronique; feuille de route pour la transformation numérique en ce qui concerne la stratégie nationale en matière de TIC; NFAT; NETP pour améliorer la préparation aux situations d</w:t>
      </w:r>
      <w:r w:rsidR="00294371">
        <w:rPr>
          <w:lang w:val="fr-FR"/>
        </w:rPr>
        <w:t>'</w:t>
      </w:r>
      <w:r>
        <w:rPr>
          <w:lang w:val="fr-FR"/>
        </w:rPr>
        <w:t>urgence et la coordination en de telles situations.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E3B2" w14:textId="73845340" w:rsidR="00943494" w:rsidRPr="008E2519" w:rsidRDefault="00943494" w:rsidP="00943494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rFonts w:cstheme="minorHAnsi"/>
        <w:smallCaps/>
        <w:spacing w:val="24"/>
        <w:sz w:val="22"/>
        <w:szCs w:val="22"/>
        <w:lang w:val="es-ES"/>
      </w:rPr>
    </w:pPr>
    <w:r>
      <w:rPr>
        <w:rFonts w:cstheme="minorHAnsi"/>
        <w:sz w:val="22"/>
        <w:szCs w:val="22"/>
        <w:lang w:val="es-ES"/>
      </w:rPr>
      <w:tab/>
    </w:r>
    <w:r w:rsidRPr="00B0098D">
      <w:rPr>
        <w:rFonts w:cstheme="minorHAnsi"/>
        <w:sz w:val="22"/>
        <w:szCs w:val="22"/>
        <w:lang w:val="es-ES"/>
      </w:rPr>
      <w:t>WTDC-25/</w:t>
    </w:r>
    <w:bookmarkStart w:id="11" w:name="DocNo2"/>
    <w:bookmarkEnd w:id="11"/>
    <w:r>
      <w:rPr>
        <w:rFonts w:cstheme="minorHAnsi"/>
        <w:sz w:val="22"/>
        <w:szCs w:val="22"/>
        <w:lang w:val="es-ES"/>
      </w:rPr>
      <w:t>2(Ann.2)</w:t>
    </w:r>
    <w:r w:rsidRPr="00B0098D">
      <w:rPr>
        <w:rFonts w:cstheme="minorHAnsi"/>
        <w:sz w:val="22"/>
        <w:szCs w:val="22"/>
        <w:lang w:val="es-ES"/>
      </w:rPr>
      <w:t>-</w:t>
    </w:r>
    <w:r w:rsidR="00E037E1">
      <w:rPr>
        <w:rFonts w:cstheme="minorHAnsi"/>
        <w:sz w:val="22"/>
        <w:szCs w:val="22"/>
        <w:lang w:val="es-ES"/>
      </w:rPr>
      <w:t>F</w:t>
    </w:r>
    <w:r w:rsidRPr="00BD1BB7">
      <w:rPr>
        <w:rFonts w:cstheme="minorHAnsi"/>
        <w:sz w:val="22"/>
        <w:szCs w:val="22"/>
        <w:lang w:val="es-ES_tradnl"/>
      </w:rPr>
      <w:tab/>
    </w:r>
    <w:r w:rsidRPr="00B0098D">
      <w:rPr>
        <w:rFonts w:cstheme="minorHAnsi"/>
        <w:sz w:val="22"/>
        <w:szCs w:val="22"/>
        <w:lang w:val="es-ES"/>
      </w:rPr>
      <w:t xml:space="preserve">Page </w:t>
    </w:r>
    <w:r w:rsidRPr="00B0098D">
      <w:rPr>
        <w:rFonts w:cstheme="minorHAnsi"/>
        <w:sz w:val="22"/>
        <w:szCs w:val="22"/>
        <w:lang w:val="es-ES"/>
      </w:rPr>
      <w:fldChar w:fldCharType="begin"/>
    </w:r>
    <w:r w:rsidRPr="00B0098D">
      <w:rPr>
        <w:rFonts w:cstheme="minorHAnsi"/>
        <w:sz w:val="22"/>
        <w:szCs w:val="22"/>
        <w:lang w:val="es-ES"/>
      </w:rPr>
      <w:instrText xml:space="preserve"> PAGE </w:instrText>
    </w:r>
    <w:r w:rsidRPr="00B0098D">
      <w:rPr>
        <w:rFonts w:cstheme="minorHAnsi"/>
        <w:sz w:val="22"/>
        <w:szCs w:val="22"/>
      </w:rPr>
      <w:fldChar w:fldCharType="separate"/>
    </w:r>
    <w:r>
      <w:rPr>
        <w:rFonts w:cstheme="minorHAnsi"/>
        <w:sz w:val="22"/>
        <w:szCs w:val="22"/>
      </w:rPr>
      <w:t>2</w:t>
    </w:r>
    <w:r w:rsidRPr="00B0098D">
      <w:rPr>
        <w:rFonts w:cstheme="minorHAnsi"/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6140" w14:textId="59F163CD" w:rsidR="00D93F62" w:rsidRPr="00301F16" w:rsidRDefault="00D93F62" w:rsidP="00E671C1">
    <w:pPr>
      <w:tabs>
        <w:tab w:val="clear" w:pos="1134"/>
        <w:tab w:val="clear" w:pos="1871"/>
        <w:tab w:val="clear" w:pos="2268"/>
        <w:tab w:val="left" w:pos="2837"/>
        <w:tab w:val="left" w:pos="5232"/>
        <w:tab w:val="left" w:pos="6499"/>
        <w:tab w:val="center" w:pos="7088"/>
        <w:tab w:val="right" w:pos="15168"/>
      </w:tabs>
      <w:ind w:right="1"/>
      <w:rPr>
        <w:rFonts w:cstheme="minorHAnsi"/>
        <w:smallCaps/>
        <w:spacing w:val="24"/>
        <w:sz w:val="22"/>
        <w:szCs w:val="2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1409" w14:textId="77777777" w:rsidR="00E037E1" w:rsidRPr="00301F16" w:rsidRDefault="00E037E1" w:rsidP="00B60459">
    <w:pPr>
      <w:tabs>
        <w:tab w:val="clear" w:pos="1134"/>
        <w:tab w:val="clear" w:pos="1871"/>
        <w:tab w:val="clear" w:pos="2268"/>
        <w:tab w:val="left" w:pos="2837"/>
        <w:tab w:val="left" w:pos="5888"/>
        <w:tab w:val="left" w:pos="6499"/>
        <w:tab w:val="center" w:pos="7088"/>
        <w:tab w:val="left" w:pos="14459"/>
        <w:tab w:val="right" w:pos="15168"/>
      </w:tabs>
      <w:spacing w:after="120"/>
      <w:ind w:right="-596"/>
      <w:rPr>
        <w:rFonts w:cstheme="minorHAnsi"/>
        <w:smallCaps/>
        <w:spacing w:val="24"/>
        <w:sz w:val="22"/>
        <w:szCs w:val="22"/>
        <w:lang w:val="es-ES"/>
      </w:rPr>
    </w:pPr>
    <w:r>
      <w:rPr>
        <w:rFonts w:cstheme="minorHAnsi"/>
        <w:sz w:val="22"/>
        <w:szCs w:val="22"/>
        <w:lang w:val="es-ES"/>
      </w:rPr>
      <w:tab/>
    </w:r>
    <w:r>
      <w:rPr>
        <w:rFonts w:cstheme="minorHAnsi"/>
        <w:sz w:val="22"/>
        <w:szCs w:val="22"/>
        <w:lang w:val="es-ES"/>
      </w:rPr>
      <w:tab/>
    </w:r>
    <w:r>
      <w:rPr>
        <w:rFonts w:cstheme="minorHAnsi"/>
        <w:sz w:val="22"/>
        <w:szCs w:val="22"/>
        <w:lang w:val="es-ES"/>
      </w:rPr>
      <w:tab/>
    </w:r>
    <w:r>
      <w:rPr>
        <w:rFonts w:cstheme="minorHAnsi"/>
        <w:sz w:val="22"/>
        <w:szCs w:val="22"/>
        <w:lang w:val="es-ES"/>
      </w:rPr>
      <w:tab/>
    </w:r>
    <w:r w:rsidRPr="00B0098D">
      <w:rPr>
        <w:rFonts w:cstheme="minorHAnsi"/>
        <w:sz w:val="22"/>
        <w:szCs w:val="22"/>
        <w:lang w:val="es-ES"/>
      </w:rPr>
      <w:t>WTDC-25/</w:t>
    </w:r>
    <w:r>
      <w:rPr>
        <w:rFonts w:cstheme="minorHAnsi"/>
        <w:sz w:val="22"/>
        <w:szCs w:val="22"/>
        <w:lang w:val="es-ES"/>
      </w:rPr>
      <w:t>2(Ann.2)</w:t>
    </w:r>
    <w:r w:rsidRPr="00B0098D">
      <w:rPr>
        <w:rFonts w:cstheme="minorHAnsi"/>
        <w:sz w:val="22"/>
        <w:szCs w:val="22"/>
        <w:lang w:val="es-ES"/>
      </w:rPr>
      <w:t>-</w:t>
    </w:r>
    <w:r>
      <w:rPr>
        <w:rFonts w:cstheme="minorHAnsi"/>
        <w:sz w:val="22"/>
        <w:szCs w:val="22"/>
        <w:lang w:val="es-ES"/>
      </w:rPr>
      <w:t>F</w:t>
    </w:r>
    <w:r w:rsidRPr="00BD1BB7">
      <w:rPr>
        <w:rFonts w:cstheme="minorHAnsi"/>
        <w:sz w:val="22"/>
        <w:szCs w:val="22"/>
        <w:lang w:val="es-ES_tradnl"/>
      </w:rPr>
      <w:tab/>
    </w:r>
    <w:r w:rsidRPr="00B0098D">
      <w:rPr>
        <w:rFonts w:cstheme="minorHAnsi"/>
        <w:sz w:val="22"/>
        <w:szCs w:val="22"/>
        <w:lang w:val="es-ES"/>
      </w:rPr>
      <w:t xml:space="preserve">Page </w:t>
    </w:r>
    <w:r w:rsidRPr="00B0098D">
      <w:rPr>
        <w:rFonts w:cstheme="minorHAnsi"/>
        <w:sz w:val="22"/>
        <w:szCs w:val="22"/>
        <w:lang w:val="es-ES"/>
      </w:rPr>
      <w:fldChar w:fldCharType="begin"/>
    </w:r>
    <w:r w:rsidRPr="00B0098D">
      <w:rPr>
        <w:rFonts w:cstheme="minorHAnsi"/>
        <w:sz w:val="22"/>
        <w:szCs w:val="22"/>
        <w:lang w:val="es-ES"/>
      </w:rPr>
      <w:instrText xml:space="preserve"> PAGE </w:instrText>
    </w:r>
    <w:r w:rsidRPr="00B0098D">
      <w:rPr>
        <w:rFonts w:cstheme="minorHAnsi"/>
        <w:sz w:val="22"/>
        <w:szCs w:val="22"/>
      </w:rPr>
      <w:fldChar w:fldCharType="separate"/>
    </w:r>
    <w:r>
      <w:rPr>
        <w:rFonts w:cstheme="minorHAnsi"/>
        <w:sz w:val="22"/>
        <w:szCs w:val="22"/>
      </w:rPr>
      <w:t>3</w:t>
    </w:r>
    <w:r w:rsidRPr="00B0098D">
      <w:rPr>
        <w:rFonts w:cstheme="minorHAnsi"/>
        <w:sz w:val="22"/>
        <w:szCs w:val="22"/>
        <w:lang w:val="es-E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B956" w14:textId="5303C744" w:rsidR="00E671C1" w:rsidRPr="00301F16" w:rsidRDefault="00E671C1" w:rsidP="00E037E1">
    <w:pPr>
      <w:tabs>
        <w:tab w:val="clear" w:pos="1134"/>
        <w:tab w:val="clear" w:pos="1871"/>
        <w:tab w:val="clear" w:pos="2268"/>
        <w:tab w:val="left" w:pos="2837"/>
        <w:tab w:val="left" w:pos="5888"/>
        <w:tab w:val="left" w:pos="6499"/>
        <w:tab w:val="center" w:pos="7088"/>
        <w:tab w:val="left" w:pos="14459"/>
        <w:tab w:val="right" w:pos="15168"/>
      </w:tabs>
      <w:ind w:right="-596"/>
      <w:rPr>
        <w:rFonts w:cstheme="minorHAnsi"/>
        <w:smallCaps/>
        <w:spacing w:val="24"/>
        <w:sz w:val="22"/>
        <w:szCs w:val="22"/>
        <w:lang w:val="es-ES"/>
      </w:rPr>
    </w:pPr>
    <w:r>
      <w:rPr>
        <w:rFonts w:cstheme="minorHAnsi"/>
        <w:sz w:val="22"/>
        <w:szCs w:val="22"/>
        <w:lang w:val="es-ES"/>
      </w:rPr>
      <w:tab/>
    </w:r>
    <w:r>
      <w:rPr>
        <w:rFonts w:cstheme="minorHAnsi"/>
        <w:sz w:val="22"/>
        <w:szCs w:val="22"/>
        <w:lang w:val="es-ES"/>
      </w:rPr>
      <w:tab/>
    </w:r>
    <w:r w:rsidR="00E037E1">
      <w:rPr>
        <w:rFonts w:cstheme="minorHAnsi"/>
        <w:sz w:val="22"/>
        <w:szCs w:val="22"/>
        <w:lang w:val="es-ES"/>
      </w:rPr>
      <w:tab/>
    </w:r>
    <w:r>
      <w:rPr>
        <w:rFonts w:cstheme="minorHAnsi"/>
        <w:sz w:val="22"/>
        <w:szCs w:val="22"/>
        <w:lang w:val="es-ES"/>
      </w:rPr>
      <w:tab/>
    </w:r>
    <w:r w:rsidRPr="00B0098D">
      <w:rPr>
        <w:rFonts w:cstheme="minorHAnsi"/>
        <w:sz w:val="22"/>
        <w:szCs w:val="22"/>
        <w:lang w:val="es-ES"/>
      </w:rPr>
      <w:t>WTDC-25/</w:t>
    </w:r>
    <w:r>
      <w:rPr>
        <w:rFonts w:cstheme="minorHAnsi"/>
        <w:sz w:val="22"/>
        <w:szCs w:val="22"/>
        <w:lang w:val="es-ES"/>
      </w:rPr>
      <w:t>2(Ann.2)</w:t>
    </w:r>
    <w:r w:rsidRPr="00B0098D">
      <w:rPr>
        <w:rFonts w:cstheme="minorHAnsi"/>
        <w:sz w:val="22"/>
        <w:szCs w:val="22"/>
        <w:lang w:val="es-ES"/>
      </w:rPr>
      <w:t>-</w:t>
    </w:r>
    <w:r>
      <w:rPr>
        <w:rFonts w:cstheme="minorHAnsi"/>
        <w:sz w:val="22"/>
        <w:szCs w:val="22"/>
        <w:lang w:val="es-ES"/>
      </w:rPr>
      <w:t>F</w:t>
    </w:r>
    <w:r w:rsidRPr="00BD1BB7">
      <w:rPr>
        <w:rFonts w:cstheme="minorHAnsi"/>
        <w:sz w:val="22"/>
        <w:szCs w:val="22"/>
        <w:lang w:val="es-ES_tradnl"/>
      </w:rPr>
      <w:tab/>
    </w:r>
    <w:r w:rsidRPr="00B0098D">
      <w:rPr>
        <w:rFonts w:cstheme="minorHAnsi"/>
        <w:sz w:val="22"/>
        <w:szCs w:val="22"/>
        <w:lang w:val="es-ES"/>
      </w:rPr>
      <w:t xml:space="preserve">Page </w:t>
    </w:r>
    <w:r w:rsidRPr="00B0098D">
      <w:rPr>
        <w:rFonts w:cstheme="minorHAnsi"/>
        <w:sz w:val="22"/>
        <w:szCs w:val="22"/>
        <w:lang w:val="es-ES"/>
      </w:rPr>
      <w:fldChar w:fldCharType="begin"/>
    </w:r>
    <w:r w:rsidRPr="00B0098D">
      <w:rPr>
        <w:rFonts w:cstheme="minorHAnsi"/>
        <w:sz w:val="22"/>
        <w:szCs w:val="22"/>
        <w:lang w:val="es-ES"/>
      </w:rPr>
      <w:instrText xml:space="preserve"> PAGE </w:instrText>
    </w:r>
    <w:r w:rsidRPr="00B0098D">
      <w:rPr>
        <w:rFonts w:cstheme="minorHAnsi"/>
        <w:sz w:val="22"/>
        <w:szCs w:val="22"/>
      </w:rPr>
      <w:fldChar w:fldCharType="separate"/>
    </w:r>
    <w:r>
      <w:rPr>
        <w:rFonts w:cstheme="minorHAnsi"/>
        <w:sz w:val="22"/>
        <w:szCs w:val="22"/>
      </w:rPr>
      <w:t>3</w:t>
    </w:r>
    <w:r w:rsidRPr="00B0098D">
      <w:rPr>
        <w:rFonts w:cstheme="minorHAnsi"/>
        <w:sz w:val="22"/>
        <w:szCs w:val="22"/>
        <w:lang w:val="es-E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  <w:docVar w:name="dgnword-docGUID" w:val="{5A59780F-9B2B-4B16-B203-EFC5E9534CA7}"/>
    <w:docVar w:name="dgnword-eventsink" w:val="584193824"/>
  </w:docVars>
  <w:rsids>
    <w:rsidRoot w:val="00A066F1"/>
    <w:rsid w:val="000041EA"/>
    <w:rsid w:val="00022A29"/>
    <w:rsid w:val="0003235A"/>
    <w:rsid w:val="00032CE1"/>
    <w:rsid w:val="000355FD"/>
    <w:rsid w:val="00040A63"/>
    <w:rsid w:val="00044CD3"/>
    <w:rsid w:val="00051E39"/>
    <w:rsid w:val="0006104C"/>
    <w:rsid w:val="000674EF"/>
    <w:rsid w:val="00067998"/>
    <w:rsid w:val="00075C63"/>
    <w:rsid w:val="0007672E"/>
    <w:rsid w:val="00077239"/>
    <w:rsid w:val="00080905"/>
    <w:rsid w:val="000822BE"/>
    <w:rsid w:val="00082A95"/>
    <w:rsid w:val="00086491"/>
    <w:rsid w:val="00090BCF"/>
    <w:rsid w:val="00091346"/>
    <w:rsid w:val="000928B3"/>
    <w:rsid w:val="000A0999"/>
    <w:rsid w:val="000D3192"/>
    <w:rsid w:val="000D3E1A"/>
    <w:rsid w:val="000E07DE"/>
    <w:rsid w:val="000E359D"/>
    <w:rsid w:val="000F437C"/>
    <w:rsid w:val="000F73FF"/>
    <w:rsid w:val="00102E2A"/>
    <w:rsid w:val="0010345E"/>
    <w:rsid w:val="00107A0F"/>
    <w:rsid w:val="00114CF7"/>
    <w:rsid w:val="001163D8"/>
    <w:rsid w:val="001163EB"/>
    <w:rsid w:val="001200BE"/>
    <w:rsid w:val="0012201A"/>
    <w:rsid w:val="00122456"/>
    <w:rsid w:val="00123B68"/>
    <w:rsid w:val="00124E54"/>
    <w:rsid w:val="00126F2E"/>
    <w:rsid w:val="00127859"/>
    <w:rsid w:val="001318B4"/>
    <w:rsid w:val="00131FE3"/>
    <w:rsid w:val="001374E3"/>
    <w:rsid w:val="00146534"/>
    <w:rsid w:val="00146F6F"/>
    <w:rsid w:val="00147DA1"/>
    <w:rsid w:val="00152957"/>
    <w:rsid w:val="00166374"/>
    <w:rsid w:val="00170E1A"/>
    <w:rsid w:val="00174623"/>
    <w:rsid w:val="00174889"/>
    <w:rsid w:val="00177CD0"/>
    <w:rsid w:val="001800D3"/>
    <w:rsid w:val="001841CD"/>
    <w:rsid w:val="00187BD9"/>
    <w:rsid w:val="00190B55"/>
    <w:rsid w:val="001940C9"/>
    <w:rsid w:val="00194CFB"/>
    <w:rsid w:val="001A182C"/>
    <w:rsid w:val="001B2696"/>
    <w:rsid w:val="001B2ED3"/>
    <w:rsid w:val="001B57A8"/>
    <w:rsid w:val="001C3B5F"/>
    <w:rsid w:val="001D058F"/>
    <w:rsid w:val="001E43D3"/>
    <w:rsid w:val="002009EA"/>
    <w:rsid w:val="00202CA0"/>
    <w:rsid w:val="0020534B"/>
    <w:rsid w:val="002154A6"/>
    <w:rsid w:val="002162CD"/>
    <w:rsid w:val="00216B2F"/>
    <w:rsid w:val="002255B3"/>
    <w:rsid w:val="00226123"/>
    <w:rsid w:val="00226124"/>
    <w:rsid w:val="00236E8A"/>
    <w:rsid w:val="0024630C"/>
    <w:rsid w:val="00271316"/>
    <w:rsid w:val="0027280B"/>
    <w:rsid w:val="002768D4"/>
    <w:rsid w:val="00294371"/>
    <w:rsid w:val="00296313"/>
    <w:rsid w:val="002A309C"/>
    <w:rsid w:val="002D58BE"/>
    <w:rsid w:val="002F19D7"/>
    <w:rsid w:val="00300DB9"/>
    <w:rsid w:val="003013EE"/>
    <w:rsid w:val="00304312"/>
    <w:rsid w:val="00306080"/>
    <w:rsid w:val="00306C27"/>
    <w:rsid w:val="00307DCB"/>
    <w:rsid w:val="00345D86"/>
    <w:rsid w:val="00346224"/>
    <w:rsid w:val="00353CA4"/>
    <w:rsid w:val="003540C0"/>
    <w:rsid w:val="00354EF9"/>
    <w:rsid w:val="0036177F"/>
    <w:rsid w:val="00375370"/>
    <w:rsid w:val="00377BD3"/>
    <w:rsid w:val="00382D45"/>
    <w:rsid w:val="00384088"/>
    <w:rsid w:val="0038489B"/>
    <w:rsid w:val="0039169B"/>
    <w:rsid w:val="003A7F8C"/>
    <w:rsid w:val="003B532E"/>
    <w:rsid w:val="003B6F14"/>
    <w:rsid w:val="003B7D04"/>
    <w:rsid w:val="003C45BE"/>
    <w:rsid w:val="003D0F8B"/>
    <w:rsid w:val="003D6E81"/>
    <w:rsid w:val="003E7CBB"/>
    <w:rsid w:val="003F5648"/>
    <w:rsid w:val="003F667F"/>
    <w:rsid w:val="00406208"/>
    <w:rsid w:val="004063C5"/>
    <w:rsid w:val="0040711F"/>
    <w:rsid w:val="00411B94"/>
    <w:rsid w:val="004131D4"/>
    <w:rsid w:val="0041348E"/>
    <w:rsid w:val="004249EA"/>
    <w:rsid w:val="00447308"/>
    <w:rsid w:val="0045576A"/>
    <w:rsid w:val="0045715C"/>
    <w:rsid w:val="004765FF"/>
    <w:rsid w:val="00487C44"/>
    <w:rsid w:val="00491AE4"/>
    <w:rsid w:val="00492075"/>
    <w:rsid w:val="004969AD"/>
    <w:rsid w:val="004A12E2"/>
    <w:rsid w:val="004B13CB"/>
    <w:rsid w:val="004B150A"/>
    <w:rsid w:val="004B1713"/>
    <w:rsid w:val="004B4FDF"/>
    <w:rsid w:val="004B72D8"/>
    <w:rsid w:val="004C6B89"/>
    <w:rsid w:val="004D5D5C"/>
    <w:rsid w:val="004F0EAE"/>
    <w:rsid w:val="004F15CC"/>
    <w:rsid w:val="0050139F"/>
    <w:rsid w:val="00521223"/>
    <w:rsid w:val="00524DF1"/>
    <w:rsid w:val="005254A7"/>
    <w:rsid w:val="00533926"/>
    <w:rsid w:val="00537FAE"/>
    <w:rsid w:val="00543A3C"/>
    <w:rsid w:val="0055124D"/>
    <w:rsid w:val="0055140B"/>
    <w:rsid w:val="00551AA5"/>
    <w:rsid w:val="00554C4F"/>
    <w:rsid w:val="005576B4"/>
    <w:rsid w:val="00560B4D"/>
    <w:rsid w:val="00561D72"/>
    <w:rsid w:val="005722E3"/>
    <w:rsid w:val="005845A3"/>
    <w:rsid w:val="0058693C"/>
    <w:rsid w:val="00587352"/>
    <w:rsid w:val="00591BD8"/>
    <w:rsid w:val="005964AB"/>
    <w:rsid w:val="005A511B"/>
    <w:rsid w:val="005B44F5"/>
    <w:rsid w:val="005B7A63"/>
    <w:rsid w:val="005C099A"/>
    <w:rsid w:val="005C1F11"/>
    <w:rsid w:val="005C31A5"/>
    <w:rsid w:val="005C7358"/>
    <w:rsid w:val="005D3B76"/>
    <w:rsid w:val="005D7E39"/>
    <w:rsid w:val="005E02FC"/>
    <w:rsid w:val="005E10C9"/>
    <w:rsid w:val="005E61DD"/>
    <w:rsid w:val="005E6321"/>
    <w:rsid w:val="006023DF"/>
    <w:rsid w:val="00607D3E"/>
    <w:rsid w:val="00631E95"/>
    <w:rsid w:val="00632D5F"/>
    <w:rsid w:val="00636508"/>
    <w:rsid w:val="00637E27"/>
    <w:rsid w:val="006414D0"/>
    <w:rsid w:val="0064322F"/>
    <w:rsid w:val="00643319"/>
    <w:rsid w:val="00645F51"/>
    <w:rsid w:val="00647528"/>
    <w:rsid w:val="00657DE0"/>
    <w:rsid w:val="0067199F"/>
    <w:rsid w:val="00674226"/>
    <w:rsid w:val="00680FBE"/>
    <w:rsid w:val="00685313"/>
    <w:rsid w:val="006A6E9B"/>
    <w:rsid w:val="006B7C2A"/>
    <w:rsid w:val="006C0B39"/>
    <w:rsid w:val="006C1CEE"/>
    <w:rsid w:val="006C23DA"/>
    <w:rsid w:val="006C6E9D"/>
    <w:rsid w:val="006E1B84"/>
    <w:rsid w:val="006E3D45"/>
    <w:rsid w:val="006F3F84"/>
    <w:rsid w:val="007014F4"/>
    <w:rsid w:val="007149F9"/>
    <w:rsid w:val="0071798C"/>
    <w:rsid w:val="00733A30"/>
    <w:rsid w:val="00742FCB"/>
    <w:rsid w:val="0074369D"/>
    <w:rsid w:val="007449CA"/>
    <w:rsid w:val="007454B6"/>
    <w:rsid w:val="00745AEE"/>
    <w:rsid w:val="00746BC5"/>
    <w:rsid w:val="007479EA"/>
    <w:rsid w:val="00750F10"/>
    <w:rsid w:val="00763FBB"/>
    <w:rsid w:val="00767DE2"/>
    <w:rsid w:val="007742CA"/>
    <w:rsid w:val="00793BED"/>
    <w:rsid w:val="007B1210"/>
    <w:rsid w:val="007C48C7"/>
    <w:rsid w:val="007D06F0"/>
    <w:rsid w:val="007D45E3"/>
    <w:rsid w:val="007D5320"/>
    <w:rsid w:val="007E0FEB"/>
    <w:rsid w:val="007F735C"/>
    <w:rsid w:val="00800972"/>
    <w:rsid w:val="00804475"/>
    <w:rsid w:val="00811633"/>
    <w:rsid w:val="00815C0C"/>
    <w:rsid w:val="00815FFC"/>
    <w:rsid w:val="00821CEF"/>
    <w:rsid w:val="00824509"/>
    <w:rsid w:val="00824FA3"/>
    <w:rsid w:val="00832828"/>
    <w:rsid w:val="0083645A"/>
    <w:rsid w:val="00840B0F"/>
    <w:rsid w:val="00841D43"/>
    <w:rsid w:val="008449AC"/>
    <w:rsid w:val="00844CDE"/>
    <w:rsid w:val="008457D0"/>
    <w:rsid w:val="00846A67"/>
    <w:rsid w:val="0085335E"/>
    <w:rsid w:val="00856F57"/>
    <w:rsid w:val="008711AE"/>
    <w:rsid w:val="0087250B"/>
    <w:rsid w:val="00872758"/>
    <w:rsid w:val="00872FC8"/>
    <w:rsid w:val="008801D3"/>
    <w:rsid w:val="008845D0"/>
    <w:rsid w:val="008A0838"/>
    <w:rsid w:val="008B0204"/>
    <w:rsid w:val="008B0AFC"/>
    <w:rsid w:val="008B1639"/>
    <w:rsid w:val="008B43F2"/>
    <w:rsid w:val="008B61EA"/>
    <w:rsid w:val="008B6CFF"/>
    <w:rsid w:val="008D080F"/>
    <w:rsid w:val="008D7991"/>
    <w:rsid w:val="008F0B73"/>
    <w:rsid w:val="008F5E12"/>
    <w:rsid w:val="00903F11"/>
    <w:rsid w:val="00907654"/>
    <w:rsid w:val="00910B26"/>
    <w:rsid w:val="00914519"/>
    <w:rsid w:val="0091651B"/>
    <w:rsid w:val="009249C1"/>
    <w:rsid w:val="00926394"/>
    <w:rsid w:val="009274B4"/>
    <w:rsid w:val="00934EA2"/>
    <w:rsid w:val="00943494"/>
    <w:rsid w:val="00944A5C"/>
    <w:rsid w:val="00950E33"/>
    <w:rsid w:val="00952A66"/>
    <w:rsid w:val="00961D12"/>
    <w:rsid w:val="009903FC"/>
    <w:rsid w:val="00992A0F"/>
    <w:rsid w:val="00992EA9"/>
    <w:rsid w:val="009B1618"/>
    <w:rsid w:val="009B31C7"/>
    <w:rsid w:val="009B78D5"/>
    <w:rsid w:val="009C56E5"/>
    <w:rsid w:val="009D3060"/>
    <w:rsid w:val="009E5FC8"/>
    <w:rsid w:val="009E687A"/>
    <w:rsid w:val="009E77CF"/>
    <w:rsid w:val="009E784C"/>
    <w:rsid w:val="009F0134"/>
    <w:rsid w:val="00A02F32"/>
    <w:rsid w:val="00A03C5C"/>
    <w:rsid w:val="00A066F1"/>
    <w:rsid w:val="00A11007"/>
    <w:rsid w:val="00A141AF"/>
    <w:rsid w:val="00A15801"/>
    <w:rsid w:val="00A16D29"/>
    <w:rsid w:val="00A20E5E"/>
    <w:rsid w:val="00A22A4F"/>
    <w:rsid w:val="00A30305"/>
    <w:rsid w:val="00A31D2D"/>
    <w:rsid w:val="00A327AF"/>
    <w:rsid w:val="00A4600A"/>
    <w:rsid w:val="00A538A6"/>
    <w:rsid w:val="00A54C25"/>
    <w:rsid w:val="00A710E7"/>
    <w:rsid w:val="00A7372E"/>
    <w:rsid w:val="00A864A5"/>
    <w:rsid w:val="00A93B85"/>
    <w:rsid w:val="00A9608A"/>
    <w:rsid w:val="00AA0B18"/>
    <w:rsid w:val="00AA25E0"/>
    <w:rsid w:val="00AA59EB"/>
    <w:rsid w:val="00AA666F"/>
    <w:rsid w:val="00AA668B"/>
    <w:rsid w:val="00AA6E99"/>
    <w:rsid w:val="00AB4927"/>
    <w:rsid w:val="00AC2258"/>
    <w:rsid w:val="00AD6786"/>
    <w:rsid w:val="00AF36B2"/>
    <w:rsid w:val="00AF411C"/>
    <w:rsid w:val="00B004E5"/>
    <w:rsid w:val="00B15F9D"/>
    <w:rsid w:val="00B56C19"/>
    <w:rsid w:val="00B60459"/>
    <w:rsid w:val="00B63025"/>
    <w:rsid w:val="00B639E9"/>
    <w:rsid w:val="00B64C2B"/>
    <w:rsid w:val="00B70B4C"/>
    <w:rsid w:val="00B74FBE"/>
    <w:rsid w:val="00B80E49"/>
    <w:rsid w:val="00B817CD"/>
    <w:rsid w:val="00B911B2"/>
    <w:rsid w:val="00B951D0"/>
    <w:rsid w:val="00BB29C8"/>
    <w:rsid w:val="00BB3A95"/>
    <w:rsid w:val="00BC0382"/>
    <w:rsid w:val="00BC3151"/>
    <w:rsid w:val="00BC5F06"/>
    <w:rsid w:val="00BD3725"/>
    <w:rsid w:val="00BE42E9"/>
    <w:rsid w:val="00BF0AB2"/>
    <w:rsid w:val="00C0018F"/>
    <w:rsid w:val="00C010A9"/>
    <w:rsid w:val="00C065AF"/>
    <w:rsid w:val="00C1132C"/>
    <w:rsid w:val="00C1192C"/>
    <w:rsid w:val="00C20466"/>
    <w:rsid w:val="00C214ED"/>
    <w:rsid w:val="00C234E6"/>
    <w:rsid w:val="00C2448F"/>
    <w:rsid w:val="00C26498"/>
    <w:rsid w:val="00C324A8"/>
    <w:rsid w:val="00C50E6B"/>
    <w:rsid w:val="00C54517"/>
    <w:rsid w:val="00C57692"/>
    <w:rsid w:val="00C63796"/>
    <w:rsid w:val="00C64CD8"/>
    <w:rsid w:val="00C766A2"/>
    <w:rsid w:val="00C83885"/>
    <w:rsid w:val="00C91AAA"/>
    <w:rsid w:val="00C942AF"/>
    <w:rsid w:val="00C97C68"/>
    <w:rsid w:val="00CA1A47"/>
    <w:rsid w:val="00CC1B70"/>
    <w:rsid w:val="00CC247A"/>
    <w:rsid w:val="00CC4CB5"/>
    <w:rsid w:val="00CD592D"/>
    <w:rsid w:val="00CE5E47"/>
    <w:rsid w:val="00CF020F"/>
    <w:rsid w:val="00CF25E8"/>
    <w:rsid w:val="00CF2B5B"/>
    <w:rsid w:val="00D11325"/>
    <w:rsid w:val="00D13543"/>
    <w:rsid w:val="00D14CE0"/>
    <w:rsid w:val="00D166C5"/>
    <w:rsid w:val="00D22342"/>
    <w:rsid w:val="00D34689"/>
    <w:rsid w:val="00D35BEC"/>
    <w:rsid w:val="00D36333"/>
    <w:rsid w:val="00D4695F"/>
    <w:rsid w:val="00D5651D"/>
    <w:rsid w:val="00D6625E"/>
    <w:rsid w:val="00D74898"/>
    <w:rsid w:val="00D801ED"/>
    <w:rsid w:val="00D83BF5"/>
    <w:rsid w:val="00D86F05"/>
    <w:rsid w:val="00D87460"/>
    <w:rsid w:val="00D925C2"/>
    <w:rsid w:val="00D936BC"/>
    <w:rsid w:val="00D93F62"/>
    <w:rsid w:val="00D9621A"/>
    <w:rsid w:val="00D96530"/>
    <w:rsid w:val="00D96B4B"/>
    <w:rsid w:val="00DA2345"/>
    <w:rsid w:val="00DA453A"/>
    <w:rsid w:val="00DA7078"/>
    <w:rsid w:val="00DB3B6B"/>
    <w:rsid w:val="00DD08B4"/>
    <w:rsid w:val="00DD2EE5"/>
    <w:rsid w:val="00DD44AF"/>
    <w:rsid w:val="00DE15C5"/>
    <w:rsid w:val="00DE2AC3"/>
    <w:rsid w:val="00DE40DD"/>
    <w:rsid w:val="00DE434C"/>
    <w:rsid w:val="00DE5692"/>
    <w:rsid w:val="00DF6F8E"/>
    <w:rsid w:val="00E00F5A"/>
    <w:rsid w:val="00E02222"/>
    <w:rsid w:val="00E037E1"/>
    <w:rsid w:val="00E03C94"/>
    <w:rsid w:val="00E07105"/>
    <w:rsid w:val="00E12DC9"/>
    <w:rsid w:val="00E14630"/>
    <w:rsid w:val="00E22C39"/>
    <w:rsid w:val="00E26226"/>
    <w:rsid w:val="00E4165C"/>
    <w:rsid w:val="00E43C8D"/>
    <w:rsid w:val="00E45D05"/>
    <w:rsid w:val="00E46B58"/>
    <w:rsid w:val="00E55816"/>
    <w:rsid w:val="00E55AEF"/>
    <w:rsid w:val="00E575C9"/>
    <w:rsid w:val="00E60971"/>
    <w:rsid w:val="00E671C1"/>
    <w:rsid w:val="00E71762"/>
    <w:rsid w:val="00E768E4"/>
    <w:rsid w:val="00E80D1A"/>
    <w:rsid w:val="00E90955"/>
    <w:rsid w:val="00E92BDE"/>
    <w:rsid w:val="00E976C1"/>
    <w:rsid w:val="00EA12E5"/>
    <w:rsid w:val="00EC043A"/>
    <w:rsid w:val="00EC0B19"/>
    <w:rsid w:val="00EC6FF5"/>
    <w:rsid w:val="00ED5916"/>
    <w:rsid w:val="00EE4684"/>
    <w:rsid w:val="00EE5D29"/>
    <w:rsid w:val="00EE6031"/>
    <w:rsid w:val="00EF1503"/>
    <w:rsid w:val="00EF375C"/>
    <w:rsid w:val="00EF4BDF"/>
    <w:rsid w:val="00EF6F6B"/>
    <w:rsid w:val="00F02766"/>
    <w:rsid w:val="00F04067"/>
    <w:rsid w:val="00F05BD4"/>
    <w:rsid w:val="00F11A98"/>
    <w:rsid w:val="00F21A1D"/>
    <w:rsid w:val="00F24CE5"/>
    <w:rsid w:val="00F32417"/>
    <w:rsid w:val="00F3797A"/>
    <w:rsid w:val="00F40E33"/>
    <w:rsid w:val="00F41260"/>
    <w:rsid w:val="00F53CA7"/>
    <w:rsid w:val="00F5475A"/>
    <w:rsid w:val="00F6556D"/>
    <w:rsid w:val="00F65C19"/>
    <w:rsid w:val="00F71732"/>
    <w:rsid w:val="00F73590"/>
    <w:rsid w:val="00F861F9"/>
    <w:rsid w:val="00F94948"/>
    <w:rsid w:val="00FA3E00"/>
    <w:rsid w:val="00FB6751"/>
    <w:rsid w:val="00FB74D7"/>
    <w:rsid w:val="00FC279A"/>
    <w:rsid w:val="00FC30E4"/>
    <w:rsid w:val="00FC3F58"/>
    <w:rsid w:val="00FD0809"/>
    <w:rsid w:val="00FD2546"/>
    <w:rsid w:val="00FD772E"/>
    <w:rsid w:val="00FE3926"/>
    <w:rsid w:val="00FE78C7"/>
    <w:rsid w:val="00FF43AC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FAAD9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uiPriority w:val="39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1D058F"/>
    <w:pPr>
      <w:spacing w:before="120"/>
    </w:pPr>
  </w:style>
  <w:style w:type="paragraph" w:styleId="TOC3">
    <w:name w:val="toc 3"/>
    <w:basedOn w:val="TOC2"/>
    <w:uiPriority w:val="39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0711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50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87250B"/>
  </w:style>
  <w:style w:type="character" w:customStyle="1" w:styleId="eop">
    <w:name w:val="eop"/>
    <w:basedOn w:val="DefaultParagraphFont"/>
    <w:rsid w:val="0087250B"/>
  </w:style>
  <w:style w:type="character" w:styleId="UnresolvedMention">
    <w:name w:val="Unresolved Mention"/>
    <w:basedOn w:val="DefaultParagraphFont"/>
    <w:uiPriority w:val="99"/>
    <w:semiHidden/>
    <w:unhideWhenUsed/>
    <w:rsid w:val="0087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250B"/>
    <w:rPr>
      <w:rFonts w:asciiTheme="minorHAnsi" w:hAnsiTheme="minorHAns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7250B"/>
    <w:rPr>
      <w:rFonts w:asciiTheme="minorHAnsi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7250B"/>
    <w:rPr>
      <w:rFonts w:asciiTheme="minorHAnsi" w:hAnsiTheme="minorHAns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7250B"/>
    <w:rPr>
      <w:rFonts w:asciiTheme="minorHAnsi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7250B"/>
    <w:rPr>
      <w:rFonts w:asciiTheme="minorHAnsi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7250B"/>
    <w:rPr>
      <w:rFonts w:asciiTheme="minorHAnsi" w:hAnsiTheme="minorHAnsi"/>
      <w:b/>
      <w:sz w:val="24"/>
      <w:lang w:val="en-GB" w:eastAsia="en-US"/>
    </w:rPr>
  </w:style>
  <w:style w:type="paragraph" w:customStyle="1" w:styleId="msonormal0">
    <w:name w:val="msonormal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bb-input">
    <w:name w:val="bb-input"/>
    <w:basedOn w:val="Normal"/>
    <w:rsid w:val="0087250B"/>
    <w:pPr>
      <w:pBdr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rbl">
    <w:name w:val="bb-border-rbl"/>
    <w:basedOn w:val="Normal"/>
    <w:rsid w:val="0087250B"/>
    <w:pPr>
      <w:pBdr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bl">
    <w:name w:val="bb-border-bl"/>
    <w:basedOn w:val="Normal"/>
    <w:rsid w:val="0087250B"/>
    <w:pPr>
      <w:pBdr>
        <w:left w:val="dotted" w:sz="6" w:space="0" w:color="004B96"/>
        <w:bottom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rb">
    <w:name w:val="bb-border-rb"/>
    <w:basedOn w:val="Normal"/>
    <w:rsid w:val="0087250B"/>
    <w:pPr>
      <w:pBdr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b-border-rtbl">
    <w:name w:val="bb-border-rtbl"/>
    <w:basedOn w:val="Normal"/>
    <w:rsid w:val="0087250B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uttondisplay">
    <w:name w:val="buttondisplay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eastAsia="en-GB"/>
    </w:rPr>
  </w:style>
  <w:style w:type="paragraph" w:customStyle="1" w:styleId="buttonsearch">
    <w:name w:val="buttonsearch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eastAsia="en-GB"/>
    </w:rPr>
  </w:style>
  <w:style w:type="paragraph" w:customStyle="1" w:styleId="buttonblue">
    <w:name w:val="button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h40px">
    <w:name w:val="button_blue_h4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200px">
    <w:name w:val="button_blue_20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8pt120px">
    <w:name w:val="button_blue_8pt_120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16"/>
      <w:szCs w:val="16"/>
      <w:lang w:eastAsia="en-GB"/>
    </w:rPr>
  </w:style>
  <w:style w:type="paragraph" w:customStyle="1" w:styleId="buttonblue8pt60px">
    <w:name w:val="button_blue_8pt_60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16"/>
      <w:szCs w:val="16"/>
      <w:lang w:eastAsia="en-GB"/>
    </w:rPr>
  </w:style>
  <w:style w:type="paragraph" w:customStyle="1" w:styleId="buttonblue10pt80px">
    <w:name w:val="button_blue_10pt_80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1px">
    <w:name w:val="button_blue_margin1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2px">
    <w:name w:val="button_blue_margin2px"/>
    <w:basedOn w:val="Normal"/>
    <w:rsid w:val="0087250B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1pxw200pxh40px">
    <w:name w:val="button_blue_margin1px_w200px_h40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2pxw150pxh50px">
    <w:name w:val="button_blue_margin2px_w150px_h50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width300px">
    <w:name w:val="button_blue_width300px"/>
    <w:basedOn w:val="Normal"/>
    <w:rsid w:val="0087250B"/>
    <w:pPr>
      <w:pBdr>
        <w:top w:val="single" w:sz="12" w:space="0" w:color="004B96"/>
        <w:left w:val="single" w:sz="12" w:space="0" w:color="004B96"/>
        <w:bottom w:val="single" w:sz="12" w:space="0" w:color="004B96"/>
        <w:right w:val="single" w:sz="12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1pxwidth200px">
    <w:name w:val="button_blue_margin1px_width200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margin2pxwidth200px">
    <w:name w:val="button_blue_margin2px_width200px"/>
    <w:basedOn w:val="Normal"/>
    <w:rsid w:val="0087250B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70px">
    <w:name w:val="button_blue_70px"/>
    <w:basedOn w:val="Normal"/>
    <w:rsid w:val="0087250B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12px">
    <w:name w:val="button_blue_12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buttonplusmargin1px">
    <w:name w:val="button_plus_margin1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minusmargin1px">
    <w:name w:val="button_minus_margin1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graymargin2px">
    <w:name w:val="button_gray_margin2px"/>
    <w:basedOn w:val="Normal"/>
    <w:rsid w:val="0087250B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808080"/>
      <w:sz w:val="20"/>
      <w:lang w:eastAsia="en-GB"/>
    </w:rPr>
  </w:style>
  <w:style w:type="paragraph" w:customStyle="1" w:styleId="buttonbluecenter12px">
    <w:name w:val="button_blue_center_12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uttonblue10px">
    <w:name w:val="button_blue_1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5"/>
      <w:szCs w:val="15"/>
      <w:lang w:eastAsia="en-GB"/>
    </w:rPr>
  </w:style>
  <w:style w:type="paragraph" w:customStyle="1" w:styleId="buttonmodifywhite1px">
    <w:name w:val="button_modify_white_1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submitwhite1px">
    <w:name w:val="button_submit_white_1px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people">
    <w:name w:val="button_blue_people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uttonbluelink">
    <w:name w:val="button_blue_link"/>
    <w:basedOn w:val="Normal"/>
    <w:rsid w:val="0087250B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style1">
    <w:name w:val="btn-style1"/>
    <w:basedOn w:val="Normal"/>
    <w:rsid w:val="0087250B"/>
    <w:pPr>
      <w:pBdr>
        <w:top w:val="dashed" w:sz="6" w:space="1" w:color="004B96"/>
        <w:left w:val="dashed" w:sz="6" w:space="13" w:color="004B96"/>
        <w:bottom w:val="dashed" w:sz="6" w:space="1" w:color="004B96"/>
        <w:right w:val="dashed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6"/>
      <w:szCs w:val="26"/>
      <w:lang w:eastAsia="en-GB"/>
    </w:rPr>
  </w:style>
  <w:style w:type="paragraph" w:customStyle="1" w:styleId="btn-style2">
    <w:name w:val="btn-style2"/>
    <w:basedOn w:val="Normal"/>
    <w:rsid w:val="0087250B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tyle2a">
    <w:name w:val="btn-style2a"/>
    <w:basedOn w:val="Normal"/>
    <w:rsid w:val="0087250B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tyle3">
    <w:name w:val="btn-style3"/>
    <w:basedOn w:val="Normal"/>
    <w:rsid w:val="0087250B"/>
    <w:pPr>
      <w:pBdr>
        <w:top w:val="dashed" w:sz="6" w:space="1" w:color="004B96"/>
        <w:left w:val="dashed" w:sz="6" w:space="13" w:color="004B96"/>
        <w:bottom w:val="dashed" w:sz="6" w:space="1" w:color="004B96"/>
        <w:right w:val="dashed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tyle4">
    <w:name w:val="btn-style4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btn-style5">
    <w:name w:val="btn-style5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6">
    <w:name w:val="btn-style6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style7">
    <w:name w:val="btn-style7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8">
    <w:name w:val="btn-style8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9">
    <w:name w:val="btn-style9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style10">
    <w:name w:val="btn-style10"/>
    <w:basedOn w:val="Normal"/>
    <w:rsid w:val="0087250B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background-blue">
    <w:name w:val="btn-background-blue"/>
    <w:basedOn w:val="Normal"/>
    <w:rsid w:val="0087250B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approver">
    <w:name w:val="btn-approver"/>
    <w:basedOn w:val="Normal"/>
    <w:rsid w:val="0087250B"/>
    <w:pPr>
      <w:pBdr>
        <w:top w:val="single" w:sz="6" w:space="2" w:color="004B96"/>
        <w:left w:val="single" w:sz="6" w:space="2" w:color="004B96"/>
        <w:bottom w:val="single" w:sz="6" w:space="2" w:color="004B96"/>
        <w:right w:val="single" w:sz="6" w:space="2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attach-doc">
    <w:name w:val="btn-attach-doc"/>
    <w:basedOn w:val="Normal"/>
    <w:rsid w:val="0087250B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attach-doc-small">
    <w:name w:val="btn-attach-doc-small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calendar">
    <w:name w:val="btn-calendar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clarification">
    <w:name w:val="btn-clarification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confirm">
    <w:name w:val="btn-confirm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delete">
    <w:name w:val="btn-delete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dollar">
    <w:name w:val="btn-dollar"/>
    <w:basedOn w:val="Normal"/>
    <w:rsid w:val="0087250B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excel">
    <w:name w:val="btn-excel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logs">
    <w:name w:val="btn-logs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modify">
    <w:name w:val="btn-modify"/>
    <w:basedOn w:val="Normal"/>
    <w:rsid w:val="0087250B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modify-250px">
    <w:name w:val="btn-modify-25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modify-small">
    <w:name w:val="btn-modify-small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ew">
    <w:name w:val="btn-new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ew-large">
    <w:name w:val="btn-new-large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ew-small">
    <w:name w:val="btn-new-small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btn-newfel">
    <w:name w:val="btn-newfel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nodecision">
    <w:name w:val="btn-nodecision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partner">
    <w:name w:val="btn-partner"/>
    <w:basedOn w:val="Normal"/>
    <w:rsid w:val="0087250B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printer">
    <w:name w:val="btn-printer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question">
    <w:name w:val="btn-question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reject">
    <w:name w:val="btn-reject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remove-doc">
    <w:name w:val="btn-remove-doc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remove-doc-small">
    <w:name w:val="btn-remove-doc-small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rr">
    <w:name w:val="btn-rr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ave">
    <w:name w:val="btn-save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elect">
    <w:name w:val="btn-select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elect-h60">
    <w:name w:val="btn-select-h60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select-225">
    <w:name w:val="btn-select-225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tn-services">
    <w:name w:val="btn-services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view-doc">
    <w:name w:val="btn-view-doc"/>
    <w:basedOn w:val="Normal"/>
    <w:rsid w:val="0087250B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tn-word">
    <w:name w:val="btn-word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btn-workflow">
    <w:name w:val="btn-workflow"/>
    <w:basedOn w:val="Normal"/>
    <w:rsid w:val="0087250B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table-style">
    <w:name w:val="table-style"/>
    <w:basedOn w:val="Normal"/>
    <w:rsid w:val="0087250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tdimpllevels">
    <w:name w:val="td_impl_levels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tdcontentsblue">
    <w:name w:val="td_contents_blue"/>
    <w:basedOn w:val="Normal"/>
    <w:rsid w:val="0087250B"/>
    <w:pPr>
      <w:shd w:val="clear" w:color="auto" w:fill="D7DCF7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Cs w:val="24"/>
      <w:lang w:eastAsia="en-GB"/>
    </w:rPr>
  </w:style>
  <w:style w:type="paragraph" w:customStyle="1" w:styleId="tddashedblue">
    <w:name w:val="td_dashed_blue"/>
    <w:basedOn w:val="Normal"/>
    <w:rsid w:val="0087250B"/>
    <w:pPr>
      <w:pBdr>
        <w:top w:val="dashed" w:sz="6" w:space="0" w:color="004B96"/>
        <w:left w:val="dashed" w:sz="6" w:space="0" w:color="004B96"/>
        <w:bottom w:val="dashed" w:sz="6" w:space="0" w:color="004B96"/>
        <w:right w:val="dash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bottom2px">
    <w:name w:val="td_bottom_2px"/>
    <w:basedOn w:val="Normal"/>
    <w:rsid w:val="0087250B"/>
    <w:pPr>
      <w:pBdr>
        <w:top w:val="dotted" w:sz="6" w:space="4" w:color="004B96"/>
        <w:left w:val="dotted" w:sz="6" w:space="4" w:color="004B96"/>
        <w:bottom w:val="single" w:sz="12" w:space="4" w:color="004B96"/>
        <w:right w:val="dotted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18"/>
      <w:szCs w:val="18"/>
      <w:lang w:eastAsia="en-GB"/>
    </w:rPr>
  </w:style>
  <w:style w:type="paragraph" w:customStyle="1" w:styleId="tdbottom1pxpad0px">
    <w:name w:val="td_bottom_1px_pad_0px"/>
    <w:basedOn w:val="Normal"/>
    <w:rsid w:val="0087250B"/>
    <w:pPr>
      <w:pBdr>
        <w:top w:val="dotted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0"/>
      <w:lang w:eastAsia="en-GB"/>
    </w:rPr>
  </w:style>
  <w:style w:type="paragraph" w:customStyle="1" w:styleId="tdsoliddottedblue">
    <w:name w:val="td_solid_dotted_blue"/>
    <w:basedOn w:val="Normal"/>
    <w:rsid w:val="0087250B"/>
    <w:pPr>
      <w:pBdr>
        <w:top w:val="single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dottedtlbblue">
    <w:name w:val="td_solid_dotted_tlb_blue"/>
    <w:basedOn w:val="Normal"/>
    <w:rsid w:val="0087250B"/>
    <w:pPr>
      <w:pBdr>
        <w:top w:val="single" w:sz="6" w:space="0" w:color="004B96"/>
        <w:left w:val="dotted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dottedtrbblue">
    <w:name w:val="td_solid_dotted_trb_blue"/>
    <w:basedOn w:val="Normal"/>
    <w:rsid w:val="0087250B"/>
    <w:pPr>
      <w:pBdr>
        <w:top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dotted-lrblue">
    <w:name w:val="td_solid-tb_dotted-lr_blue"/>
    <w:basedOn w:val="Normal"/>
    <w:rsid w:val="0087250B"/>
    <w:pPr>
      <w:pBdr>
        <w:top w:val="single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ldotted-rblue">
    <w:name w:val="td_solid-tbl_dotted-r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rdotted-lblue">
    <w:name w:val="td_solid-tbr_dotted-l_blue"/>
    <w:basedOn w:val="Normal"/>
    <w:rsid w:val="0087250B"/>
    <w:pPr>
      <w:pBdr>
        <w:top w:val="single" w:sz="6" w:space="0" w:color="004B96"/>
        <w:left w:val="dotted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dotted-lblue">
    <w:name w:val="td_solid-tb_dotted-l_blue"/>
    <w:basedOn w:val="Normal"/>
    <w:rsid w:val="0087250B"/>
    <w:pPr>
      <w:pBdr>
        <w:top w:val="single" w:sz="6" w:space="0" w:color="004B96"/>
        <w:left w:val="dotted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dotted-rblue">
    <w:name w:val="td_solid-tb_dotted-r_blue"/>
    <w:basedOn w:val="Normal"/>
    <w:rsid w:val="0087250B"/>
    <w:pPr>
      <w:pBdr>
        <w:top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rblue">
    <w:name w:val="td_solid-tbr_blue"/>
    <w:basedOn w:val="Normal"/>
    <w:rsid w:val="0087250B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blue">
    <w:name w:val="td_solid-tb_blue"/>
    <w:basedOn w:val="Normal"/>
    <w:rsid w:val="0087250B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lblue">
    <w:name w:val="td_solid-tbl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blrblue">
    <w:name w:val="td_solid-tblr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ldotted-rblue">
    <w:name w:val="td_solid-tl_dotted-r_blue"/>
    <w:basedOn w:val="Normal"/>
    <w:rsid w:val="0087250B"/>
    <w:pPr>
      <w:pBdr>
        <w:top w:val="single" w:sz="6" w:space="0" w:color="004B96"/>
        <w:left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bldotted-rblue">
    <w:name w:val="td_solid-bl_dotted-r_blue"/>
    <w:basedOn w:val="Normal"/>
    <w:rsid w:val="0087250B"/>
    <w:pPr>
      <w:pBdr>
        <w:left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brdotted-lblue">
    <w:name w:val="td_solid-br_dotted-l_blue"/>
    <w:basedOn w:val="Normal"/>
    <w:rsid w:val="0087250B"/>
    <w:pPr>
      <w:pBdr>
        <w:left w:val="dotted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trdotted-lblue">
    <w:name w:val="td_solid-tr_dotted-l_blue"/>
    <w:basedOn w:val="Normal"/>
    <w:rsid w:val="0087250B"/>
    <w:pPr>
      <w:pBdr>
        <w:top w:val="single" w:sz="6" w:space="0" w:color="004B96"/>
        <w:left w:val="dotted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ldotted-rblue">
    <w:name w:val="td_solid-l_dotted-r_blue"/>
    <w:basedOn w:val="Normal"/>
    <w:rsid w:val="0087250B"/>
    <w:pPr>
      <w:pBdr>
        <w:left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solid-rdotted-lblue">
    <w:name w:val="td_solid-r_dotted-l_blue"/>
    <w:basedOn w:val="Normal"/>
    <w:rsid w:val="0087250B"/>
    <w:pPr>
      <w:pBdr>
        <w:left w:val="dotted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d-style-left">
    <w:name w:val="td-style-left"/>
    <w:basedOn w:val="Normal"/>
    <w:rsid w:val="0087250B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eastAsia="en-GB"/>
    </w:rPr>
  </w:style>
  <w:style w:type="paragraph" w:customStyle="1" w:styleId="td-style-middle">
    <w:name w:val="td-style-middle"/>
    <w:basedOn w:val="Normal"/>
    <w:rsid w:val="0087250B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eastAsia="en-GB"/>
    </w:rPr>
  </w:style>
  <w:style w:type="paragraph" w:customStyle="1" w:styleId="td-style-right">
    <w:name w:val="td-style-right"/>
    <w:basedOn w:val="Normal"/>
    <w:rsid w:val="0087250B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eastAsia="en-GB"/>
    </w:rPr>
  </w:style>
  <w:style w:type="paragraph" w:customStyle="1" w:styleId="td-style-right14">
    <w:name w:val="td-style-right_14"/>
    <w:basedOn w:val="Normal"/>
    <w:rsid w:val="0087250B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  <w:lang w:eastAsia="en-GB"/>
    </w:rPr>
  </w:style>
  <w:style w:type="paragraph" w:customStyle="1" w:styleId="inputblue">
    <w:name w:val="input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inputbluetext">
    <w:name w:val="input_blue_text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100px">
    <w:name w:val="input_blue_text_10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300px">
    <w:name w:val="input_blue_text_30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550px">
    <w:name w:val="input_blue_text_55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800px">
    <w:name w:val="input_blue_text_80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numeric">
    <w:name w:val="input_blue_numeric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numeric800px">
    <w:name w:val="input_blue_numeric_80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12">
    <w:name w:val="input_blue_text_12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numeric12">
    <w:name w:val="input_blue_numeric_12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bluetext12pt">
    <w:name w:val="input_blue_text_12pt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inputname">
    <w:name w:val="input_name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inputradio">
    <w:name w:val="input_radio"/>
    <w:basedOn w:val="Normal"/>
    <w:rsid w:val="0087250B"/>
    <w:pPr>
      <w:pBdr>
        <w:top w:val="dashed" w:sz="12" w:space="0" w:color="004B96"/>
        <w:left w:val="dashed" w:sz="12" w:space="0" w:color="004B96"/>
        <w:bottom w:val="dashed" w:sz="12" w:space="0" w:color="004B96"/>
        <w:right w:val="dashed" w:sz="12" w:space="0" w:color="004B96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afterAutospacing="1"/>
      <w:ind w:right="90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textboxblue12px">
    <w:name w:val="textbox_blue_12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extboxblue12px300px">
    <w:name w:val="textbox_blue_12px_30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extboxblue12px700px">
    <w:name w:val="textbox_blue_12px_700px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0">
    <w:name w:val="select_blue_height20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">
    <w:name w:val="select_blue_height22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150px">
    <w:name w:val="select_blue_height22_15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300px">
    <w:name w:val="select_blue_height22_30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500px">
    <w:name w:val="select_blue_height22_50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600px">
    <w:name w:val="select_blue_height22_60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700px">
    <w:name w:val="select_blue_height22_70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2800px">
    <w:name w:val="select_blue_height22_800px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4">
    <w:name w:val="select_blue_height24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selectblueheight25">
    <w:name w:val="select_blue_height25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selectblueheight12pt">
    <w:name w:val="select_blue_height12pt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formdisplay">
    <w:name w:val="formdisplay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eastAsia="en-GB"/>
    </w:rPr>
  </w:style>
  <w:style w:type="paragraph" w:customStyle="1" w:styleId="go">
    <w:name w:val="go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eastAsia="en-GB"/>
    </w:rPr>
  </w:style>
  <w:style w:type="paragraph" w:customStyle="1" w:styleId="bluebordertable">
    <w:name w:val="bluebordertabl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redbordertable">
    <w:name w:val="redbordertable"/>
    <w:basedOn w:val="Normal"/>
    <w:rsid w:val="0087250B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blueborder-gray">
    <w:name w:val="blueborder-gray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EFEFE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luewhite">
    <w:name w:val="bluewhite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bluewhitecenter">
    <w:name w:val="bluewhite_center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bluewhite10pxcenter">
    <w:name w:val="bluewhite_10px_center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15"/>
      <w:szCs w:val="15"/>
      <w:lang w:eastAsia="en-GB"/>
    </w:rPr>
  </w:style>
  <w:style w:type="paragraph" w:customStyle="1" w:styleId="bluewhite12px">
    <w:name w:val="bluewhite_12px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bluewhite12pxcenter">
    <w:name w:val="bluewhite_12px_center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bluewhite12pxbottomwhite">
    <w:name w:val="bluewhite_12px_bottomwhite"/>
    <w:basedOn w:val="Normal"/>
    <w:rsid w:val="0087250B"/>
    <w:pPr>
      <w:pBdr>
        <w:bottom w:val="single" w:sz="6" w:space="4" w:color="FFFFFF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bluewhite14px">
    <w:name w:val="bluewhite_14px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eastAsia="en-GB"/>
    </w:rPr>
  </w:style>
  <w:style w:type="paragraph" w:customStyle="1" w:styleId="bluewhite14pxcenter">
    <w:name w:val="bluewhite_14px_center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eastAsia="en-GB"/>
    </w:rPr>
  </w:style>
  <w:style w:type="paragraph" w:customStyle="1" w:styleId="bluewhite14pxbottomwhite">
    <w:name w:val="bluewhite_14px_bottomwhite"/>
    <w:basedOn w:val="Normal"/>
    <w:rsid w:val="0087250B"/>
    <w:pPr>
      <w:pBdr>
        <w:bottom w:val="single" w:sz="6" w:space="4" w:color="FFFFFF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eastAsia="en-GB"/>
    </w:rPr>
  </w:style>
  <w:style w:type="paragraph" w:customStyle="1" w:styleId="bluewhite14pt">
    <w:name w:val="bluewhite_14pt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8"/>
      <w:szCs w:val="28"/>
      <w:lang w:eastAsia="en-GB"/>
    </w:rPr>
  </w:style>
  <w:style w:type="paragraph" w:customStyle="1" w:styleId="bluewhite14ptcenter">
    <w:name w:val="bluewhite_14pt_center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8"/>
      <w:szCs w:val="28"/>
      <w:lang w:eastAsia="en-GB"/>
    </w:rPr>
  </w:style>
  <w:style w:type="paragraph" w:customStyle="1" w:styleId="poloblue">
    <w:name w:val="poloblue"/>
    <w:basedOn w:val="Normal"/>
    <w:rsid w:val="0087250B"/>
    <w:pPr>
      <w:shd w:val="clear" w:color="auto" w:fill="336FAB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bottomline">
    <w:name w:val="bottomline"/>
    <w:basedOn w:val="Normal"/>
    <w:rsid w:val="0087250B"/>
    <w:pPr>
      <w:pBdr>
        <w:bottom w:val="single" w:sz="6" w:space="0" w:color="0099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ch-blue-red">
    <w:name w:val="ch-blue-red"/>
    <w:basedOn w:val="Normal"/>
    <w:rsid w:val="0087250B"/>
    <w:pPr>
      <w:shd w:val="clear" w:color="auto" w:fill="0099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0000"/>
      <w:sz w:val="18"/>
      <w:szCs w:val="18"/>
      <w:lang w:eastAsia="en-GB"/>
    </w:rPr>
  </w:style>
  <w:style w:type="paragraph" w:customStyle="1" w:styleId="ch-blue-white">
    <w:name w:val="ch-blue-white"/>
    <w:basedOn w:val="Normal"/>
    <w:rsid w:val="0087250B"/>
    <w:pPr>
      <w:shd w:val="clear" w:color="auto" w:fill="0099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0"/>
      <w:lang w:eastAsia="en-GB"/>
    </w:rPr>
  </w:style>
  <w:style w:type="paragraph" w:customStyle="1" w:styleId="ch-dblue-white">
    <w:name w:val="ch-dblue-white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ch-white-blue">
    <w:name w:val="ch-white-blue"/>
    <w:basedOn w:val="Normal"/>
    <w:rsid w:val="0087250B"/>
    <w:pP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ch-red-white">
    <w:name w:val="ch-red-white"/>
    <w:basedOn w:val="Normal"/>
    <w:rsid w:val="0087250B"/>
    <w:pPr>
      <w:shd w:val="clear" w:color="auto" w:fill="FF000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lightblueborder">
    <w:name w:val="lightblueborder"/>
    <w:basedOn w:val="Normal"/>
    <w:rsid w:val="0087250B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t-blue">
    <w:name w:val="t-blu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t-row">
    <w:name w:val="t-row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DE7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t-rowcenter">
    <w:name w:val="t-row_center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DE7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t-text">
    <w:name w:val="t-text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C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0000"/>
      <w:sz w:val="18"/>
      <w:szCs w:val="18"/>
      <w:lang w:eastAsia="en-GB"/>
    </w:rPr>
  </w:style>
  <w:style w:type="paragraph" w:customStyle="1" w:styleId="itumenu">
    <w:name w:val="itumenu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eastAsia="en-GB"/>
    </w:rPr>
  </w:style>
  <w:style w:type="paragraph" w:customStyle="1" w:styleId="hplinkbluewhite">
    <w:name w:val="hplink_bluewhit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footeritems">
    <w:name w:val="footeritems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afterAutospacing="1"/>
      <w:textAlignment w:val="auto"/>
    </w:pPr>
    <w:rPr>
      <w:rFonts w:ascii="Arial" w:eastAsiaTheme="minorEastAsia" w:hAnsi="Arial" w:cs="Arial"/>
      <w:color w:val="004B96"/>
      <w:sz w:val="17"/>
      <w:szCs w:val="17"/>
      <w:lang w:eastAsia="en-GB"/>
    </w:rPr>
  </w:style>
  <w:style w:type="paragraph" w:customStyle="1" w:styleId="navleft">
    <w:name w:val="navleft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eastAsia="en-GB"/>
    </w:rPr>
  </w:style>
  <w:style w:type="paragraph" w:customStyle="1" w:styleId="topritems">
    <w:name w:val="topritems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17"/>
      <w:szCs w:val="17"/>
      <w:lang w:eastAsia="en-GB"/>
    </w:rPr>
  </w:style>
  <w:style w:type="paragraph" w:customStyle="1" w:styleId="bulletlist-blue">
    <w:name w:val="bulletlist-blu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bulletlist-red">
    <w:name w:val="bulletlist-red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arrowlist-blue">
    <w:name w:val="arrowlist-blu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arrowlist-red">
    <w:name w:val="arrowlist-red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Cs w:val="24"/>
      <w:lang w:eastAsia="en-GB"/>
    </w:rPr>
  </w:style>
  <w:style w:type="paragraph" w:customStyle="1" w:styleId="textdblue">
    <w:name w:val="text_d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borderdottedblue">
    <w:name w:val="border_dotted_blue"/>
    <w:basedOn w:val="Normal"/>
    <w:rsid w:val="0087250B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dblue10pt">
    <w:name w:val="text_d_blue_10pt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ableborderbackbluesmall">
    <w:name w:val="table_border_backblue_small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6EB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tableborderbluesmall">
    <w:name w:val="table_border_blue_small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tabledblue">
    <w:name w:val="table_d_blue"/>
    <w:basedOn w:val="Normal"/>
    <w:rsid w:val="0087250B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dwhite">
    <w:name w:val="table_d_white"/>
    <w:basedOn w:val="Normal"/>
    <w:rsid w:val="0087250B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18"/>
      <w:szCs w:val="18"/>
      <w:lang w:eastAsia="en-GB"/>
    </w:rPr>
  </w:style>
  <w:style w:type="paragraph" w:customStyle="1" w:styleId="tablebtlrblue">
    <w:name w:val="table_btlr_blue"/>
    <w:basedOn w:val="Normal"/>
    <w:rsid w:val="0087250B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2pxtlrblue">
    <w:name w:val="table_b2px_tlr_blue"/>
    <w:basedOn w:val="Normal"/>
    <w:rsid w:val="0087250B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lblue">
    <w:name w:val="table_btl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rblue">
    <w:name w:val="table_btr_blue"/>
    <w:basedOn w:val="Normal"/>
    <w:rsid w:val="0087250B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lrblue">
    <w:name w:val="table_blr_blue"/>
    <w:basedOn w:val="Normal"/>
    <w:rsid w:val="0087250B"/>
    <w:pPr>
      <w:pBdr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lrblue">
    <w:name w:val="table_tlr_blue"/>
    <w:basedOn w:val="Normal"/>
    <w:rsid w:val="0087250B"/>
    <w:pPr>
      <w:pBdr>
        <w:top w:val="single" w:sz="6" w:space="0" w:color="004B96"/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blue">
    <w:name w:val="table_b_blue"/>
    <w:basedOn w:val="Normal"/>
    <w:rsid w:val="0087250B"/>
    <w:pPr>
      <w:pBdr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blue">
    <w:name w:val="table_t_blue"/>
    <w:basedOn w:val="Normal"/>
    <w:rsid w:val="0087250B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lblue">
    <w:name w:val="table_l_blue"/>
    <w:basedOn w:val="Normal"/>
    <w:rsid w:val="0087250B"/>
    <w:pPr>
      <w:pBdr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rblue">
    <w:name w:val="table_r_blue"/>
    <w:basedOn w:val="Normal"/>
    <w:rsid w:val="0087250B"/>
    <w:pPr>
      <w:pBdr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rblue">
    <w:name w:val="table_tr_blue"/>
    <w:basedOn w:val="Normal"/>
    <w:rsid w:val="0087250B"/>
    <w:pPr>
      <w:pBdr>
        <w:top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tlblue">
    <w:name w:val="table_tl_blue"/>
    <w:basedOn w:val="Normal"/>
    <w:rsid w:val="0087250B"/>
    <w:pPr>
      <w:pBdr>
        <w:top w:val="single" w:sz="6" w:space="0" w:color="004B96"/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rblue">
    <w:name w:val="table_br_blue"/>
    <w:basedOn w:val="Normal"/>
    <w:rsid w:val="0087250B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lblue">
    <w:name w:val="table_bl_blue"/>
    <w:basedOn w:val="Normal"/>
    <w:rsid w:val="0087250B"/>
    <w:pPr>
      <w:pBdr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lrblue">
    <w:name w:val="table_lr_blue"/>
    <w:basedOn w:val="Normal"/>
    <w:rsid w:val="0087250B"/>
    <w:pPr>
      <w:pBdr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blue">
    <w:name w:val="table_bt_blue"/>
    <w:basedOn w:val="Normal"/>
    <w:rsid w:val="0087250B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btred">
    <w:name w:val="table_bt_red"/>
    <w:basedOn w:val="Normal"/>
    <w:rsid w:val="0087250B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0000"/>
      <w:sz w:val="18"/>
      <w:szCs w:val="18"/>
      <w:lang w:eastAsia="en-GB"/>
    </w:rPr>
  </w:style>
  <w:style w:type="paragraph" w:customStyle="1" w:styleId="tableborderdottedblue">
    <w:name w:val="table_border_dotted_blue"/>
    <w:basedOn w:val="Normal"/>
    <w:rsid w:val="0087250B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ableemptyblue">
    <w:name w:val="table_empty_blu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adm1">
    <w:name w:val="table_adm_1"/>
    <w:basedOn w:val="Normal"/>
    <w:rsid w:val="0087250B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tableadm2">
    <w:name w:val="table_adm_2"/>
    <w:basedOn w:val="Normal"/>
    <w:rsid w:val="0087250B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ableadm3">
    <w:name w:val="table_adm_3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tableadm4">
    <w:name w:val="table_adm_4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textallblue">
    <w:name w:val="text_all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blrblue">
    <w:name w:val="text_blr_blue"/>
    <w:basedOn w:val="Normal"/>
    <w:rsid w:val="0087250B"/>
    <w:pPr>
      <w:pBdr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lrblue">
    <w:name w:val="text_tlr_blue"/>
    <w:basedOn w:val="Normal"/>
    <w:rsid w:val="0087250B"/>
    <w:pPr>
      <w:pBdr>
        <w:top w:val="single" w:sz="6" w:space="0" w:color="004B96"/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lblue">
    <w:name w:val="text_tbl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rblue">
    <w:name w:val="text_tbr_blue"/>
    <w:basedOn w:val="Normal"/>
    <w:rsid w:val="0087250B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lrblue">
    <w:name w:val="text_lr_blue"/>
    <w:basedOn w:val="Normal"/>
    <w:rsid w:val="0087250B"/>
    <w:pPr>
      <w:pBdr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blblue">
    <w:name w:val="text_bl_blue"/>
    <w:basedOn w:val="Normal"/>
    <w:rsid w:val="0087250B"/>
    <w:pPr>
      <w:pBdr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blue">
    <w:name w:val="text_tb_blue"/>
    <w:basedOn w:val="Normal"/>
    <w:rsid w:val="0087250B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lblue">
    <w:name w:val="text_tl_blue"/>
    <w:basedOn w:val="Normal"/>
    <w:rsid w:val="0087250B"/>
    <w:pPr>
      <w:pBdr>
        <w:top w:val="single" w:sz="6" w:space="0" w:color="004B96"/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rblue">
    <w:name w:val="text_tr_blue"/>
    <w:basedOn w:val="Normal"/>
    <w:rsid w:val="0087250B"/>
    <w:pPr>
      <w:pBdr>
        <w:top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rbluet2px">
    <w:name w:val="text_tr_blue_t2px"/>
    <w:basedOn w:val="Normal"/>
    <w:rsid w:val="0087250B"/>
    <w:pPr>
      <w:pBdr>
        <w:top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brblue">
    <w:name w:val="text_br_blue"/>
    <w:basedOn w:val="Normal"/>
    <w:rsid w:val="0087250B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tblue">
    <w:name w:val="text_t_blue"/>
    <w:basedOn w:val="Normal"/>
    <w:rsid w:val="0087250B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tbluet2px">
    <w:name w:val="text_t_blue_t2px"/>
    <w:basedOn w:val="Normal"/>
    <w:rsid w:val="0087250B"/>
    <w:pPr>
      <w:pBdr>
        <w:top w:val="single" w:sz="12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bblue">
    <w:name w:val="text_b_blue"/>
    <w:basedOn w:val="Normal"/>
    <w:rsid w:val="0087250B"/>
    <w:pPr>
      <w:pBdr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lblue">
    <w:name w:val="text_l_blue"/>
    <w:basedOn w:val="Normal"/>
    <w:rsid w:val="0087250B"/>
    <w:pPr>
      <w:pBdr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textrblue">
    <w:name w:val="text_r_blue"/>
    <w:basedOn w:val="Normal"/>
    <w:rsid w:val="0087250B"/>
    <w:pPr>
      <w:pBdr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emptyblue">
    <w:name w:val="text_empty_blu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linedblue">
    <w:name w:val="line_d_blue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linelblue">
    <w:name w:val="line_l_blue"/>
    <w:basedOn w:val="Normal"/>
    <w:rsid w:val="0087250B"/>
    <w:pPr>
      <w:shd w:val="clear" w:color="auto" w:fill="D6EB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eastAsia="en-GB"/>
    </w:rPr>
  </w:style>
  <w:style w:type="paragraph" w:customStyle="1" w:styleId="textareatms">
    <w:name w:val="textareatms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eastAsia="en-GB"/>
    </w:rPr>
  </w:style>
  <w:style w:type="paragraph" w:customStyle="1" w:styleId="folink">
    <w:name w:val="fo_link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folinkblue">
    <w:name w:val="fo_link_blu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eastAsia="en-GB"/>
    </w:rPr>
  </w:style>
  <w:style w:type="paragraph" w:customStyle="1" w:styleId="folinksmall">
    <w:name w:val="fo_link_small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Cs w:val="24"/>
      <w:lang w:eastAsia="en-GB"/>
    </w:rPr>
  </w:style>
  <w:style w:type="paragraph" w:customStyle="1" w:styleId="folinkbluesmall">
    <w:name w:val="fo_link_blue_small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eastAsia="en-GB"/>
    </w:rPr>
  </w:style>
  <w:style w:type="paragraph" w:customStyle="1" w:styleId="linkregular">
    <w:name w:val="link_regular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u w:val="single"/>
      <w:lang w:eastAsia="en-GB"/>
    </w:rPr>
  </w:style>
  <w:style w:type="paragraph" w:customStyle="1" w:styleId="linksmall">
    <w:name w:val="link_small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6"/>
      <w:szCs w:val="16"/>
      <w:u w:val="single"/>
      <w:lang w:eastAsia="en-GB"/>
    </w:rPr>
  </w:style>
  <w:style w:type="paragraph" w:customStyle="1" w:styleId="hrblue">
    <w:name w:val="hr_bl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rownormal">
    <w:name w:val="rownormal"/>
    <w:basedOn w:val="Normal"/>
    <w:rsid w:val="0087250B"/>
    <w:pP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rowhover">
    <w:name w:val="rowhover"/>
    <w:basedOn w:val="Normal"/>
    <w:rsid w:val="0087250B"/>
    <w:pP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overlightblue">
    <w:name w:val="rowoverlightblue"/>
    <w:basedOn w:val="Normal"/>
    <w:rsid w:val="0087250B"/>
    <w:pPr>
      <w:shd w:val="clear" w:color="auto" w:fill="CFDEF3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Cs w:val="24"/>
      <w:lang w:eastAsia="en-GB"/>
    </w:rPr>
  </w:style>
  <w:style w:type="paragraph" w:customStyle="1" w:styleId="rowdarkblue">
    <w:name w:val="rowdarkblue"/>
    <w:basedOn w:val="Normal"/>
    <w:rsid w:val="0087250B"/>
    <w:pPr>
      <w:shd w:val="clear" w:color="auto" w:fill="9BB9DB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Cs w:val="24"/>
      <w:lang w:eastAsia="en-GB"/>
    </w:rPr>
  </w:style>
  <w:style w:type="paragraph" w:customStyle="1" w:styleId="rowblue">
    <w:name w:val="rowblue"/>
    <w:basedOn w:val="Normal"/>
    <w:rsid w:val="0087250B"/>
    <w:pP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lightblue">
    <w:name w:val="rowlightblue"/>
    <w:basedOn w:val="Normal"/>
    <w:rsid w:val="0087250B"/>
    <w:pPr>
      <w:shd w:val="clear" w:color="auto" w:fill="CFDEF3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rowgreen">
    <w:name w:val="rowgreen"/>
    <w:basedOn w:val="Normal"/>
    <w:rsid w:val="0087250B"/>
    <w:pPr>
      <w:shd w:val="clear" w:color="auto" w:fill="CCFFE5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yellow">
    <w:name w:val="rowyellow"/>
    <w:basedOn w:val="Normal"/>
    <w:rsid w:val="0087250B"/>
    <w:pPr>
      <w:shd w:val="clear" w:color="auto" w:fill="FFFF99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orange">
    <w:name w:val="roworange"/>
    <w:basedOn w:val="Normal"/>
    <w:rsid w:val="0087250B"/>
    <w:pPr>
      <w:shd w:val="clear" w:color="auto" w:fill="FFCC99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oldlace">
    <w:name w:val="rowoldlace"/>
    <w:basedOn w:val="Normal"/>
    <w:rsid w:val="0087250B"/>
    <w:pPr>
      <w:shd w:val="clear" w:color="auto" w:fill="FDF5E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grey">
    <w:name w:val="rowgrey"/>
    <w:basedOn w:val="Normal"/>
    <w:rsid w:val="0087250B"/>
    <w:pPr>
      <w:shd w:val="clear" w:color="auto" w:fill="CDCDCD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rowunderline">
    <w:name w:val="rowunderlin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u w:val="single"/>
      <w:lang w:eastAsia="en-GB"/>
    </w:rPr>
  </w:style>
  <w:style w:type="paragraph" w:customStyle="1" w:styleId="grdvheader">
    <w:name w:val="grdvheader"/>
    <w:basedOn w:val="Normal"/>
    <w:rsid w:val="0087250B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Cs w:val="24"/>
      <w:lang w:eastAsia="en-GB"/>
    </w:rPr>
  </w:style>
  <w:style w:type="paragraph" w:customStyle="1" w:styleId="grdvcell">
    <w:name w:val="grdvcell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szCs w:val="24"/>
      <w:lang w:eastAsia="en-GB"/>
    </w:rPr>
  </w:style>
  <w:style w:type="paragraph" w:customStyle="1" w:styleId="lblsuccessmsg">
    <w:name w:val="lblsuccessmsg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i/>
      <w:iCs/>
      <w:szCs w:val="24"/>
      <w:lang w:eastAsia="en-GB"/>
    </w:rPr>
  </w:style>
  <w:style w:type="paragraph" w:customStyle="1" w:styleId="lblheader1">
    <w:name w:val="lblheader1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7"/>
      <w:szCs w:val="27"/>
      <w:lang w:eastAsia="en-GB"/>
    </w:rPr>
  </w:style>
  <w:style w:type="paragraph" w:customStyle="1" w:styleId="label9pt">
    <w:name w:val="label_9pt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Cs w:val="24"/>
      <w:lang w:eastAsia="en-GB"/>
    </w:rPr>
  </w:style>
  <w:style w:type="paragraph" w:customStyle="1" w:styleId="textbox9pt">
    <w:name w:val="textbox_9pt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Cs w:val="24"/>
      <w:lang w:eastAsia="en-GB"/>
    </w:rPr>
  </w:style>
  <w:style w:type="paragraph" w:customStyle="1" w:styleId="select7pt">
    <w:name w:val="select_7pt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 w:val="14"/>
      <w:szCs w:val="14"/>
      <w:lang w:eastAsia="en-GB"/>
    </w:rPr>
  </w:style>
  <w:style w:type="paragraph" w:customStyle="1" w:styleId="dptable">
    <w:name w:val="dptable"/>
    <w:basedOn w:val="Normal"/>
    <w:rsid w:val="0087250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CE9D8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color w:val="505050"/>
      <w:sz w:val="18"/>
      <w:szCs w:val="18"/>
      <w:lang w:eastAsia="en-GB"/>
    </w:rPr>
  </w:style>
  <w:style w:type="paragraph" w:customStyle="1" w:styleId="dptd">
    <w:name w:val="dptd"/>
    <w:basedOn w:val="Normal"/>
    <w:rsid w:val="0087250B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dpdayhighlighttd">
    <w:name w:val="dpdayhighlighttd"/>
    <w:basedOn w:val="Normal"/>
    <w:rsid w:val="0087250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dptdhover">
    <w:name w:val="dptdhover"/>
    <w:basedOn w:val="Normal"/>
    <w:rsid w:val="0087250B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ACA998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0000"/>
      <w:szCs w:val="24"/>
      <w:lang w:eastAsia="en-GB"/>
    </w:rPr>
  </w:style>
  <w:style w:type="paragraph" w:customStyle="1" w:styleId="dpdaytd">
    <w:name w:val="dpdaytd"/>
    <w:basedOn w:val="Normal"/>
    <w:rsid w:val="0087250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Cs w:val="24"/>
      <w:lang w:eastAsia="en-GB"/>
    </w:rPr>
  </w:style>
  <w:style w:type="paragraph" w:customStyle="1" w:styleId="dptitletext">
    <w:name w:val="dptitletext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808080"/>
      <w:sz w:val="15"/>
      <w:szCs w:val="15"/>
      <w:lang w:eastAsia="en-GB"/>
    </w:rPr>
  </w:style>
  <w:style w:type="paragraph" w:customStyle="1" w:styleId="dpdayhighlight">
    <w:name w:val="dpdayhighlight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4060FF"/>
      <w:szCs w:val="24"/>
      <w:lang w:eastAsia="en-GB"/>
    </w:rPr>
  </w:style>
  <w:style w:type="paragraph" w:customStyle="1" w:styleId="dpbutton">
    <w:name w:val="dpbutton"/>
    <w:basedOn w:val="Normal"/>
    <w:rsid w:val="0087250B"/>
    <w:pPr>
      <w:shd w:val="clear" w:color="auto" w:fill="D8E8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808080"/>
      <w:sz w:val="15"/>
      <w:szCs w:val="15"/>
      <w:lang w:eastAsia="en-GB"/>
    </w:rPr>
  </w:style>
  <w:style w:type="paragraph" w:customStyle="1" w:styleId="dptodaybutton">
    <w:name w:val="dptodaybutton"/>
    <w:basedOn w:val="Normal"/>
    <w:rsid w:val="0087250B"/>
    <w:pPr>
      <w:shd w:val="clear" w:color="auto" w:fill="D8E8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808080"/>
      <w:sz w:val="15"/>
      <w:szCs w:val="15"/>
      <w:lang w:eastAsia="en-GB"/>
    </w:rPr>
  </w:style>
  <w:style w:type="paragraph" w:customStyle="1" w:styleId="mc">
    <w:name w:val="mc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0" w:after="300"/>
      <w:ind w:left="300" w:right="300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mh">
    <w:name w:val="mh"/>
    <w:basedOn w:val="Normal"/>
    <w:rsid w:val="0087250B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18"/>
      <w:szCs w:val="18"/>
      <w:lang w:eastAsia="en-GB"/>
    </w:rPr>
  </w:style>
  <w:style w:type="paragraph" w:customStyle="1" w:styleId="ml">
    <w:name w:val="ml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50"/>
      <w:textAlignment w:val="auto"/>
    </w:pPr>
    <w:rPr>
      <w:rFonts w:ascii="Times New Roman" w:eastAsiaTheme="minorEastAsia" w:hAnsi="Times New Roman"/>
      <w:vanish/>
      <w:sz w:val="17"/>
      <w:szCs w:val="17"/>
      <w:lang w:eastAsia="en-GB"/>
    </w:rPr>
  </w:style>
  <w:style w:type="paragraph" w:customStyle="1" w:styleId="mo">
    <w:name w:val="mo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ind w:left="150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mh1">
    <w:name w:val="mh1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18"/>
      <w:szCs w:val="18"/>
      <w:lang w:eastAsia="en-GB"/>
    </w:rPr>
  </w:style>
  <w:style w:type="paragraph" w:customStyle="1" w:styleId="tftable">
    <w:name w:val="tftable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tftable1">
    <w:name w:val="tftable1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paragraph" w:customStyle="1" w:styleId="buttonclose">
    <w:name w:val="button_clos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uttongoback">
    <w:name w:val="button_goback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uttoncontinue">
    <w:name w:val="button_continu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buttoncontinuelarge">
    <w:name w:val="button_continue_large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4"/>
      <w:lang w:eastAsia="en-GB"/>
    </w:rPr>
  </w:style>
  <w:style w:type="paragraph" w:customStyle="1" w:styleId="buttonupload">
    <w:name w:val="button_upload"/>
    <w:basedOn w:val="Normal"/>
    <w:rsid w:val="0087250B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2"/>
      <w:szCs w:val="22"/>
      <w:lang w:eastAsia="en-GB"/>
    </w:rPr>
  </w:style>
  <w:style w:type="paragraph" w:customStyle="1" w:styleId="pagelocator">
    <w:name w:val="page_locator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pagetitle">
    <w:name w:val="page_title"/>
    <w:basedOn w:val="Normal"/>
    <w:rsid w:val="0087250B"/>
    <w:pPr>
      <w:pBdr>
        <w:top w:val="threeDEngrave" w:sz="6" w:space="0" w:color="000096"/>
        <w:left w:val="threeDEngrave" w:sz="6" w:space="0" w:color="000096"/>
        <w:bottom w:val="threeDEngrave" w:sz="6" w:space="0" w:color="000096"/>
        <w:right w:val="threeDEngrave" w:sz="6" w:space="0" w:color="000096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FFFFFF"/>
      <w:szCs w:val="24"/>
      <w:lang w:eastAsia="en-GB"/>
    </w:rPr>
  </w:style>
  <w:style w:type="paragraph" w:customStyle="1" w:styleId="w3-button-disabled">
    <w:name w:val="w3-button-disabled"/>
    <w:basedOn w:val="Normal"/>
    <w:rsid w:val="0087250B"/>
    <w:pPr>
      <w:pBdr>
        <w:top w:val="single" w:sz="6" w:space="2" w:color="004B96"/>
        <w:left w:val="single" w:sz="6" w:space="3" w:color="004B96"/>
        <w:bottom w:val="single" w:sz="6" w:space="2" w:color="004B96"/>
        <w:right w:val="single" w:sz="6" w:space="3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w3-button">
    <w:name w:val="w3-button"/>
    <w:basedOn w:val="Normal"/>
    <w:rsid w:val="0087250B"/>
    <w:pPr>
      <w:pBdr>
        <w:top w:val="single" w:sz="6" w:space="2" w:color="004B96"/>
        <w:left w:val="single" w:sz="6" w:space="3" w:color="004B96"/>
        <w:bottom w:val="single" w:sz="6" w:space="2" w:color="004B96"/>
        <w:right w:val="single" w:sz="6" w:space="3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kap-button">
    <w:name w:val="kap-button"/>
    <w:basedOn w:val="Normal"/>
    <w:rsid w:val="0087250B"/>
    <w:pPr>
      <w:pBdr>
        <w:top w:val="single" w:sz="6" w:space="2" w:color="FFFFFF"/>
        <w:left w:val="single" w:sz="6" w:space="3" w:color="FFFFFF"/>
        <w:bottom w:val="single" w:sz="6" w:space="2" w:color="FFFFFF"/>
        <w:right w:val="single" w:sz="6" w:space="3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kap-button-small">
    <w:name w:val="kap-button-small"/>
    <w:basedOn w:val="Normal"/>
    <w:rsid w:val="0087250B"/>
    <w:pPr>
      <w:pBdr>
        <w:top w:val="single" w:sz="6" w:space="2" w:color="FFFFFF"/>
        <w:left w:val="single" w:sz="6" w:space="3" w:color="FFFFFF"/>
        <w:bottom w:val="single" w:sz="6" w:space="2" w:color="FFFFFF"/>
        <w:right w:val="single" w:sz="6" w:space="3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eastAsia="en-GB"/>
    </w:rPr>
  </w:style>
  <w:style w:type="paragraph" w:customStyle="1" w:styleId="pay-button">
    <w:name w:val="pay-button"/>
    <w:basedOn w:val="Normal"/>
    <w:rsid w:val="0087250B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16"/>
      <w:szCs w:val="16"/>
      <w:lang w:eastAsia="en-GB"/>
    </w:rPr>
  </w:style>
  <w:style w:type="paragraph" w:customStyle="1" w:styleId="buttonbluemargin1pxh40px">
    <w:name w:val="button_blue_margin1px_h40px"/>
    <w:basedOn w:val="Normal"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character" w:customStyle="1" w:styleId="sceditor-selection">
    <w:name w:val="sceditor-selection"/>
    <w:basedOn w:val="DefaultParagraphFont"/>
    <w:rsid w:val="0087250B"/>
  </w:style>
  <w:style w:type="paragraph" w:styleId="NormalWeb">
    <w:name w:val="Normal (Web)"/>
    <w:basedOn w:val="Normal"/>
    <w:uiPriority w:val="99"/>
    <w:semiHidden/>
    <w:unhideWhenUsed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  <w:lang w:eastAsia="en-GB"/>
    </w:rPr>
  </w:style>
  <w:style w:type="character" w:customStyle="1" w:styleId="s2">
    <w:name w:val="s2"/>
    <w:basedOn w:val="DefaultParagraphFont"/>
    <w:rsid w:val="0087250B"/>
  </w:style>
  <w:style w:type="character" w:customStyle="1" w:styleId="s1">
    <w:name w:val="s1"/>
    <w:basedOn w:val="DefaultParagraphFont"/>
    <w:rsid w:val="0087250B"/>
  </w:style>
  <w:style w:type="paragraph" w:styleId="TOCHeading">
    <w:name w:val="TOC Heading"/>
    <w:basedOn w:val="Heading1"/>
    <w:next w:val="Normal"/>
    <w:uiPriority w:val="39"/>
    <w:unhideWhenUsed/>
    <w:qFormat/>
    <w:rsid w:val="0087250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87250B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725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25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250B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2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250B"/>
    <w:rPr>
      <w:rFonts w:asciiTheme="minorHAnsi" w:hAnsiTheme="minorHAnsi"/>
      <w:b/>
      <w:bCs/>
      <w:lang w:val="en-GB" w:eastAsia="en-US"/>
    </w:rPr>
  </w:style>
  <w:style w:type="table" w:styleId="TableGrid">
    <w:name w:val="Table Grid"/>
    <w:basedOn w:val="TableNormal"/>
    <w:rsid w:val="0087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87250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.powerbi.com/groups/me/reports/b389bd5f-6f2e-4250-9091-ccdbd06673fa/1ab3546972995bab8994?experience=power-bi" TargetMode="External"/><Relationship Id="rId18" Type="http://schemas.openxmlformats.org/officeDocument/2006/relationships/hyperlink" Target="https://www.itu.int/md/D22-TDAG31-C-0002/en" TargetMode="External"/><Relationship Id="rId26" Type="http://schemas.openxmlformats.org/officeDocument/2006/relationships/hyperlink" Target="https://www.itu.int/md/D22-WTDC25-C-0004/fr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app.powerbi.com/groups/me/reports/b389bd5f-6f2e-4250-9091-ccdbd06673fa/1ab3546972995bab8994?experience=power-bi" TargetMode="External"/><Relationship Id="rId17" Type="http://schemas.openxmlformats.org/officeDocument/2006/relationships/hyperlink" Target="https://www.itu.int/md/D22-TDAG30-C-0002/en" TargetMode="External"/><Relationship Id="rId25" Type="http://schemas.openxmlformats.org/officeDocument/2006/relationships/hyperlink" Target="https://www.itu.int/md/D22-WTDC25-C-0012/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32-C-0002/fr" TargetMode="External"/><Relationship Id="rId20" Type="http://schemas.openxmlformats.org/officeDocument/2006/relationships/header" Target="header1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itu.int/md/D22-WTDC25-C-0011/f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md/D22-TDAG31-C-0002/fr" TargetMode="External"/><Relationship Id="rId23" Type="http://schemas.openxmlformats.org/officeDocument/2006/relationships/footer" Target="footer2.xml"/><Relationship Id="rId28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yperlink" Target="https://www.itu.int/md/D22-TDAG32-C-0002/en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itu.int/md/D22-TDAG30-C-0002/fr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www.itu.int/md/D22-WTDC25-C-0004/en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D22-TDAG32-C-0002/en" TargetMode="External"/><Relationship Id="rId3" Type="http://schemas.openxmlformats.org/officeDocument/2006/relationships/hyperlink" Target="https://www.itu.int/itu-d/sites/projects/home/projects/" TargetMode="External"/><Relationship Id="rId7" Type="http://schemas.openxmlformats.org/officeDocument/2006/relationships/hyperlink" Target="https://www.itu.int/md/D22-TDAG32-C-0002/fr" TargetMode="External"/><Relationship Id="rId2" Type="http://schemas.openxmlformats.org/officeDocument/2006/relationships/hyperlink" Target="https://www.itu.int/en/ITU-D/Projects/Pages/Portfolio.aspx" TargetMode="External"/><Relationship Id="rId1" Type="http://schemas.openxmlformats.org/officeDocument/2006/relationships/hyperlink" Target="https://www.itu.int/itu-d/sites/projects/home/projects/" TargetMode="External"/><Relationship Id="rId6" Type="http://schemas.openxmlformats.org/officeDocument/2006/relationships/hyperlink" Target="https://www.itu.int/en/ITU-D/Projects/Pages/reports/default.aspx" TargetMode="External"/><Relationship Id="rId5" Type="http://schemas.openxmlformats.org/officeDocument/2006/relationships/hyperlink" Target="https://www.itu.int/en/ITU-D/Projects/Pages/reports/default.aspx" TargetMode="External"/><Relationship Id="rId4" Type="http://schemas.openxmlformats.org/officeDocument/2006/relationships/hyperlink" Target="https://www.itu.int/en/ITU-D/Projects/Pages/Portfolio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0e8e06-0ab1-43d2-b04a-41299106b25a">
      <Terms xmlns="http://schemas.microsoft.com/office/infopath/2007/PartnerControls"/>
    </lcf76f155ced4ddcb4097134ff3c332f>
    <TaxCatchAll xmlns="bc0b450c-ff0a-44fa-a43c-58f6e857e6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16" ma:contentTypeDescription="Crée un document." ma:contentTypeScope="" ma:versionID="3dd2b745dd453dc05663b3222cc0d5cf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e752161e59c8c551e51cd5a066787b73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ff533-abd9-4fae-b877-d7193a5af840}" ma:internalName="TaxCatchAll" ma:showField="CatchAllData" ma:web="bc0b450c-ff0a-44fa-a43c-58f6e857e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E376DC-7944-4952-A0D0-48F7030FEB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060e8e06-0ab1-43d2-b04a-41299106b25a"/>
    <ds:schemaRef ds:uri="bc0b450c-ff0a-44fa-a43c-58f6e857e634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771360-BAAC-41D4-85B7-4781B518E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42</Pages>
  <Words>10831</Words>
  <Characters>71998</Characters>
  <Application>Microsoft Office Word</Application>
  <DocSecurity>0</DocSecurity>
  <Lines>599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82664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Manias, Michel</dc:creator>
  <cp:keywords/>
  <dc:description/>
  <cp:lastModifiedBy>French</cp:lastModifiedBy>
  <cp:revision>9</cp:revision>
  <cp:lastPrinted>2017-03-10T07:43:00Z</cp:lastPrinted>
  <dcterms:created xsi:type="dcterms:W3CDTF">2025-10-31T09:18:00Z</dcterms:created>
  <dcterms:modified xsi:type="dcterms:W3CDTF">2025-11-03T08:46:00Z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_dlc_DocIdItemGuid">
    <vt:lpwstr>1277586e-23f4-4a9c-8b22-c68c4fc349db</vt:lpwstr>
  </property>
</Properties>
</file>